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FCBC33">
      <w:pPr>
        <w:spacing w:line="400" w:lineRule="exact"/>
        <w:rPr>
          <w:color w:val="auto"/>
        </w:rPr>
      </w:pPr>
    </w:p>
    <w:p w14:paraId="2731DF81">
      <w:pPr>
        <w:spacing w:line="400" w:lineRule="exact"/>
        <w:rPr>
          <w:color w:val="auto"/>
        </w:rPr>
      </w:pPr>
    </w:p>
    <w:p w14:paraId="0BEA34A7">
      <w:pPr>
        <w:spacing w:line="400" w:lineRule="exact"/>
        <w:rPr>
          <w:color w:val="auto"/>
        </w:rPr>
      </w:pPr>
    </w:p>
    <w:p w14:paraId="3CE62285">
      <w:pPr>
        <w:spacing w:line="400" w:lineRule="exact"/>
        <w:rPr>
          <w:color w:val="auto"/>
        </w:rPr>
      </w:pPr>
    </w:p>
    <w:p w14:paraId="26247BDF">
      <w:pPr>
        <w:jc w:val="center"/>
        <w:rPr>
          <w:rFonts w:ascii="黑体" w:hAnsi="黑体" w:eastAsia="黑体"/>
          <w:color w:val="auto"/>
          <w:sz w:val="32"/>
          <w:szCs w:val="32"/>
        </w:rPr>
      </w:pPr>
      <w:r>
        <w:rPr>
          <w:rFonts w:hint="eastAsia" w:ascii="黑体" w:hAnsi="黑体" w:eastAsia="黑体"/>
          <w:color w:val="auto"/>
          <w:sz w:val="32"/>
          <w:szCs w:val="32"/>
          <w:u w:val="single"/>
        </w:rPr>
        <w:t>英山县城区排涝系统完善工程（</w:t>
      </w:r>
      <w:r>
        <w:rPr>
          <w:rFonts w:hint="eastAsia" w:ascii="黑体" w:hAnsi="黑体" w:eastAsia="黑体"/>
          <w:color w:val="auto"/>
          <w:sz w:val="32"/>
          <w:szCs w:val="32"/>
          <w:u w:val="single"/>
          <w:lang w:eastAsia="zh-CN"/>
        </w:rPr>
        <w:t>二期</w:t>
      </w:r>
      <w:r>
        <w:rPr>
          <w:rFonts w:hint="eastAsia" w:ascii="黑体" w:hAnsi="黑体" w:eastAsia="黑体"/>
          <w:color w:val="auto"/>
          <w:sz w:val="32"/>
          <w:szCs w:val="32"/>
          <w:u w:val="single"/>
        </w:rPr>
        <w:t>）EPC总承包</w:t>
      </w:r>
      <w:r>
        <w:rPr>
          <w:rFonts w:hint="eastAsia" w:ascii="黑体" w:hAnsi="黑体" w:eastAsia="黑体"/>
          <w:color w:val="auto"/>
          <w:sz w:val="32"/>
          <w:szCs w:val="32"/>
        </w:rPr>
        <w:t>（项目名称）</w:t>
      </w:r>
      <w:r>
        <w:rPr>
          <w:rFonts w:hint="eastAsia" w:ascii="黑体" w:hAnsi="黑体" w:eastAsia="黑体"/>
          <w:color w:val="auto"/>
          <w:sz w:val="32"/>
          <w:szCs w:val="32"/>
          <w:u w:val="single"/>
        </w:rPr>
        <w:t>英山县城区排涝系统完善工程（</w:t>
      </w:r>
      <w:r>
        <w:rPr>
          <w:rFonts w:hint="eastAsia" w:ascii="黑体" w:hAnsi="黑体" w:eastAsia="黑体"/>
          <w:color w:val="auto"/>
          <w:sz w:val="32"/>
          <w:szCs w:val="32"/>
          <w:u w:val="single"/>
          <w:lang w:eastAsia="zh-CN"/>
        </w:rPr>
        <w:t>二期</w:t>
      </w:r>
      <w:r>
        <w:rPr>
          <w:rFonts w:hint="eastAsia" w:ascii="黑体" w:hAnsi="黑体" w:eastAsia="黑体"/>
          <w:color w:val="auto"/>
          <w:sz w:val="32"/>
          <w:szCs w:val="32"/>
          <w:u w:val="single"/>
        </w:rPr>
        <w:t>）EPC总承包</w:t>
      </w:r>
      <w:r>
        <w:rPr>
          <w:rFonts w:hint="eastAsia" w:ascii="黑体" w:hAnsi="黑体" w:eastAsia="黑体"/>
          <w:color w:val="auto"/>
          <w:sz w:val="32"/>
          <w:szCs w:val="32"/>
        </w:rPr>
        <w:t>（标段名称）工程总承包招标</w:t>
      </w:r>
    </w:p>
    <w:p w14:paraId="3E1AF65D">
      <w:pPr>
        <w:rPr>
          <w:color w:val="auto"/>
          <w:sz w:val="28"/>
          <w:szCs w:val="28"/>
        </w:rPr>
      </w:pPr>
    </w:p>
    <w:p w14:paraId="64172432">
      <w:pPr>
        <w:jc w:val="center"/>
        <w:rPr>
          <w:rFonts w:hint="eastAsia" w:ascii="黑体" w:eastAsia="黑体"/>
          <w:color w:val="auto"/>
          <w:sz w:val="52"/>
          <w:szCs w:val="52"/>
        </w:rPr>
      </w:pPr>
      <w:r>
        <w:rPr>
          <w:rFonts w:hint="eastAsia" w:ascii="黑体" w:eastAsia="黑体"/>
          <w:color w:val="auto"/>
          <w:sz w:val="52"/>
          <w:szCs w:val="52"/>
        </w:rPr>
        <w:t>招 标 文 件</w:t>
      </w:r>
    </w:p>
    <w:p w14:paraId="09E275C7">
      <w:pPr>
        <w:jc w:val="center"/>
        <w:rPr>
          <w:rFonts w:hint="eastAsia" w:ascii="黑体" w:eastAsia="黑体"/>
          <w:color w:val="auto"/>
          <w:sz w:val="52"/>
          <w:szCs w:val="52"/>
        </w:rPr>
      </w:pPr>
    </w:p>
    <w:p w14:paraId="0D49D397">
      <w:pPr>
        <w:spacing w:line="360" w:lineRule="auto"/>
        <w:ind w:firstLine="2940" w:firstLineChars="1050"/>
        <w:rPr>
          <w:rFonts w:hint="eastAsia" w:ascii="黑体" w:hAnsi="黑体" w:eastAsia="黑体"/>
          <w:color w:val="auto"/>
          <w:sz w:val="28"/>
          <w:szCs w:val="28"/>
        </w:rPr>
      </w:pPr>
      <w:r>
        <w:rPr>
          <w:rFonts w:hint="eastAsia" w:ascii="黑体" w:hAnsi="黑体" w:eastAsia="黑体"/>
          <w:color w:val="auto"/>
          <w:sz w:val="28"/>
          <w:szCs w:val="28"/>
        </w:rPr>
        <w:t>招标编号：</w:t>
      </w:r>
      <w:r>
        <w:rPr>
          <w:rFonts w:hint="eastAsia" w:ascii="黑体" w:hAnsi="黑体" w:eastAsia="黑体"/>
          <w:color w:val="auto"/>
          <w:sz w:val="28"/>
          <w:szCs w:val="28"/>
          <w:u w:val="single"/>
        </w:rPr>
        <w:t xml:space="preserve">        </w:t>
      </w:r>
    </w:p>
    <w:p w14:paraId="53BE77B7">
      <w:pPr>
        <w:snapToGrid w:val="0"/>
        <w:spacing w:line="360" w:lineRule="auto"/>
        <w:rPr>
          <w:rFonts w:hint="eastAsia" w:ascii="黑体" w:hAnsi="黑体" w:eastAsia="黑体"/>
          <w:color w:val="auto"/>
          <w:sz w:val="52"/>
          <w:szCs w:val="52"/>
        </w:rPr>
      </w:pPr>
    </w:p>
    <w:p w14:paraId="50AFC4A3">
      <w:pPr>
        <w:snapToGrid w:val="0"/>
        <w:spacing w:line="360" w:lineRule="auto"/>
        <w:rPr>
          <w:rFonts w:hint="eastAsia" w:ascii="黑体" w:hAnsi="黑体" w:eastAsia="黑体"/>
          <w:color w:val="auto"/>
          <w:sz w:val="52"/>
          <w:szCs w:val="52"/>
        </w:rPr>
      </w:pPr>
    </w:p>
    <w:p w14:paraId="30681521">
      <w:pPr>
        <w:snapToGrid w:val="0"/>
        <w:spacing w:line="360" w:lineRule="auto"/>
        <w:rPr>
          <w:rFonts w:hint="eastAsia" w:ascii="黑体" w:hAnsi="黑体" w:eastAsia="黑体"/>
          <w:color w:val="auto"/>
          <w:sz w:val="52"/>
          <w:szCs w:val="52"/>
        </w:rPr>
      </w:pPr>
    </w:p>
    <w:p w14:paraId="3A6048E9">
      <w:pPr>
        <w:snapToGrid w:val="0"/>
        <w:spacing w:line="360" w:lineRule="auto"/>
        <w:rPr>
          <w:rFonts w:hint="eastAsia" w:ascii="黑体" w:hAnsi="黑体" w:eastAsia="黑体"/>
          <w:color w:val="auto"/>
          <w:sz w:val="28"/>
          <w:szCs w:val="28"/>
        </w:rPr>
      </w:pPr>
    </w:p>
    <w:p w14:paraId="234ECA43">
      <w:pPr>
        <w:snapToGrid w:val="0"/>
        <w:spacing w:line="360" w:lineRule="auto"/>
        <w:rPr>
          <w:rFonts w:hint="eastAsia" w:ascii="黑体" w:hAnsi="黑体" w:eastAsia="黑体"/>
          <w:color w:val="auto"/>
          <w:sz w:val="28"/>
          <w:szCs w:val="28"/>
        </w:rPr>
      </w:pPr>
    </w:p>
    <w:p w14:paraId="0941F9ED">
      <w:pPr>
        <w:snapToGrid w:val="0"/>
        <w:spacing w:line="360" w:lineRule="auto"/>
        <w:rPr>
          <w:rFonts w:hint="eastAsia" w:ascii="黑体" w:hAnsi="黑体" w:eastAsia="黑体"/>
          <w:color w:val="auto"/>
          <w:sz w:val="28"/>
          <w:szCs w:val="28"/>
        </w:rPr>
      </w:pPr>
    </w:p>
    <w:p w14:paraId="0BED67D4">
      <w:pPr>
        <w:rPr>
          <w:rFonts w:ascii="黑体" w:eastAsia="黑体"/>
          <w:color w:val="auto"/>
          <w:sz w:val="32"/>
          <w:szCs w:val="32"/>
        </w:rPr>
      </w:pPr>
      <w:r>
        <w:rPr>
          <w:rFonts w:hint="eastAsia" w:ascii="黑体" w:hAnsi="宋体" w:eastAsia="黑体"/>
          <w:color w:val="auto"/>
          <w:sz w:val="32"/>
          <w:szCs w:val="32"/>
        </w:rPr>
        <w:t>招标人/招标代理机构：</w:t>
      </w:r>
      <w:r>
        <w:rPr>
          <w:rFonts w:hint="eastAsia" w:ascii="黑体" w:hAnsi="宋体" w:eastAsia="黑体"/>
          <w:color w:val="auto"/>
          <w:sz w:val="32"/>
          <w:szCs w:val="32"/>
          <w:u w:val="single"/>
          <w:lang w:val="en-US" w:eastAsia="zh-CN"/>
        </w:rPr>
        <w:t>湖北正浩项目管理有限公司</w:t>
      </w:r>
      <w:r>
        <w:rPr>
          <w:rFonts w:hint="eastAsia" w:ascii="黑体" w:hAnsi="宋体" w:eastAsia="黑体"/>
          <w:color w:val="auto"/>
          <w:sz w:val="32"/>
          <w:szCs w:val="32"/>
        </w:rPr>
        <w:t>(盖章)</w:t>
      </w:r>
    </w:p>
    <w:p w14:paraId="427962F5">
      <w:pPr>
        <w:ind w:firstLine="2400" w:firstLineChars="750"/>
        <w:rPr>
          <w:rFonts w:hint="eastAsia" w:ascii="宋体" w:hAnsi="宋体"/>
          <w:color w:val="auto"/>
          <w:sz w:val="32"/>
          <w:szCs w:val="32"/>
          <w:u w:val="single"/>
        </w:rPr>
      </w:pPr>
    </w:p>
    <w:p w14:paraId="2ECB9EC5">
      <w:pPr>
        <w:ind w:firstLine="2400" w:firstLineChars="750"/>
        <w:rPr>
          <w:rFonts w:ascii="宋体" w:hAnsi="宋体"/>
          <w:color w:val="auto"/>
          <w:sz w:val="32"/>
          <w:szCs w:val="32"/>
        </w:rPr>
      </w:pPr>
      <w:r>
        <w:rPr>
          <w:rFonts w:hint="eastAsia" w:ascii="宋体" w:hAnsi="宋体"/>
          <w:color w:val="auto"/>
          <w:sz w:val="32"/>
          <w:szCs w:val="32"/>
          <w:u w:val="single"/>
        </w:rPr>
        <w:t xml:space="preserve">       </w:t>
      </w:r>
      <w:r>
        <w:rPr>
          <w:rFonts w:hint="eastAsia" w:ascii="宋体" w:hAnsi="宋体"/>
          <w:color w:val="auto"/>
          <w:sz w:val="32"/>
          <w:szCs w:val="32"/>
        </w:rPr>
        <w:t>年</w:t>
      </w:r>
      <w:r>
        <w:rPr>
          <w:rFonts w:hint="eastAsia" w:ascii="宋体" w:hAnsi="宋体"/>
          <w:color w:val="auto"/>
          <w:sz w:val="32"/>
          <w:szCs w:val="32"/>
          <w:u w:val="single"/>
        </w:rPr>
        <w:t xml:space="preserve">      </w:t>
      </w:r>
      <w:r>
        <w:rPr>
          <w:rFonts w:hint="eastAsia" w:ascii="宋体" w:hAnsi="宋体"/>
          <w:color w:val="auto"/>
          <w:sz w:val="32"/>
          <w:szCs w:val="32"/>
        </w:rPr>
        <w:t>月</w:t>
      </w:r>
      <w:r>
        <w:rPr>
          <w:rFonts w:hint="eastAsia" w:ascii="宋体" w:hAnsi="宋体"/>
          <w:color w:val="auto"/>
          <w:sz w:val="32"/>
          <w:szCs w:val="32"/>
          <w:u w:val="single"/>
        </w:rPr>
        <w:t xml:space="preserve">      </w:t>
      </w:r>
      <w:r>
        <w:rPr>
          <w:rFonts w:hint="eastAsia" w:ascii="宋体" w:hAnsi="宋体"/>
          <w:color w:val="auto"/>
          <w:sz w:val="32"/>
          <w:szCs w:val="32"/>
        </w:rPr>
        <w:t>日</w:t>
      </w:r>
    </w:p>
    <w:p w14:paraId="2DB7DFC2">
      <w:pPr>
        <w:spacing w:line="400" w:lineRule="exact"/>
        <w:rPr>
          <w:rFonts w:hint="eastAsia"/>
          <w:color w:val="auto"/>
        </w:rPr>
        <w:sectPr>
          <w:pgSz w:w="11906" w:h="16838"/>
          <w:pgMar w:top="1440" w:right="1800" w:bottom="1440" w:left="1800" w:header="851" w:footer="992" w:gutter="0"/>
          <w:cols w:space="720" w:num="1"/>
          <w:docGrid w:type="lines" w:linePitch="312" w:charSpace="0"/>
        </w:sectPr>
      </w:pPr>
      <w:bookmarkStart w:id="0" w:name="_Toc144974478"/>
      <w:bookmarkStart w:id="1" w:name="_Toc152042286"/>
    </w:p>
    <w:p w14:paraId="4DD0699C">
      <w:pPr>
        <w:jc w:val="center"/>
        <w:rPr>
          <w:rFonts w:hint="eastAsia" w:ascii="黑体" w:hAnsi="黑体" w:eastAsia="黑体"/>
          <w:b/>
          <w:color w:val="auto"/>
          <w:sz w:val="32"/>
          <w:szCs w:val="32"/>
        </w:rPr>
      </w:pPr>
      <w:bookmarkStart w:id="2" w:name="_Toc247527532"/>
      <w:bookmarkStart w:id="3" w:name="_Toc300834926"/>
      <w:r>
        <w:rPr>
          <w:rFonts w:hint="eastAsia" w:ascii="黑体" w:hAnsi="黑体" w:eastAsia="黑体"/>
          <w:b/>
          <w:color w:val="auto"/>
          <w:sz w:val="32"/>
          <w:szCs w:val="32"/>
        </w:rPr>
        <w:t>目   录</w:t>
      </w:r>
      <w:bookmarkEnd w:id="0"/>
      <w:bookmarkEnd w:id="1"/>
      <w:bookmarkEnd w:id="2"/>
      <w:bookmarkEnd w:id="3"/>
    </w:p>
    <w:p w14:paraId="438F6140">
      <w:pPr>
        <w:pStyle w:val="32"/>
        <w:tabs>
          <w:tab w:val="right" w:leader="dot" w:pos="8296"/>
        </w:tabs>
        <w:rPr>
          <w:rStyle w:val="46"/>
          <w:rFonts w:ascii="宋体" w:hAnsi="宋体"/>
          <w:color w:val="auto"/>
          <w:kern w:val="44"/>
          <w:sz w:val="21"/>
          <w:szCs w:val="21"/>
        </w:rPr>
      </w:pPr>
      <w:r>
        <w:rPr>
          <w:rStyle w:val="46"/>
          <w:rFonts w:ascii="Times New Roman" w:hAnsi="Times New Roman"/>
          <w:color w:val="auto"/>
          <w:kern w:val="44"/>
        </w:rPr>
        <w:fldChar w:fldCharType="begin"/>
      </w:r>
      <w:r>
        <w:rPr>
          <w:rStyle w:val="46"/>
          <w:rFonts w:ascii="Times New Roman" w:hAnsi="Times New Roman"/>
          <w:color w:val="auto"/>
          <w:kern w:val="44"/>
        </w:rPr>
        <w:instrText xml:space="preserve"> TOC \o "1-3" \h \z \u </w:instrText>
      </w:r>
      <w:r>
        <w:rPr>
          <w:rStyle w:val="46"/>
          <w:rFonts w:ascii="Times New Roman" w:hAnsi="Times New Roman"/>
          <w:color w:val="auto"/>
          <w:kern w:val="44"/>
        </w:rPr>
        <w:fldChar w:fldCharType="separate"/>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"_Toc154063350"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第一章</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招标公告（未进行资格预审）</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_Toc154063350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170E19D">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"_Toc154063351"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1. </w:t>
      </w:r>
      <w:r>
        <w:rPr>
          <w:rStyle w:val="46"/>
          <w:rFonts w:hint="eastAsia" w:ascii="宋体" w:hAnsi="宋体"/>
          <w:bCs/>
          <w:color w:val="auto"/>
          <w:kern w:val="44"/>
          <w:sz w:val="21"/>
          <w:szCs w:val="21"/>
        </w:rPr>
        <w:t>招标条件</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_Toc154063351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263C2B16">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"_Toc154063352"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2. </w:t>
      </w:r>
      <w:r>
        <w:rPr>
          <w:rStyle w:val="46"/>
          <w:rFonts w:hint="eastAsia" w:ascii="宋体" w:hAnsi="宋体"/>
          <w:bCs/>
          <w:color w:val="auto"/>
          <w:kern w:val="44"/>
          <w:sz w:val="21"/>
          <w:szCs w:val="21"/>
        </w:rPr>
        <w:t>项目概况与招标范围</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_Toc154063352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4E2C6A2D">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"_Toc154063355"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3. </w:t>
      </w:r>
      <w:r>
        <w:rPr>
          <w:rStyle w:val="46"/>
          <w:rFonts w:hint="eastAsia" w:ascii="宋体" w:hAnsi="宋体"/>
          <w:bCs/>
          <w:color w:val="auto"/>
          <w:kern w:val="44"/>
          <w:sz w:val="21"/>
          <w:szCs w:val="21"/>
        </w:rPr>
        <w:t>投标人资格要求</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_Toc154063355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1949B716">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"_Toc154063356"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4. </w:t>
      </w:r>
      <w:r>
        <w:rPr>
          <w:rStyle w:val="46"/>
          <w:rFonts w:hint="eastAsia" w:ascii="宋体" w:hAnsi="宋体"/>
          <w:bCs/>
          <w:color w:val="auto"/>
          <w:kern w:val="44"/>
          <w:sz w:val="21"/>
          <w:szCs w:val="21"/>
        </w:rPr>
        <w:t>招标文件的获取</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_Toc154063356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3</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FB4CF1B">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"_Toc154063357"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5. </w:t>
      </w:r>
      <w:r>
        <w:rPr>
          <w:rStyle w:val="46"/>
          <w:rFonts w:hint="eastAsia" w:ascii="宋体" w:hAnsi="宋体"/>
          <w:bCs/>
          <w:color w:val="auto"/>
          <w:kern w:val="44"/>
          <w:sz w:val="21"/>
          <w:szCs w:val="21"/>
        </w:rPr>
        <w:t>投标文件的递交</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_Toc154063357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3</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F1D8FAA">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"_Toc154063358"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6. </w:t>
      </w:r>
      <w:r>
        <w:rPr>
          <w:rStyle w:val="46"/>
          <w:rFonts w:hint="eastAsia" w:ascii="宋体" w:hAnsi="宋体"/>
          <w:bCs/>
          <w:color w:val="auto"/>
          <w:kern w:val="44"/>
          <w:sz w:val="21"/>
          <w:szCs w:val="21"/>
        </w:rPr>
        <w:t>投标相关事宜</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_Toc154063358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3</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2630F9AC">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"_Toc154063359"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7. </w:t>
      </w:r>
      <w:r>
        <w:rPr>
          <w:rStyle w:val="46"/>
          <w:rFonts w:hint="eastAsia" w:ascii="宋体" w:hAnsi="宋体"/>
          <w:bCs/>
          <w:color w:val="auto"/>
          <w:kern w:val="44"/>
          <w:sz w:val="21"/>
          <w:szCs w:val="21"/>
        </w:rPr>
        <w:t>评标办法</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_Toc154063359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4</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ADF661F">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"_Toc154063360"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8. </w:t>
      </w:r>
      <w:r>
        <w:rPr>
          <w:rStyle w:val="46"/>
          <w:rFonts w:hint="eastAsia" w:ascii="宋体" w:hAnsi="宋体"/>
          <w:bCs/>
          <w:color w:val="auto"/>
          <w:kern w:val="44"/>
          <w:sz w:val="21"/>
          <w:szCs w:val="21"/>
        </w:rPr>
        <w:t>发布公告的媒介</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_Toc154063360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4</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31C2B49D">
      <w:pPr>
        <w:pStyle w:val="32"/>
        <w:tabs>
          <w:tab w:val="right" w:leader="dot" w:pos="8296"/>
        </w:tabs>
        <w:ind w:firstLine="210" w:firstLineChars="1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"_Toc154063361"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9. </w:t>
      </w:r>
      <w:r>
        <w:rPr>
          <w:rStyle w:val="46"/>
          <w:rFonts w:hint="eastAsia" w:ascii="宋体" w:hAnsi="宋体"/>
          <w:bCs/>
          <w:color w:val="auto"/>
          <w:kern w:val="44"/>
          <w:sz w:val="21"/>
          <w:szCs w:val="21"/>
        </w:rPr>
        <w:t>联系方式</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_Toc154063361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4</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6DFA07B">
      <w:pPr>
        <w:pStyle w:val="32"/>
        <w:tabs>
          <w:tab w:val="right" w:leader="dot" w:pos="8296"/>
        </w:tabs>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"_Toc154063374"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第二章</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投标人须知</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_Toc154063374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5</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2083FF25">
      <w:pPr>
        <w:pStyle w:val="32"/>
        <w:tabs>
          <w:tab w:val="right" w:leader="dot" w:pos="8296"/>
        </w:tabs>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"_Toc154063375"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投标人须知前附表</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_Toc154063375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5</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221B5375">
      <w:pPr>
        <w:pStyle w:val="32"/>
        <w:tabs>
          <w:tab w:val="right" w:leader="dot" w:pos="8296"/>
        </w:tabs>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"_Toc154063376"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投标人须知正文部分</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_Toc154063376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16</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1859799F">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"_Toc154063377"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1. </w:t>
      </w:r>
      <w:r>
        <w:rPr>
          <w:rStyle w:val="46"/>
          <w:rFonts w:hint="eastAsia" w:ascii="宋体" w:hAnsi="宋体"/>
          <w:bCs/>
          <w:color w:val="auto"/>
          <w:kern w:val="44"/>
          <w:sz w:val="21"/>
          <w:szCs w:val="21"/>
        </w:rPr>
        <w:t>总则</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_Toc154063377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16</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18D25837">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"_Toc154063378"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1.1 </w:t>
      </w:r>
      <w:r>
        <w:rPr>
          <w:rStyle w:val="46"/>
          <w:rFonts w:hint="eastAsia" w:ascii="宋体" w:hAnsi="宋体"/>
          <w:bCs/>
          <w:color w:val="auto"/>
          <w:kern w:val="44"/>
          <w:sz w:val="21"/>
          <w:szCs w:val="21"/>
        </w:rPr>
        <w:t>项目概况</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_Toc154063378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16</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12C97A8C">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"_Toc154063379"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1.2 </w:t>
      </w:r>
      <w:r>
        <w:rPr>
          <w:rStyle w:val="46"/>
          <w:rFonts w:hint="eastAsia" w:ascii="宋体" w:hAnsi="宋体"/>
          <w:bCs/>
          <w:color w:val="auto"/>
          <w:kern w:val="44"/>
          <w:sz w:val="21"/>
          <w:szCs w:val="21"/>
        </w:rPr>
        <w:t>项目的资金来源和落实情况</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_Toc154063379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16</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2835112A">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"_Toc154063380"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1.3 </w:t>
      </w:r>
      <w:r>
        <w:rPr>
          <w:rStyle w:val="46"/>
          <w:rFonts w:hint="eastAsia" w:ascii="宋体" w:hAnsi="宋体"/>
          <w:bCs/>
          <w:color w:val="auto"/>
          <w:kern w:val="44"/>
          <w:sz w:val="21"/>
          <w:szCs w:val="21"/>
        </w:rPr>
        <w:t>招标范围、计划工期和质量标准</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_Toc154063380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16</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271511B9">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"_Toc154063381"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1.4 </w:t>
      </w:r>
      <w:r>
        <w:rPr>
          <w:rStyle w:val="46"/>
          <w:rFonts w:hint="eastAsia" w:ascii="宋体" w:hAnsi="宋体"/>
          <w:bCs/>
          <w:color w:val="auto"/>
          <w:kern w:val="44"/>
          <w:sz w:val="21"/>
          <w:szCs w:val="21"/>
        </w:rPr>
        <w:t>投标人资格要求（适用于已进行资格预审的）</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_Toc154063381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16</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B6C64F3">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"_Toc154063382"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1.4 </w:t>
      </w:r>
      <w:r>
        <w:rPr>
          <w:rStyle w:val="46"/>
          <w:rFonts w:hint="eastAsia" w:ascii="宋体" w:hAnsi="宋体"/>
          <w:bCs/>
          <w:color w:val="auto"/>
          <w:kern w:val="44"/>
          <w:sz w:val="21"/>
          <w:szCs w:val="21"/>
        </w:rPr>
        <w:t>投标人资格要求（适用于未进行资格预审的）</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_Toc154063382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16</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100157E">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"_Toc154063383"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1.5 </w:t>
      </w:r>
      <w:r>
        <w:rPr>
          <w:rStyle w:val="46"/>
          <w:rFonts w:hint="eastAsia" w:ascii="宋体" w:hAnsi="宋体"/>
          <w:bCs/>
          <w:color w:val="auto"/>
          <w:kern w:val="44"/>
          <w:sz w:val="21"/>
          <w:szCs w:val="21"/>
        </w:rPr>
        <w:t>费用承担和设计成果补偿</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_Toc154063383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84C3F5E">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"_Toc154063384"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1.6 </w:t>
      </w:r>
      <w:r>
        <w:rPr>
          <w:rStyle w:val="46"/>
          <w:rFonts w:hint="eastAsia" w:ascii="宋体" w:hAnsi="宋体"/>
          <w:bCs/>
          <w:color w:val="auto"/>
          <w:kern w:val="44"/>
          <w:sz w:val="21"/>
          <w:szCs w:val="21"/>
        </w:rPr>
        <w:t>保密</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_Toc154063384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2D77A8D">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"_Toc154063385"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1.7 </w:t>
      </w:r>
      <w:r>
        <w:rPr>
          <w:rStyle w:val="46"/>
          <w:rFonts w:hint="eastAsia" w:ascii="宋体" w:hAnsi="宋体"/>
          <w:bCs/>
          <w:color w:val="auto"/>
          <w:kern w:val="44"/>
          <w:sz w:val="21"/>
          <w:szCs w:val="21"/>
        </w:rPr>
        <w:t>语言文字</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_Toc154063385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6BA6595">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"_Toc154063386"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1.8 </w:t>
      </w:r>
      <w:r>
        <w:rPr>
          <w:rStyle w:val="46"/>
          <w:rFonts w:hint="eastAsia" w:ascii="宋体" w:hAnsi="宋体"/>
          <w:bCs/>
          <w:color w:val="auto"/>
          <w:kern w:val="44"/>
          <w:sz w:val="21"/>
          <w:szCs w:val="21"/>
        </w:rPr>
        <w:t>计量单位</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_Toc154063386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A296A27">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"_Toc154063387"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1.9 </w:t>
      </w:r>
      <w:r>
        <w:rPr>
          <w:rStyle w:val="46"/>
          <w:rFonts w:hint="eastAsia" w:ascii="宋体" w:hAnsi="宋体"/>
          <w:bCs/>
          <w:color w:val="auto"/>
          <w:kern w:val="44"/>
          <w:sz w:val="21"/>
          <w:szCs w:val="21"/>
        </w:rPr>
        <w:t>踏勘现场</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_Toc154063387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031DC6F">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"_Toc154063388"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1.10 </w:t>
      </w:r>
      <w:r>
        <w:rPr>
          <w:rStyle w:val="46"/>
          <w:rFonts w:hint="eastAsia" w:ascii="宋体" w:hAnsi="宋体"/>
          <w:bCs/>
          <w:color w:val="auto"/>
          <w:kern w:val="44"/>
          <w:sz w:val="21"/>
          <w:szCs w:val="21"/>
        </w:rPr>
        <w:t>投标预备会</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_Toc154063388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451156F6">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"_Toc154063389"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1.11 </w:t>
      </w:r>
      <w:r>
        <w:rPr>
          <w:rStyle w:val="46"/>
          <w:rFonts w:hint="eastAsia" w:ascii="宋体" w:hAnsi="宋体"/>
          <w:bCs/>
          <w:color w:val="auto"/>
          <w:kern w:val="44"/>
          <w:sz w:val="21"/>
          <w:szCs w:val="21"/>
        </w:rPr>
        <w:t>分包</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_Toc154063389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3D36454E">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"_Toc154063390"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1.12 </w:t>
      </w:r>
      <w:r>
        <w:rPr>
          <w:rStyle w:val="46"/>
          <w:rFonts w:hint="eastAsia" w:ascii="宋体" w:hAnsi="宋体"/>
          <w:bCs/>
          <w:color w:val="auto"/>
          <w:kern w:val="44"/>
          <w:sz w:val="21"/>
          <w:szCs w:val="21"/>
        </w:rPr>
        <w:t>偏离</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_Toc154063390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19</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BC14F59">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"_Toc154063391"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2. </w:t>
      </w:r>
      <w:r>
        <w:rPr>
          <w:rStyle w:val="46"/>
          <w:rFonts w:hint="eastAsia" w:ascii="宋体" w:hAnsi="宋体"/>
          <w:bCs/>
          <w:color w:val="auto"/>
          <w:kern w:val="44"/>
          <w:sz w:val="21"/>
          <w:szCs w:val="21"/>
        </w:rPr>
        <w:t>招标文件</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_Toc154063391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19</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2B32C8B">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"_Toc154063392"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2.1 </w:t>
      </w:r>
      <w:r>
        <w:rPr>
          <w:rStyle w:val="46"/>
          <w:rFonts w:hint="eastAsia" w:ascii="宋体" w:hAnsi="宋体"/>
          <w:bCs/>
          <w:color w:val="auto"/>
          <w:kern w:val="44"/>
          <w:sz w:val="21"/>
          <w:szCs w:val="21"/>
        </w:rPr>
        <w:t>招标文件的组成</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_Toc154063392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19</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DDC3CAE">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"_Toc154063393"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2.2 </w:t>
      </w:r>
      <w:r>
        <w:rPr>
          <w:rStyle w:val="46"/>
          <w:rFonts w:hint="eastAsia" w:ascii="宋体" w:hAnsi="宋体"/>
          <w:bCs/>
          <w:color w:val="auto"/>
          <w:kern w:val="44"/>
          <w:sz w:val="21"/>
          <w:szCs w:val="21"/>
        </w:rPr>
        <w:t>招标文件的澄清</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_Toc154063393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19</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1691B189">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"_Toc154063394"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2.3 </w:t>
      </w:r>
      <w:r>
        <w:rPr>
          <w:rStyle w:val="46"/>
          <w:rFonts w:hint="eastAsia" w:ascii="宋体" w:hAnsi="宋体"/>
          <w:bCs/>
          <w:color w:val="auto"/>
          <w:kern w:val="44"/>
          <w:sz w:val="21"/>
          <w:szCs w:val="21"/>
        </w:rPr>
        <w:t>招标文件的修改</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_Toc154063394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19</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7068EC3">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"_Toc154063395"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2.4 </w:t>
      </w:r>
      <w:r>
        <w:rPr>
          <w:rStyle w:val="46"/>
          <w:rFonts w:hint="eastAsia" w:ascii="宋体" w:hAnsi="宋体"/>
          <w:bCs/>
          <w:color w:val="auto"/>
          <w:kern w:val="44"/>
          <w:sz w:val="21"/>
          <w:szCs w:val="21"/>
        </w:rPr>
        <w:t>招标文件的异议</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_Toc154063395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20</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331F946">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"_Toc154063396"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3. </w:t>
      </w:r>
      <w:r>
        <w:rPr>
          <w:rStyle w:val="46"/>
          <w:rFonts w:hint="eastAsia" w:ascii="宋体" w:hAnsi="宋体"/>
          <w:bCs/>
          <w:color w:val="auto"/>
          <w:kern w:val="44"/>
          <w:sz w:val="21"/>
          <w:szCs w:val="21"/>
        </w:rPr>
        <w:t>投标文件</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_Toc154063396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20</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C3D3E0F">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"_Toc154063397"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3.1 </w:t>
      </w:r>
      <w:r>
        <w:rPr>
          <w:rStyle w:val="46"/>
          <w:rFonts w:hint="eastAsia" w:ascii="宋体" w:hAnsi="宋体"/>
          <w:bCs/>
          <w:color w:val="auto"/>
          <w:kern w:val="44"/>
          <w:sz w:val="21"/>
          <w:szCs w:val="21"/>
        </w:rPr>
        <w:t>投标文件的组成</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_Toc154063397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20</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1ABB877">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"_Toc154063398"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3.2 </w:t>
      </w:r>
      <w:r>
        <w:rPr>
          <w:rStyle w:val="46"/>
          <w:rFonts w:hint="eastAsia" w:ascii="宋体" w:hAnsi="宋体"/>
          <w:bCs/>
          <w:color w:val="auto"/>
          <w:kern w:val="44"/>
          <w:sz w:val="21"/>
          <w:szCs w:val="21"/>
        </w:rPr>
        <w:t>投标报价</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_Toc154063398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20</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B6EA803">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"_Toc154063399"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3.3 </w:t>
      </w:r>
      <w:r>
        <w:rPr>
          <w:rStyle w:val="46"/>
          <w:rFonts w:hint="eastAsia" w:ascii="宋体" w:hAnsi="宋体"/>
          <w:bCs/>
          <w:color w:val="auto"/>
          <w:kern w:val="44"/>
          <w:sz w:val="21"/>
          <w:szCs w:val="21"/>
        </w:rPr>
        <w:t>投标有效期</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_Toc154063399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21</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B252FD5">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"_Toc154063400"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3.4 </w:t>
      </w:r>
      <w:r>
        <w:rPr>
          <w:rStyle w:val="46"/>
          <w:rFonts w:hint="eastAsia" w:ascii="宋体" w:hAnsi="宋体"/>
          <w:bCs/>
          <w:color w:val="auto"/>
          <w:kern w:val="44"/>
          <w:sz w:val="21"/>
          <w:szCs w:val="21"/>
        </w:rPr>
        <w:t>投标保证金</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_Toc154063400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21</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536BB3F">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"_Toc154063401"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3.5 </w:t>
      </w:r>
      <w:r>
        <w:rPr>
          <w:rStyle w:val="46"/>
          <w:rFonts w:hint="eastAsia" w:ascii="宋体" w:hAnsi="宋体"/>
          <w:bCs/>
          <w:color w:val="auto"/>
          <w:kern w:val="44"/>
          <w:sz w:val="21"/>
          <w:szCs w:val="21"/>
        </w:rPr>
        <w:t>资格审查资料（适用于已进行资格预审的）</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_Toc154063401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21</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5F464E2">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"_Toc154063402"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3.5 </w:t>
      </w:r>
      <w:r>
        <w:rPr>
          <w:rStyle w:val="46"/>
          <w:rFonts w:hint="eastAsia" w:ascii="宋体" w:hAnsi="宋体"/>
          <w:bCs/>
          <w:color w:val="auto"/>
          <w:kern w:val="44"/>
          <w:sz w:val="21"/>
          <w:szCs w:val="21"/>
        </w:rPr>
        <w:t>资格审查资料（适用于未进行资格预审的）</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_Toc154063402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22</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1C9C0DA6">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"_Toc154063403"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3.6 </w:t>
      </w:r>
      <w:r>
        <w:rPr>
          <w:rStyle w:val="46"/>
          <w:rFonts w:hint="eastAsia" w:ascii="宋体" w:hAnsi="宋体"/>
          <w:bCs/>
          <w:color w:val="auto"/>
          <w:kern w:val="44"/>
          <w:sz w:val="21"/>
          <w:szCs w:val="21"/>
        </w:rPr>
        <w:t>备选投标方案</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_Toc154063403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22</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DC2A363">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"_Toc154063404"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3.7 </w:t>
      </w:r>
      <w:r>
        <w:rPr>
          <w:rStyle w:val="46"/>
          <w:rFonts w:hint="eastAsia" w:ascii="宋体" w:hAnsi="宋体"/>
          <w:bCs/>
          <w:color w:val="auto"/>
          <w:kern w:val="44"/>
          <w:sz w:val="21"/>
          <w:szCs w:val="21"/>
        </w:rPr>
        <w:t>投标文件的编制</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_Toc154063404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22</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24970BCF">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"_Toc154063405"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4. </w:t>
      </w:r>
      <w:r>
        <w:rPr>
          <w:rStyle w:val="46"/>
          <w:rFonts w:hint="eastAsia" w:ascii="宋体" w:hAnsi="宋体"/>
          <w:bCs/>
          <w:color w:val="auto"/>
          <w:kern w:val="44"/>
          <w:sz w:val="21"/>
          <w:szCs w:val="21"/>
        </w:rPr>
        <w:t>投标</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_Toc154063405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23</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0F35563">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"_Toc154063406"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4.1 </w:t>
      </w:r>
      <w:r>
        <w:rPr>
          <w:rStyle w:val="46"/>
          <w:rFonts w:hint="eastAsia" w:ascii="宋体" w:hAnsi="宋体"/>
          <w:bCs/>
          <w:color w:val="auto"/>
          <w:kern w:val="44"/>
          <w:sz w:val="21"/>
          <w:szCs w:val="21"/>
        </w:rPr>
        <w:t>投标文件的加密</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_Toc154063406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23</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47188798">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"_Toc154063407"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4.2 </w:t>
      </w:r>
      <w:r>
        <w:rPr>
          <w:rStyle w:val="46"/>
          <w:rFonts w:hint="eastAsia" w:ascii="宋体" w:hAnsi="宋体"/>
          <w:bCs/>
          <w:color w:val="auto"/>
          <w:kern w:val="44"/>
          <w:sz w:val="21"/>
          <w:szCs w:val="21"/>
        </w:rPr>
        <w:t>投标文件的递交</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_Toc154063407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23</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6B3FACB">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"_Toc154063408"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4.3 </w:t>
      </w:r>
      <w:r>
        <w:rPr>
          <w:rStyle w:val="46"/>
          <w:rFonts w:hint="eastAsia" w:ascii="宋体" w:hAnsi="宋体"/>
          <w:bCs/>
          <w:color w:val="auto"/>
          <w:kern w:val="44"/>
          <w:sz w:val="21"/>
          <w:szCs w:val="21"/>
        </w:rPr>
        <w:t>投标文件的修改与撤回</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_Toc154063408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23</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34E2C7B1">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"_Toc154063409"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5. </w:t>
      </w:r>
      <w:r>
        <w:rPr>
          <w:rStyle w:val="46"/>
          <w:rFonts w:hint="eastAsia" w:ascii="宋体" w:hAnsi="宋体"/>
          <w:bCs/>
          <w:color w:val="auto"/>
          <w:kern w:val="44"/>
          <w:sz w:val="21"/>
          <w:szCs w:val="21"/>
        </w:rPr>
        <w:t>开标</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_Toc154063409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23</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F652818">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"_Toc154063410"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5.1 </w:t>
      </w:r>
      <w:r>
        <w:rPr>
          <w:rStyle w:val="46"/>
          <w:rFonts w:hint="eastAsia" w:ascii="宋体" w:hAnsi="宋体"/>
          <w:bCs/>
          <w:color w:val="auto"/>
          <w:kern w:val="44"/>
          <w:sz w:val="21"/>
          <w:szCs w:val="21"/>
        </w:rPr>
        <w:t>开标时间和地点</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_Toc154063410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23</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C3E1095">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"_Toc154063411"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5.2 </w:t>
      </w:r>
      <w:r>
        <w:rPr>
          <w:rStyle w:val="46"/>
          <w:rFonts w:hint="eastAsia" w:ascii="宋体" w:hAnsi="宋体"/>
          <w:bCs/>
          <w:color w:val="auto"/>
          <w:kern w:val="44"/>
          <w:sz w:val="21"/>
          <w:szCs w:val="21"/>
        </w:rPr>
        <w:t>开标程序</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_Toc154063411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24</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DC368E7">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"_Toc154063412"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5.3 </w:t>
      </w:r>
      <w:r>
        <w:rPr>
          <w:rStyle w:val="46"/>
          <w:rFonts w:hint="eastAsia" w:ascii="宋体" w:hAnsi="宋体"/>
          <w:bCs/>
          <w:color w:val="auto"/>
          <w:kern w:val="44"/>
          <w:sz w:val="21"/>
          <w:szCs w:val="21"/>
        </w:rPr>
        <w:t>开标异议</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_Toc154063412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24</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C6C9FE7">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"_Toc154063413"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5.4 </w:t>
      </w:r>
      <w:r>
        <w:rPr>
          <w:rStyle w:val="46"/>
          <w:rFonts w:hint="eastAsia" w:ascii="宋体" w:hAnsi="宋体"/>
          <w:bCs/>
          <w:color w:val="auto"/>
          <w:kern w:val="44"/>
          <w:sz w:val="21"/>
          <w:szCs w:val="21"/>
        </w:rPr>
        <w:t>特殊情况的处置</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_Toc154063413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24</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5D3170B">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"_Toc154063414"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6. </w:t>
      </w:r>
      <w:r>
        <w:rPr>
          <w:rStyle w:val="46"/>
          <w:rFonts w:hint="eastAsia" w:ascii="宋体" w:hAnsi="宋体"/>
          <w:bCs/>
          <w:color w:val="auto"/>
          <w:kern w:val="44"/>
          <w:sz w:val="21"/>
          <w:szCs w:val="21"/>
        </w:rPr>
        <w:t>评标</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_Toc154063414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25</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1B63741C">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"_Toc154063415"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6.1 </w:t>
      </w:r>
      <w:r>
        <w:rPr>
          <w:rStyle w:val="46"/>
          <w:rFonts w:hint="eastAsia" w:ascii="宋体" w:hAnsi="宋体"/>
          <w:bCs/>
          <w:color w:val="auto"/>
          <w:kern w:val="44"/>
          <w:sz w:val="21"/>
          <w:szCs w:val="21"/>
        </w:rPr>
        <w:t>评标委员会</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_Toc154063415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25</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3886CF81">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"_Toc154063416"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6.2 </w:t>
      </w:r>
      <w:r>
        <w:rPr>
          <w:rStyle w:val="46"/>
          <w:rFonts w:hint="eastAsia" w:ascii="宋体" w:hAnsi="宋体"/>
          <w:bCs/>
          <w:color w:val="auto"/>
          <w:kern w:val="44"/>
          <w:sz w:val="21"/>
          <w:szCs w:val="21"/>
        </w:rPr>
        <w:t>评标原则</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_Toc154063416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25</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D86C59B">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"_Toc154063417"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6.3 </w:t>
      </w:r>
      <w:r>
        <w:rPr>
          <w:rStyle w:val="46"/>
          <w:rFonts w:hint="eastAsia" w:ascii="宋体" w:hAnsi="宋体"/>
          <w:bCs/>
          <w:color w:val="auto"/>
          <w:kern w:val="44"/>
          <w:sz w:val="21"/>
          <w:szCs w:val="21"/>
        </w:rPr>
        <w:t>评标</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_Toc154063417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25</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1F9FEEE0">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"_Toc154063418"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6.4 </w:t>
      </w:r>
      <w:r>
        <w:rPr>
          <w:rStyle w:val="46"/>
          <w:rFonts w:hint="eastAsia" w:ascii="宋体" w:hAnsi="宋体"/>
          <w:bCs/>
          <w:color w:val="auto"/>
          <w:kern w:val="44"/>
          <w:sz w:val="21"/>
          <w:szCs w:val="21"/>
        </w:rPr>
        <w:t>评标结果公示</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_Toc154063418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25</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C024BB2">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"_Toc154063419"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6.5 </w:t>
      </w:r>
      <w:r>
        <w:rPr>
          <w:rStyle w:val="46"/>
          <w:rFonts w:hint="eastAsia" w:ascii="宋体" w:hAnsi="宋体"/>
          <w:bCs/>
          <w:color w:val="auto"/>
          <w:kern w:val="44"/>
          <w:sz w:val="21"/>
          <w:szCs w:val="21"/>
        </w:rPr>
        <w:t>履约能力的审查（如有）</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_Toc154063419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25</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462CABB4">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"_Toc154063420"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7. </w:t>
      </w:r>
      <w:r>
        <w:rPr>
          <w:rStyle w:val="46"/>
          <w:rFonts w:hint="eastAsia" w:ascii="宋体" w:hAnsi="宋体"/>
          <w:bCs/>
          <w:color w:val="auto"/>
          <w:kern w:val="44"/>
          <w:sz w:val="21"/>
          <w:szCs w:val="21"/>
        </w:rPr>
        <w:t>合同授予</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_Toc154063420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25</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A5292C7">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"_Toc154063421"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7.1 </w:t>
      </w:r>
      <w:r>
        <w:rPr>
          <w:rStyle w:val="46"/>
          <w:rFonts w:hint="eastAsia" w:ascii="宋体" w:hAnsi="宋体"/>
          <w:bCs/>
          <w:color w:val="auto"/>
          <w:kern w:val="44"/>
          <w:sz w:val="21"/>
          <w:szCs w:val="21"/>
        </w:rPr>
        <w:t>定标方式</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_Toc154063421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25</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B38D99E">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"_Toc154063422"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7.2 </w:t>
      </w:r>
      <w:r>
        <w:rPr>
          <w:rStyle w:val="46"/>
          <w:rFonts w:hint="eastAsia" w:ascii="宋体" w:hAnsi="宋体"/>
          <w:bCs/>
          <w:color w:val="auto"/>
          <w:kern w:val="44"/>
          <w:sz w:val="21"/>
          <w:szCs w:val="21"/>
        </w:rPr>
        <w:t>中标通知</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_Toc154063422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25</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F9FB6BD">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"_Toc154063423"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7.3 </w:t>
      </w:r>
      <w:r>
        <w:rPr>
          <w:rStyle w:val="46"/>
          <w:rFonts w:hint="eastAsia" w:ascii="宋体" w:hAnsi="宋体"/>
          <w:bCs/>
          <w:color w:val="auto"/>
          <w:kern w:val="44"/>
          <w:sz w:val="21"/>
          <w:szCs w:val="21"/>
        </w:rPr>
        <w:t>履约保证金</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_Toc154063423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26</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2256CEB">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"_Toc154063424"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7.4 </w:t>
      </w:r>
      <w:r>
        <w:rPr>
          <w:rStyle w:val="46"/>
          <w:rFonts w:hint="eastAsia" w:ascii="宋体" w:hAnsi="宋体"/>
          <w:bCs/>
          <w:color w:val="auto"/>
          <w:kern w:val="44"/>
          <w:sz w:val="21"/>
          <w:szCs w:val="21"/>
        </w:rPr>
        <w:t>签订合同</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_Toc154063424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26</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56C1FB8">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"_Toc154063425"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8. </w:t>
      </w:r>
      <w:r>
        <w:rPr>
          <w:rStyle w:val="46"/>
          <w:rFonts w:hint="eastAsia" w:ascii="宋体" w:hAnsi="宋体"/>
          <w:bCs/>
          <w:color w:val="auto"/>
          <w:kern w:val="44"/>
          <w:sz w:val="21"/>
          <w:szCs w:val="21"/>
        </w:rPr>
        <w:t>重新招标、不再招标和终止招标</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_Toc154063425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26</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3D51D891">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"_Toc154063426"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8.1 </w:t>
      </w:r>
      <w:r>
        <w:rPr>
          <w:rStyle w:val="46"/>
          <w:rFonts w:hint="eastAsia" w:ascii="宋体" w:hAnsi="宋体"/>
          <w:bCs/>
          <w:color w:val="auto"/>
          <w:kern w:val="44"/>
          <w:sz w:val="21"/>
          <w:szCs w:val="21"/>
        </w:rPr>
        <w:t>重新招标</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_Toc154063426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26</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206E437">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"_Toc154063427"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8.2 </w:t>
      </w:r>
      <w:r>
        <w:rPr>
          <w:rStyle w:val="46"/>
          <w:rFonts w:hint="eastAsia" w:ascii="宋体" w:hAnsi="宋体"/>
          <w:bCs/>
          <w:color w:val="auto"/>
          <w:kern w:val="44"/>
          <w:sz w:val="21"/>
          <w:szCs w:val="21"/>
        </w:rPr>
        <w:t>不再招标</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_Toc154063427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27</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45BD009F">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"_Toc154063428"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8.3 </w:t>
      </w:r>
      <w:r>
        <w:rPr>
          <w:rStyle w:val="46"/>
          <w:rFonts w:hint="eastAsia" w:ascii="宋体" w:hAnsi="宋体"/>
          <w:bCs/>
          <w:color w:val="auto"/>
          <w:kern w:val="44"/>
          <w:sz w:val="21"/>
          <w:szCs w:val="21"/>
        </w:rPr>
        <w:t>终止招标</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_Toc154063428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27</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25003CD">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"_Toc154063429"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9. </w:t>
      </w:r>
      <w:r>
        <w:rPr>
          <w:rStyle w:val="46"/>
          <w:rFonts w:hint="eastAsia" w:ascii="宋体" w:hAnsi="宋体"/>
          <w:bCs/>
          <w:color w:val="auto"/>
          <w:kern w:val="44"/>
          <w:sz w:val="21"/>
          <w:szCs w:val="21"/>
        </w:rPr>
        <w:t>纪律和监督</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_Toc154063429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27</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3580C4C">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"_Toc154063430"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9.1 </w:t>
      </w:r>
      <w:r>
        <w:rPr>
          <w:rStyle w:val="46"/>
          <w:rFonts w:hint="eastAsia" w:ascii="宋体" w:hAnsi="宋体"/>
          <w:bCs/>
          <w:color w:val="auto"/>
          <w:kern w:val="44"/>
          <w:sz w:val="21"/>
          <w:szCs w:val="21"/>
        </w:rPr>
        <w:t>对招标人的纪律要求</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_Toc154063430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27</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2B394B69">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"_Toc154063431"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9.2 </w:t>
      </w:r>
      <w:r>
        <w:rPr>
          <w:rStyle w:val="46"/>
          <w:rFonts w:hint="eastAsia" w:ascii="宋体" w:hAnsi="宋体"/>
          <w:bCs/>
          <w:color w:val="auto"/>
          <w:kern w:val="44"/>
          <w:sz w:val="21"/>
          <w:szCs w:val="21"/>
        </w:rPr>
        <w:t>对投标人的纪律要求</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_Toc154063431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27</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F35B7C9">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"_Toc154063432"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9.3 </w:t>
      </w:r>
      <w:r>
        <w:rPr>
          <w:rStyle w:val="46"/>
          <w:rFonts w:hint="eastAsia" w:ascii="宋体" w:hAnsi="宋体"/>
          <w:bCs/>
          <w:color w:val="auto"/>
          <w:kern w:val="44"/>
          <w:sz w:val="21"/>
          <w:szCs w:val="21"/>
        </w:rPr>
        <w:t>对评标委员会成员的纪律要求</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_Toc154063432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27</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73633CE">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"_Toc154063433"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9.4 </w:t>
      </w:r>
      <w:r>
        <w:rPr>
          <w:rStyle w:val="46"/>
          <w:rFonts w:hint="eastAsia" w:ascii="宋体" w:hAnsi="宋体"/>
          <w:bCs/>
          <w:color w:val="auto"/>
          <w:kern w:val="44"/>
          <w:sz w:val="21"/>
          <w:szCs w:val="21"/>
        </w:rPr>
        <w:t>对与评标活动有关的工作人员的纪律要求</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_Toc154063433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27</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2F26C8A">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"_Toc154063434"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9.5 </w:t>
      </w:r>
      <w:r>
        <w:rPr>
          <w:rStyle w:val="46"/>
          <w:rFonts w:hint="eastAsia" w:ascii="宋体" w:hAnsi="宋体"/>
          <w:bCs/>
          <w:color w:val="auto"/>
          <w:kern w:val="44"/>
          <w:sz w:val="21"/>
          <w:szCs w:val="21"/>
        </w:rPr>
        <w:t>投诉</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_Toc154063434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27</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4BC424B6">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"_Toc154063435"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10. </w:t>
      </w:r>
      <w:r>
        <w:rPr>
          <w:rStyle w:val="46"/>
          <w:rFonts w:hint="eastAsia" w:ascii="宋体" w:hAnsi="宋体"/>
          <w:bCs/>
          <w:color w:val="auto"/>
          <w:kern w:val="44"/>
          <w:sz w:val="21"/>
          <w:szCs w:val="21"/>
        </w:rPr>
        <w:t>需要补充的其他内容</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_Toc154063435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3C339A52">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"_Toc154063436"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10.1 </w:t>
      </w:r>
      <w:r>
        <w:rPr>
          <w:rStyle w:val="46"/>
          <w:rFonts w:hint="eastAsia" w:ascii="宋体" w:hAnsi="宋体"/>
          <w:bCs/>
          <w:color w:val="auto"/>
          <w:kern w:val="44"/>
          <w:sz w:val="21"/>
          <w:szCs w:val="21"/>
        </w:rPr>
        <w:t>多标段投标</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_Toc154063436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081C1E2">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"_Toc154063437"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10.2 </w:t>
      </w:r>
      <w:r>
        <w:rPr>
          <w:rStyle w:val="46"/>
          <w:rFonts w:hint="eastAsia" w:ascii="宋体" w:hAnsi="宋体"/>
          <w:bCs/>
          <w:color w:val="auto"/>
          <w:kern w:val="44"/>
          <w:sz w:val="21"/>
          <w:szCs w:val="21"/>
        </w:rPr>
        <w:t>评标办法中的有关系数的取值和评分因素设置</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_Toc154063437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361C2A46">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"_Toc154063438"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10.3 </w:t>
      </w:r>
      <w:r>
        <w:rPr>
          <w:rStyle w:val="46"/>
          <w:rFonts w:hint="eastAsia" w:ascii="宋体" w:hAnsi="宋体"/>
          <w:bCs/>
          <w:color w:val="auto"/>
          <w:kern w:val="44"/>
          <w:sz w:val="21"/>
          <w:szCs w:val="21"/>
        </w:rPr>
        <w:t>交易平台信息服务费</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_Toc154063438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D773696">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"_Toc154063439"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10.4 </w:t>
      </w:r>
      <w:r>
        <w:rPr>
          <w:rStyle w:val="46"/>
          <w:rFonts w:hint="eastAsia" w:ascii="宋体" w:hAnsi="宋体"/>
          <w:bCs/>
          <w:color w:val="auto"/>
          <w:kern w:val="44"/>
          <w:sz w:val="21"/>
          <w:szCs w:val="21"/>
        </w:rPr>
        <w:t>招标代理服务费</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_Toc154063439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450C7DF2">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"_Toc154063440"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10.5 </w:t>
      </w:r>
      <w:r>
        <w:rPr>
          <w:rStyle w:val="46"/>
          <w:rFonts w:hint="eastAsia" w:ascii="宋体" w:hAnsi="宋体"/>
          <w:bCs/>
          <w:color w:val="auto"/>
          <w:kern w:val="44"/>
          <w:sz w:val="21"/>
          <w:szCs w:val="21"/>
        </w:rPr>
        <w:t>中标人的纸质投标文件</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_Toc154063440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2D0EE99">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"_Toc154063441"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10.6 </w:t>
      </w:r>
      <w:r>
        <w:rPr>
          <w:rStyle w:val="46"/>
          <w:rFonts w:hint="eastAsia" w:ascii="宋体" w:hAnsi="宋体"/>
          <w:bCs/>
          <w:color w:val="auto"/>
          <w:kern w:val="44"/>
          <w:sz w:val="21"/>
          <w:szCs w:val="21"/>
        </w:rPr>
        <w:t>政府采购合同融资政策</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_Toc154063441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26BAA95">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"_Toc154063442"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10.7 </w:t>
      </w:r>
      <w:r>
        <w:rPr>
          <w:rStyle w:val="46"/>
          <w:rFonts w:hint="eastAsia" w:ascii="宋体" w:hAnsi="宋体"/>
          <w:bCs/>
          <w:color w:val="auto"/>
          <w:kern w:val="44"/>
          <w:sz w:val="21"/>
          <w:szCs w:val="21"/>
        </w:rPr>
        <w:t>招标人补充的其他内容</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_Toc154063442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EECA0BF">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"_Toc154063443"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附录一：投标人资质条件、能力和信誉（适用于未进行资格预审的）</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_Toc154063443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29</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9A9AF78">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"_Toc154063444"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附录二：政府采购工程预留工作及金额</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_Toc154063444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32</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DF7CE6F">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"_Toc154063445"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附录三：政府采购工程适合小微企业承担的工作及金额</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_Toc154063445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33</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43CB17AF">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"_Toc154063446"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附表一：招标文件澄清申请函</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_Toc154063446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34</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43989F9C">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"_Toc154063447"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附表二：招标文件澄清通知</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_Toc154063447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35</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89AD047">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"_Toc154063448"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附表三：招标文件修改通知</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_Toc154063448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36</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11FA2034">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"_Toc154063449"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附表四：投标文件递交签收凭证</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_Toc154063449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37</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BAF5F68">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"_Toc154063450"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附表五：开标记录表</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_Toc154063450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38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4C8EF15A">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"_Toc154063451"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附表六：投标文件澄清通知</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_Toc154063451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39</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944A1FF">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"_Toc154063452"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附表七：投标文件问题的澄清</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_Toc154063452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40</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2A13AC76">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"_Toc154063453"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附表八：中标通知书</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_Toc154063453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41</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71ADFA9">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"_Toc154063454"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附表九：中标结果通知书</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_Toc154063454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42</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43B4188">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"_Toc154063455"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附表十：异议函</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_Toc154063455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43</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F853C88">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"_Toc154063456"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附表十一：异议答复函</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_Toc154063456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44</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870EB62">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"_Toc154063457"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附表十二：授权委托书</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_Toc154063457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45</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A6536C5">
      <w:pPr>
        <w:pStyle w:val="32"/>
        <w:tabs>
          <w:tab w:val="right" w:leader="dot" w:pos="8296"/>
        </w:tabs>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"_Toc154063458"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第三章</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评标办法（综合评估法）</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_Toc154063458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46</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7EB75B5">
      <w:pPr>
        <w:pStyle w:val="32"/>
        <w:tabs>
          <w:tab w:val="right" w:leader="dot" w:pos="8296"/>
        </w:tabs>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"_Toc154063459"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评标办法前附表</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_Toc154063459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46</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2BC18E1A">
      <w:pPr>
        <w:pStyle w:val="32"/>
        <w:tabs>
          <w:tab w:val="right" w:leader="dot" w:pos="8296"/>
        </w:tabs>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"_Toc154063460"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评标办法正文部分</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_Toc154063460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50</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7671724">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"_Toc154063461"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1. </w:t>
      </w:r>
      <w:r>
        <w:rPr>
          <w:rStyle w:val="46"/>
          <w:rFonts w:hint="eastAsia" w:ascii="宋体" w:hAnsi="宋体"/>
          <w:bCs/>
          <w:color w:val="auto"/>
          <w:kern w:val="44"/>
          <w:sz w:val="21"/>
          <w:szCs w:val="21"/>
        </w:rPr>
        <w:t>评标方法</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_Toc154063461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50</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D006BA3">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"_Toc154063462"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2. </w:t>
      </w:r>
      <w:r>
        <w:rPr>
          <w:rStyle w:val="46"/>
          <w:rFonts w:hint="eastAsia" w:ascii="宋体" w:hAnsi="宋体"/>
          <w:bCs/>
          <w:color w:val="auto"/>
          <w:kern w:val="44"/>
          <w:sz w:val="21"/>
          <w:szCs w:val="21"/>
        </w:rPr>
        <w:t>评审标准</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_Toc154063462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51</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7995C63">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"_Toc154063463"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2.1 </w:t>
      </w:r>
      <w:r>
        <w:rPr>
          <w:rStyle w:val="46"/>
          <w:rFonts w:hint="eastAsia" w:ascii="宋体" w:hAnsi="宋体"/>
          <w:bCs/>
          <w:color w:val="auto"/>
          <w:kern w:val="44"/>
          <w:sz w:val="21"/>
          <w:szCs w:val="21"/>
        </w:rPr>
        <w:t>初步评审标准</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_Toc154063463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51</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2576FAE">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"_Toc154063464"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2.2 </w:t>
      </w:r>
      <w:r>
        <w:rPr>
          <w:rStyle w:val="46"/>
          <w:rFonts w:hint="eastAsia" w:ascii="宋体" w:hAnsi="宋体"/>
          <w:bCs/>
          <w:color w:val="auto"/>
          <w:kern w:val="44"/>
          <w:sz w:val="21"/>
          <w:szCs w:val="21"/>
        </w:rPr>
        <w:t>分值构成与评分标准</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_Toc154063464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51</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214CCB50">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"_Toc154063465"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3. </w:t>
      </w:r>
      <w:r>
        <w:rPr>
          <w:rStyle w:val="46"/>
          <w:rFonts w:hint="eastAsia" w:ascii="宋体" w:hAnsi="宋体"/>
          <w:bCs/>
          <w:color w:val="auto"/>
          <w:kern w:val="44"/>
          <w:sz w:val="21"/>
          <w:szCs w:val="21"/>
        </w:rPr>
        <w:t>评标程序</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_Toc154063465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51</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42B9ADBE">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"_Toc154063466"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3.1 </w:t>
      </w:r>
      <w:r>
        <w:rPr>
          <w:rStyle w:val="46"/>
          <w:rFonts w:hint="eastAsia" w:ascii="宋体" w:hAnsi="宋体"/>
          <w:bCs/>
          <w:color w:val="auto"/>
          <w:kern w:val="44"/>
          <w:sz w:val="21"/>
          <w:szCs w:val="21"/>
        </w:rPr>
        <w:t>初步评审</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_Toc154063466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51</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DFBFCCE">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"_Toc154063467"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3.2 </w:t>
      </w:r>
      <w:r>
        <w:rPr>
          <w:rStyle w:val="46"/>
          <w:rFonts w:hint="eastAsia" w:ascii="宋体" w:hAnsi="宋体"/>
          <w:bCs/>
          <w:color w:val="auto"/>
          <w:kern w:val="44"/>
          <w:sz w:val="21"/>
          <w:szCs w:val="21"/>
        </w:rPr>
        <w:t>详细评审</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_Toc154063467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53</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31E9511E">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"_Toc154063468"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3.3 </w:t>
      </w:r>
      <w:r>
        <w:rPr>
          <w:rStyle w:val="46"/>
          <w:rFonts w:hint="eastAsia" w:ascii="宋体" w:hAnsi="宋体"/>
          <w:bCs/>
          <w:color w:val="auto"/>
          <w:kern w:val="44"/>
          <w:sz w:val="21"/>
          <w:szCs w:val="21"/>
        </w:rPr>
        <w:t>投标文件的澄清和补正</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_Toc154063468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53</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317A54BC">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"_Toc154063469"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3.4 </w:t>
      </w:r>
      <w:r>
        <w:rPr>
          <w:rStyle w:val="46"/>
          <w:rFonts w:hint="eastAsia" w:ascii="宋体" w:hAnsi="宋体"/>
          <w:bCs/>
          <w:color w:val="auto"/>
          <w:kern w:val="44"/>
          <w:sz w:val="21"/>
          <w:szCs w:val="21"/>
        </w:rPr>
        <w:t>评标结果</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_Toc154063469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53</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A4F1844">
      <w:pPr>
        <w:pStyle w:val="32"/>
        <w:tabs>
          <w:tab w:val="right" w:leader="dot" w:pos="8296"/>
        </w:tabs>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"_Toc154063482"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第四章</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合同条款及格式</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_Toc154063482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54</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3F5A1407">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"_Toc154063483"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第一节</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合同协议书</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_Toc154063483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55</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8C71EA5">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"_Toc154063495"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第二节</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通用合同条件</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_Toc154063495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59</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1354C54">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"_Toc154063496"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1</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一般约定</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_Toc154063496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59</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C81236C">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"_Toc154063511"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2</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发包人</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_Toc154063511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66</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4A5123B5">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"_Toc154063519"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3</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发包人的管理</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_Toc154063519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68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2B987B3">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"_Toc154063527"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4</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承包人</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_Toc154063527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71</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18D0FCE">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"_Toc154063537"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5</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设计</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_Toc154063537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76</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87616B9">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"_Toc154063544"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6</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材料、工程设备</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_Toc154063544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78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3FAA5F9">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"_Toc154063551"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7</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施工</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_Toc154063551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83</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0FFD358">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"_Toc154063563"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8</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工期和进度</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_Toc154063563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89</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5794159">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"_Toc154063574"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9</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竣工试验</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_Toc154063574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94</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8A2C639">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"_Toc154063579"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10</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验收和工程接收</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_Toc154063579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95</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2D12A0D7">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"_Toc154063585"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11</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缺陷责任与保修</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_Toc154063585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98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24B834C">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"_Toc154063593"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12</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竣工后试验</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_Toc154063593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100</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4C906F92">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"_Toc154063598"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13</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变更与调整</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_Toc154063598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102</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3CC509DE">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"_Toc154063607"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14</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合同价格与支付</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_Toc154063607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106</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7EE6321">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"_Toc154063615"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15</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违约</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_Toc154063615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111</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C66C0F9">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"_Toc154063619"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16</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合同解除</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_Toc154063619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112</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901ADF8">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"_Toc154063623"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17</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不可抗力</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_Toc154063623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116</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B782556">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"_Toc154063630"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18</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保险</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_Toc154063630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117</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CAA7547">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"_Toc154063636"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19</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索赔</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_Toc154063636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119</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3C9ACE81">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"_Toc154063641"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20</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争议解决</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_Toc154063641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120</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DA52479">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"_Toc154063647"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第三节</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专用合同条件</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_Toc154063647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122</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4DF26ADE">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"_Toc154063648"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1</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一般约定</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_Toc154063648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122</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F73C9FB">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"_Toc154063660"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2</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发包人</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_Toc154063660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124</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1FDD1B6B">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"_Toc154063665"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3</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发包人的管理</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_Toc154063665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124</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59EBC7E">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"_Toc154063671"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4</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承包人</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_Toc154063671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125</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21EC9586">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"_Toc154063680"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5</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设计</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_Toc154063680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128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4EABD7C7">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"_Toc154063685"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6</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材料、工程设备</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_Toc154063685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128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7AF4CBB">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"_Toc154063691"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7</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施工</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_Toc154063691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130</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162DAD67">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"_Toc154063700"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8</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工期和进度</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_Toc154063700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131</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517D71D">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"_Toc154063708"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9</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竣工试验</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_Toc154063708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133</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F7242FD">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"_Toc154063710"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10</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验收和工程接收</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_Toc154063710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133</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4378C4E">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"_Toc154063715"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11</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缺陷责任与保修</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_Toc154063715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133</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08F1A1E">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"_Toc154063720"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12</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竣工后试验</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_Toc154063720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134</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DC552F6">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"_Toc154063722"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13</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变更与调整</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_Toc154063722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134</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F2E0F66">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"_Toc154063728"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14</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合同价格与支付</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_Toc154063728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135</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BBC8F85">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"_Toc154063736"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15</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违约</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_Toc154063736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137</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C59AA68">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"_Toc154063739"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16</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合同解除</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_Toc154063739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137</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BC01CBC">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"_Toc154063742"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17</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不可抗力</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_Toc154063742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138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3E239F16">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"_Toc154063745"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18</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保险</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_Toc154063745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138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4A416B35">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"_Toc154063750"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20</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争议解决</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_Toc154063750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138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1C40DCF">
      <w:pPr>
        <w:pStyle w:val="32"/>
        <w:tabs>
          <w:tab w:val="right" w:leader="dot" w:pos="8296"/>
        </w:tabs>
        <w:ind w:firstLine="420" w:firstLineChars="200"/>
        <w:rPr>
          <w:rStyle w:val="46"/>
          <w:rFonts w:hint="default" w:ascii="宋体" w:hAnsi="宋体"/>
          <w:bCs/>
          <w:color w:val="auto"/>
          <w:kern w:val="44"/>
          <w:sz w:val="21"/>
          <w:szCs w:val="21"/>
          <w:lang w:val="en-US"/>
        </w:rPr>
      </w:pPr>
      <w:r>
        <w:rPr>
          <w:rFonts w:hint="eastAsia" w:ascii="宋体" w:hAnsi="宋体"/>
          <w:bCs/>
          <w:color w:val="auto"/>
          <w:kern w:val="44"/>
          <w:sz w:val="21"/>
          <w:szCs w:val="21"/>
          <w:u w:val="single"/>
        </w:rPr>
        <w:fldChar w:fldCharType="begin"/>
      </w:r>
      <w:r>
        <w:rPr>
          <w:rFonts w:hint="eastAsia" w:ascii="宋体" w:hAnsi="宋体"/>
          <w:bCs/>
          <w:color w:val="auto"/>
          <w:kern w:val="44"/>
          <w:sz w:val="21"/>
          <w:szCs w:val="21"/>
          <w:u w:val="single"/>
        </w:rPr>
        <w:instrText xml:space="preserve"> HYPERLINK \l "_第21条 补充条款" </w:instrText>
      </w:r>
      <w:r>
        <w:rPr>
          <w:rFonts w:hint="eastAsia" w:ascii="宋体" w:hAnsi="宋体"/>
          <w:bCs/>
          <w:color w:val="auto"/>
          <w:kern w:val="44"/>
          <w:sz w:val="21"/>
          <w:szCs w:val="21"/>
          <w:u w:val="single"/>
        </w:rPr>
        <w:fldChar w:fldCharType="separate"/>
      </w:r>
      <w:r>
        <w:rPr>
          <w:rStyle w:val="46"/>
          <w:rFonts w:hint="eastAsia" w:ascii="宋体" w:hAnsi="宋体"/>
          <w:bCs/>
          <w:color w:val="auto"/>
          <w:kern w:val="44"/>
          <w:sz w:val="21"/>
          <w:szCs w:val="21"/>
        </w:rPr>
        <w:t>第</w:t>
      </w:r>
      <w:r>
        <w:rPr>
          <w:rStyle w:val="46"/>
          <w:rFonts w:ascii="宋体" w:hAnsi="宋体"/>
          <w:bCs/>
          <w:color w:val="auto"/>
          <w:kern w:val="44"/>
          <w:sz w:val="21"/>
          <w:szCs w:val="21"/>
        </w:rPr>
        <w:t>2</w:t>
      </w:r>
      <w:r>
        <w:rPr>
          <w:rStyle w:val="46"/>
          <w:rFonts w:hint="eastAsia" w:ascii="宋体" w:hAnsi="宋体"/>
          <w:bCs/>
          <w:color w:val="auto"/>
          <w:kern w:val="44"/>
          <w:sz w:val="21"/>
          <w:szCs w:val="21"/>
          <w:lang w:val="en-US"/>
        </w:rPr>
        <w:t>1</w:t>
      </w:r>
      <w:r>
        <w:rPr>
          <w:rStyle w:val="46"/>
          <w:rFonts w:hint="eastAsia" w:ascii="宋体" w:hAnsi="宋体"/>
          <w:bCs/>
          <w:color w:val="auto"/>
          <w:kern w:val="44"/>
          <w:sz w:val="21"/>
          <w:szCs w:val="21"/>
        </w:rPr>
        <w:t>条</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lang w:val="en-US"/>
        </w:rPr>
        <w:t>补充条款</w:t>
      </w:r>
      <w:r>
        <w:rPr>
          <w:rStyle w:val="46"/>
          <w:rFonts w:ascii="宋体" w:hAnsi="宋体"/>
          <w:bCs/>
          <w:color w:val="auto"/>
          <w:kern w:val="44"/>
          <w:sz w:val="21"/>
          <w:szCs w:val="21"/>
        </w:rPr>
        <w:tab/>
      </w:r>
      <w:r>
        <w:rPr>
          <w:rStyle w:val="46"/>
          <w:rFonts w:hint="eastAsia" w:ascii="宋体" w:hAnsi="宋体"/>
          <w:bCs/>
          <w:color w:val="auto"/>
          <w:kern w:val="44"/>
          <w:sz w:val="21"/>
          <w:szCs w:val="21"/>
          <w:lang w:val="en-US"/>
        </w:rPr>
        <w:t>140</w:t>
      </w:r>
      <w:r>
        <w:rPr>
          <w:rFonts w:hint="eastAsia" w:ascii="宋体" w:hAnsi="宋体"/>
          <w:bCs/>
          <w:color w:val="auto"/>
          <w:kern w:val="44"/>
          <w:sz w:val="21"/>
          <w:szCs w:val="21"/>
          <w:u w:val="single"/>
        </w:rPr>
        <w:fldChar w:fldCharType="end"/>
      </w:r>
    </w:p>
    <w:p w14:paraId="3A7D3482">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"_Toc154063753"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专用合同条件附件</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_Toc154063753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143</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5BDCBA6">
      <w:pPr>
        <w:pStyle w:val="32"/>
        <w:tabs>
          <w:tab w:val="right" w:leader="dot" w:pos="8296"/>
        </w:tabs>
        <w:ind w:firstLine="420" w:firstLineChars="200"/>
        <w:rPr>
          <w:rStyle w:val="46"/>
          <w:rFonts w:hint="default" w:ascii="宋体" w:hAnsi="宋体" w:eastAsia="宋体"/>
          <w:bCs/>
          <w:color w:val="auto"/>
          <w:kern w:val="44"/>
          <w:sz w:val="21"/>
          <w:szCs w:val="21"/>
          <w:lang w:val="en-US" w:eastAsia="zh-CN"/>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"_Toc154063754"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附件</w:t>
      </w:r>
      <w:r>
        <w:rPr>
          <w:rStyle w:val="46"/>
          <w:rFonts w:ascii="宋体" w:hAnsi="宋体"/>
          <w:bCs/>
          <w:color w:val="auto"/>
          <w:kern w:val="44"/>
          <w:sz w:val="21"/>
          <w:szCs w:val="21"/>
        </w:rPr>
        <w:t xml:space="preserve">1 </w:t>
      </w:r>
      <w:r>
        <w:rPr>
          <w:rStyle w:val="46"/>
          <w:rFonts w:hint="eastAsia" w:ascii="宋体" w:hAnsi="宋体"/>
          <w:bCs/>
          <w:color w:val="auto"/>
          <w:kern w:val="44"/>
          <w:sz w:val="21"/>
          <w:szCs w:val="21"/>
        </w:rPr>
        <w:t>工程质量保修书</w:t>
      </w:r>
      <w:r>
        <w:rPr>
          <w:rStyle w:val="46"/>
          <w:rFonts w:ascii="宋体" w:hAnsi="宋体"/>
          <w:bCs/>
          <w:color w:val="auto"/>
          <w:kern w:val="44"/>
          <w:sz w:val="21"/>
          <w:szCs w:val="21"/>
        </w:rPr>
        <w:tab/>
      </w:r>
      <w:r>
        <w:rPr>
          <w:rStyle w:val="46"/>
          <w:rFonts w:hint="eastAsia" w:ascii="宋体" w:hAnsi="宋体"/>
          <w:bCs/>
          <w:color w:val="auto"/>
          <w:kern w:val="44"/>
          <w:sz w:val="21"/>
          <w:szCs w:val="21"/>
          <w:lang w:val="en-US" w:eastAsia="zh-CN"/>
        </w:rPr>
        <w:t>1</w:t>
      </w:r>
      <w:r>
        <w:rPr>
          <w:rStyle w:val="46"/>
          <w:rFonts w:ascii="宋体" w:hAnsi="宋体"/>
          <w:bCs/>
          <w:color w:val="auto"/>
          <w:kern w:val="44"/>
          <w:sz w:val="21"/>
          <w:szCs w:val="21"/>
        </w:rPr>
        <w:fldChar w:fldCharType="end"/>
      </w:r>
      <w:r>
        <w:rPr>
          <w:rStyle w:val="46"/>
          <w:rFonts w:hint="eastAsia" w:ascii="宋体" w:hAnsi="宋体"/>
          <w:bCs/>
          <w:color w:val="auto"/>
          <w:kern w:val="44"/>
          <w:sz w:val="21"/>
          <w:szCs w:val="21"/>
          <w:lang w:val="en-US" w:eastAsia="zh-CN"/>
        </w:rPr>
        <w:t>45</w:t>
      </w:r>
    </w:p>
    <w:p w14:paraId="53766A65">
      <w:pPr>
        <w:pStyle w:val="32"/>
        <w:tabs>
          <w:tab w:val="right" w:leader="dot" w:pos="8296"/>
        </w:tabs>
        <w:ind w:firstLine="420" w:firstLineChars="200"/>
        <w:rPr>
          <w:rStyle w:val="46"/>
          <w:rFonts w:hint="default" w:ascii="宋体" w:hAnsi="宋体" w:eastAsia="宋体"/>
          <w:bCs/>
          <w:color w:val="auto"/>
          <w:kern w:val="44"/>
          <w:sz w:val="21"/>
          <w:szCs w:val="21"/>
          <w:lang w:val="en-US" w:eastAsia="zh-CN"/>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"_Toc154063755"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附件</w:t>
      </w:r>
      <w:r>
        <w:rPr>
          <w:rStyle w:val="46"/>
          <w:rFonts w:ascii="宋体" w:hAnsi="宋体"/>
          <w:bCs/>
          <w:color w:val="auto"/>
          <w:kern w:val="44"/>
          <w:sz w:val="21"/>
          <w:szCs w:val="21"/>
        </w:rPr>
        <w:t xml:space="preserve">2 </w:t>
      </w:r>
      <w:r>
        <w:rPr>
          <w:rStyle w:val="46"/>
          <w:rFonts w:hint="eastAsia" w:ascii="宋体" w:hAnsi="宋体"/>
          <w:bCs/>
          <w:color w:val="auto"/>
          <w:kern w:val="44"/>
          <w:sz w:val="21"/>
          <w:szCs w:val="21"/>
        </w:rPr>
        <w:t>安全施工责任书</w:t>
      </w:r>
      <w:r>
        <w:rPr>
          <w:rStyle w:val="46"/>
          <w:rFonts w:ascii="宋体" w:hAnsi="宋体"/>
          <w:bCs/>
          <w:color w:val="auto"/>
          <w:kern w:val="44"/>
          <w:sz w:val="21"/>
          <w:szCs w:val="21"/>
        </w:rPr>
        <w:tab/>
      </w:r>
      <w:r>
        <w:rPr>
          <w:rStyle w:val="46"/>
          <w:rFonts w:hint="eastAsia" w:ascii="宋体" w:hAnsi="宋体"/>
          <w:bCs/>
          <w:color w:val="auto"/>
          <w:kern w:val="44"/>
          <w:sz w:val="21"/>
          <w:szCs w:val="21"/>
          <w:lang w:val="en-US" w:eastAsia="zh-CN"/>
        </w:rPr>
        <w:t>1</w:t>
      </w:r>
      <w:r>
        <w:rPr>
          <w:rStyle w:val="46"/>
          <w:rFonts w:ascii="宋体" w:hAnsi="宋体"/>
          <w:bCs/>
          <w:color w:val="auto"/>
          <w:kern w:val="44"/>
          <w:sz w:val="21"/>
          <w:szCs w:val="21"/>
        </w:rPr>
        <w:fldChar w:fldCharType="end"/>
      </w:r>
      <w:r>
        <w:rPr>
          <w:rStyle w:val="46"/>
          <w:rFonts w:hint="eastAsia" w:ascii="宋体" w:hAnsi="宋体"/>
          <w:bCs/>
          <w:color w:val="auto"/>
          <w:kern w:val="44"/>
          <w:sz w:val="21"/>
          <w:szCs w:val="21"/>
          <w:lang w:val="en-US" w:eastAsia="zh-CN"/>
        </w:rPr>
        <w:t>47</w:t>
      </w:r>
    </w:p>
    <w:p w14:paraId="386CA379">
      <w:pPr>
        <w:pStyle w:val="32"/>
        <w:tabs>
          <w:tab w:val="right" w:leader="dot" w:pos="8296"/>
        </w:tabs>
        <w:ind w:firstLine="420" w:firstLineChars="200"/>
        <w:rPr>
          <w:rStyle w:val="46"/>
          <w:rFonts w:hint="default" w:ascii="宋体" w:hAnsi="宋体" w:eastAsia="宋体"/>
          <w:bCs/>
          <w:color w:val="auto"/>
          <w:kern w:val="44"/>
          <w:sz w:val="21"/>
          <w:szCs w:val="21"/>
          <w:lang w:val="en-US" w:eastAsia="zh-CN"/>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"_Toc154063756"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附件</w:t>
      </w:r>
      <w:r>
        <w:rPr>
          <w:rStyle w:val="46"/>
          <w:rFonts w:hint="eastAsia" w:ascii="宋体" w:hAnsi="宋体"/>
          <w:bCs/>
          <w:color w:val="auto"/>
          <w:kern w:val="44"/>
          <w:sz w:val="21"/>
          <w:szCs w:val="21"/>
          <w:lang w:val="en-US" w:eastAsia="zh-CN"/>
        </w:rPr>
        <w:t>3</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湖北省房屋建筑和市政工程建设廉洁协议书</w:t>
      </w:r>
      <w:r>
        <w:rPr>
          <w:rStyle w:val="46"/>
          <w:rFonts w:ascii="宋体" w:hAnsi="宋体"/>
          <w:bCs/>
          <w:color w:val="auto"/>
          <w:kern w:val="44"/>
          <w:sz w:val="21"/>
          <w:szCs w:val="21"/>
        </w:rPr>
        <w:tab/>
      </w:r>
      <w:r>
        <w:rPr>
          <w:rStyle w:val="46"/>
          <w:rFonts w:hint="eastAsia" w:ascii="宋体" w:hAnsi="宋体"/>
          <w:bCs/>
          <w:color w:val="auto"/>
          <w:kern w:val="44"/>
          <w:sz w:val="21"/>
          <w:szCs w:val="21"/>
          <w:lang w:val="en-US" w:eastAsia="zh-CN"/>
        </w:rPr>
        <w:t>1</w:t>
      </w:r>
      <w:r>
        <w:rPr>
          <w:rStyle w:val="46"/>
          <w:rFonts w:ascii="宋体" w:hAnsi="宋体"/>
          <w:bCs/>
          <w:color w:val="auto"/>
          <w:kern w:val="44"/>
          <w:sz w:val="21"/>
          <w:szCs w:val="21"/>
        </w:rPr>
        <w:fldChar w:fldCharType="end"/>
      </w:r>
      <w:r>
        <w:rPr>
          <w:rStyle w:val="46"/>
          <w:rFonts w:hint="eastAsia" w:ascii="宋体" w:hAnsi="宋体"/>
          <w:bCs/>
          <w:color w:val="auto"/>
          <w:kern w:val="44"/>
          <w:sz w:val="21"/>
          <w:szCs w:val="21"/>
          <w:lang w:val="en-US" w:eastAsia="zh-CN"/>
        </w:rPr>
        <w:t>49</w:t>
      </w:r>
    </w:p>
    <w:p w14:paraId="1731C2D0">
      <w:pPr>
        <w:pStyle w:val="32"/>
        <w:tabs>
          <w:tab w:val="right" w:leader="dot" w:pos="8296"/>
        </w:tabs>
        <w:ind w:firstLine="420" w:firstLineChars="200"/>
        <w:rPr>
          <w:rStyle w:val="46"/>
          <w:rFonts w:hint="default" w:ascii="宋体" w:hAnsi="宋体" w:eastAsia="宋体"/>
          <w:bCs/>
          <w:color w:val="auto"/>
          <w:kern w:val="44"/>
          <w:sz w:val="21"/>
          <w:szCs w:val="21"/>
          <w:lang w:val="en-US" w:eastAsia="zh-CN"/>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"_Toc154063757"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附件</w:t>
      </w:r>
      <w:r>
        <w:rPr>
          <w:rStyle w:val="46"/>
          <w:rFonts w:ascii="宋体" w:hAnsi="宋体"/>
          <w:bCs/>
          <w:color w:val="auto"/>
          <w:kern w:val="44"/>
          <w:sz w:val="21"/>
          <w:szCs w:val="21"/>
        </w:rPr>
        <w:t xml:space="preserve">4 </w:t>
      </w:r>
      <w:r>
        <w:rPr>
          <w:rStyle w:val="46"/>
          <w:rFonts w:hint="eastAsia" w:ascii="宋体" w:hAnsi="宋体"/>
          <w:bCs/>
          <w:color w:val="auto"/>
          <w:kern w:val="44"/>
          <w:sz w:val="21"/>
          <w:szCs w:val="21"/>
        </w:rPr>
        <w:t>关于同意发包人介入项目管理后工程款委托支付承诺函</w:t>
      </w:r>
      <w:r>
        <w:rPr>
          <w:rStyle w:val="46"/>
          <w:rFonts w:ascii="宋体" w:hAnsi="宋体"/>
          <w:bCs/>
          <w:color w:val="auto"/>
          <w:kern w:val="44"/>
          <w:sz w:val="21"/>
          <w:szCs w:val="21"/>
        </w:rPr>
        <w:tab/>
      </w:r>
      <w:r>
        <w:rPr>
          <w:rStyle w:val="46"/>
          <w:rFonts w:hint="eastAsia" w:ascii="宋体" w:hAnsi="宋体"/>
          <w:bCs/>
          <w:color w:val="auto"/>
          <w:kern w:val="44"/>
          <w:sz w:val="21"/>
          <w:szCs w:val="21"/>
          <w:lang w:val="en-US" w:eastAsia="zh-CN"/>
        </w:rPr>
        <w:t>1</w:t>
      </w:r>
      <w:r>
        <w:rPr>
          <w:rStyle w:val="46"/>
          <w:rFonts w:ascii="宋体" w:hAnsi="宋体"/>
          <w:bCs/>
          <w:color w:val="auto"/>
          <w:kern w:val="44"/>
          <w:sz w:val="21"/>
          <w:szCs w:val="21"/>
        </w:rPr>
        <w:fldChar w:fldCharType="end"/>
      </w:r>
      <w:r>
        <w:rPr>
          <w:rStyle w:val="46"/>
          <w:rFonts w:hint="eastAsia" w:ascii="宋体" w:hAnsi="宋体"/>
          <w:bCs/>
          <w:color w:val="auto"/>
          <w:kern w:val="44"/>
          <w:sz w:val="21"/>
          <w:szCs w:val="21"/>
          <w:lang w:val="en-US" w:eastAsia="zh-CN"/>
        </w:rPr>
        <w:t>51</w:t>
      </w:r>
    </w:p>
    <w:p w14:paraId="1309114F">
      <w:pPr>
        <w:pStyle w:val="32"/>
        <w:tabs>
          <w:tab w:val="right" w:leader="dot" w:pos="8296"/>
        </w:tabs>
        <w:ind w:firstLine="420" w:firstLineChars="200"/>
        <w:rPr>
          <w:rStyle w:val="46"/>
          <w:rFonts w:hint="default" w:ascii="宋体" w:hAnsi="宋体" w:eastAsia="宋体"/>
          <w:bCs/>
          <w:color w:val="auto"/>
          <w:kern w:val="44"/>
          <w:sz w:val="21"/>
          <w:szCs w:val="21"/>
          <w:lang w:val="en-US" w:eastAsia="zh-CN"/>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"_Toc154063758"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附件</w:t>
      </w:r>
      <w:r>
        <w:rPr>
          <w:rStyle w:val="46"/>
          <w:rFonts w:ascii="宋体" w:hAnsi="宋体"/>
          <w:bCs/>
          <w:color w:val="auto"/>
          <w:kern w:val="44"/>
          <w:sz w:val="21"/>
          <w:szCs w:val="21"/>
        </w:rPr>
        <w:t xml:space="preserve">5 </w:t>
      </w:r>
      <w:r>
        <w:rPr>
          <w:rStyle w:val="46"/>
          <w:rFonts w:hint="eastAsia" w:ascii="宋体" w:hAnsi="宋体"/>
          <w:bCs/>
          <w:color w:val="auto"/>
          <w:kern w:val="44"/>
          <w:sz w:val="21"/>
          <w:szCs w:val="21"/>
        </w:rPr>
        <w:t>联合体协议书</w:t>
      </w:r>
      <w:r>
        <w:rPr>
          <w:rStyle w:val="46"/>
          <w:rFonts w:ascii="宋体" w:hAnsi="宋体"/>
          <w:bCs/>
          <w:color w:val="auto"/>
          <w:kern w:val="44"/>
          <w:sz w:val="21"/>
          <w:szCs w:val="21"/>
        </w:rPr>
        <w:tab/>
      </w:r>
      <w:r>
        <w:rPr>
          <w:rStyle w:val="46"/>
          <w:rFonts w:hint="eastAsia" w:ascii="宋体" w:hAnsi="宋体"/>
          <w:bCs/>
          <w:color w:val="auto"/>
          <w:kern w:val="44"/>
          <w:sz w:val="21"/>
          <w:szCs w:val="21"/>
          <w:lang w:val="en-US" w:eastAsia="zh-CN"/>
        </w:rPr>
        <w:t>1</w:t>
      </w:r>
      <w:r>
        <w:rPr>
          <w:rStyle w:val="46"/>
          <w:rFonts w:ascii="宋体" w:hAnsi="宋体"/>
          <w:bCs/>
          <w:color w:val="auto"/>
          <w:kern w:val="44"/>
          <w:sz w:val="21"/>
          <w:szCs w:val="21"/>
        </w:rPr>
        <w:fldChar w:fldCharType="end"/>
      </w:r>
      <w:r>
        <w:rPr>
          <w:rStyle w:val="46"/>
          <w:rFonts w:hint="eastAsia" w:ascii="宋体" w:hAnsi="宋体"/>
          <w:bCs/>
          <w:color w:val="auto"/>
          <w:kern w:val="44"/>
          <w:sz w:val="21"/>
          <w:szCs w:val="21"/>
          <w:lang w:val="en-US" w:eastAsia="zh-CN"/>
        </w:rPr>
        <w:t>52</w:t>
      </w:r>
    </w:p>
    <w:p w14:paraId="2594FC04">
      <w:pPr>
        <w:pStyle w:val="32"/>
        <w:tabs>
          <w:tab w:val="right" w:leader="dot" w:pos="8296"/>
        </w:tabs>
        <w:ind w:firstLine="420" w:firstLineChars="200"/>
        <w:rPr>
          <w:rStyle w:val="46"/>
          <w:rFonts w:hint="default" w:ascii="宋体" w:hAnsi="宋体" w:eastAsia="宋体"/>
          <w:bCs/>
          <w:color w:val="auto"/>
          <w:kern w:val="44"/>
          <w:sz w:val="21"/>
          <w:szCs w:val="21"/>
          <w:lang w:val="en-US" w:eastAsia="zh-CN"/>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"_Toc154063759"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附件</w:t>
      </w:r>
      <w:r>
        <w:rPr>
          <w:rStyle w:val="46"/>
          <w:rFonts w:ascii="宋体" w:hAnsi="宋体"/>
          <w:bCs/>
          <w:color w:val="auto"/>
          <w:kern w:val="44"/>
          <w:sz w:val="21"/>
          <w:szCs w:val="21"/>
        </w:rPr>
        <w:t xml:space="preserve">6 </w:t>
      </w:r>
      <w:r>
        <w:rPr>
          <w:rStyle w:val="46"/>
          <w:rFonts w:hint="eastAsia" w:ascii="宋体" w:hAnsi="宋体"/>
          <w:bCs/>
          <w:color w:val="auto"/>
          <w:kern w:val="44"/>
          <w:sz w:val="21"/>
          <w:szCs w:val="21"/>
        </w:rPr>
        <w:t>中标候选人答辩记录表</w:t>
      </w:r>
      <w:r>
        <w:rPr>
          <w:rStyle w:val="46"/>
          <w:rFonts w:ascii="宋体" w:hAnsi="宋体"/>
          <w:bCs/>
          <w:color w:val="auto"/>
          <w:kern w:val="44"/>
          <w:sz w:val="21"/>
          <w:szCs w:val="21"/>
        </w:rPr>
        <w:tab/>
      </w:r>
      <w:r>
        <w:rPr>
          <w:rStyle w:val="46"/>
          <w:rFonts w:hint="eastAsia" w:ascii="宋体" w:hAnsi="宋体"/>
          <w:bCs/>
          <w:color w:val="auto"/>
          <w:kern w:val="44"/>
          <w:sz w:val="21"/>
          <w:szCs w:val="21"/>
          <w:lang w:val="en-US" w:eastAsia="zh-CN"/>
        </w:rPr>
        <w:t>1</w:t>
      </w:r>
      <w:r>
        <w:rPr>
          <w:rStyle w:val="46"/>
          <w:rFonts w:ascii="宋体" w:hAnsi="宋体"/>
          <w:bCs/>
          <w:color w:val="auto"/>
          <w:kern w:val="44"/>
          <w:sz w:val="21"/>
          <w:szCs w:val="21"/>
        </w:rPr>
        <w:fldChar w:fldCharType="end"/>
      </w:r>
      <w:r>
        <w:rPr>
          <w:rStyle w:val="46"/>
          <w:rFonts w:hint="eastAsia" w:ascii="宋体" w:hAnsi="宋体"/>
          <w:bCs/>
          <w:color w:val="auto"/>
          <w:kern w:val="44"/>
          <w:sz w:val="21"/>
          <w:szCs w:val="21"/>
          <w:lang w:val="en-US" w:eastAsia="zh-CN"/>
        </w:rPr>
        <w:t>53</w:t>
      </w:r>
    </w:p>
    <w:p w14:paraId="1D590194">
      <w:pPr>
        <w:pStyle w:val="32"/>
        <w:tabs>
          <w:tab w:val="right" w:leader="dot" w:pos="8296"/>
        </w:tabs>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"_Toc154064013"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第五章</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发包人要求</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_Toc154064013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153</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4A9FAF3">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"_Toc154064014"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发包人要求附件清单</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_Toc154064014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157</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11A1D3DB">
      <w:pPr>
        <w:pStyle w:val="32"/>
        <w:tabs>
          <w:tab w:val="right" w:leader="dot" w:pos="8296"/>
        </w:tabs>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"_Toc154064015"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第六章</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发包人提供的资料</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_Toc154064015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158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2B8CC88F">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"_Toc154064016"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发包人提供的资料</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_Toc154064016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159</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8E5DDEA">
      <w:pPr>
        <w:pStyle w:val="32"/>
        <w:tabs>
          <w:tab w:val="right" w:leader="dot" w:pos="8296"/>
        </w:tabs>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"_Toc154064017"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第七章</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投标文件格式</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_Toc154064017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160</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16B2469E">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"_Toc154064018"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目</w:t>
      </w:r>
      <w:r>
        <w:rPr>
          <w:rStyle w:val="46"/>
          <w:rFonts w:ascii="宋体" w:hAnsi="宋体"/>
          <w:bCs/>
          <w:color w:val="auto"/>
          <w:kern w:val="44"/>
          <w:sz w:val="21"/>
          <w:szCs w:val="21"/>
        </w:rPr>
        <w:t xml:space="preserve">    </w:t>
      </w:r>
      <w:r>
        <w:rPr>
          <w:rStyle w:val="46"/>
          <w:rFonts w:hint="eastAsia" w:ascii="宋体" w:hAnsi="宋体"/>
          <w:bCs/>
          <w:color w:val="auto"/>
          <w:kern w:val="44"/>
          <w:sz w:val="21"/>
          <w:szCs w:val="21"/>
        </w:rPr>
        <w:t>录</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_Toc154064018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162</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48368909">
      <w:pPr>
        <w:pStyle w:val="32"/>
        <w:tabs>
          <w:tab w:val="right" w:leader="dot" w:pos="8296"/>
        </w:tabs>
        <w:ind w:firstLine="210" w:firstLineChars="1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"_Toc154064019"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一、投标函及投标函附录</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_Toc154064019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164</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431E9C0">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"_Toc154064020"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（一）投标函</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_Toc154064020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164</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2A3E8DD3">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"_Toc154064021"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（二）投标函附录</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_Toc154064021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165</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1C7569A1">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"_Toc154064022"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二、法定代表人身份证明</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_Toc154064022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168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B404629">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"_Toc154064023"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三、投标保证金</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_Toc154064023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169</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3BFB9261">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"_Toc154064024"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四、联合体协议书</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_Toc154064024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170</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4AE17932">
      <w:pPr>
        <w:pStyle w:val="32"/>
        <w:tabs>
          <w:tab w:val="right" w:leader="dot" w:pos="8296"/>
        </w:tabs>
        <w:ind w:firstLine="210" w:firstLineChars="1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"_Toc154064025"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五、拟分包项目情况表</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_Toc154064025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172</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B648EA7">
      <w:pPr>
        <w:pStyle w:val="32"/>
        <w:tabs>
          <w:tab w:val="right" w:leader="dot" w:pos="8296"/>
        </w:tabs>
        <w:ind w:firstLine="210" w:firstLineChars="1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"_Toc154064026"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五、分包意向协议书</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_Toc154064026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173</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3386DC8E">
      <w:pPr>
        <w:pStyle w:val="32"/>
        <w:tabs>
          <w:tab w:val="right" w:leader="dot" w:pos="8296"/>
        </w:tabs>
        <w:ind w:firstLine="210" w:firstLineChars="1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"_Toc154064027"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六、中小企业声明函</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_Toc154064027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175</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593BCDD">
      <w:pPr>
        <w:pStyle w:val="32"/>
        <w:tabs>
          <w:tab w:val="right" w:leader="dot" w:pos="8296"/>
        </w:tabs>
        <w:ind w:firstLine="210" w:firstLineChars="1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"_Toc154064028"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七、项目管理机构</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_Toc154064028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176</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136E2F4C">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"_Toc154064029"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（一）项目管理机构主要人员表</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_Toc154064029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176</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1849E27D">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"_Toc154064030"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（二）项目经理简历表</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_Toc154064030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177</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DB38AFE">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"_Toc154064031"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（三）设计负责人简历表</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_Toc154064031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178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40FC498">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"_Toc154064032"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（四）施工负责人简历表</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_Toc154064032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179</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6A878BD">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"_Toc154064033"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（五）承诺书</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_Toc154064033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180</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25649E39">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"_Toc154064034"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（六）其他主要项目管理人员简历表</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_Toc154064034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182</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1C2724C1">
      <w:pPr>
        <w:pStyle w:val="32"/>
        <w:tabs>
          <w:tab w:val="right" w:leader="dot" w:pos="8296"/>
        </w:tabs>
        <w:ind w:firstLine="210" w:firstLineChars="1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"_Toc154064035"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八、资格审查资料</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_Toc154064035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183</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2AEDA679">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"_Toc154064036"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（一）投标人基本情况</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_Toc154064036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183</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6FBCC97">
      <w:pPr>
        <w:pStyle w:val="32"/>
        <w:tabs>
          <w:tab w:val="right" w:leader="dot" w:pos="8296"/>
        </w:tabs>
        <w:ind w:firstLine="630" w:firstLineChars="3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"_Toc154064037"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1-1</w:t>
      </w:r>
      <w:r>
        <w:rPr>
          <w:rStyle w:val="46"/>
          <w:rFonts w:hint="eastAsia" w:ascii="宋体" w:hAnsi="宋体"/>
          <w:bCs/>
          <w:color w:val="auto"/>
          <w:kern w:val="44"/>
          <w:sz w:val="21"/>
          <w:szCs w:val="21"/>
        </w:rPr>
        <w:t>投标人基本情况表</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_Toc154064037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183</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44F01E28">
      <w:pPr>
        <w:pStyle w:val="32"/>
        <w:tabs>
          <w:tab w:val="right" w:leader="dot" w:pos="8296"/>
        </w:tabs>
        <w:ind w:firstLine="630" w:firstLineChars="3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"_Toc154064038"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1-2</w:t>
      </w:r>
      <w:r>
        <w:rPr>
          <w:rStyle w:val="46"/>
          <w:rFonts w:hint="eastAsia" w:ascii="宋体" w:hAnsi="宋体"/>
          <w:bCs/>
          <w:color w:val="auto"/>
          <w:kern w:val="44"/>
          <w:sz w:val="21"/>
          <w:szCs w:val="21"/>
        </w:rPr>
        <w:t>关联单位情况说明</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_Toc154064038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184</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95F1D0F">
      <w:pPr>
        <w:pStyle w:val="32"/>
        <w:tabs>
          <w:tab w:val="right" w:leader="dot" w:pos="8296"/>
        </w:tabs>
        <w:ind w:firstLine="630" w:firstLineChars="3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"_Toc154064039"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1-3</w:t>
      </w:r>
      <w:r>
        <w:rPr>
          <w:rStyle w:val="46"/>
          <w:rFonts w:hint="eastAsia" w:ascii="宋体" w:hAnsi="宋体"/>
          <w:bCs/>
          <w:color w:val="auto"/>
          <w:kern w:val="44"/>
          <w:sz w:val="21"/>
          <w:szCs w:val="21"/>
        </w:rPr>
        <w:t>拟投入主要施工设备、试验和检测仪器设备</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_Toc154064039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185</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3748267D">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"_Toc154064040"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（二）近年财务状况</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_Toc154064040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186</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7D83E24">
      <w:pPr>
        <w:pStyle w:val="32"/>
        <w:tabs>
          <w:tab w:val="right" w:leader="dot" w:pos="8296"/>
        </w:tabs>
        <w:ind w:firstLine="630" w:firstLineChars="3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"_Toc154064041"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2-1</w:t>
      </w:r>
      <w:r>
        <w:rPr>
          <w:rStyle w:val="46"/>
          <w:rFonts w:hint="eastAsia" w:ascii="宋体" w:hAnsi="宋体"/>
          <w:bCs/>
          <w:color w:val="auto"/>
          <w:kern w:val="44"/>
          <w:sz w:val="21"/>
          <w:szCs w:val="21"/>
        </w:rPr>
        <w:t>近年财务状况表</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_Toc154064041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186</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17A4CD3E">
      <w:pPr>
        <w:pStyle w:val="32"/>
        <w:tabs>
          <w:tab w:val="right" w:leader="dot" w:pos="8296"/>
        </w:tabs>
        <w:ind w:firstLine="630" w:firstLineChars="3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"_Toc154064042"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2-2</w:t>
      </w:r>
      <w:r>
        <w:rPr>
          <w:rStyle w:val="46"/>
          <w:rFonts w:hint="eastAsia" w:ascii="宋体" w:hAnsi="宋体"/>
          <w:bCs/>
          <w:color w:val="auto"/>
          <w:kern w:val="44"/>
          <w:sz w:val="21"/>
          <w:szCs w:val="21"/>
        </w:rPr>
        <w:t>拟投入的流动资金函</w:t>
      </w:r>
      <w:r>
        <w:rPr>
          <w:rStyle w:val="46"/>
          <w:rFonts w:ascii="宋体" w:hAnsi="宋体"/>
          <w:bCs/>
          <w:color w:val="auto"/>
          <w:kern w:val="44"/>
          <w:sz w:val="21"/>
          <w:szCs w:val="21"/>
        </w:rPr>
        <w:t>(</w:t>
      </w:r>
      <w:r>
        <w:rPr>
          <w:rStyle w:val="46"/>
          <w:rFonts w:hint="eastAsia" w:ascii="宋体" w:hAnsi="宋体"/>
          <w:bCs/>
          <w:color w:val="auto"/>
          <w:kern w:val="44"/>
          <w:sz w:val="21"/>
          <w:szCs w:val="21"/>
        </w:rPr>
        <w:t>格式</w:t>
      </w:r>
      <w:r>
        <w:rPr>
          <w:rStyle w:val="46"/>
          <w:rFonts w:ascii="宋体" w:hAnsi="宋体"/>
          <w:bCs/>
          <w:color w:val="auto"/>
          <w:kern w:val="44"/>
          <w:sz w:val="21"/>
          <w:szCs w:val="21"/>
        </w:rPr>
        <w:t>)</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_Toc154064042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187</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AF1F50C">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"_Toc154064043"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（三）近年完成的类似项目情况</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_Toc154064043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188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13F5B94B">
      <w:pPr>
        <w:pStyle w:val="32"/>
        <w:tabs>
          <w:tab w:val="right" w:leader="dot" w:pos="8296"/>
        </w:tabs>
        <w:ind w:firstLine="630" w:firstLineChars="3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"_Toc154064044"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3-1 </w:t>
      </w:r>
      <w:r>
        <w:rPr>
          <w:rStyle w:val="46"/>
          <w:rFonts w:hint="eastAsia" w:ascii="宋体" w:hAnsi="宋体"/>
          <w:bCs/>
          <w:color w:val="auto"/>
          <w:kern w:val="44"/>
          <w:sz w:val="21"/>
          <w:szCs w:val="21"/>
        </w:rPr>
        <w:t>近年完成的类似项目汇总表</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_Toc154064044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188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36571B27">
      <w:pPr>
        <w:pStyle w:val="32"/>
        <w:tabs>
          <w:tab w:val="right" w:leader="dot" w:pos="8296"/>
        </w:tabs>
        <w:ind w:firstLine="630" w:firstLineChars="3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"_Toc154064045"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3-2 </w:t>
      </w:r>
      <w:r>
        <w:rPr>
          <w:rStyle w:val="46"/>
          <w:rFonts w:hint="eastAsia" w:ascii="宋体" w:hAnsi="宋体"/>
          <w:bCs/>
          <w:color w:val="auto"/>
          <w:kern w:val="44"/>
          <w:sz w:val="21"/>
          <w:szCs w:val="21"/>
        </w:rPr>
        <w:t>近年完成的类似项目情况表</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_Toc154064045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189</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3B392799">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"_Toc154064046"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（四）近年完成的类似设计项目情况</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_Toc154064046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190</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9A78821">
      <w:pPr>
        <w:pStyle w:val="32"/>
        <w:tabs>
          <w:tab w:val="right" w:leader="dot" w:pos="8296"/>
        </w:tabs>
        <w:ind w:firstLine="630" w:firstLineChars="3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"_Toc154064047"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4-1 </w:t>
      </w:r>
      <w:r>
        <w:rPr>
          <w:rStyle w:val="46"/>
          <w:rFonts w:hint="eastAsia" w:ascii="宋体" w:hAnsi="宋体"/>
          <w:bCs/>
          <w:color w:val="auto"/>
          <w:kern w:val="44"/>
          <w:sz w:val="21"/>
          <w:szCs w:val="21"/>
        </w:rPr>
        <w:t>近年完成的类似设计项目汇总表</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_Toc154064047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190</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21DA1F72">
      <w:pPr>
        <w:pStyle w:val="32"/>
        <w:tabs>
          <w:tab w:val="right" w:leader="dot" w:pos="8296"/>
        </w:tabs>
        <w:ind w:firstLine="630" w:firstLineChars="3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"_Toc154064048"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4-2 </w:t>
      </w:r>
      <w:r>
        <w:rPr>
          <w:rStyle w:val="46"/>
          <w:rFonts w:hint="eastAsia" w:ascii="宋体" w:hAnsi="宋体"/>
          <w:bCs/>
          <w:color w:val="auto"/>
          <w:kern w:val="44"/>
          <w:sz w:val="21"/>
          <w:szCs w:val="21"/>
        </w:rPr>
        <w:t>近年完成的类似设计项目情况表</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_Toc154064048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191</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094E4C0">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"_Toc154064049"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（五）近年完成的类似施工项目情况</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_Toc154064049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192</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0F3F777">
      <w:pPr>
        <w:pStyle w:val="32"/>
        <w:tabs>
          <w:tab w:val="right" w:leader="dot" w:pos="8296"/>
        </w:tabs>
        <w:ind w:firstLine="630" w:firstLineChars="3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"_Toc154064050"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5-1 </w:t>
      </w:r>
      <w:r>
        <w:rPr>
          <w:rStyle w:val="46"/>
          <w:rFonts w:hint="eastAsia" w:ascii="宋体" w:hAnsi="宋体"/>
          <w:bCs/>
          <w:color w:val="auto"/>
          <w:kern w:val="44"/>
          <w:sz w:val="21"/>
          <w:szCs w:val="21"/>
        </w:rPr>
        <w:t>近年完成的类似施工项目汇总表</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_Toc154064050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192</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117EBD00">
      <w:pPr>
        <w:pStyle w:val="32"/>
        <w:tabs>
          <w:tab w:val="right" w:leader="dot" w:pos="8296"/>
        </w:tabs>
        <w:ind w:firstLine="630" w:firstLineChars="3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"_Toc154064051"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5-2 </w:t>
      </w:r>
      <w:r>
        <w:rPr>
          <w:rStyle w:val="46"/>
          <w:rFonts w:hint="eastAsia" w:ascii="宋体" w:hAnsi="宋体"/>
          <w:bCs/>
          <w:color w:val="auto"/>
          <w:kern w:val="44"/>
          <w:sz w:val="21"/>
          <w:szCs w:val="21"/>
        </w:rPr>
        <w:t>近年完成的类似施工项目情况表</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_Toc154064051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193</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FC48B25">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"_Toc154064052"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（六）正在实施的和新承接的项目情况</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_Toc154064052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194</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3BD165DD">
      <w:pPr>
        <w:pStyle w:val="32"/>
        <w:tabs>
          <w:tab w:val="right" w:leader="dot" w:pos="8296"/>
        </w:tabs>
        <w:ind w:firstLine="630" w:firstLineChars="3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"_Toc154064053"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6-1</w:t>
      </w:r>
      <w:r>
        <w:rPr>
          <w:rStyle w:val="46"/>
          <w:rFonts w:hint="eastAsia" w:ascii="宋体" w:hAnsi="宋体"/>
          <w:bCs/>
          <w:color w:val="auto"/>
          <w:kern w:val="44"/>
          <w:sz w:val="21"/>
          <w:szCs w:val="21"/>
        </w:rPr>
        <w:t>正在实施的和新承接的项目汇总表</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_Toc154064053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194</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680B4F5">
      <w:pPr>
        <w:pStyle w:val="32"/>
        <w:tabs>
          <w:tab w:val="right" w:leader="dot" w:pos="8296"/>
        </w:tabs>
        <w:ind w:firstLine="630" w:firstLineChars="3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"_Toc154064054"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6-2 </w:t>
      </w:r>
      <w:r>
        <w:rPr>
          <w:rStyle w:val="46"/>
          <w:rFonts w:hint="eastAsia" w:ascii="宋体" w:hAnsi="宋体"/>
          <w:bCs/>
          <w:color w:val="auto"/>
          <w:kern w:val="44"/>
          <w:sz w:val="21"/>
          <w:szCs w:val="21"/>
        </w:rPr>
        <w:t>正在实施的和新承接的项目情况表</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_Toc154064054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195</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394BD7B9">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"_Toc154064055"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（七）企业信誉情况</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_Toc154064055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196</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406E26A3">
      <w:pPr>
        <w:pStyle w:val="32"/>
        <w:tabs>
          <w:tab w:val="right" w:leader="dot" w:pos="8296"/>
        </w:tabs>
        <w:ind w:firstLine="630" w:firstLineChars="3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"_Toc154064056"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7-1 </w:t>
      </w:r>
      <w:r>
        <w:rPr>
          <w:rStyle w:val="46"/>
          <w:rFonts w:hint="eastAsia" w:ascii="宋体" w:hAnsi="宋体"/>
          <w:bCs/>
          <w:color w:val="auto"/>
          <w:kern w:val="44"/>
          <w:sz w:val="21"/>
          <w:szCs w:val="21"/>
        </w:rPr>
        <w:t>企业信誉声明</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_Toc154064056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196</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48A45552">
      <w:pPr>
        <w:pStyle w:val="32"/>
        <w:tabs>
          <w:tab w:val="right" w:leader="dot" w:pos="8296"/>
        </w:tabs>
        <w:ind w:firstLine="630" w:firstLineChars="3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"_Toc154064057"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7-2 </w:t>
      </w:r>
      <w:r>
        <w:rPr>
          <w:rStyle w:val="46"/>
          <w:rFonts w:hint="eastAsia" w:ascii="宋体" w:hAnsi="宋体"/>
          <w:bCs/>
          <w:color w:val="auto"/>
          <w:kern w:val="44"/>
          <w:sz w:val="21"/>
          <w:szCs w:val="21"/>
        </w:rPr>
        <w:t>近年发生的诉讼和仲裁情况</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_Toc154064057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197</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161332FF">
      <w:pPr>
        <w:pStyle w:val="32"/>
        <w:tabs>
          <w:tab w:val="right" w:leader="dot" w:pos="8296"/>
        </w:tabs>
        <w:ind w:firstLine="630" w:firstLineChars="3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"_Toc154064058"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7-3 </w:t>
      </w:r>
      <w:r>
        <w:rPr>
          <w:rStyle w:val="46"/>
          <w:rFonts w:hint="eastAsia" w:ascii="宋体" w:hAnsi="宋体"/>
          <w:bCs/>
          <w:color w:val="auto"/>
          <w:kern w:val="44"/>
          <w:sz w:val="21"/>
          <w:szCs w:val="21"/>
        </w:rPr>
        <w:t>近年投标人获工程（设计）质量奖项和获表彰情况表</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_Toc154064058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198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8046C1C">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"_Toc154064059"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九、价格清单</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_Toc154064059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199</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B0B5AF5">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"_Toc154064060"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（一）价格清单说明</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_Toc154064060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199</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DE3B560">
      <w:pPr>
        <w:pStyle w:val="32"/>
        <w:tabs>
          <w:tab w:val="right" w:leader="dot" w:pos="8296"/>
        </w:tabs>
        <w:ind w:firstLine="420" w:firstLineChars="2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"_Toc154064061"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（二）价格清单</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_Toc154064061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200</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420BA749">
      <w:pPr>
        <w:pStyle w:val="32"/>
        <w:tabs>
          <w:tab w:val="right" w:leader="dot" w:pos="8296"/>
        </w:tabs>
        <w:ind w:firstLine="630" w:firstLineChars="3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"_Toc154064062"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2.1 </w:t>
      </w:r>
      <w:r>
        <w:rPr>
          <w:rStyle w:val="46"/>
          <w:rFonts w:hint="eastAsia" w:ascii="宋体" w:hAnsi="宋体"/>
          <w:bCs/>
          <w:color w:val="auto"/>
          <w:kern w:val="44"/>
          <w:sz w:val="21"/>
          <w:szCs w:val="21"/>
        </w:rPr>
        <w:t>勘察设计费清单</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_Toc154064062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200</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415A4092">
      <w:pPr>
        <w:pStyle w:val="32"/>
        <w:tabs>
          <w:tab w:val="right" w:leader="dot" w:pos="8296"/>
        </w:tabs>
        <w:ind w:firstLine="630" w:firstLineChars="3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"_Toc154064063"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2.2 </w:t>
      </w:r>
      <w:r>
        <w:rPr>
          <w:rStyle w:val="46"/>
          <w:rFonts w:hint="eastAsia" w:ascii="宋体" w:hAnsi="宋体"/>
          <w:bCs/>
          <w:color w:val="auto"/>
          <w:kern w:val="44"/>
          <w:sz w:val="21"/>
          <w:szCs w:val="21"/>
        </w:rPr>
        <w:t>工程设备费清单</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_Toc154064063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201</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28768A5">
      <w:pPr>
        <w:pStyle w:val="32"/>
        <w:tabs>
          <w:tab w:val="right" w:leader="dot" w:pos="8296"/>
        </w:tabs>
        <w:ind w:firstLine="630" w:firstLineChars="3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"_Toc154064064"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2.3 </w:t>
      </w:r>
      <w:r>
        <w:rPr>
          <w:rStyle w:val="46"/>
          <w:rFonts w:hint="eastAsia" w:ascii="宋体" w:hAnsi="宋体"/>
          <w:bCs/>
          <w:color w:val="auto"/>
          <w:kern w:val="44"/>
          <w:sz w:val="21"/>
          <w:szCs w:val="21"/>
        </w:rPr>
        <w:t>必备的备品备件费清单</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_Toc154064064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202</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E413A07">
      <w:pPr>
        <w:pStyle w:val="32"/>
        <w:tabs>
          <w:tab w:val="right" w:leader="dot" w:pos="8296"/>
        </w:tabs>
        <w:ind w:firstLine="630" w:firstLineChars="3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"_Toc154064065"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2.4 </w:t>
      </w:r>
      <w:r>
        <w:rPr>
          <w:rStyle w:val="46"/>
          <w:rFonts w:hint="eastAsia" w:ascii="宋体" w:hAnsi="宋体"/>
          <w:bCs/>
          <w:color w:val="auto"/>
          <w:kern w:val="44"/>
          <w:sz w:val="21"/>
          <w:szCs w:val="21"/>
        </w:rPr>
        <w:t>建筑安装工程费清单</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_Toc154064065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203</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F7FF276">
      <w:pPr>
        <w:pStyle w:val="32"/>
        <w:tabs>
          <w:tab w:val="right" w:leader="dot" w:pos="8296"/>
        </w:tabs>
        <w:ind w:firstLine="630" w:firstLineChars="3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"_Toc154064066"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2.5 </w:t>
      </w:r>
      <w:r>
        <w:rPr>
          <w:rStyle w:val="46"/>
          <w:rFonts w:hint="eastAsia" w:ascii="宋体" w:hAnsi="宋体"/>
          <w:bCs/>
          <w:color w:val="auto"/>
          <w:kern w:val="44"/>
          <w:sz w:val="21"/>
          <w:szCs w:val="21"/>
        </w:rPr>
        <w:t>技术服务费清单</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_Toc154064066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204</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23D5BD7A">
      <w:pPr>
        <w:pStyle w:val="32"/>
        <w:tabs>
          <w:tab w:val="right" w:leader="dot" w:pos="8296"/>
        </w:tabs>
        <w:ind w:firstLine="630" w:firstLineChars="3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"_Toc154064067"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2.6 </w:t>
      </w:r>
      <w:r>
        <w:rPr>
          <w:rStyle w:val="46"/>
          <w:rFonts w:hint="eastAsia" w:ascii="宋体" w:hAnsi="宋体"/>
          <w:bCs/>
          <w:color w:val="auto"/>
          <w:kern w:val="44"/>
          <w:sz w:val="21"/>
          <w:szCs w:val="21"/>
        </w:rPr>
        <w:t>暂估价清单</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_Toc154064067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205</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00DB923">
      <w:pPr>
        <w:pStyle w:val="32"/>
        <w:tabs>
          <w:tab w:val="right" w:leader="dot" w:pos="8296"/>
        </w:tabs>
        <w:ind w:firstLine="630" w:firstLineChars="3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"_Toc154064071"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2.7 </w:t>
      </w:r>
      <w:r>
        <w:rPr>
          <w:rStyle w:val="46"/>
          <w:rFonts w:hint="eastAsia" w:ascii="宋体" w:hAnsi="宋体"/>
          <w:bCs/>
          <w:color w:val="auto"/>
          <w:kern w:val="44"/>
          <w:sz w:val="21"/>
          <w:szCs w:val="21"/>
        </w:rPr>
        <w:t>其它费用清单</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_Toc154064071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206</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1B750822">
      <w:pPr>
        <w:pStyle w:val="32"/>
        <w:tabs>
          <w:tab w:val="right" w:leader="dot" w:pos="8296"/>
        </w:tabs>
        <w:ind w:firstLine="630" w:firstLineChars="3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"_Toc154064072"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 xml:space="preserve">2.8 </w:t>
      </w:r>
      <w:r>
        <w:rPr>
          <w:rStyle w:val="46"/>
          <w:rFonts w:hint="eastAsia" w:ascii="宋体" w:hAnsi="宋体"/>
          <w:bCs/>
          <w:color w:val="auto"/>
          <w:kern w:val="44"/>
          <w:sz w:val="21"/>
          <w:szCs w:val="21"/>
        </w:rPr>
        <w:t>投标报价汇总表</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_Toc154064072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207</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11D78A6">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"_Toc154064073"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十、承包人建议书</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_Toc154064073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208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AB6B978">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"_Toc154064074"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（一）图纸</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_Toc154064074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208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38E946D9">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"_Toc154064075"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（二）工程详细说明</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_Toc154064075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208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674C333">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"_Toc154064076"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（三）设备方案</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_Toc154064076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208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348D53B">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"_Toc154064077"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（四）分包方案</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_Toc154064077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208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29DDA5D7">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"_Toc154064078"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（五）对发包人要求错误的说明</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_Toc154064078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208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30E6FABF">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"_Toc154064079"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（六）其他</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_Toc154064079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208</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4D8BE71B">
      <w:pPr>
        <w:pStyle w:val="32"/>
        <w:tabs>
          <w:tab w:val="right" w:leader="dot" w:pos="8296"/>
        </w:tabs>
        <w:ind w:firstLine="210" w:firstLineChars="100"/>
        <w:rPr>
          <w:rStyle w:val="46"/>
          <w:rFonts w:ascii="宋体" w:hAnsi="宋体"/>
          <w:bCs/>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"_Toc154064080"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十一、承包人实施计划</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_Toc154064080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209</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3A1BE982">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"_Toc154064081"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（一）概述</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_Toc154064081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209</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6D20CB13">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"_Toc154064082"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（二）总体实施方案</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_Toc154064082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209</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076988F6">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"_Toc154064083"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（三）项目实施要点</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_Toc154064083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209</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7E87C8C3">
      <w:pPr>
        <w:pStyle w:val="32"/>
        <w:tabs>
          <w:tab w:val="right" w:leader="dot" w:pos="8296"/>
        </w:tabs>
        <w:ind w:firstLine="420" w:firstLineChars="200"/>
        <w:rPr>
          <w:rStyle w:val="46"/>
          <w:rFonts w:ascii="宋体" w:hAnsi="宋体"/>
          <w:color w:val="auto"/>
          <w:kern w:val="44"/>
          <w:sz w:val="21"/>
          <w:szCs w:val="21"/>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"_Toc154064084"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（四）项目管理要点</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_Toc154064084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209</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5645D2E6">
      <w:pPr>
        <w:pStyle w:val="32"/>
        <w:tabs>
          <w:tab w:val="right" w:leader="dot" w:pos="8296"/>
        </w:tabs>
        <w:ind w:firstLine="210" w:firstLineChars="100"/>
        <w:rPr>
          <w:rStyle w:val="46"/>
          <w:rFonts w:ascii="Times New Roman" w:hAnsi="Times New Roman"/>
          <w:color w:val="auto"/>
          <w:kern w:val="44"/>
        </w:rPr>
      </w:pP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HYPERLINK \l "_Toc154064086" </w:instrText>
      </w:r>
      <w:r>
        <w:rPr>
          <w:rStyle w:val="46"/>
          <w:rFonts w:ascii="宋体" w:hAnsi="宋体"/>
          <w:bCs/>
          <w:color w:val="auto"/>
          <w:kern w:val="44"/>
          <w:sz w:val="21"/>
          <w:szCs w:val="21"/>
        </w:rPr>
        <w:fldChar w:fldCharType="separate"/>
      </w:r>
      <w:r>
        <w:rPr>
          <w:rStyle w:val="46"/>
          <w:rFonts w:hint="eastAsia" w:ascii="宋体" w:hAnsi="宋体"/>
          <w:bCs/>
          <w:color w:val="auto"/>
          <w:kern w:val="44"/>
          <w:sz w:val="21"/>
          <w:szCs w:val="21"/>
        </w:rPr>
        <w:t>十二、其他资料</w:t>
      </w:r>
      <w:r>
        <w:rPr>
          <w:rStyle w:val="46"/>
          <w:rFonts w:ascii="宋体" w:hAnsi="宋体"/>
          <w:bCs/>
          <w:color w:val="auto"/>
          <w:kern w:val="44"/>
          <w:sz w:val="21"/>
          <w:szCs w:val="21"/>
        </w:rPr>
        <w:tab/>
      </w:r>
      <w:r>
        <w:rPr>
          <w:rStyle w:val="46"/>
          <w:rFonts w:ascii="宋体" w:hAnsi="宋体"/>
          <w:bCs/>
          <w:color w:val="auto"/>
          <w:kern w:val="44"/>
          <w:sz w:val="21"/>
          <w:szCs w:val="21"/>
        </w:rPr>
        <w:fldChar w:fldCharType="begin"/>
      </w:r>
      <w:r>
        <w:rPr>
          <w:rStyle w:val="46"/>
          <w:rFonts w:ascii="宋体" w:hAnsi="宋体"/>
          <w:bCs/>
          <w:color w:val="auto"/>
          <w:kern w:val="44"/>
          <w:sz w:val="21"/>
          <w:szCs w:val="21"/>
        </w:rPr>
        <w:instrText xml:space="preserve"> PAGEREF _Toc154064086 \h </w:instrText>
      </w:r>
      <w:r>
        <w:rPr>
          <w:rStyle w:val="46"/>
          <w:rFonts w:ascii="宋体" w:hAnsi="宋体"/>
          <w:bCs/>
          <w:color w:val="auto"/>
          <w:kern w:val="44"/>
          <w:sz w:val="21"/>
          <w:szCs w:val="21"/>
        </w:rPr>
        <w:fldChar w:fldCharType="separate"/>
      </w:r>
      <w:r>
        <w:rPr>
          <w:rStyle w:val="46"/>
          <w:rFonts w:ascii="宋体" w:hAnsi="宋体"/>
          <w:bCs/>
          <w:color w:val="auto"/>
          <w:kern w:val="44"/>
          <w:sz w:val="21"/>
          <w:szCs w:val="21"/>
        </w:rPr>
        <w:t>217</w:t>
      </w:r>
      <w:r>
        <w:rPr>
          <w:rStyle w:val="46"/>
          <w:rFonts w:ascii="宋体" w:hAnsi="宋体"/>
          <w:bCs/>
          <w:color w:val="auto"/>
          <w:kern w:val="44"/>
          <w:sz w:val="21"/>
          <w:szCs w:val="21"/>
        </w:rPr>
        <w:fldChar w:fldCharType="end"/>
      </w:r>
      <w:r>
        <w:rPr>
          <w:rStyle w:val="46"/>
          <w:rFonts w:ascii="宋体" w:hAnsi="宋体"/>
          <w:bCs/>
          <w:color w:val="auto"/>
          <w:kern w:val="44"/>
          <w:sz w:val="21"/>
          <w:szCs w:val="21"/>
        </w:rPr>
        <w:fldChar w:fldCharType="end"/>
      </w:r>
    </w:p>
    <w:p w14:paraId="247BD55F">
      <w:pPr>
        <w:pStyle w:val="32"/>
        <w:tabs>
          <w:tab w:val="right" w:leader="dot" w:pos="8296"/>
        </w:tabs>
        <w:rPr>
          <w:rStyle w:val="46"/>
          <w:rFonts w:ascii="Times New Roman" w:hAnsi="Times New Roman"/>
          <w:color w:val="auto"/>
          <w:kern w:val="44"/>
        </w:rPr>
      </w:pPr>
      <w:r>
        <w:rPr>
          <w:rStyle w:val="46"/>
          <w:rFonts w:ascii="Times New Roman" w:hAnsi="Times New Roman"/>
          <w:color w:val="auto"/>
          <w:kern w:val="44"/>
        </w:rPr>
        <w:fldChar w:fldCharType="end"/>
      </w:r>
    </w:p>
    <w:p w14:paraId="0F18A2B0">
      <w:pPr>
        <w:rPr>
          <w:rStyle w:val="46"/>
          <w:rFonts w:hint="eastAsia" w:ascii="Times New Roman" w:hAnsi="Times New Roman"/>
          <w:color w:val="auto"/>
          <w:kern w:val="44"/>
        </w:rPr>
        <w:sectPr>
          <w:footerReference r:id="rId5" w:type="default"/>
          <w:pgSz w:w="11906" w:h="16838"/>
          <w:pgMar w:top="1440" w:right="1800" w:bottom="1440" w:left="1800" w:header="851" w:footer="992" w:gutter="0"/>
          <w:pgNumType w:fmt="upperRoman" w:start="1"/>
          <w:cols w:space="720" w:num="1"/>
          <w:docGrid w:type="lines" w:linePitch="312" w:charSpace="0"/>
        </w:sectPr>
      </w:pPr>
    </w:p>
    <w:p w14:paraId="2A3E96D4">
      <w:pPr>
        <w:pStyle w:val="100"/>
        <w:rPr>
          <w:rFonts w:hint="eastAsia"/>
          <w:color w:val="auto"/>
        </w:rPr>
      </w:pPr>
      <w:bookmarkStart w:id="4" w:name="_Toc519085251"/>
      <w:bookmarkStart w:id="5" w:name="_Toc2586"/>
      <w:bookmarkStart w:id="6" w:name="_Toc247513933"/>
      <w:bookmarkStart w:id="7" w:name="_Toc14588"/>
      <w:bookmarkStart w:id="8" w:name="_Toc154063350"/>
      <w:bookmarkStart w:id="9" w:name="_Toc247527534"/>
      <w:bookmarkStart w:id="10" w:name="_Toc5575"/>
      <w:bookmarkStart w:id="11" w:name="_Toc13887"/>
      <w:r>
        <w:rPr>
          <w:rFonts w:hint="eastAsia"/>
          <w:color w:val="auto"/>
        </w:rPr>
        <w:t>第一章 招标公告</w:t>
      </w:r>
      <w:bookmarkEnd w:id="4"/>
      <w:bookmarkEnd w:id="5"/>
      <w:bookmarkEnd w:id="6"/>
      <w:bookmarkEnd w:id="7"/>
      <w:bookmarkEnd w:id="8"/>
      <w:bookmarkEnd w:id="9"/>
      <w:bookmarkEnd w:id="10"/>
      <w:bookmarkEnd w:id="11"/>
    </w:p>
    <w:p w14:paraId="0C42D220">
      <w:pPr>
        <w:spacing w:line="460" w:lineRule="exact"/>
        <w:jc w:val="center"/>
        <w:rPr>
          <w:color w:val="auto"/>
        </w:rPr>
      </w:pPr>
      <w:r>
        <w:rPr>
          <w:rFonts w:hint="eastAsia" w:ascii="黑体" w:hAnsi="黑体" w:eastAsia="黑体" w:cs="黑体"/>
          <w:color w:val="auto"/>
          <w:sz w:val="28"/>
          <w:szCs w:val="28"/>
          <w:u w:val="single"/>
        </w:rPr>
        <w:t>英山县城区排涝系统完善工程（</w:t>
      </w:r>
      <w:r>
        <w:rPr>
          <w:rFonts w:hint="eastAsia" w:ascii="黑体" w:hAnsi="黑体" w:eastAsia="黑体" w:cs="黑体"/>
          <w:color w:val="auto"/>
          <w:sz w:val="28"/>
          <w:szCs w:val="28"/>
          <w:u w:val="single"/>
          <w:lang w:eastAsia="zh-CN"/>
        </w:rPr>
        <w:t>二期</w:t>
      </w:r>
      <w:r>
        <w:rPr>
          <w:rFonts w:hint="eastAsia" w:ascii="黑体" w:hAnsi="黑体" w:eastAsia="黑体" w:cs="黑体"/>
          <w:color w:val="auto"/>
          <w:sz w:val="28"/>
          <w:szCs w:val="28"/>
          <w:u w:val="single"/>
        </w:rPr>
        <w:t>）EPC总承包</w:t>
      </w:r>
      <w:r>
        <w:rPr>
          <w:rFonts w:hint="eastAsia" w:ascii="黑体" w:hAnsi="黑体" w:eastAsia="黑体" w:cs="黑体"/>
          <w:color w:val="auto"/>
          <w:sz w:val="28"/>
          <w:szCs w:val="28"/>
        </w:rPr>
        <w:t>（项目名称）</w:t>
      </w:r>
      <w:r>
        <w:rPr>
          <w:rFonts w:hint="eastAsia" w:ascii="黑体" w:hAnsi="黑体" w:eastAsia="黑体" w:cs="黑体"/>
          <w:color w:val="auto"/>
          <w:sz w:val="28"/>
          <w:szCs w:val="28"/>
          <w:u w:val="single"/>
        </w:rPr>
        <w:t>英山县城区排涝系统完善工程（</w:t>
      </w:r>
      <w:r>
        <w:rPr>
          <w:rFonts w:hint="eastAsia" w:ascii="黑体" w:hAnsi="黑体" w:eastAsia="黑体" w:cs="黑体"/>
          <w:color w:val="auto"/>
          <w:sz w:val="28"/>
          <w:szCs w:val="28"/>
          <w:u w:val="single"/>
          <w:lang w:eastAsia="zh-CN"/>
        </w:rPr>
        <w:t>二期</w:t>
      </w:r>
      <w:r>
        <w:rPr>
          <w:rFonts w:hint="eastAsia" w:ascii="黑体" w:hAnsi="黑体" w:eastAsia="黑体" w:cs="黑体"/>
          <w:color w:val="auto"/>
          <w:sz w:val="28"/>
          <w:szCs w:val="28"/>
          <w:u w:val="single"/>
        </w:rPr>
        <w:t>）EPC总承包</w:t>
      </w:r>
      <w:r>
        <w:rPr>
          <w:rFonts w:hint="eastAsia" w:ascii="黑体" w:hAnsi="黑体" w:eastAsia="黑体" w:cs="黑体"/>
          <w:color w:val="auto"/>
          <w:sz w:val="28"/>
          <w:szCs w:val="28"/>
        </w:rPr>
        <w:t>（标段名称）工程总承包招标公告</w:t>
      </w:r>
    </w:p>
    <w:p w14:paraId="022F6D6C">
      <w:pPr>
        <w:ind w:firstLine="3360" w:firstLineChars="1600"/>
        <w:rPr>
          <w:rFonts w:eastAsia="黑体"/>
          <w:color w:val="auto"/>
          <w:sz w:val="20"/>
          <w:szCs w:val="20"/>
        </w:rPr>
      </w:pPr>
      <w:r>
        <w:rPr>
          <w:rFonts w:hint="eastAsia" w:ascii="宋体" w:hAnsi="宋体"/>
          <w:color w:val="auto"/>
          <w:szCs w:val="21"/>
        </w:rPr>
        <w:t>招标编号：</w:t>
      </w:r>
      <w:r>
        <w:rPr>
          <w:rFonts w:hint="eastAsia" w:ascii="宋体" w:hAnsi="宋体"/>
          <w:color w:val="auto"/>
          <w:szCs w:val="21"/>
          <w:u w:val="single"/>
        </w:rPr>
        <w:t xml:space="preserve">        </w:t>
      </w:r>
    </w:p>
    <w:p w14:paraId="05E54CF6">
      <w:pPr>
        <w:pStyle w:val="3"/>
        <w:keepNext/>
        <w:keepLines/>
        <w:pageBreakBefore w:val="0"/>
        <w:widowControl w:val="0"/>
        <w:kinsoku/>
        <w:wordWrap/>
        <w:overflowPunct/>
        <w:topLinePunct w:val="0"/>
        <w:autoSpaceDE/>
        <w:autoSpaceDN/>
        <w:bidi w:val="0"/>
        <w:adjustRightInd/>
        <w:snapToGrid/>
        <w:spacing w:before="0" w:beforeLines="0" w:line="500" w:lineRule="exact"/>
        <w:textAlignment w:val="auto"/>
        <w:rPr>
          <w:color w:val="auto"/>
          <w:sz w:val="28"/>
          <w:szCs w:val="28"/>
        </w:rPr>
      </w:pPr>
      <w:bookmarkStart w:id="12" w:name="_Toc144974480"/>
      <w:bookmarkStart w:id="13" w:name="_Toc519085252"/>
      <w:bookmarkStart w:id="14" w:name="_Toc247527535"/>
      <w:bookmarkStart w:id="15" w:name="_Toc247513934"/>
      <w:bookmarkStart w:id="16" w:name="_Toc12424"/>
      <w:bookmarkStart w:id="17" w:name="_Toc154063351"/>
      <w:bookmarkStart w:id="18" w:name="_Toc21126"/>
      <w:bookmarkStart w:id="19" w:name="_Toc8374"/>
      <w:bookmarkStart w:id="20" w:name="_Toc6182"/>
      <w:bookmarkStart w:id="21" w:name="_Toc152045512"/>
      <w:bookmarkStart w:id="22" w:name="_Toc152042288"/>
      <w:r>
        <w:rPr>
          <w:rFonts w:ascii="Times New Roman" w:hAnsi="Times New Roman"/>
          <w:color w:val="auto"/>
          <w:sz w:val="28"/>
          <w:szCs w:val="28"/>
        </w:rPr>
        <w:t>1</w:t>
      </w:r>
      <w:r>
        <w:rPr>
          <w:color w:val="auto"/>
          <w:sz w:val="28"/>
          <w:szCs w:val="28"/>
        </w:rPr>
        <w:t>. 招标条件</w:t>
      </w:r>
      <w:bookmarkEnd w:id="12"/>
      <w:bookmarkEnd w:id="13"/>
      <w:bookmarkEnd w:id="14"/>
      <w:bookmarkEnd w:id="15"/>
      <w:bookmarkEnd w:id="16"/>
      <w:bookmarkEnd w:id="17"/>
      <w:bookmarkEnd w:id="18"/>
      <w:bookmarkEnd w:id="19"/>
      <w:bookmarkEnd w:id="20"/>
      <w:bookmarkEnd w:id="21"/>
      <w:bookmarkEnd w:id="22"/>
    </w:p>
    <w:p w14:paraId="07729C60">
      <w:pPr>
        <w:spacing w:line="460" w:lineRule="exact"/>
        <w:rPr>
          <w:rFonts w:hint="eastAsia" w:ascii="宋体" w:hAnsi="宋体" w:eastAsia="宋体" w:cs="宋体"/>
          <w:color w:val="auto"/>
          <w:szCs w:val="21"/>
        </w:rPr>
      </w:pPr>
      <w:r>
        <w:rPr>
          <w:color w:val="auto"/>
          <w:szCs w:val="21"/>
        </w:rPr>
        <w:t>　　</w:t>
      </w:r>
      <w:r>
        <w:rPr>
          <w:rFonts w:hint="eastAsia"/>
          <w:color w:val="auto"/>
          <w:szCs w:val="21"/>
        </w:rPr>
        <w:t>本招标</w:t>
      </w:r>
      <w:r>
        <w:rPr>
          <w:rFonts w:hint="eastAsia" w:ascii="宋体" w:hAnsi="宋体" w:eastAsia="宋体" w:cs="宋体"/>
          <w:color w:val="auto"/>
          <w:szCs w:val="21"/>
        </w:rPr>
        <w:t>项目</w:t>
      </w:r>
      <w:r>
        <w:rPr>
          <w:rFonts w:hint="eastAsia" w:ascii="宋体" w:hAnsi="宋体" w:eastAsia="宋体" w:cs="宋体"/>
          <w:color w:val="auto"/>
          <w:szCs w:val="21"/>
          <w:u w:val="single"/>
        </w:rPr>
        <w:t xml:space="preserve"> </w:t>
      </w:r>
      <w:r>
        <w:rPr>
          <w:rFonts w:hint="eastAsia" w:ascii="宋体" w:hAnsi="宋体" w:eastAsia="宋体" w:cs="宋体"/>
          <w:color w:val="auto"/>
          <w:sz w:val="24"/>
          <w:szCs w:val="24"/>
          <w:u w:val="single"/>
        </w:rPr>
        <w:t>英山县城区排涝系统完善工程（</w:t>
      </w:r>
      <w:r>
        <w:rPr>
          <w:rFonts w:hint="eastAsia" w:ascii="宋体" w:hAnsi="宋体" w:cs="宋体"/>
          <w:color w:val="auto"/>
          <w:sz w:val="24"/>
          <w:szCs w:val="24"/>
          <w:u w:val="single"/>
          <w:lang w:eastAsia="zh-CN"/>
        </w:rPr>
        <w:t>二期</w:t>
      </w:r>
      <w:r>
        <w:rPr>
          <w:rFonts w:hint="eastAsia" w:ascii="宋体" w:hAnsi="宋体" w:eastAsia="宋体" w:cs="宋体"/>
          <w:color w:val="auto"/>
          <w:sz w:val="24"/>
          <w:szCs w:val="24"/>
          <w:u w:val="single"/>
        </w:rPr>
        <w:t>）EPC总承包</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（项目名称）已由</w:t>
      </w:r>
      <w:r>
        <w:rPr>
          <w:rFonts w:hint="eastAsia" w:ascii="宋体" w:hAnsi="宋体" w:eastAsia="宋体" w:cs="宋体"/>
          <w:color w:val="auto"/>
          <w:szCs w:val="21"/>
          <w:u w:val="single"/>
        </w:rPr>
        <w:t xml:space="preserve"> </w:t>
      </w:r>
      <w:r>
        <w:rPr>
          <w:rFonts w:hint="eastAsia" w:ascii="宋体" w:hAnsi="宋体" w:eastAsia="宋体" w:cs="宋体"/>
          <w:color w:val="auto"/>
          <w:sz w:val="24"/>
          <w:szCs w:val="24"/>
          <w:u w:val="single"/>
        </w:rPr>
        <w:t>英山县发展和改革局</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（项目审批、核准或备案机关名称）以</w:t>
      </w:r>
      <w:r>
        <w:rPr>
          <w:rFonts w:hint="eastAsia" w:ascii="宋体" w:hAnsi="宋体" w:eastAsia="宋体" w:cs="宋体"/>
          <w:color w:val="auto"/>
          <w:szCs w:val="21"/>
          <w:u w:val="single"/>
        </w:rPr>
        <w:t xml:space="preserve"> </w:t>
      </w:r>
      <w:r>
        <w:rPr>
          <w:rFonts w:hint="eastAsia" w:ascii="宋体" w:hAnsi="宋体" w:eastAsia="宋体" w:cs="宋体"/>
          <w:color w:val="auto"/>
          <w:sz w:val="24"/>
          <w:szCs w:val="24"/>
          <w:u w:val="single"/>
          <w:lang w:val="en-US" w:eastAsia="zh-CN"/>
        </w:rPr>
        <w:t>关于英山县城区排涝系统完善工程初步设计的批复</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英发改审批〔2024〕142号</w:t>
      </w:r>
      <w:r>
        <w:rPr>
          <w:rFonts w:hint="eastAsia" w:ascii="宋体" w:hAnsi="宋体" w:eastAsia="宋体" w:cs="宋体"/>
          <w:color w:val="auto"/>
          <w:sz w:val="24"/>
          <w:szCs w:val="24"/>
          <w:u w:val="single"/>
          <w:lang w:eastAsia="zh-CN"/>
        </w:rPr>
        <w:t>）</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（批文名称及编号）批准建设，项目业主为</w:t>
      </w:r>
      <w:r>
        <w:rPr>
          <w:rFonts w:hint="eastAsia" w:ascii="宋体" w:hAnsi="宋体" w:eastAsia="宋体" w:cs="宋体"/>
          <w:color w:val="auto"/>
          <w:szCs w:val="21"/>
          <w:u w:val="single"/>
        </w:rPr>
        <w:t xml:space="preserve"> </w:t>
      </w:r>
      <w:r>
        <w:rPr>
          <w:rFonts w:hint="eastAsia" w:ascii="宋体" w:hAnsi="宋体" w:eastAsia="宋体" w:cs="宋体"/>
          <w:color w:val="auto"/>
          <w:sz w:val="24"/>
          <w:szCs w:val="24"/>
          <w:u w:val="single"/>
        </w:rPr>
        <w:t>英山县市政工程建设管理中心</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，建设资金来自</w:t>
      </w:r>
      <w:r>
        <w:rPr>
          <w:rFonts w:hint="eastAsia" w:ascii="宋体" w:hAnsi="宋体" w:eastAsia="宋体" w:cs="宋体"/>
          <w:color w:val="auto"/>
          <w:szCs w:val="21"/>
          <w:u w:val="single"/>
        </w:rPr>
        <w:t xml:space="preserve"> </w:t>
      </w:r>
      <w:r>
        <w:rPr>
          <w:rFonts w:hint="eastAsia" w:ascii="宋体" w:hAnsi="宋体" w:cs="宋体"/>
          <w:color w:val="auto"/>
          <w:sz w:val="24"/>
          <w:szCs w:val="24"/>
          <w:highlight w:val="none"/>
          <w:u w:val="single"/>
          <w:lang w:val="en-US" w:eastAsia="zh-CN"/>
        </w:rPr>
        <w:t>上级</w:t>
      </w:r>
      <w:r>
        <w:rPr>
          <w:rFonts w:hint="eastAsia" w:ascii="宋体" w:hAnsi="宋体" w:eastAsia="宋体" w:cs="宋体"/>
          <w:color w:val="auto"/>
          <w:sz w:val="24"/>
          <w:szCs w:val="24"/>
          <w:highlight w:val="none"/>
          <w:u w:val="single"/>
          <w:lang w:val="en-US" w:eastAsia="zh-CN"/>
        </w:rPr>
        <w:t>资金</w:t>
      </w:r>
      <w:r>
        <w:rPr>
          <w:rFonts w:hint="eastAsia" w:ascii="宋体" w:hAnsi="宋体" w:cs="宋体"/>
          <w:color w:val="auto"/>
          <w:sz w:val="24"/>
          <w:szCs w:val="24"/>
          <w:highlight w:val="none"/>
          <w:u w:val="single"/>
          <w:lang w:val="en-US" w:eastAsia="zh-CN"/>
        </w:rPr>
        <w:t>及自筹</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（资金来源），出资比例为</w:t>
      </w:r>
      <w:r>
        <w:rPr>
          <w:rFonts w:hint="eastAsia" w:ascii="宋体" w:hAnsi="宋体" w:eastAsia="宋体" w:cs="宋体"/>
          <w:color w:val="auto"/>
          <w:szCs w:val="21"/>
          <w:u w:val="single"/>
        </w:rPr>
        <w:t xml:space="preserve"> </w:t>
      </w:r>
      <w:r>
        <w:rPr>
          <w:rFonts w:hint="eastAsia" w:ascii="宋体" w:hAnsi="宋体" w:eastAsia="宋体" w:cs="宋体"/>
          <w:color w:val="auto"/>
          <w:sz w:val="24"/>
          <w:szCs w:val="24"/>
          <w:u w:val="single"/>
        </w:rPr>
        <w:t>上级资金</w:t>
      </w:r>
      <w:r>
        <w:rPr>
          <w:rFonts w:hint="eastAsia" w:ascii="宋体" w:hAnsi="宋体" w:cs="宋体"/>
          <w:color w:val="auto"/>
          <w:sz w:val="24"/>
          <w:szCs w:val="24"/>
          <w:u w:val="single"/>
          <w:lang w:val="en-US" w:eastAsia="zh-CN"/>
        </w:rPr>
        <w:t>55%</w:t>
      </w:r>
      <w:r>
        <w:rPr>
          <w:rFonts w:hint="eastAsia" w:ascii="宋体" w:hAnsi="宋体" w:eastAsia="宋体" w:cs="宋体"/>
          <w:color w:val="auto"/>
          <w:sz w:val="24"/>
          <w:szCs w:val="24"/>
          <w:u w:val="single"/>
        </w:rPr>
        <w:t>、自筹</w:t>
      </w:r>
      <w:r>
        <w:rPr>
          <w:rFonts w:hint="eastAsia" w:ascii="宋体" w:hAnsi="宋体" w:cs="宋体"/>
          <w:color w:val="auto"/>
          <w:sz w:val="24"/>
          <w:szCs w:val="24"/>
          <w:u w:val="single"/>
          <w:lang w:val="en-US" w:eastAsia="zh-CN"/>
        </w:rPr>
        <w:t>45%</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，招标人为</w:t>
      </w:r>
      <w:r>
        <w:rPr>
          <w:rFonts w:hint="eastAsia" w:ascii="宋体" w:hAnsi="宋体" w:eastAsia="宋体" w:cs="宋体"/>
          <w:color w:val="auto"/>
          <w:szCs w:val="21"/>
          <w:u w:val="single"/>
        </w:rPr>
        <w:t xml:space="preserve"> </w:t>
      </w:r>
      <w:r>
        <w:rPr>
          <w:rFonts w:hint="eastAsia" w:ascii="宋体" w:hAnsi="宋体" w:eastAsia="宋体" w:cs="宋体"/>
          <w:color w:val="auto"/>
          <w:sz w:val="24"/>
          <w:szCs w:val="24"/>
          <w:u w:val="single"/>
        </w:rPr>
        <w:t>英山县市政工程建设管理中心</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，招标代理机构为：</w:t>
      </w:r>
      <w:r>
        <w:rPr>
          <w:rFonts w:hint="eastAsia" w:ascii="宋体" w:hAnsi="宋体" w:eastAsia="宋体" w:cs="宋体"/>
          <w:color w:val="auto"/>
          <w:szCs w:val="21"/>
          <w:u w:val="single"/>
        </w:rPr>
        <w:t xml:space="preserve"> </w:t>
      </w:r>
      <w:r>
        <w:rPr>
          <w:rFonts w:hint="eastAsia" w:ascii="宋体" w:hAnsi="宋体" w:eastAsia="宋体" w:cs="宋体"/>
          <w:color w:val="auto"/>
          <w:sz w:val="24"/>
          <w:szCs w:val="24"/>
          <w:u w:val="single"/>
          <w:lang w:val="en-US" w:eastAsia="zh-CN"/>
        </w:rPr>
        <w:t>湖北正浩项目管理有限公司</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。项目已具备招标条件，现对该项目的工程总承包进行公开招标。</w:t>
      </w:r>
    </w:p>
    <w:p w14:paraId="728C5BD4">
      <w:pPr>
        <w:pStyle w:val="3"/>
        <w:keepNext/>
        <w:keepLines/>
        <w:pageBreakBefore w:val="0"/>
        <w:widowControl w:val="0"/>
        <w:kinsoku/>
        <w:wordWrap/>
        <w:overflowPunct/>
        <w:topLinePunct w:val="0"/>
        <w:autoSpaceDE/>
        <w:autoSpaceDN/>
        <w:bidi w:val="0"/>
        <w:adjustRightInd/>
        <w:snapToGrid/>
        <w:spacing w:before="0" w:beforeLines="0" w:line="500" w:lineRule="exact"/>
        <w:textAlignment w:val="auto"/>
        <w:rPr>
          <w:rFonts w:ascii="Times New Roman" w:hAnsi="Times New Roman"/>
          <w:color w:val="auto"/>
          <w:sz w:val="28"/>
          <w:szCs w:val="28"/>
        </w:rPr>
      </w:pPr>
      <w:bookmarkStart w:id="23" w:name="_Toc152042289"/>
      <w:bookmarkStart w:id="24" w:name="_Toc22154"/>
      <w:bookmarkStart w:id="25" w:name="_Toc144974481"/>
      <w:bookmarkStart w:id="26" w:name="_Toc2490"/>
      <w:bookmarkStart w:id="27" w:name="_Toc3302"/>
      <w:bookmarkStart w:id="28" w:name="_Toc247513935"/>
      <w:bookmarkStart w:id="29" w:name="_Toc22989"/>
      <w:bookmarkStart w:id="30" w:name="_Toc519085253"/>
      <w:bookmarkStart w:id="31" w:name="_Toc247527536"/>
      <w:bookmarkStart w:id="32" w:name="_Toc154063352"/>
      <w:bookmarkStart w:id="33" w:name="_Toc152045513"/>
      <w:r>
        <w:rPr>
          <w:rFonts w:ascii="Times New Roman" w:hAnsi="Times New Roman"/>
          <w:color w:val="auto"/>
          <w:sz w:val="28"/>
          <w:szCs w:val="28"/>
        </w:rPr>
        <w:t>2. 项目概况与招标范围</w:t>
      </w:r>
      <w:bookmarkEnd w:id="23"/>
      <w:bookmarkEnd w:id="24"/>
      <w:bookmarkEnd w:id="25"/>
      <w:bookmarkEnd w:id="26"/>
      <w:bookmarkEnd w:id="27"/>
      <w:bookmarkEnd w:id="28"/>
      <w:bookmarkEnd w:id="29"/>
      <w:bookmarkEnd w:id="30"/>
      <w:bookmarkEnd w:id="31"/>
      <w:bookmarkEnd w:id="32"/>
      <w:bookmarkEnd w:id="33"/>
    </w:p>
    <w:p w14:paraId="5BCE0954">
      <w:pPr>
        <w:spacing w:line="480" w:lineRule="exact"/>
        <w:ind w:firstLine="420" w:firstLineChars="200"/>
        <w:outlineLvl w:val="0"/>
        <w:rPr>
          <w:rFonts w:hint="eastAsia"/>
          <w:color w:val="auto"/>
          <w:szCs w:val="21"/>
        </w:rPr>
      </w:pPr>
      <w:bookmarkStart w:id="34" w:name="_Toc3980367"/>
      <w:bookmarkStart w:id="35" w:name="_Toc154063353"/>
      <w:bookmarkStart w:id="36" w:name="_Toc3980815"/>
      <w:bookmarkStart w:id="37" w:name="_Toc78046433"/>
      <w:bookmarkStart w:id="38" w:name="_Toc247513936"/>
      <w:bookmarkStart w:id="39" w:name="_Toc152045514"/>
      <w:bookmarkStart w:id="40" w:name="_Toc247527537"/>
      <w:bookmarkStart w:id="41" w:name="_Toc519085254"/>
      <w:bookmarkStart w:id="42" w:name="_Toc144974482"/>
      <w:bookmarkStart w:id="43" w:name="_Toc152042290"/>
      <w:bookmarkStart w:id="44" w:name="_Toc20818"/>
      <w:r>
        <w:rPr>
          <w:color w:val="auto"/>
          <w:szCs w:val="21"/>
        </w:rPr>
        <w:t xml:space="preserve">2.1 </w:t>
      </w:r>
      <w:r>
        <w:rPr>
          <w:rFonts w:hint="eastAsia"/>
          <w:color w:val="auto"/>
          <w:szCs w:val="21"/>
        </w:rPr>
        <w:t>项目概况</w:t>
      </w:r>
      <w:bookmarkEnd w:id="34"/>
      <w:bookmarkEnd w:id="35"/>
      <w:bookmarkEnd w:id="36"/>
      <w:bookmarkEnd w:id="37"/>
    </w:p>
    <w:p w14:paraId="1DC5D27A">
      <w:pPr>
        <w:spacing w:line="480" w:lineRule="exact"/>
        <w:ind w:firstLine="840" w:firstLineChars="400"/>
        <w:rPr>
          <w:rFonts w:hint="eastAsia"/>
          <w:color w:val="auto"/>
          <w:szCs w:val="21"/>
          <w:u w:val="single"/>
        </w:rPr>
      </w:pPr>
      <w:r>
        <w:rPr>
          <w:rFonts w:hint="eastAsia"/>
          <w:color w:val="auto"/>
          <w:szCs w:val="21"/>
        </w:rPr>
        <w:t>建设地点：</w:t>
      </w:r>
      <w:r>
        <w:rPr>
          <w:rFonts w:hint="eastAsia" w:ascii="宋体" w:hAnsi="宋体" w:eastAsia="宋体" w:cs="宋体"/>
          <w:color w:val="auto"/>
          <w:sz w:val="24"/>
          <w:szCs w:val="24"/>
          <w:u w:val="single"/>
        </w:rPr>
        <w:t>英山县城区</w:t>
      </w:r>
      <w:r>
        <w:rPr>
          <w:rFonts w:hint="eastAsia"/>
          <w:color w:val="auto"/>
          <w:szCs w:val="21"/>
          <w:u w:val="single"/>
        </w:rPr>
        <w:t xml:space="preserve"> </w:t>
      </w:r>
      <w:r>
        <w:rPr>
          <w:rFonts w:hint="eastAsia"/>
          <w:color w:val="auto"/>
          <w:szCs w:val="21"/>
        </w:rPr>
        <w:t>。</w:t>
      </w:r>
    </w:p>
    <w:p w14:paraId="4FB6CD1F">
      <w:pPr>
        <w:spacing w:line="480" w:lineRule="exact"/>
        <w:ind w:firstLine="840" w:firstLineChars="400"/>
        <w:rPr>
          <w:rFonts w:hint="eastAsia"/>
          <w:color w:val="auto"/>
          <w:szCs w:val="21"/>
          <w:u w:val="single"/>
        </w:rPr>
      </w:pPr>
      <w:r>
        <w:rPr>
          <w:rFonts w:hint="eastAsia"/>
          <w:color w:val="auto"/>
          <w:szCs w:val="21"/>
        </w:rPr>
        <w:t>建设规模：</w:t>
      </w:r>
      <w:r>
        <w:rPr>
          <w:rFonts w:hint="eastAsia" w:ascii="宋体" w:hAnsi="宋体" w:eastAsia="宋体" w:cs="宋体"/>
          <w:color w:val="auto"/>
          <w:sz w:val="24"/>
          <w:szCs w:val="24"/>
          <w:u w:val="single"/>
        </w:rPr>
        <w:t>本工程包括城西新城片区缫丝厂排涝通道延伸310m、坡儿垴片区坡儿垴东侧排涝通道1335m</w:t>
      </w:r>
      <w:r>
        <w:rPr>
          <w:rFonts w:hint="eastAsia"/>
          <w:color w:val="auto"/>
          <w:szCs w:val="21"/>
          <w:u w:val="single"/>
        </w:rPr>
        <w:t xml:space="preserve"> </w:t>
      </w:r>
      <w:r>
        <w:rPr>
          <w:rFonts w:hint="eastAsia"/>
          <w:color w:val="auto"/>
          <w:szCs w:val="21"/>
        </w:rPr>
        <w:t>。</w:t>
      </w:r>
    </w:p>
    <w:p w14:paraId="2F4D1208">
      <w:pPr>
        <w:spacing w:line="480" w:lineRule="exact"/>
        <w:ind w:firstLine="840" w:firstLineChars="400"/>
        <w:rPr>
          <w:rFonts w:hint="eastAsia"/>
          <w:color w:val="auto"/>
          <w:szCs w:val="21"/>
        </w:rPr>
      </w:pPr>
      <w:r>
        <w:rPr>
          <w:rFonts w:hint="eastAsia"/>
          <w:color w:val="auto"/>
          <w:szCs w:val="21"/>
        </w:rPr>
        <w:t>其他：</w:t>
      </w:r>
      <w:r>
        <w:rPr>
          <w:rFonts w:hint="eastAsia"/>
          <w:color w:val="auto"/>
          <w:szCs w:val="21"/>
          <w:u w:val="single"/>
        </w:rPr>
        <w:t xml:space="preserve">   </w:t>
      </w:r>
      <w:r>
        <w:rPr>
          <w:rFonts w:hint="eastAsia" w:ascii="宋体" w:hAnsi="宋体" w:eastAsia="宋体" w:cs="宋体"/>
          <w:color w:val="auto"/>
          <w:sz w:val="24"/>
          <w:szCs w:val="24"/>
          <w:u w:val="single"/>
          <w:lang w:val="en-US" w:eastAsia="zh-CN"/>
        </w:rPr>
        <w:t>/</w:t>
      </w:r>
      <w:r>
        <w:rPr>
          <w:rFonts w:hint="eastAsia"/>
          <w:color w:val="auto"/>
          <w:szCs w:val="21"/>
          <w:u w:val="single"/>
        </w:rPr>
        <w:t xml:space="preserve">   </w:t>
      </w:r>
      <w:r>
        <w:rPr>
          <w:rFonts w:hint="eastAsia"/>
          <w:color w:val="auto"/>
          <w:szCs w:val="21"/>
        </w:rPr>
        <w:t>。</w:t>
      </w:r>
    </w:p>
    <w:p w14:paraId="1C1C5768">
      <w:pPr>
        <w:spacing w:line="480" w:lineRule="exact"/>
        <w:ind w:firstLine="420" w:firstLineChars="200"/>
        <w:outlineLvl w:val="0"/>
        <w:rPr>
          <w:rFonts w:hint="eastAsia"/>
          <w:color w:val="auto"/>
          <w:szCs w:val="21"/>
        </w:rPr>
      </w:pPr>
      <w:bookmarkStart w:id="45" w:name="_Toc3980368"/>
      <w:bookmarkStart w:id="46" w:name="_Toc3980816"/>
      <w:bookmarkStart w:id="47" w:name="_Toc154063354"/>
      <w:bookmarkStart w:id="48" w:name="_Toc78046434"/>
      <w:r>
        <w:rPr>
          <w:color w:val="auto"/>
          <w:szCs w:val="21"/>
        </w:rPr>
        <w:t>2.</w:t>
      </w:r>
      <w:r>
        <w:rPr>
          <w:rFonts w:hint="eastAsia"/>
          <w:color w:val="auto"/>
          <w:szCs w:val="21"/>
        </w:rPr>
        <w:t>2 招标范围</w:t>
      </w:r>
      <w:bookmarkEnd w:id="45"/>
      <w:bookmarkEnd w:id="46"/>
      <w:bookmarkEnd w:id="47"/>
      <w:bookmarkEnd w:id="48"/>
    </w:p>
    <w:p w14:paraId="72B2CD54">
      <w:pPr>
        <w:spacing w:line="480" w:lineRule="exact"/>
        <w:ind w:firstLine="840" w:firstLineChars="400"/>
        <w:rPr>
          <w:rFonts w:hint="eastAsia"/>
          <w:color w:val="auto"/>
          <w:szCs w:val="21"/>
        </w:rPr>
      </w:pPr>
      <w:r>
        <w:rPr>
          <w:rFonts w:hint="eastAsia"/>
          <w:color w:val="auto"/>
          <w:szCs w:val="21"/>
        </w:rPr>
        <w:t>招标范围：</w:t>
      </w:r>
      <w:r>
        <w:rPr>
          <w:rFonts w:hint="eastAsia" w:ascii="宋体" w:hAnsi="宋体" w:eastAsia="宋体" w:cs="宋体"/>
          <w:color w:val="auto"/>
          <w:sz w:val="24"/>
          <w:szCs w:val="24"/>
          <w:u w:val="single"/>
        </w:rPr>
        <w:t>本项目采用设计采购及施工工程总承包（EPC），即工程总承包方承担本工程的施工图设计、采购、施工、验收、试运行、移交、保修等工程施工相关管理工作，包括但不限于：竣工验收、项目移交、交档备案等工作；配合发包人完成EPC总承包范围内所有建设许可报建报批工作，直至取得竣工验收备案证书的所有工作，并对承包工程的质量、安全、工期、造价全面负责；项目实施阶段，根据项目实施和资金情况，业主可以减少、调整和优化建设内容</w:t>
      </w:r>
      <w:r>
        <w:rPr>
          <w:rFonts w:hint="eastAsia"/>
          <w:color w:val="auto"/>
          <w:szCs w:val="21"/>
          <w:u w:val="single"/>
        </w:rPr>
        <w:t xml:space="preserve"> </w:t>
      </w:r>
      <w:r>
        <w:rPr>
          <w:rFonts w:hint="eastAsia"/>
          <w:color w:val="auto"/>
          <w:szCs w:val="21"/>
        </w:rPr>
        <w:t>。</w:t>
      </w:r>
    </w:p>
    <w:p w14:paraId="2A7393E0">
      <w:pPr>
        <w:spacing w:line="480" w:lineRule="exact"/>
        <w:ind w:firstLine="840" w:firstLineChars="400"/>
        <w:rPr>
          <w:rFonts w:hint="eastAsia"/>
          <w:color w:val="auto"/>
          <w:szCs w:val="21"/>
          <w:u w:val="single"/>
        </w:rPr>
      </w:pPr>
      <w:r>
        <w:rPr>
          <w:rFonts w:hint="eastAsia"/>
          <w:color w:val="auto"/>
          <w:szCs w:val="21"/>
        </w:rPr>
        <w:t>标段划分：</w:t>
      </w:r>
      <w:r>
        <w:rPr>
          <w:rFonts w:hint="eastAsia" w:ascii="宋体" w:hAnsi="宋体" w:eastAsia="宋体" w:cs="宋体"/>
          <w:color w:val="auto"/>
          <w:sz w:val="24"/>
          <w:szCs w:val="24"/>
          <w:u w:val="single"/>
          <w:lang w:val="en-US" w:eastAsia="zh-CN"/>
        </w:rPr>
        <w:t>1个标段</w:t>
      </w:r>
      <w:r>
        <w:rPr>
          <w:rFonts w:hint="eastAsia"/>
          <w:color w:val="auto"/>
          <w:szCs w:val="21"/>
          <w:u w:val="single"/>
        </w:rPr>
        <w:t xml:space="preserve"> </w:t>
      </w:r>
      <w:r>
        <w:rPr>
          <w:rFonts w:hint="eastAsia"/>
          <w:color w:val="auto"/>
          <w:szCs w:val="21"/>
        </w:rPr>
        <w:t>。</w:t>
      </w:r>
    </w:p>
    <w:p w14:paraId="6E12BBFF">
      <w:pPr>
        <w:spacing w:line="480" w:lineRule="exact"/>
        <w:ind w:firstLine="840" w:firstLineChars="400"/>
        <w:rPr>
          <w:rFonts w:hint="eastAsia"/>
          <w:color w:val="auto"/>
          <w:szCs w:val="21"/>
          <w:u w:val="single"/>
        </w:rPr>
      </w:pPr>
      <w:r>
        <w:rPr>
          <w:rFonts w:hint="eastAsia"/>
          <w:color w:val="auto"/>
          <w:szCs w:val="21"/>
        </w:rPr>
        <w:t>计划工期：</w:t>
      </w:r>
      <w:r>
        <w:rPr>
          <w:rFonts w:hint="eastAsia"/>
          <w:color w:val="auto"/>
          <w:szCs w:val="21"/>
          <w:u w:val="single"/>
        </w:rPr>
        <w:t xml:space="preserve">  </w:t>
      </w:r>
      <w:r>
        <w:rPr>
          <w:rFonts w:hint="eastAsia" w:ascii="宋体" w:hAnsi="宋体" w:eastAsia="宋体" w:cs="宋体"/>
          <w:color w:val="auto"/>
          <w:sz w:val="24"/>
          <w:szCs w:val="24"/>
          <w:u w:val="single"/>
          <w:lang w:val="en-US" w:eastAsia="zh-CN"/>
        </w:rPr>
        <w:t>36</w:t>
      </w:r>
      <w:r>
        <w:rPr>
          <w:rFonts w:hint="eastAsia" w:ascii="宋体" w:hAnsi="宋体" w:cs="宋体"/>
          <w:color w:val="auto"/>
          <w:sz w:val="24"/>
          <w:szCs w:val="24"/>
          <w:u w:val="single"/>
          <w:lang w:val="en-US" w:eastAsia="zh-CN"/>
        </w:rPr>
        <w:t>5</w:t>
      </w:r>
      <w:r>
        <w:rPr>
          <w:rFonts w:hint="eastAsia"/>
          <w:color w:val="auto"/>
          <w:szCs w:val="21"/>
          <w:u w:val="single"/>
        </w:rPr>
        <w:t xml:space="preserve">  </w:t>
      </w:r>
      <w:r>
        <w:rPr>
          <w:rFonts w:hint="eastAsia"/>
          <w:color w:val="auto"/>
          <w:szCs w:val="21"/>
        </w:rPr>
        <w:t>日历天，计划开始工作日期</w:t>
      </w:r>
      <w:r>
        <w:rPr>
          <w:rFonts w:hint="eastAsia"/>
          <w:color w:val="auto"/>
          <w:szCs w:val="21"/>
          <w:u w:val="single"/>
        </w:rPr>
        <w:t xml:space="preserve">                  </w:t>
      </w:r>
      <w:r>
        <w:rPr>
          <w:rFonts w:hint="eastAsia"/>
          <w:color w:val="auto"/>
          <w:szCs w:val="21"/>
        </w:rPr>
        <w:t>。</w:t>
      </w:r>
    </w:p>
    <w:p w14:paraId="4FC5980E">
      <w:pPr>
        <w:spacing w:line="480" w:lineRule="exact"/>
        <w:ind w:firstLine="840" w:firstLineChars="400"/>
        <w:rPr>
          <w:rFonts w:hint="eastAsia"/>
          <w:color w:val="auto"/>
          <w:szCs w:val="21"/>
        </w:rPr>
      </w:pPr>
      <w:r>
        <w:rPr>
          <w:rFonts w:hint="eastAsia"/>
          <w:color w:val="auto"/>
          <w:szCs w:val="21"/>
        </w:rPr>
        <w:t>合同估算价：</w:t>
      </w:r>
      <w:r>
        <w:rPr>
          <w:rFonts w:hint="eastAsia" w:ascii="宋体" w:hAnsi="宋体" w:eastAsia="宋体" w:cs="宋体"/>
          <w:color w:val="auto"/>
          <w:sz w:val="24"/>
          <w:szCs w:val="24"/>
          <w:u w:val="single"/>
          <w:lang w:val="en-US" w:eastAsia="zh-CN"/>
        </w:rPr>
        <w:t>2857.23</w:t>
      </w:r>
      <w:r>
        <w:rPr>
          <w:rFonts w:hint="eastAsia" w:ascii="宋体" w:hAnsi="宋体" w:eastAsia="宋体" w:cs="宋体"/>
          <w:color w:val="auto"/>
          <w:sz w:val="24"/>
          <w:szCs w:val="24"/>
          <w:highlight w:val="none"/>
          <w:u w:val="single"/>
          <w:lang w:val="en-US" w:eastAsia="zh-CN"/>
        </w:rPr>
        <w:t>万元</w:t>
      </w:r>
      <w:r>
        <w:rPr>
          <w:rFonts w:hint="eastAsia"/>
          <w:color w:val="auto"/>
          <w:szCs w:val="21"/>
          <w:u w:val="single"/>
        </w:rPr>
        <w:t xml:space="preserve"> </w:t>
      </w:r>
      <w:r>
        <w:rPr>
          <w:rFonts w:hint="eastAsia"/>
          <w:color w:val="auto"/>
          <w:szCs w:val="21"/>
        </w:rPr>
        <w:t>。</w:t>
      </w:r>
    </w:p>
    <w:p w14:paraId="20EA8BD5">
      <w:pPr>
        <w:spacing w:line="460" w:lineRule="exact"/>
        <w:ind w:firstLine="437"/>
        <w:rPr>
          <w:rFonts w:hint="eastAsia"/>
          <w:color w:val="auto"/>
        </w:rPr>
      </w:pPr>
      <w:r>
        <w:rPr>
          <w:color w:val="auto"/>
          <w:szCs w:val="21"/>
        </w:rPr>
        <w:t>2.</w:t>
      </w:r>
      <w:r>
        <w:rPr>
          <w:rFonts w:hint="eastAsia"/>
          <w:color w:val="auto"/>
          <w:szCs w:val="21"/>
        </w:rPr>
        <w:t>3 其他：</w:t>
      </w:r>
      <w:r>
        <w:rPr>
          <w:rFonts w:hint="eastAsia"/>
          <w:color w:val="auto"/>
          <w:szCs w:val="21"/>
          <w:u w:val="single"/>
        </w:rPr>
        <w:t xml:space="preserve">   </w:t>
      </w:r>
      <w:r>
        <w:rPr>
          <w:rFonts w:hint="eastAsia" w:ascii="宋体" w:hAnsi="宋体" w:eastAsia="宋体" w:cs="宋体"/>
          <w:color w:val="auto"/>
          <w:sz w:val="24"/>
          <w:szCs w:val="24"/>
          <w:u w:val="single"/>
          <w:lang w:val="en-US" w:eastAsia="zh-CN"/>
        </w:rPr>
        <w:t>/</w:t>
      </w:r>
      <w:r>
        <w:rPr>
          <w:rFonts w:hint="eastAsia"/>
          <w:color w:val="auto"/>
          <w:szCs w:val="21"/>
          <w:u w:val="single"/>
        </w:rPr>
        <w:t xml:space="preserve"> </w:t>
      </w:r>
      <w:r>
        <w:rPr>
          <w:rFonts w:hint="eastAsia"/>
          <w:color w:val="auto"/>
          <w:szCs w:val="21"/>
          <w:u w:val="single"/>
          <w:lang w:val="en-US" w:eastAsia="zh-CN"/>
        </w:rPr>
        <w:t xml:space="preserve"> </w:t>
      </w:r>
      <w:r>
        <w:rPr>
          <w:rFonts w:hint="eastAsia"/>
          <w:color w:val="auto"/>
          <w:szCs w:val="21"/>
          <w:u w:val="single"/>
        </w:rPr>
        <w:t xml:space="preserve"> </w:t>
      </w:r>
      <w:r>
        <w:rPr>
          <w:rFonts w:hint="eastAsia"/>
          <w:color w:val="auto"/>
          <w:szCs w:val="21"/>
        </w:rPr>
        <w:t>。</w:t>
      </w:r>
    </w:p>
    <w:p w14:paraId="4889BDC8">
      <w:pPr>
        <w:pStyle w:val="3"/>
        <w:keepNext/>
        <w:keepLines/>
        <w:pageBreakBefore w:val="0"/>
        <w:widowControl w:val="0"/>
        <w:kinsoku/>
        <w:wordWrap/>
        <w:overflowPunct/>
        <w:topLinePunct w:val="0"/>
        <w:autoSpaceDE/>
        <w:autoSpaceDN/>
        <w:bidi w:val="0"/>
        <w:adjustRightInd/>
        <w:snapToGrid/>
        <w:spacing w:before="0" w:beforeLines="0" w:line="500" w:lineRule="exact"/>
        <w:textAlignment w:val="auto"/>
        <w:rPr>
          <w:rFonts w:ascii="Times New Roman" w:hAnsi="Times New Roman"/>
          <w:color w:val="auto"/>
          <w:sz w:val="28"/>
          <w:szCs w:val="28"/>
        </w:rPr>
      </w:pPr>
      <w:bookmarkStart w:id="49" w:name="_Toc12582"/>
      <w:bookmarkStart w:id="50" w:name="_Toc154063355"/>
      <w:bookmarkStart w:id="51" w:name="_Toc16437"/>
      <w:bookmarkStart w:id="52" w:name="_Toc11833"/>
      <w:r>
        <w:rPr>
          <w:rFonts w:ascii="Times New Roman" w:hAnsi="Times New Roman"/>
          <w:color w:val="auto"/>
          <w:sz w:val="28"/>
          <w:szCs w:val="28"/>
        </w:rPr>
        <w:t>3. 投标人资格要求</w:t>
      </w:r>
      <w:bookmarkEnd w:id="38"/>
      <w:bookmarkEnd w:id="39"/>
      <w:bookmarkEnd w:id="40"/>
      <w:bookmarkEnd w:id="41"/>
      <w:bookmarkEnd w:id="42"/>
      <w:bookmarkEnd w:id="43"/>
      <w:bookmarkEnd w:id="44"/>
      <w:bookmarkEnd w:id="49"/>
      <w:bookmarkEnd w:id="50"/>
      <w:bookmarkEnd w:id="51"/>
      <w:bookmarkEnd w:id="52"/>
    </w:p>
    <w:p w14:paraId="1F8FA373">
      <w:pPr>
        <w:spacing w:line="460" w:lineRule="exact"/>
        <w:ind w:firstLine="420" w:firstLineChars="200"/>
        <w:rPr>
          <w:rFonts w:hint="eastAsia" w:ascii="宋体" w:hAnsi="宋体" w:cs="宋体"/>
          <w:color w:val="auto"/>
          <w:sz w:val="24"/>
          <w:szCs w:val="24"/>
          <w:u w:val="single"/>
          <w:lang w:val="en-US" w:eastAsia="zh-CN"/>
        </w:rPr>
      </w:pPr>
      <w:r>
        <w:rPr>
          <w:color w:val="auto"/>
          <w:szCs w:val="21"/>
        </w:rPr>
        <w:t>3.1 本次招标要求投标人须具备</w:t>
      </w:r>
      <w:r>
        <w:rPr>
          <w:color w:val="auto"/>
          <w:szCs w:val="21"/>
          <w:u w:val="single"/>
        </w:rPr>
        <w:t xml:space="preserve"> </w:t>
      </w:r>
      <w:r>
        <w:rPr>
          <w:rFonts w:hint="eastAsia" w:ascii="宋体" w:hAnsi="宋体" w:eastAsia="宋体" w:cs="宋体"/>
          <w:color w:val="auto"/>
          <w:sz w:val="24"/>
          <w:szCs w:val="24"/>
          <w:u w:val="single"/>
        </w:rPr>
        <w:t>1、本次招标要求投标人须同时具备：（1）建设行政主管部门颁发的市政工程施工总承包贰级及以上资质，且具有有效的安全生产许可证，并在人员、设备、资金等方面具备相应的施工能力；（2）具备建设行政主管部门颁发的工程设计综合甲级资质或市政行业乙级及以上资质或工程设计市政行业（燃气工程、轨道交通工程除外）乙级及以上资质</w:t>
      </w:r>
      <w:r>
        <w:rPr>
          <w:rFonts w:hint="eastAsia" w:ascii="宋体" w:hAnsi="宋体" w:cs="宋体"/>
          <w:color w:val="auto"/>
          <w:sz w:val="24"/>
          <w:szCs w:val="24"/>
          <w:u w:val="single"/>
          <w:lang w:val="en-US" w:eastAsia="zh-CN"/>
        </w:rPr>
        <w:t>或</w:t>
      </w:r>
      <w:r>
        <w:rPr>
          <w:rFonts w:hint="eastAsia" w:ascii="宋体" w:hAnsi="宋体" w:eastAsia="宋体" w:cs="宋体"/>
          <w:color w:val="auto"/>
          <w:sz w:val="24"/>
          <w:szCs w:val="24"/>
          <w:u w:val="single"/>
        </w:rPr>
        <w:t>市政行业（排水工程）专业乙级及以上设计资质</w:t>
      </w:r>
      <w:r>
        <w:rPr>
          <w:rFonts w:hint="eastAsia" w:ascii="宋体" w:hAnsi="宋体" w:cs="宋体"/>
          <w:color w:val="auto"/>
          <w:sz w:val="24"/>
          <w:szCs w:val="24"/>
          <w:u w:val="single"/>
          <w:lang w:eastAsia="zh-CN"/>
        </w:rPr>
        <w:t>。</w:t>
      </w:r>
    </w:p>
    <w:p w14:paraId="61716459">
      <w:pPr>
        <w:spacing w:line="460" w:lineRule="exact"/>
        <w:ind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2、本次招标要求投标人拟派驻的项目班组必须是该单位在册在岗正式员工，且符合下列条件：</w:t>
      </w:r>
    </w:p>
    <w:p w14:paraId="400BC32D">
      <w:pPr>
        <w:keepNext w:val="0"/>
        <w:keepLines w:val="0"/>
        <w:pageBreakBefore w:val="0"/>
        <w:widowControl w:val="0"/>
        <w:kinsoku/>
        <w:wordWrap/>
        <w:overflowPunct/>
        <w:topLinePunct/>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（1）工程总承包项目经理：具备市政公用工程专业</w:t>
      </w:r>
      <w:r>
        <w:rPr>
          <w:rFonts w:hint="eastAsia" w:ascii="宋体" w:hAnsi="宋体" w:eastAsia="宋体" w:cs="宋体"/>
          <w:color w:val="auto"/>
          <w:sz w:val="24"/>
          <w:szCs w:val="24"/>
          <w:u w:val="single"/>
          <w:lang w:val="en-US" w:eastAsia="zh-CN"/>
        </w:rPr>
        <w:t>二</w:t>
      </w:r>
      <w:r>
        <w:rPr>
          <w:rFonts w:hint="eastAsia" w:ascii="宋体" w:hAnsi="宋体" w:eastAsia="宋体" w:cs="宋体"/>
          <w:color w:val="auto"/>
          <w:sz w:val="24"/>
          <w:szCs w:val="24"/>
          <w:u w:val="single"/>
        </w:rPr>
        <w:t>级及以上注册建造师执业资格和有效的B类安全生产考核合格证书，且未担任其他在建项目的项目经理；</w:t>
      </w:r>
    </w:p>
    <w:p w14:paraId="2E2A06C5">
      <w:pPr>
        <w:keepNext w:val="0"/>
        <w:keepLines w:val="0"/>
        <w:pageBreakBefore w:val="0"/>
        <w:widowControl w:val="0"/>
        <w:kinsoku/>
        <w:wordWrap/>
        <w:overflowPunct/>
        <w:topLinePunct/>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（2）施工负责人：具备市政公用工程专业二级及以上注册建造师执业资格和有效的B类安全生产考核合格证书</w:t>
      </w:r>
      <w:r>
        <w:rPr>
          <w:rFonts w:hint="eastAsia" w:ascii="宋体" w:hAnsi="宋体" w:eastAsia="宋体" w:cs="宋体"/>
          <w:color w:val="auto"/>
          <w:sz w:val="24"/>
          <w:szCs w:val="24"/>
          <w:u w:val="single"/>
          <w:lang w:val="en-US" w:eastAsia="zh-CN"/>
        </w:rPr>
        <w:t>或</w:t>
      </w:r>
      <w:r>
        <w:rPr>
          <w:rFonts w:hint="eastAsia" w:ascii="宋体" w:hAnsi="宋体" w:eastAsia="宋体" w:cs="宋体"/>
          <w:color w:val="auto"/>
          <w:sz w:val="24"/>
          <w:szCs w:val="24"/>
          <w:u w:val="single"/>
        </w:rPr>
        <w:t>市政公用工程专业中级及以上技术职称，且未担任其他在建项目的项目经理；</w:t>
      </w:r>
    </w:p>
    <w:p w14:paraId="4E078AEF">
      <w:pPr>
        <w:keepNext w:val="0"/>
        <w:keepLines w:val="0"/>
        <w:pageBreakBefore w:val="0"/>
        <w:widowControl w:val="0"/>
        <w:kinsoku/>
        <w:wordWrap/>
        <w:overflowPunct/>
        <w:topLinePunct/>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（3）设计负责人：具备注册公用设备工程师（给水排水）执业资格；</w:t>
      </w:r>
    </w:p>
    <w:p w14:paraId="60042A63">
      <w:pPr>
        <w:keepNext w:val="0"/>
        <w:keepLines w:val="0"/>
        <w:pageBreakBefore w:val="0"/>
        <w:widowControl w:val="0"/>
        <w:kinsoku/>
        <w:wordWrap/>
        <w:overflowPunct/>
        <w:topLinePunct/>
        <w:autoSpaceDE/>
        <w:autoSpaceDN/>
        <w:bidi w:val="0"/>
        <w:adjustRightInd/>
        <w:snapToGrid/>
        <w:spacing w:line="460" w:lineRule="exact"/>
        <w:ind w:firstLine="480" w:firstLineChars="200"/>
        <w:textAlignment w:val="auto"/>
        <w:rPr>
          <w:color w:val="auto"/>
          <w:szCs w:val="21"/>
        </w:rPr>
      </w:pPr>
      <w:r>
        <w:rPr>
          <w:rFonts w:hint="eastAsia" w:ascii="宋体" w:hAnsi="宋体" w:eastAsia="宋体" w:cs="宋体"/>
          <w:color w:val="auto"/>
          <w:sz w:val="24"/>
          <w:szCs w:val="24"/>
          <w:u w:val="single"/>
        </w:rPr>
        <w:t>（4）施工管理团队（“五大员”）配置应完整，包括施工员、质量员、安全员、材料员、资料员，各成员须具备相应的有效岗位证书或培训证书（安全员提供安全生产考核合格证(C证)）</w:t>
      </w:r>
      <w:r>
        <w:rPr>
          <w:color w:val="auto"/>
          <w:szCs w:val="21"/>
          <w:u w:val="single"/>
        </w:rPr>
        <w:t>。</w:t>
      </w:r>
    </w:p>
    <w:p w14:paraId="6FE18E1C">
      <w:pPr>
        <w:spacing w:line="460" w:lineRule="exact"/>
        <w:ind w:firstLine="420" w:firstLineChars="200"/>
        <w:rPr>
          <w:color w:val="auto"/>
          <w:u w:val="single"/>
        </w:rPr>
      </w:pPr>
      <w:r>
        <w:rPr>
          <w:rFonts w:hint="eastAsia"/>
          <w:color w:val="auto"/>
        </w:rPr>
        <w:t>3.2 本项目</w:t>
      </w:r>
      <w:r>
        <w:rPr>
          <w:rFonts w:hint="eastAsia"/>
          <w:color w:val="auto"/>
          <w:u w:val="single"/>
        </w:rPr>
        <w:t xml:space="preserve"> </w:t>
      </w:r>
      <w:r>
        <w:rPr>
          <w:rFonts w:hint="eastAsia"/>
          <w:color w:val="auto"/>
          <w:sz w:val="24"/>
          <w:szCs w:val="32"/>
          <w:u w:val="single"/>
        </w:rPr>
        <w:t>属于</w:t>
      </w:r>
      <w:r>
        <w:rPr>
          <w:rFonts w:hint="eastAsia"/>
          <w:color w:val="auto"/>
          <w:u w:val="single"/>
        </w:rPr>
        <w:t xml:space="preserve"> </w:t>
      </w:r>
      <w:r>
        <w:rPr>
          <w:rFonts w:hint="eastAsia"/>
          <w:color w:val="auto"/>
        </w:rPr>
        <w:t>政府采购工程。</w:t>
      </w:r>
      <w:r>
        <w:rPr>
          <w:rFonts w:hint="eastAsia"/>
          <w:color w:val="auto"/>
          <w:u w:val="single"/>
        </w:rPr>
        <w:t>□</w:t>
      </w:r>
      <w:r>
        <w:rPr>
          <w:rFonts w:hint="eastAsia" w:ascii="宋体" w:hAnsi="宋体" w:cs="宋体"/>
          <w:color w:val="auto"/>
          <w:kern w:val="0"/>
          <w:szCs w:val="21"/>
          <w:u w:val="single"/>
        </w:rPr>
        <w:t>项目整体预留专门面向中小企业采购。</w:t>
      </w:r>
      <w:r>
        <w:rPr>
          <w:rFonts w:hint="eastAsia"/>
          <w:color w:val="auto"/>
          <w:u w:val="single"/>
        </w:rPr>
        <w:t>□</w:t>
      </w:r>
      <w:r>
        <w:rPr>
          <w:rFonts w:hint="eastAsia" w:ascii="宋体" w:hAnsi="宋体" w:cs="宋体"/>
          <w:color w:val="auto"/>
          <w:kern w:val="0"/>
          <w:szCs w:val="21"/>
          <w:u w:val="single"/>
        </w:rPr>
        <w:t>项目整体预留专门面向小微企业采购。</w:t>
      </w:r>
      <w:r>
        <w:rPr>
          <w:rFonts w:hint="eastAsia"/>
          <w:color w:val="auto"/>
          <w:u w:val="single"/>
        </w:rPr>
        <w:t>□</w:t>
      </w:r>
      <w:r>
        <w:rPr>
          <w:rFonts w:hint="eastAsia" w:ascii="宋体" w:hAnsi="宋体" w:cs="宋体"/>
          <w:color w:val="auto"/>
          <w:kern w:val="0"/>
          <w:szCs w:val="21"/>
          <w:u w:val="single"/>
        </w:rPr>
        <w:t>项目部分预留</w:t>
      </w:r>
      <w:r>
        <w:rPr>
          <w:rFonts w:hint="eastAsia"/>
          <w:color w:val="auto"/>
          <w:u w:val="single"/>
        </w:rPr>
        <w:t>专门</w:t>
      </w:r>
      <w:r>
        <w:rPr>
          <w:rFonts w:hint="eastAsia" w:ascii="宋体" w:hAnsi="宋体" w:cs="宋体"/>
          <w:color w:val="auto"/>
          <w:kern w:val="0"/>
          <w:szCs w:val="21"/>
          <w:u w:val="single"/>
        </w:rPr>
        <w:t>面向中小企业采购。</w:t>
      </w:r>
      <w:r>
        <w:rPr>
          <w:rFonts w:hint="eastAsia"/>
          <w:color w:val="auto"/>
          <w:sz w:val="24"/>
          <w:szCs w:val="32"/>
          <w:u w:val="single"/>
          <w:lang w:eastAsia="zh-CN"/>
        </w:rPr>
        <w:t>☑</w:t>
      </w:r>
      <w:r>
        <w:rPr>
          <w:rFonts w:hint="eastAsia"/>
          <w:color w:val="auto"/>
          <w:u w:val="single"/>
        </w:rPr>
        <w:t>项目未预留份额专门面向中小企业采购。</w:t>
      </w:r>
    </w:p>
    <w:p w14:paraId="21DEA710">
      <w:pPr>
        <w:spacing w:line="460" w:lineRule="exact"/>
        <w:ind w:firstLine="420" w:firstLineChars="200"/>
        <w:rPr>
          <w:rFonts w:hint="eastAsia"/>
          <w:color w:val="auto"/>
          <w:szCs w:val="21"/>
        </w:rPr>
      </w:pPr>
      <w:r>
        <w:rPr>
          <w:color w:val="auto"/>
          <w:szCs w:val="21"/>
        </w:rPr>
        <w:t>3.</w:t>
      </w:r>
      <w:r>
        <w:rPr>
          <w:rFonts w:hint="eastAsia"/>
          <w:color w:val="auto"/>
          <w:szCs w:val="21"/>
        </w:rPr>
        <w:t>3</w:t>
      </w:r>
      <w:r>
        <w:rPr>
          <w:color w:val="auto"/>
          <w:szCs w:val="21"/>
        </w:rPr>
        <w:t xml:space="preserve"> 本次招标</w:t>
      </w:r>
      <w:r>
        <w:rPr>
          <w:color w:val="auto"/>
          <w:szCs w:val="21"/>
          <w:u w:val="single"/>
        </w:rPr>
        <w:t xml:space="preserve"> </w:t>
      </w:r>
      <w:r>
        <w:rPr>
          <w:rFonts w:hint="eastAsia"/>
          <w:color w:val="auto"/>
          <w:sz w:val="24"/>
          <w:szCs w:val="24"/>
          <w:u w:val="single"/>
        </w:rPr>
        <w:t>接受</w:t>
      </w:r>
      <w:r>
        <w:rPr>
          <w:color w:val="auto"/>
          <w:szCs w:val="21"/>
          <w:u w:val="single"/>
        </w:rPr>
        <w:t xml:space="preserve"> </w:t>
      </w:r>
      <w:r>
        <w:rPr>
          <w:color w:val="auto"/>
          <w:szCs w:val="21"/>
        </w:rPr>
        <w:t>（接受或不接受）联合体投标。联合体投标的，应满足下列要求：</w:t>
      </w:r>
      <w:r>
        <w:rPr>
          <w:rFonts w:hint="eastAsia" w:ascii="宋体" w:hAnsi="宋体" w:eastAsia="宋体" w:cs="宋体"/>
          <w:color w:val="auto"/>
          <w:sz w:val="24"/>
          <w:szCs w:val="24"/>
          <w:u w:val="single"/>
        </w:rPr>
        <w:t>（1）联合体最多不超过</w:t>
      </w:r>
      <w:r>
        <w:rPr>
          <w:rFonts w:hint="eastAsia" w:ascii="宋体" w:hAnsi="宋体" w:cs="宋体"/>
          <w:color w:val="auto"/>
          <w:sz w:val="24"/>
          <w:szCs w:val="24"/>
          <w:highlight w:val="none"/>
          <w:u w:val="single"/>
          <w:lang w:val="en-US" w:eastAsia="zh-CN"/>
        </w:rPr>
        <w:t>3</w:t>
      </w:r>
      <w:r>
        <w:rPr>
          <w:rFonts w:hint="eastAsia" w:ascii="宋体" w:hAnsi="宋体" w:eastAsia="宋体" w:cs="宋体"/>
          <w:color w:val="auto"/>
          <w:sz w:val="24"/>
          <w:szCs w:val="24"/>
          <w:u w:val="single"/>
        </w:rPr>
        <w:t>家单位组成且施工单位应作为联合体牵头方，获取招标文件及相关资料、递交投标文件（签章）、签约、履行合同和协议中应承担的义务和法律责任等相关事宜均由牵头人承担；（2）联合体应满足3.1条规定的资格条件；（3）联合体各方须签订联合体协议书（明确联合体各方在项目中的分工及权力责任，同时约定资金分配比例）后才能参与投标</w:t>
      </w:r>
      <w:r>
        <w:rPr>
          <w:color w:val="auto"/>
          <w:szCs w:val="21"/>
          <w:u w:val="single"/>
        </w:rPr>
        <w:t xml:space="preserve"> </w:t>
      </w:r>
      <w:r>
        <w:rPr>
          <w:color w:val="auto"/>
          <w:szCs w:val="21"/>
        </w:rPr>
        <w:t>。</w:t>
      </w:r>
    </w:p>
    <w:p w14:paraId="4147529B">
      <w:pPr>
        <w:adjustRightInd w:val="0"/>
        <w:spacing w:line="400" w:lineRule="exact"/>
        <w:ind w:firstLine="420" w:firstLineChars="200"/>
        <w:rPr>
          <w:rFonts w:hint="eastAsia" w:ascii="宋体" w:hAnsi="宋体"/>
          <w:color w:val="auto"/>
          <w:szCs w:val="21"/>
        </w:rPr>
      </w:pPr>
      <w:r>
        <w:rPr>
          <w:rFonts w:hint="eastAsia"/>
          <w:color w:val="auto"/>
        </w:rPr>
        <w:t>3.4各投标人均可就本招标项目上述标段中的</w:t>
      </w:r>
      <w:r>
        <w:rPr>
          <w:rFonts w:hint="eastAsia"/>
          <w:color w:val="auto"/>
          <w:u w:val="single"/>
        </w:rPr>
        <w:t xml:space="preserve"> </w:t>
      </w:r>
      <w:r>
        <w:rPr>
          <w:rFonts w:hint="eastAsia" w:ascii="宋体" w:hAnsi="宋体" w:eastAsia="宋体" w:cs="宋体"/>
          <w:color w:val="auto"/>
          <w:sz w:val="24"/>
          <w:szCs w:val="32"/>
          <w:u w:val="single"/>
          <w:lang w:val="en-US" w:eastAsia="zh-CN"/>
        </w:rPr>
        <w:t>1</w:t>
      </w:r>
      <w:r>
        <w:rPr>
          <w:rFonts w:hint="eastAsia"/>
          <w:color w:val="auto"/>
          <w:u w:val="single"/>
        </w:rPr>
        <w:t xml:space="preserve"> </w:t>
      </w:r>
      <w:r>
        <w:rPr>
          <w:rFonts w:hint="eastAsia"/>
          <w:color w:val="auto"/>
          <w:u w:val="single"/>
          <w:lang w:val="en-US" w:eastAsia="zh-CN"/>
        </w:rPr>
        <w:t xml:space="preserve"> </w:t>
      </w:r>
      <w:r>
        <w:rPr>
          <w:rFonts w:hint="eastAsia"/>
          <w:color w:val="auto"/>
        </w:rPr>
        <w:t>(具体数量)个标段投标，</w:t>
      </w:r>
      <w:r>
        <w:rPr>
          <w:rFonts w:hint="eastAsia" w:ascii="宋体" w:hAnsi="宋体"/>
          <w:color w:val="auto"/>
          <w:szCs w:val="21"/>
        </w:rPr>
        <w:t>招标人按下列原则选择中标人：</w:t>
      </w:r>
    </w:p>
    <w:p w14:paraId="6F28C871">
      <w:pPr>
        <w:adjustRightInd w:val="0"/>
        <w:spacing w:line="400" w:lineRule="exact"/>
        <w:ind w:firstLine="420" w:firstLineChars="200"/>
        <w:rPr>
          <w:rFonts w:hint="eastAsia"/>
          <w:color w:val="auto"/>
        </w:rPr>
      </w:pPr>
      <w:r>
        <w:rPr>
          <w:rFonts w:hint="eastAsia"/>
          <w:color w:val="auto"/>
        </w:rPr>
        <w:t>□招标人按标段择优选择中标人。</w:t>
      </w:r>
    </w:p>
    <w:p w14:paraId="661A1343">
      <w:pPr>
        <w:adjustRightInd w:val="0"/>
        <w:spacing w:line="400" w:lineRule="exact"/>
        <w:ind w:firstLine="420" w:firstLineChars="200"/>
        <w:rPr>
          <w:rFonts w:hint="eastAsia"/>
          <w:color w:val="auto"/>
        </w:rPr>
      </w:pPr>
      <w:r>
        <w:rPr>
          <w:rFonts w:hint="eastAsia"/>
          <w:color w:val="auto"/>
        </w:rPr>
        <w:t>□投标人最多只允许中标</w:t>
      </w:r>
      <w:r>
        <w:rPr>
          <w:rFonts w:hint="eastAsia"/>
          <w:color w:val="auto"/>
          <w:u w:val="single"/>
        </w:rPr>
        <w:t xml:space="preserve">   </w:t>
      </w:r>
      <w:r>
        <w:rPr>
          <w:rFonts w:hint="eastAsia"/>
          <w:color w:val="auto"/>
        </w:rPr>
        <w:t>个标段。如果同一投标人在多个标段中均排序第一，</w:t>
      </w:r>
      <w:r>
        <w:rPr>
          <w:color w:val="auto"/>
        </w:rPr>
        <w:t>推荐中标候选人顺序为：</w:t>
      </w:r>
    </w:p>
    <w:p w14:paraId="44E564BA">
      <w:pPr>
        <w:adjustRightInd w:val="0"/>
        <w:spacing w:line="400" w:lineRule="exact"/>
        <w:ind w:firstLine="630" w:firstLineChars="300"/>
        <w:rPr>
          <w:rFonts w:hint="eastAsia"/>
          <w:color w:val="auto"/>
        </w:rPr>
      </w:pPr>
      <w:r>
        <w:rPr>
          <w:rFonts w:hint="eastAsia"/>
          <w:color w:val="auto"/>
        </w:rPr>
        <w:t>□</w:t>
      </w:r>
      <w:r>
        <w:rPr>
          <w:color w:val="auto"/>
        </w:rPr>
        <w:t>按照标段顺序，投标人在前面标段被推荐为第一中标候选人后，所投其他标段将不再被推荐为中标候选人。</w:t>
      </w:r>
    </w:p>
    <w:p w14:paraId="64842E40">
      <w:pPr>
        <w:adjustRightInd w:val="0"/>
        <w:spacing w:line="400" w:lineRule="exact"/>
        <w:ind w:firstLine="630" w:firstLineChars="300"/>
        <w:rPr>
          <w:rFonts w:hint="eastAsia"/>
          <w:color w:val="auto"/>
        </w:rPr>
      </w:pPr>
      <w:r>
        <w:rPr>
          <w:rFonts w:hint="eastAsia"/>
          <w:color w:val="auto"/>
        </w:rPr>
        <w:t>□</w:t>
      </w:r>
      <w:r>
        <w:rPr>
          <w:color w:val="auto"/>
        </w:rPr>
        <w:t>按照标段</w:t>
      </w:r>
      <w:r>
        <w:rPr>
          <w:rFonts w:hint="eastAsia"/>
          <w:color w:val="auto"/>
        </w:rPr>
        <w:t>最高投标限价</w:t>
      </w:r>
      <w:r>
        <w:rPr>
          <w:color w:val="auto"/>
        </w:rPr>
        <w:t>从大到小的顺序，投标人在</w:t>
      </w:r>
      <w:r>
        <w:rPr>
          <w:rFonts w:hint="eastAsia"/>
          <w:color w:val="auto"/>
        </w:rPr>
        <w:t>最高投标限价</w:t>
      </w:r>
      <w:r>
        <w:rPr>
          <w:color w:val="auto"/>
        </w:rPr>
        <w:t>大的标段被推荐为第一中标候选人后，所投其他标段将不再被推荐为中标候选人。</w:t>
      </w:r>
    </w:p>
    <w:p w14:paraId="6FD62A32">
      <w:pPr>
        <w:spacing w:line="460" w:lineRule="exact"/>
        <w:ind w:firstLine="630" w:firstLineChars="300"/>
        <w:rPr>
          <w:rFonts w:hint="eastAsia"/>
          <w:color w:val="auto"/>
          <w:szCs w:val="21"/>
        </w:rPr>
      </w:pPr>
      <w:r>
        <w:rPr>
          <w:rFonts w:hint="eastAsia"/>
          <w:color w:val="auto"/>
        </w:rPr>
        <w:t>□</w:t>
      </w:r>
      <w:r>
        <w:rPr>
          <w:rFonts w:hint="eastAsia"/>
          <w:color w:val="auto"/>
          <w:u w:val="single"/>
        </w:rPr>
        <w:t xml:space="preserve">                                           </w:t>
      </w:r>
      <w:r>
        <w:rPr>
          <w:rFonts w:hint="eastAsia"/>
          <w:color w:val="auto"/>
        </w:rPr>
        <w:t>。</w:t>
      </w:r>
    </w:p>
    <w:p w14:paraId="06D71F97">
      <w:pPr>
        <w:pStyle w:val="3"/>
        <w:keepNext/>
        <w:keepLines/>
        <w:pageBreakBefore w:val="0"/>
        <w:widowControl w:val="0"/>
        <w:kinsoku/>
        <w:wordWrap/>
        <w:overflowPunct/>
        <w:topLinePunct w:val="0"/>
        <w:autoSpaceDE/>
        <w:autoSpaceDN/>
        <w:bidi w:val="0"/>
        <w:adjustRightInd/>
        <w:snapToGrid/>
        <w:spacing w:before="0" w:beforeLines="0" w:line="500" w:lineRule="exact"/>
        <w:textAlignment w:val="auto"/>
        <w:rPr>
          <w:rFonts w:ascii="Times New Roman" w:hAnsi="Times New Roman"/>
          <w:color w:val="auto"/>
          <w:sz w:val="28"/>
          <w:szCs w:val="28"/>
        </w:rPr>
      </w:pPr>
      <w:bookmarkStart w:id="53" w:name="_Toc144974483"/>
      <w:bookmarkStart w:id="54" w:name="_Toc4562"/>
      <w:bookmarkStart w:id="55" w:name="_Toc519085255"/>
      <w:bookmarkStart w:id="56" w:name="_Toc152045515"/>
      <w:bookmarkStart w:id="57" w:name="_Toc30411"/>
      <w:bookmarkStart w:id="58" w:name="_Toc154063356"/>
      <w:bookmarkStart w:id="59" w:name="_Toc247527538"/>
      <w:bookmarkStart w:id="60" w:name="_Toc247513937"/>
      <w:bookmarkStart w:id="61" w:name="_Toc7591"/>
      <w:bookmarkStart w:id="62" w:name="_Toc27935"/>
      <w:bookmarkStart w:id="63" w:name="_Toc152042291"/>
      <w:r>
        <w:rPr>
          <w:rFonts w:ascii="Times New Roman" w:hAnsi="Times New Roman"/>
          <w:color w:val="auto"/>
          <w:sz w:val="28"/>
          <w:szCs w:val="28"/>
        </w:rPr>
        <w:t>4. 招标文件的获取</w:t>
      </w:r>
      <w:bookmarkEnd w:id="53"/>
      <w:bookmarkEnd w:id="54"/>
      <w:bookmarkEnd w:id="55"/>
      <w:bookmarkEnd w:id="56"/>
      <w:bookmarkEnd w:id="57"/>
      <w:bookmarkEnd w:id="58"/>
      <w:bookmarkEnd w:id="59"/>
      <w:bookmarkEnd w:id="60"/>
      <w:bookmarkEnd w:id="61"/>
      <w:bookmarkEnd w:id="62"/>
      <w:bookmarkEnd w:id="63"/>
    </w:p>
    <w:p w14:paraId="5955915F">
      <w:pPr>
        <w:spacing w:after="156" w:afterLines="50" w:line="460" w:lineRule="exact"/>
        <w:ind w:firstLine="437"/>
        <w:rPr>
          <w:color w:val="auto"/>
        </w:rPr>
      </w:pPr>
      <w:r>
        <w:rPr>
          <w:rFonts w:hint="eastAsia"/>
          <w:color w:val="auto"/>
        </w:rPr>
        <w:t>4.1 凡有意参加投标者（若为联合体投标，指联合体所有成员），应当在</w:t>
      </w:r>
      <w:r>
        <w:rPr>
          <w:rFonts w:hint="eastAsia"/>
          <w:color w:val="auto"/>
          <w:u w:val="single"/>
        </w:rPr>
        <w:t>湖北省电子招投标交易平台</w:t>
      </w:r>
      <w:r>
        <w:rPr>
          <w:rFonts w:hint="eastAsia"/>
          <w:color w:val="auto"/>
        </w:rPr>
        <w:t>（以下简称“电子交易平台”，下同）（网址：</w:t>
      </w:r>
      <w:r>
        <w:rPr>
          <w:color w:val="auto"/>
          <w:u w:val="single"/>
        </w:rPr>
        <w:fldChar w:fldCharType="begin"/>
      </w:r>
      <w:r>
        <w:rPr>
          <w:color w:val="auto"/>
          <w:u w:val="single"/>
        </w:rPr>
        <w:instrText xml:space="preserve"> HYPERLINK "http://www.hbbidcloud.com" </w:instrText>
      </w:r>
      <w:r>
        <w:rPr>
          <w:color w:val="auto"/>
          <w:u w:val="single"/>
        </w:rPr>
        <w:fldChar w:fldCharType="separate"/>
      </w:r>
      <w:r>
        <w:rPr>
          <w:color w:val="auto"/>
          <w:u w:val="single"/>
        </w:rPr>
        <w:t>www.hbbidcloud.c</w:t>
      </w:r>
      <w:r>
        <w:rPr>
          <w:rFonts w:hint="eastAsia"/>
          <w:color w:val="auto"/>
          <w:u w:val="single"/>
        </w:rPr>
        <w:t>n</w:t>
      </w:r>
      <w:r>
        <w:rPr>
          <w:color w:val="auto"/>
          <w:u w:val="single"/>
        </w:rPr>
        <w:fldChar w:fldCharType="end"/>
      </w:r>
      <w:r>
        <w:rPr>
          <w:rFonts w:hint="eastAsia"/>
          <w:color w:val="auto"/>
        </w:rPr>
        <w:t>）进行注册登记，并办理CA数字证书</w:t>
      </w:r>
      <w:r>
        <w:rPr>
          <w:color w:val="auto"/>
        </w:rPr>
        <w:t>（CA锁、标证通、电子营业执照3种任选其一，</w:t>
      </w:r>
      <w:r>
        <w:rPr>
          <w:rFonts w:hint="eastAsia"/>
          <w:color w:val="auto"/>
        </w:rPr>
        <w:t>下同</w:t>
      </w:r>
      <w:r>
        <w:rPr>
          <w:color w:val="auto"/>
        </w:rPr>
        <w:t>）</w:t>
      </w:r>
      <w:r>
        <w:rPr>
          <w:rFonts w:hint="eastAsia"/>
          <w:color w:val="auto"/>
        </w:rPr>
        <w:t>（具体操作参见“电子交易平台”—办事指南—交易主体注册登记指南）。</w:t>
      </w:r>
    </w:p>
    <w:p w14:paraId="5F2AFCCC">
      <w:pPr>
        <w:spacing w:after="156" w:afterLines="50" w:line="460" w:lineRule="exact"/>
        <w:ind w:firstLine="437"/>
        <w:rPr>
          <w:rFonts w:hint="eastAsia"/>
          <w:color w:val="auto"/>
        </w:rPr>
      </w:pPr>
      <w:r>
        <w:rPr>
          <w:rFonts w:hint="eastAsia"/>
          <w:color w:val="auto"/>
        </w:rPr>
        <w:t>4.2 完成注册登记后，请于</w:t>
      </w:r>
      <w:r>
        <w:rPr>
          <w:rFonts w:hint="eastAsia"/>
          <w:color w:val="auto"/>
          <w:u w:val="single"/>
        </w:rPr>
        <w:t xml:space="preserve">      </w:t>
      </w:r>
      <w:r>
        <w:rPr>
          <w:rFonts w:hint="eastAsia"/>
          <w:color w:val="auto"/>
        </w:rPr>
        <w:t>年</w:t>
      </w:r>
      <w:r>
        <w:rPr>
          <w:rFonts w:hint="eastAsia"/>
          <w:color w:val="auto"/>
          <w:u w:val="single"/>
        </w:rPr>
        <w:t xml:space="preserve">     </w:t>
      </w:r>
      <w:r>
        <w:rPr>
          <w:rFonts w:hint="eastAsia"/>
          <w:color w:val="auto"/>
        </w:rPr>
        <w:t>月</w:t>
      </w:r>
      <w:r>
        <w:rPr>
          <w:rFonts w:hint="eastAsia"/>
          <w:color w:val="auto"/>
          <w:u w:val="single"/>
        </w:rPr>
        <w:t xml:space="preserve">     </w:t>
      </w:r>
      <w:r>
        <w:rPr>
          <w:rFonts w:hint="eastAsia"/>
          <w:color w:val="auto"/>
        </w:rPr>
        <w:t>日至</w:t>
      </w:r>
      <w:r>
        <w:rPr>
          <w:rFonts w:hint="eastAsia"/>
          <w:color w:val="auto"/>
          <w:u w:val="single"/>
        </w:rPr>
        <w:t xml:space="preserve">     </w:t>
      </w:r>
      <w:r>
        <w:rPr>
          <w:rFonts w:hint="eastAsia"/>
          <w:color w:val="auto"/>
        </w:rPr>
        <w:t>年</w:t>
      </w:r>
      <w:r>
        <w:rPr>
          <w:rFonts w:hint="eastAsia"/>
          <w:color w:val="auto"/>
          <w:u w:val="single"/>
        </w:rPr>
        <w:t xml:space="preserve">     </w:t>
      </w:r>
      <w:r>
        <w:rPr>
          <w:rFonts w:hint="eastAsia"/>
          <w:color w:val="auto"/>
        </w:rPr>
        <w:t>月</w:t>
      </w:r>
      <w:r>
        <w:rPr>
          <w:rFonts w:hint="eastAsia"/>
          <w:color w:val="auto"/>
          <w:u w:val="single"/>
        </w:rPr>
        <w:t xml:space="preserve">     </w:t>
      </w:r>
      <w:r>
        <w:rPr>
          <w:rFonts w:hint="eastAsia"/>
          <w:color w:val="auto"/>
        </w:rPr>
        <w:t>日24：00时止（北京时间、下同），</w:t>
      </w:r>
      <w:r>
        <w:rPr>
          <w:color w:val="auto"/>
        </w:rPr>
        <w:t>通过</w:t>
      </w:r>
      <w:r>
        <w:rPr>
          <w:rFonts w:hint="eastAsia"/>
          <w:color w:val="auto"/>
        </w:rPr>
        <w:t>互联网</w:t>
      </w:r>
      <w:r>
        <w:rPr>
          <w:color w:val="auto"/>
        </w:rPr>
        <w:t>使用</w:t>
      </w:r>
      <w:r>
        <w:rPr>
          <w:rFonts w:hint="eastAsia"/>
          <w:color w:val="auto"/>
        </w:rPr>
        <w:t>CA数字证书</w:t>
      </w:r>
      <w:r>
        <w:rPr>
          <w:color w:val="auto"/>
        </w:rPr>
        <w:t>登录</w:t>
      </w:r>
      <w:r>
        <w:rPr>
          <w:rFonts w:hint="eastAsia"/>
          <w:color w:val="auto"/>
        </w:rPr>
        <w:t>“</w:t>
      </w:r>
      <w:r>
        <w:rPr>
          <w:color w:val="auto"/>
        </w:rPr>
        <w:t>电子</w:t>
      </w:r>
      <w:r>
        <w:rPr>
          <w:rFonts w:hint="eastAsia"/>
          <w:color w:val="auto"/>
        </w:rPr>
        <w:t>交易</w:t>
      </w:r>
      <w:r>
        <w:rPr>
          <w:color w:val="auto"/>
        </w:rPr>
        <w:t>平台</w:t>
      </w:r>
      <w:r>
        <w:rPr>
          <w:rFonts w:hint="eastAsia"/>
          <w:color w:val="auto"/>
        </w:rPr>
        <w:t>”，</w:t>
      </w:r>
      <w:r>
        <w:rPr>
          <w:rFonts w:hint="eastAsia" w:ascii="宋体" w:hAnsi="宋体"/>
          <w:color w:val="auto"/>
          <w:kern w:val="0"/>
          <w:szCs w:val="21"/>
        </w:rPr>
        <w:t>在所投标段</w:t>
      </w:r>
      <w:r>
        <w:rPr>
          <w:rFonts w:hint="eastAsia"/>
          <w:color w:val="auto"/>
        </w:rPr>
        <w:t>免费下载招标文件。联合体投标的，由联合体牵头人下载招标文件（具体操作参见“电子交易平台”—办事指南—招标（资审）文件下载指南）。未按规定从“电子交易平台”下载招标文件的，招标人 （“</w:t>
      </w:r>
      <w:r>
        <w:rPr>
          <w:color w:val="auto"/>
        </w:rPr>
        <w:t>电子</w:t>
      </w:r>
      <w:r>
        <w:rPr>
          <w:rFonts w:hint="eastAsia"/>
          <w:color w:val="auto"/>
        </w:rPr>
        <w:t>交易平台”）拒收其投标文件。</w:t>
      </w:r>
    </w:p>
    <w:p w14:paraId="44705B33">
      <w:pPr>
        <w:pStyle w:val="3"/>
        <w:keepNext/>
        <w:keepLines/>
        <w:pageBreakBefore w:val="0"/>
        <w:widowControl w:val="0"/>
        <w:kinsoku/>
        <w:wordWrap/>
        <w:overflowPunct/>
        <w:topLinePunct w:val="0"/>
        <w:autoSpaceDE/>
        <w:autoSpaceDN/>
        <w:bidi w:val="0"/>
        <w:adjustRightInd/>
        <w:snapToGrid/>
        <w:spacing w:before="0" w:beforeLines="0" w:line="500" w:lineRule="exact"/>
        <w:textAlignment w:val="auto"/>
        <w:rPr>
          <w:rFonts w:ascii="Times New Roman" w:hAnsi="Times New Roman"/>
          <w:color w:val="auto"/>
          <w:sz w:val="28"/>
          <w:szCs w:val="28"/>
        </w:rPr>
      </w:pPr>
      <w:bookmarkStart w:id="64" w:name="_Toc247513938"/>
      <w:bookmarkStart w:id="65" w:name="_Toc15590"/>
      <w:bookmarkStart w:id="66" w:name="_Toc14784"/>
      <w:bookmarkStart w:id="67" w:name="_Toc152045516"/>
      <w:bookmarkStart w:id="68" w:name="_Toc519085256"/>
      <w:bookmarkStart w:id="69" w:name="_Toc20273"/>
      <w:bookmarkStart w:id="70" w:name="_Toc185"/>
      <w:bookmarkStart w:id="71" w:name="_Toc152042292"/>
      <w:bookmarkStart w:id="72" w:name="_Toc154063357"/>
      <w:bookmarkStart w:id="73" w:name="_Toc247527539"/>
      <w:bookmarkStart w:id="74" w:name="_Toc144974484"/>
      <w:r>
        <w:rPr>
          <w:rFonts w:ascii="Times New Roman" w:hAnsi="Times New Roman"/>
          <w:color w:val="auto"/>
          <w:sz w:val="28"/>
          <w:szCs w:val="28"/>
        </w:rPr>
        <w:t>5. 投标文件的递交</w:t>
      </w:r>
      <w:bookmarkEnd w:id="64"/>
      <w:bookmarkEnd w:id="65"/>
      <w:bookmarkEnd w:id="66"/>
      <w:bookmarkEnd w:id="67"/>
      <w:bookmarkEnd w:id="68"/>
      <w:bookmarkEnd w:id="69"/>
      <w:bookmarkEnd w:id="70"/>
      <w:bookmarkEnd w:id="71"/>
      <w:bookmarkEnd w:id="72"/>
      <w:bookmarkEnd w:id="73"/>
      <w:bookmarkEnd w:id="74"/>
    </w:p>
    <w:p w14:paraId="3356CC3D">
      <w:pPr>
        <w:spacing w:after="156" w:afterLines="50" w:line="460" w:lineRule="exact"/>
        <w:ind w:firstLine="437"/>
        <w:rPr>
          <w:rFonts w:hint="eastAsia"/>
          <w:color w:val="auto"/>
          <w:bdr w:val="single" w:color="auto" w:sz="4" w:space="0"/>
        </w:rPr>
      </w:pPr>
      <w:r>
        <w:rPr>
          <w:color w:val="auto"/>
        </w:rPr>
        <w:t xml:space="preserve">5.1 </w:t>
      </w:r>
      <w:r>
        <w:rPr>
          <w:rFonts w:hint="eastAsia"/>
          <w:color w:val="auto"/>
        </w:rPr>
        <w:t>投标文件递交截止时间为</w:t>
      </w:r>
      <w:r>
        <w:rPr>
          <w:rFonts w:hint="eastAsia"/>
          <w:color w:val="auto"/>
          <w:u w:val="single"/>
        </w:rPr>
        <w:t xml:space="preserve">      </w:t>
      </w:r>
      <w:r>
        <w:rPr>
          <w:rFonts w:hint="eastAsia"/>
          <w:color w:val="auto"/>
        </w:rPr>
        <w:t>年</w:t>
      </w:r>
      <w:r>
        <w:rPr>
          <w:rFonts w:hint="eastAsia"/>
          <w:color w:val="auto"/>
          <w:u w:val="single"/>
        </w:rPr>
        <w:t xml:space="preserve">     </w:t>
      </w:r>
      <w:r>
        <w:rPr>
          <w:rFonts w:hint="eastAsia"/>
          <w:color w:val="auto"/>
        </w:rPr>
        <w:t>月</w:t>
      </w:r>
      <w:r>
        <w:rPr>
          <w:rFonts w:hint="eastAsia"/>
          <w:color w:val="auto"/>
          <w:u w:val="single"/>
        </w:rPr>
        <w:t xml:space="preserve">     </w:t>
      </w:r>
      <w:r>
        <w:rPr>
          <w:rFonts w:hint="eastAsia"/>
          <w:color w:val="auto"/>
        </w:rPr>
        <w:t>日</w:t>
      </w:r>
      <w:r>
        <w:rPr>
          <w:rFonts w:hint="eastAsia"/>
          <w:color w:val="auto"/>
          <w:u w:val="single"/>
        </w:rPr>
        <w:t xml:space="preserve">     </w:t>
      </w:r>
      <w:r>
        <w:rPr>
          <w:rFonts w:hint="eastAsia"/>
          <w:color w:val="auto"/>
        </w:rPr>
        <w:t>时</w:t>
      </w:r>
      <w:r>
        <w:rPr>
          <w:rFonts w:hint="eastAsia"/>
          <w:color w:val="auto"/>
          <w:u w:val="single"/>
        </w:rPr>
        <w:t xml:space="preserve">     </w:t>
      </w:r>
      <w:r>
        <w:rPr>
          <w:rFonts w:hint="eastAsia"/>
          <w:color w:val="auto"/>
        </w:rPr>
        <w:t>分。</w:t>
      </w:r>
    </w:p>
    <w:p w14:paraId="67B6F972">
      <w:pPr>
        <w:spacing w:after="156" w:afterLines="50" w:line="460" w:lineRule="exact"/>
        <w:ind w:firstLine="437"/>
        <w:rPr>
          <w:rFonts w:hint="eastAsia"/>
          <w:color w:val="auto"/>
        </w:rPr>
      </w:pPr>
      <w:r>
        <w:rPr>
          <w:color w:val="auto"/>
        </w:rPr>
        <w:t>5.</w:t>
      </w:r>
      <w:r>
        <w:rPr>
          <w:rFonts w:hint="eastAsia"/>
          <w:color w:val="auto"/>
        </w:rPr>
        <w:t>2 投标人应当在投标截止时间前，</w:t>
      </w:r>
      <w:r>
        <w:rPr>
          <w:color w:val="auto"/>
        </w:rPr>
        <w:t>通过</w:t>
      </w:r>
      <w:r>
        <w:rPr>
          <w:rFonts w:hint="eastAsia"/>
          <w:color w:val="auto"/>
        </w:rPr>
        <w:t>互联网</w:t>
      </w:r>
      <w:r>
        <w:rPr>
          <w:color w:val="auto"/>
        </w:rPr>
        <w:t>使用</w:t>
      </w:r>
      <w:r>
        <w:rPr>
          <w:rFonts w:hint="eastAsia"/>
          <w:color w:val="auto"/>
        </w:rPr>
        <w:t>CA数字证书登录“电子交易平台”，选择所投标段将</w:t>
      </w:r>
      <w:r>
        <w:rPr>
          <w:rFonts w:hint="eastAsia"/>
          <w:b/>
          <w:color w:val="auto"/>
        </w:rPr>
        <w:t>加密的电子投标文件</w:t>
      </w:r>
      <w:r>
        <w:rPr>
          <w:rFonts w:hint="eastAsia"/>
          <w:color w:val="auto"/>
        </w:rPr>
        <w:t>上传。投标人完成投标文件上传后，“</w:t>
      </w:r>
      <w:r>
        <w:rPr>
          <w:color w:val="auto"/>
        </w:rPr>
        <w:t>电子</w:t>
      </w:r>
      <w:r>
        <w:rPr>
          <w:rFonts w:hint="eastAsia"/>
          <w:color w:val="auto"/>
        </w:rPr>
        <w:t>交易平台”即时向投标人发出</w:t>
      </w:r>
      <w:r>
        <w:rPr>
          <w:color w:val="auto"/>
        </w:rPr>
        <w:t>电子签收凭证</w:t>
      </w:r>
      <w:r>
        <w:rPr>
          <w:rFonts w:hint="eastAsia"/>
          <w:color w:val="auto"/>
        </w:rPr>
        <w:t>，递交时间以</w:t>
      </w:r>
      <w:r>
        <w:rPr>
          <w:color w:val="auto"/>
        </w:rPr>
        <w:t>电子签收凭证</w:t>
      </w:r>
      <w:r>
        <w:rPr>
          <w:rFonts w:hint="eastAsia"/>
          <w:color w:val="auto"/>
        </w:rPr>
        <w:t>载明的传输完成时间为准。逾</w:t>
      </w:r>
      <w:r>
        <w:rPr>
          <w:color w:val="auto"/>
        </w:rPr>
        <w:t>期未完成上传</w:t>
      </w:r>
      <w:r>
        <w:rPr>
          <w:rFonts w:hint="eastAsia"/>
          <w:color w:val="auto"/>
        </w:rPr>
        <w:t>或未加密的</w:t>
      </w:r>
      <w:r>
        <w:rPr>
          <w:color w:val="auto"/>
        </w:rPr>
        <w:t>电子</w:t>
      </w:r>
      <w:r>
        <w:rPr>
          <w:rFonts w:hint="eastAsia"/>
          <w:color w:val="auto"/>
        </w:rPr>
        <w:t>投标文件</w:t>
      </w:r>
      <w:r>
        <w:rPr>
          <w:color w:val="auto"/>
        </w:rPr>
        <w:t>，招标人</w:t>
      </w:r>
      <w:r>
        <w:rPr>
          <w:rFonts w:hint="eastAsia"/>
          <w:color w:val="auto"/>
        </w:rPr>
        <w:t>（“</w:t>
      </w:r>
      <w:r>
        <w:rPr>
          <w:color w:val="auto"/>
        </w:rPr>
        <w:t>电子</w:t>
      </w:r>
      <w:r>
        <w:rPr>
          <w:rFonts w:hint="eastAsia"/>
          <w:color w:val="auto"/>
        </w:rPr>
        <w:t>交易平台”）</w:t>
      </w:r>
      <w:r>
        <w:rPr>
          <w:color w:val="auto"/>
        </w:rPr>
        <w:t>将拒收。</w:t>
      </w:r>
    </w:p>
    <w:p w14:paraId="35FA93FE">
      <w:pPr>
        <w:pStyle w:val="3"/>
        <w:keepNext/>
        <w:keepLines/>
        <w:pageBreakBefore w:val="0"/>
        <w:widowControl w:val="0"/>
        <w:kinsoku/>
        <w:wordWrap/>
        <w:overflowPunct/>
        <w:topLinePunct w:val="0"/>
        <w:autoSpaceDE/>
        <w:autoSpaceDN/>
        <w:bidi w:val="0"/>
        <w:adjustRightInd/>
        <w:snapToGrid/>
        <w:spacing w:before="0" w:beforeLines="0" w:line="500" w:lineRule="exact"/>
        <w:textAlignment w:val="auto"/>
        <w:rPr>
          <w:rFonts w:hint="eastAsia" w:ascii="Times New Roman" w:hAnsi="Times New Roman"/>
          <w:color w:val="auto"/>
          <w:sz w:val="28"/>
          <w:szCs w:val="28"/>
        </w:rPr>
      </w:pPr>
      <w:bookmarkStart w:id="75" w:name="_Toc14293"/>
      <w:bookmarkStart w:id="76" w:name="_Toc154063358"/>
      <w:bookmarkStart w:id="77" w:name="_Toc524907998"/>
      <w:bookmarkStart w:id="78" w:name="_Toc11912"/>
      <w:bookmarkStart w:id="79" w:name="_Toc23251"/>
      <w:r>
        <w:rPr>
          <w:rFonts w:hint="eastAsia" w:ascii="Times New Roman" w:hAnsi="Times New Roman"/>
          <w:color w:val="auto"/>
          <w:sz w:val="28"/>
          <w:szCs w:val="28"/>
        </w:rPr>
        <w:t>6. 投标相关事宜</w:t>
      </w:r>
      <w:bookmarkEnd w:id="75"/>
      <w:bookmarkEnd w:id="76"/>
      <w:bookmarkEnd w:id="77"/>
      <w:bookmarkEnd w:id="78"/>
      <w:bookmarkEnd w:id="79"/>
    </w:p>
    <w:p w14:paraId="13516473">
      <w:pPr>
        <w:spacing w:after="156" w:afterLines="50" w:line="460" w:lineRule="exact"/>
        <w:ind w:firstLine="437"/>
        <w:rPr>
          <w:rFonts w:hint="eastAsia"/>
          <w:color w:val="auto"/>
        </w:rPr>
      </w:pPr>
      <w:r>
        <w:rPr>
          <w:rFonts w:hint="eastAsia" w:ascii="宋体" w:hAnsi="宋体" w:eastAsia="宋体" w:cs="宋体"/>
          <w:color w:val="auto"/>
          <w:sz w:val="24"/>
          <w:szCs w:val="32"/>
          <w:u w:val="single"/>
        </w:rPr>
        <w:t>按照《英山县人民政府关于印发英山县工程建设项目招标投标“评定分离”改革实施办法（试行）的通知》（英政规〔2024〕1号）文件精神，本项目采用“评定分离”</w:t>
      </w:r>
      <w:r>
        <w:rPr>
          <w:rFonts w:hint="eastAsia" w:ascii="宋体" w:hAnsi="宋体" w:cs="宋体"/>
          <w:color w:val="auto"/>
          <w:sz w:val="24"/>
          <w:szCs w:val="32"/>
          <w:u w:val="single"/>
          <w:lang w:val="en-US" w:eastAsia="zh-CN"/>
        </w:rPr>
        <w:t>方式</w:t>
      </w:r>
      <w:r>
        <w:rPr>
          <w:rFonts w:hint="eastAsia" w:ascii="宋体" w:hAnsi="宋体" w:eastAsia="宋体" w:cs="宋体"/>
          <w:color w:val="auto"/>
          <w:sz w:val="24"/>
          <w:szCs w:val="32"/>
          <w:u w:val="single"/>
        </w:rPr>
        <w:t>实施招标，定标方法采用投票表决法（票决数量法）</w:t>
      </w:r>
      <w:r>
        <w:rPr>
          <w:rFonts w:hint="eastAsia"/>
          <w:color w:val="auto"/>
          <w:u w:val="single"/>
        </w:rPr>
        <w:t xml:space="preserve"> </w:t>
      </w:r>
      <w:r>
        <w:rPr>
          <w:rFonts w:hint="eastAsia"/>
          <w:color w:val="auto"/>
        </w:rPr>
        <w:t>。</w:t>
      </w:r>
    </w:p>
    <w:p w14:paraId="3B9AEB07">
      <w:pPr>
        <w:pStyle w:val="3"/>
        <w:keepNext/>
        <w:keepLines/>
        <w:pageBreakBefore w:val="0"/>
        <w:widowControl w:val="0"/>
        <w:kinsoku/>
        <w:wordWrap/>
        <w:overflowPunct/>
        <w:topLinePunct w:val="0"/>
        <w:autoSpaceDE/>
        <w:autoSpaceDN/>
        <w:bidi w:val="0"/>
        <w:adjustRightInd/>
        <w:snapToGrid/>
        <w:spacing w:before="0" w:beforeLines="0" w:line="500" w:lineRule="exact"/>
        <w:textAlignment w:val="auto"/>
        <w:rPr>
          <w:rFonts w:hint="eastAsia" w:ascii="Times New Roman" w:hAnsi="Times New Roman"/>
          <w:color w:val="auto"/>
          <w:sz w:val="28"/>
          <w:szCs w:val="28"/>
        </w:rPr>
      </w:pPr>
      <w:bookmarkStart w:id="80" w:name="_Toc154063359"/>
      <w:bookmarkStart w:id="81" w:name="_Toc14182"/>
      <w:bookmarkStart w:id="82" w:name="_Toc28083"/>
      <w:bookmarkStart w:id="83" w:name="_Toc524907999"/>
      <w:bookmarkStart w:id="84" w:name="_Toc319"/>
      <w:r>
        <w:rPr>
          <w:rFonts w:hint="eastAsia" w:ascii="Times New Roman" w:hAnsi="Times New Roman"/>
          <w:color w:val="auto"/>
          <w:sz w:val="28"/>
          <w:szCs w:val="28"/>
        </w:rPr>
        <w:t>7. 评标办法</w:t>
      </w:r>
      <w:bookmarkEnd w:id="80"/>
      <w:bookmarkEnd w:id="81"/>
      <w:bookmarkEnd w:id="82"/>
      <w:bookmarkEnd w:id="83"/>
      <w:bookmarkEnd w:id="84"/>
    </w:p>
    <w:p w14:paraId="24DF6C89">
      <w:pPr>
        <w:spacing w:after="156" w:afterLines="50" w:line="460" w:lineRule="exact"/>
        <w:ind w:firstLine="437"/>
        <w:rPr>
          <w:rFonts w:hint="eastAsia"/>
          <w:color w:val="auto"/>
        </w:rPr>
      </w:pPr>
      <w:r>
        <w:rPr>
          <w:rFonts w:hint="eastAsia"/>
          <w:color w:val="auto"/>
        </w:rPr>
        <w:t>本次招标评标办法采用</w:t>
      </w:r>
      <w:r>
        <w:rPr>
          <w:rFonts w:hint="eastAsia"/>
          <w:color w:val="auto"/>
          <w:u w:val="single"/>
        </w:rPr>
        <w:t xml:space="preserve"> </w:t>
      </w:r>
      <w:r>
        <w:rPr>
          <w:rFonts w:hint="eastAsia" w:ascii="宋体" w:hAnsi="宋体" w:eastAsia="宋体" w:cs="宋体"/>
          <w:color w:val="auto"/>
          <w:sz w:val="24"/>
          <w:szCs w:val="32"/>
          <w:u w:val="single"/>
        </w:rPr>
        <w:t>综合评估法</w:t>
      </w:r>
      <w:r>
        <w:rPr>
          <w:rFonts w:hint="eastAsia"/>
          <w:color w:val="auto"/>
          <w:u w:val="single"/>
        </w:rPr>
        <w:t xml:space="preserve"> </w:t>
      </w:r>
      <w:r>
        <w:rPr>
          <w:rFonts w:hint="eastAsia"/>
          <w:color w:val="auto"/>
        </w:rPr>
        <w:t>。</w:t>
      </w:r>
    </w:p>
    <w:p w14:paraId="10C3F496">
      <w:pPr>
        <w:pStyle w:val="3"/>
        <w:keepNext/>
        <w:keepLines/>
        <w:pageBreakBefore w:val="0"/>
        <w:widowControl w:val="0"/>
        <w:kinsoku/>
        <w:wordWrap/>
        <w:overflowPunct/>
        <w:topLinePunct w:val="0"/>
        <w:autoSpaceDE/>
        <w:autoSpaceDN/>
        <w:bidi w:val="0"/>
        <w:adjustRightInd/>
        <w:snapToGrid/>
        <w:spacing w:before="0" w:beforeLines="0" w:line="500" w:lineRule="exact"/>
        <w:textAlignment w:val="auto"/>
        <w:rPr>
          <w:rFonts w:ascii="Times New Roman" w:hAnsi="Times New Roman"/>
          <w:color w:val="auto"/>
          <w:sz w:val="28"/>
          <w:szCs w:val="28"/>
        </w:rPr>
      </w:pPr>
      <w:bookmarkStart w:id="85" w:name="_Toc157499355"/>
      <w:bookmarkStart w:id="86" w:name="_Toc3871"/>
      <w:bookmarkStart w:id="87" w:name="_Toc519085257"/>
      <w:bookmarkStart w:id="88" w:name="_Toc247513939"/>
      <w:bookmarkStart w:id="89" w:name="_Toc30965"/>
      <w:bookmarkStart w:id="90" w:name="_Toc23189"/>
      <w:bookmarkStart w:id="91" w:name="_Toc247527540"/>
      <w:bookmarkStart w:id="92" w:name="_Toc10595"/>
      <w:bookmarkStart w:id="93" w:name="_Toc154063360"/>
      <w:r>
        <w:rPr>
          <w:rFonts w:hint="eastAsia" w:ascii="Times New Roman" w:hAnsi="Times New Roman"/>
          <w:color w:val="auto"/>
          <w:sz w:val="28"/>
          <w:szCs w:val="28"/>
        </w:rPr>
        <w:t>8. 发布公告的媒介</w:t>
      </w:r>
      <w:bookmarkEnd w:id="85"/>
      <w:bookmarkEnd w:id="86"/>
      <w:bookmarkEnd w:id="87"/>
      <w:bookmarkEnd w:id="88"/>
      <w:bookmarkEnd w:id="89"/>
      <w:bookmarkEnd w:id="90"/>
      <w:bookmarkEnd w:id="91"/>
      <w:bookmarkEnd w:id="92"/>
      <w:bookmarkEnd w:id="93"/>
    </w:p>
    <w:p w14:paraId="1B88E5FC">
      <w:pPr>
        <w:spacing w:line="440" w:lineRule="exact"/>
        <w:ind w:firstLine="437"/>
        <w:rPr>
          <w:rFonts w:hint="eastAsia"/>
          <w:color w:val="auto"/>
        </w:rPr>
      </w:pPr>
      <w:r>
        <w:rPr>
          <w:rFonts w:hint="eastAsia"/>
          <w:color w:val="auto"/>
        </w:rPr>
        <w:t>本次</w:t>
      </w:r>
      <w:r>
        <w:rPr>
          <w:rFonts w:hint="eastAsia" w:ascii="宋体" w:hAnsi="宋体" w:eastAsia="宋体" w:cs="宋体"/>
          <w:color w:val="auto"/>
        </w:rPr>
        <w:t>招标公告同时在</w:t>
      </w:r>
      <w:r>
        <w:rPr>
          <w:rFonts w:hint="eastAsia" w:ascii="宋体" w:hAnsi="宋体" w:eastAsia="宋体" w:cs="宋体"/>
          <w:color w:val="auto"/>
          <w:u w:val="single"/>
        </w:rPr>
        <w:t>湖北省公共资源交易电子服务系统（网址：www.hbggzyfwpt.cn）</w:t>
      </w:r>
      <w:r>
        <w:rPr>
          <w:rFonts w:hint="eastAsia" w:ascii="宋体" w:hAnsi="宋体" w:eastAsia="宋体" w:cs="宋体"/>
          <w:color w:val="auto"/>
        </w:rPr>
        <w:t>(发布公告的媒介名称)上</w:t>
      </w:r>
      <w:r>
        <w:rPr>
          <w:rFonts w:hint="eastAsia"/>
          <w:color w:val="auto"/>
        </w:rPr>
        <w:t>发布。</w:t>
      </w:r>
    </w:p>
    <w:p w14:paraId="72C5F71C">
      <w:pPr>
        <w:pStyle w:val="3"/>
        <w:keepNext/>
        <w:keepLines/>
        <w:pageBreakBefore w:val="0"/>
        <w:widowControl w:val="0"/>
        <w:kinsoku/>
        <w:wordWrap/>
        <w:overflowPunct/>
        <w:topLinePunct w:val="0"/>
        <w:autoSpaceDE/>
        <w:autoSpaceDN/>
        <w:bidi w:val="0"/>
        <w:adjustRightInd/>
        <w:snapToGrid/>
        <w:spacing w:before="0" w:beforeLines="0" w:line="500" w:lineRule="exact"/>
        <w:textAlignment w:val="auto"/>
        <w:rPr>
          <w:rFonts w:ascii="Times New Roman" w:hAnsi="Times New Roman"/>
          <w:color w:val="auto"/>
          <w:sz w:val="28"/>
          <w:szCs w:val="28"/>
        </w:rPr>
      </w:pPr>
      <w:bookmarkStart w:id="94" w:name="_Toc16688"/>
      <w:bookmarkStart w:id="95" w:name="_Toc247513940"/>
      <w:bookmarkStart w:id="96" w:name="_Toc10870"/>
      <w:bookmarkStart w:id="97" w:name="_Toc152042293"/>
      <w:bookmarkStart w:id="98" w:name="_Toc154063361"/>
      <w:bookmarkStart w:id="99" w:name="_Toc152045517"/>
      <w:bookmarkStart w:id="100" w:name="_Toc519085258"/>
      <w:bookmarkStart w:id="101" w:name="_Toc9221"/>
      <w:bookmarkStart w:id="102" w:name="_Toc30470"/>
      <w:bookmarkStart w:id="103" w:name="_Toc247527541"/>
      <w:bookmarkStart w:id="104" w:name="_Toc144974485"/>
      <w:r>
        <w:rPr>
          <w:rFonts w:hint="eastAsia" w:ascii="Times New Roman" w:hAnsi="Times New Roman"/>
          <w:color w:val="auto"/>
          <w:sz w:val="28"/>
          <w:szCs w:val="28"/>
        </w:rPr>
        <w:t>9</w:t>
      </w:r>
      <w:r>
        <w:rPr>
          <w:rFonts w:ascii="Times New Roman" w:hAnsi="Times New Roman"/>
          <w:color w:val="auto"/>
          <w:sz w:val="28"/>
          <w:szCs w:val="28"/>
        </w:rPr>
        <w:t>. 联系方式</w:t>
      </w:r>
      <w:bookmarkEnd w:id="94"/>
      <w:bookmarkEnd w:id="95"/>
      <w:bookmarkEnd w:id="96"/>
      <w:bookmarkEnd w:id="97"/>
      <w:bookmarkEnd w:id="98"/>
      <w:bookmarkEnd w:id="99"/>
      <w:bookmarkEnd w:id="100"/>
      <w:bookmarkEnd w:id="101"/>
      <w:bookmarkEnd w:id="102"/>
      <w:bookmarkEnd w:id="103"/>
      <w:bookmarkEnd w:id="104"/>
    </w:p>
    <w:p w14:paraId="791C84FB">
      <w:pPr>
        <w:topLinePunct/>
        <w:spacing w:line="460" w:lineRule="exact"/>
        <w:ind w:firstLine="420" w:firstLineChars="200"/>
        <w:rPr>
          <w:rFonts w:hint="eastAsia" w:eastAsia="宋体"/>
          <w:color w:val="auto"/>
          <w:szCs w:val="21"/>
          <w:lang w:eastAsia="zh-CN"/>
        </w:rPr>
      </w:pPr>
      <w:r>
        <w:rPr>
          <w:color w:val="auto"/>
          <w:szCs w:val="21"/>
        </w:rPr>
        <w:t>招 标 人：</w:t>
      </w:r>
      <w:r>
        <w:rPr>
          <w:rFonts w:hint="eastAsia"/>
          <w:color w:val="auto"/>
          <w:szCs w:val="21"/>
          <w:u w:val="single"/>
          <w:lang w:val="en-US" w:eastAsia="zh-CN"/>
        </w:rPr>
        <w:t>英山县市政工程建设管理中心</w:t>
      </w:r>
      <w:r>
        <w:rPr>
          <w:color w:val="auto"/>
          <w:szCs w:val="21"/>
        </w:rPr>
        <w:t xml:space="preserve"> </w:t>
      </w:r>
      <w:r>
        <w:rPr>
          <w:rFonts w:hint="eastAsia"/>
          <w:color w:val="auto"/>
          <w:szCs w:val="21"/>
          <w:lang w:val="en-US" w:eastAsia="zh-CN"/>
        </w:rPr>
        <w:t xml:space="preserve">   </w:t>
      </w:r>
      <w:r>
        <w:rPr>
          <w:color w:val="auto"/>
          <w:szCs w:val="21"/>
        </w:rPr>
        <w:t>招标代理机构：</w:t>
      </w:r>
      <w:r>
        <w:rPr>
          <w:rFonts w:hint="eastAsia"/>
          <w:color w:val="auto"/>
          <w:szCs w:val="21"/>
          <w:u w:val="single"/>
          <w:lang w:val="en-US" w:eastAsia="zh-CN"/>
        </w:rPr>
        <w:t>湖北正浩项目管理有限公司</w:t>
      </w:r>
    </w:p>
    <w:p w14:paraId="307BA837">
      <w:pPr>
        <w:topLinePunct/>
        <w:spacing w:line="460" w:lineRule="exact"/>
        <w:ind w:firstLine="420" w:firstLineChars="200"/>
        <w:rPr>
          <w:color w:val="auto"/>
          <w:szCs w:val="21"/>
        </w:rPr>
      </w:pPr>
      <w:r>
        <w:rPr>
          <w:color w:val="auto"/>
          <w:szCs w:val="21"/>
        </w:rPr>
        <w:t>地    址：</w:t>
      </w:r>
      <w:r>
        <w:rPr>
          <w:rFonts w:hint="eastAsia"/>
          <w:color w:val="auto"/>
          <w:szCs w:val="21"/>
          <w:u w:val="single"/>
          <w:lang w:val="en-US" w:eastAsia="zh-CN"/>
        </w:rPr>
        <w:t>英山县温泉镇一里沙公园内</w:t>
      </w:r>
      <w:r>
        <w:rPr>
          <w:color w:val="auto"/>
          <w:szCs w:val="21"/>
          <w:u w:val="single"/>
        </w:rPr>
        <w:t xml:space="preserve">   </w:t>
      </w:r>
      <w:r>
        <w:rPr>
          <w:color w:val="auto"/>
          <w:szCs w:val="21"/>
        </w:rPr>
        <w:t xml:space="preserve">  </w:t>
      </w:r>
      <w:r>
        <w:rPr>
          <w:color w:val="auto"/>
          <w:szCs w:val="21"/>
        </w:rPr>
        <w:tab/>
      </w:r>
      <w:r>
        <w:rPr>
          <w:color w:val="auto"/>
          <w:szCs w:val="21"/>
        </w:rPr>
        <w:t>地    址：</w:t>
      </w:r>
      <w:r>
        <w:rPr>
          <w:rFonts w:hint="eastAsia"/>
          <w:color w:val="auto"/>
          <w:szCs w:val="21"/>
          <w:u w:val="single"/>
          <w:lang w:val="en-US" w:eastAsia="zh-CN"/>
        </w:rPr>
        <w:t>英山县温泉镇一里沙路</w:t>
      </w:r>
      <w:r>
        <w:rPr>
          <w:color w:val="auto"/>
          <w:szCs w:val="21"/>
          <w:u w:val="single"/>
        </w:rPr>
        <w:t xml:space="preserve"> </w:t>
      </w:r>
    </w:p>
    <w:p w14:paraId="360C13CB">
      <w:pPr>
        <w:topLinePunct/>
        <w:spacing w:line="460" w:lineRule="exact"/>
        <w:ind w:firstLine="420" w:firstLineChars="200"/>
        <w:rPr>
          <w:color w:val="auto"/>
          <w:szCs w:val="21"/>
        </w:rPr>
      </w:pPr>
      <w:r>
        <w:rPr>
          <w:color w:val="auto"/>
          <w:szCs w:val="21"/>
        </w:rPr>
        <w:t>邮    编：</w:t>
      </w:r>
      <w:r>
        <w:rPr>
          <w:color w:val="auto"/>
          <w:szCs w:val="21"/>
          <w:u w:val="single"/>
        </w:rPr>
        <w:t xml:space="preserve"> </w:t>
      </w:r>
      <w:r>
        <w:rPr>
          <w:rFonts w:hint="eastAsia" w:ascii="宋体" w:hAnsi="宋体" w:eastAsia="宋体" w:cs="宋体"/>
          <w:color w:val="auto"/>
          <w:szCs w:val="21"/>
          <w:u w:val="single"/>
          <w:lang w:val="en-US" w:eastAsia="zh-CN"/>
        </w:rPr>
        <w:t>438700</w:t>
      </w:r>
      <w:r>
        <w:rPr>
          <w:color w:val="auto"/>
          <w:szCs w:val="21"/>
          <w:u w:val="single"/>
        </w:rPr>
        <w:t xml:space="preserve">       </w:t>
      </w:r>
      <w:r>
        <w:rPr>
          <w:rFonts w:hint="eastAsia"/>
          <w:color w:val="auto"/>
          <w:szCs w:val="21"/>
          <w:u w:val="single"/>
          <w:lang w:val="en-US" w:eastAsia="zh-CN"/>
        </w:rPr>
        <w:t xml:space="preserve"> </w:t>
      </w:r>
      <w:r>
        <w:rPr>
          <w:color w:val="auto"/>
          <w:szCs w:val="21"/>
          <w:u w:val="single"/>
        </w:rPr>
        <w:t xml:space="preserve">          </w:t>
      </w:r>
      <w:r>
        <w:rPr>
          <w:color w:val="auto"/>
          <w:szCs w:val="21"/>
        </w:rPr>
        <w:t xml:space="preserve">     邮    编：</w:t>
      </w:r>
      <w:r>
        <w:rPr>
          <w:color w:val="auto"/>
          <w:szCs w:val="21"/>
          <w:u w:val="single"/>
        </w:rPr>
        <w:t xml:space="preserve"> </w:t>
      </w:r>
      <w:r>
        <w:rPr>
          <w:rFonts w:hint="eastAsia" w:ascii="宋体" w:hAnsi="宋体" w:eastAsia="宋体" w:cs="宋体"/>
          <w:color w:val="auto"/>
          <w:szCs w:val="21"/>
          <w:u w:val="single"/>
          <w:lang w:val="en-US" w:eastAsia="zh-CN"/>
        </w:rPr>
        <w:t>438700</w:t>
      </w:r>
      <w:r>
        <w:rPr>
          <w:color w:val="auto"/>
          <w:szCs w:val="21"/>
          <w:u w:val="single"/>
        </w:rPr>
        <w:t xml:space="preserve">       </w:t>
      </w:r>
      <w:r>
        <w:rPr>
          <w:rFonts w:hint="eastAsia"/>
          <w:color w:val="auto"/>
          <w:szCs w:val="21"/>
          <w:u w:val="single"/>
          <w:lang w:val="en-US" w:eastAsia="zh-CN"/>
        </w:rPr>
        <w:t xml:space="preserve"> </w:t>
      </w:r>
      <w:r>
        <w:rPr>
          <w:color w:val="auto"/>
          <w:szCs w:val="21"/>
          <w:u w:val="single"/>
        </w:rPr>
        <w:t xml:space="preserve">     </w:t>
      </w:r>
    </w:p>
    <w:p w14:paraId="0E204FB7">
      <w:pPr>
        <w:topLinePunct/>
        <w:spacing w:line="460" w:lineRule="exact"/>
        <w:ind w:firstLine="420" w:firstLineChars="200"/>
        <w:rPr>
          <w:color w:val="auto"/>
          <w:szCs w:val="21"/>
        </w:rPr>
      </w:pPr>
      <w:r>
        <w:rPr>
          <w:color w:val="auto"/>
          <w:szCs w:val="21"/>
        </w:rPr>
        <w:t>联 系 人：</w:t>
      </w:r>
      <w:r>
        <w:rPr>
          <w:color w:val="auto"/>
          <w:szCs w:val="21"/>
          <w:u w:val="single"/>
        </w:rPr>
        <w:t xml:space="preserve"> </w:t>
      </w:r>
      <w:r>
        <w:rPr>
          <w:rFonts w:hint="eastAsia"/>
          <w:color w:val="auto"/>
          <w:szCs w:val="21"/>
          <w:u w:val="single"/>
          <w:lang w:val="en-US" w:eastAsia="zh-CN"/>
        </w:rPr>
        <w:t>王浪</w:t>
      </w:r>
      <w:r>
        <w:rPr>
          <w:color w:val="auto"/>
          <w:szCs w:val="21"/>
          <w:u w:val="single"/>
        </w:rPr>
        <w:t xml:space="preserve">        </w:t>
      </w:r>
      <w:r>
        <w:rPr>
          <w:rFonts w:hint="eastAsia"/>
          <w:color w:val="auto"/>
          <w:szCs w:val="21"/>
          <w:u w:val="single"/>
          <w:lang w:val="en-US" w:eastAsia="zh-CN"/>
        </w:rPr>
        <w:t xml:space="preserve">   </w:t>
      </w:r>
      <w:r>
        <w:rPr>
          <w:color w:val="auto"/>
          <w:szCs w:val="21"/>
          <w:u w:val="single"/>
        </w:rPr>
        <w:t xml:space="preserve">         </w:t>
      </w:r>
      <w:r>
        <w:rPr>
          <w:color w:val="auto"/>
          <w:szCs w:val="21"/>
        </w:rPr>
        <w:t xml:space="preserve">     </w:t>
      </w:r>
      <w:r>
        <w:rPr>
          <w:rFonts w:hint="eastAsia"/>
          <w:color w:val="auto"/>
          <w:szCs w:val="21"/>
          <w:lang w:val="en-US" w:eastAsia="zh-CN"/>
        </w:rPr>
        <w:t>项目负责人</w:t>
      </w:r>
      <w:r>
        <w:rPr>
          <w:color w:val="auto"/>
          <w:szCs w:val="21"/>
        </w:rPr>
        <w:t>：</w:t>
      </w:r>
      <w:r>
        <w:rPr>
          <w:color w:val="auto"/>
          <w:szCs w:val="21"/>
          <w:u w:val="single"/>
        </w:rPr>
        <w:t xml:space="preserve"> </w:t>
      </w:r>
      <w:r>
        <w:rPr>
          <w:rFonts w:hint="eastAsia"/>
          <w:color w:val="auto"/>
          <w:szCs w:val="21"/>
          <w:u w:val="single"/>
          <w:lang w:val="en-US" w:eastAsia="zh-CN"/>
        </w:rPr>
        <w:t>周淼姣</w:t>
      </w:r>
      <w:r>
        <w:rPr>
          <w:color w:val="auto"/>
          <w:szCs w:val="21"/>
          <w:u w:val="single"/>
        </w:rPr>
        <w:t xml:space="preserve">           </w:t>
      </w:r>
    </w:p>
    <w:p w14:paraId="50F2D735">
      <w:pPr>
        <w:topLinePunct/>
        <w:spacing w:line="460" w:lineRule="exact"/>
        <w:ind w:firstLine="420" w:firstLineChars="200"/>
        <w:rPr>
          <w:color w:val="auto"/>
          <w:szCs w:val="21"/>
        </w:rPr>
      </w:pPr>
      <w:r>
        <w:rPr>
          <w:color w:val="auto"/>
          <w:szCs w:val="21"/>
        </w:rPr>
        <w:t>电    话：</w:t>
      </w:r>
      <w:r>
        <w:rPr>
          <w:color w:val="auto"/>
          <w:szCs w:val="21"/>
          <w:u w:val="single"/>
        </w:rPr>
        <w:t xml:space="preserve"> </w:t>
      </w:r>
      <w:r>
        <w:rPr>
          <w:rFonts w:hint="eastAsia" w:ascii="宋体" w:hAnsi="宋体" w:cs="宋体"/>
          <w:color w:val="auto"/>
          <w:szCs w:val="21"/>
          <w:u w:val="single"/>
          <w:lang w:val="en-US" w:eastAsia="zh-CN"/>
        </w:rPr>
        <w:t>0713-7112086</w:t>
      </w:r>
      <w:r>
        <w:rPr>
          <w:color w:val="auto"/>
          <w:szCs w:val="21"/>
          <w:u w:val="single"/>
        </w:rPr>
        <w:t xml:space="preserve">            </w:t>
      </w:r>
      <w:r>
        <w:rPr>
          <w:color w:val="auto"/>
          <w:szCs w:val="21"/>
        </w:rPr>
        <w:t xml:space="preserve">     电    话：</w:t>
      </w:r>
      <w:r>
        <w:rPr>
          <w:color w:val="auto"/>
          <w:szCs w:val="21"/>
          <w:u w:val="single"/>
        </w:rPr>
        <w:t xml:space="preserve"> </w:t>
      </w:r>
      <w:r>
        <w:rPr>
          <w:rFonts w:hint="eastAsia" w:ascii="宋体" w:hAnsi="宋体" w:eastAsia="宋体" w:cs="宋体"/>
          <w:color w:val="auto"/>
          <w:szCs w:val="21"/>
          <w:u w:val="single"/>
          <w:lang w:val="en-US" w:eastAsia="zh-CN"/>
        </w:rPr>
        <w:t>18221635100</w:t>
      </w:r>
      <w:r>
        <w:rPr>
          <w:color w:val="auto"/>
          <w:szCs w:val="21"/>
          <w:u w:val="single"/>
        </w:rPr>
        <w:t xml:space="preserve">        </w:t>
      </w:r>
    </w:p>
    <w:p w14:paraId="2B34034C">
      <w:pPr>
        <w:topLinePunct/>
        <w:spacing w:line="460" w:lineRule="exact"/>
        <w:ind w:firstLine="420" w:firstLineChars="200"/>
        <w:rPr>
          <w:color w:val="auto"/>
          <w:szCs w:val="21"/>
        </w:rPr>
      </w:pPr>
      <w:r>
        <w:rPr>
          <w:color w:val="auto"/>
          <w:szCs w:val="21"/>
        </w:rPr>
        <w:t>传    真：</w:t>
      </w:r>
      <w:r>
        <w:rPr>
          <w:color w:val="auto"/>
          <w:szCs w:val="21"/>
          <w:u w:val="single"/>
        </w:rPr>
        <w:t xml:space="preserve">                         </w:t>
      </w:r>
      <w:r>
        <w:rPr>
          <w:color w:val="auto"/>
          <w:szCs w:val="21"/>
        </w:rPr>
        <w:t xml:space="preserve">     传    真：</w:t>
      </w:r>
      <w:r>
        <w:rPr>
          <w:color w:val="auto"/>
          <w:szCs w:val="21"/>
          <w:u w:val="single"/>
        </w:rPr>
        <w:t xml:space="preserve">                    </w:t>
      </w:r>
    </w:p>
    <w:p w14:paraId="463F21C3">
      <w:pPr>
        <w:topLinePunct/>
        <w:spacing w:line="460" w:lineRule="exact"/>
        <w:ind w:firstLine="420" w:firstLineChars="200"/>
        <w:rPr>
          <w:color w:val="auto"/>
          <w:szCs w:val="21"/>
        </w:rPr>
      </w:pPr>
      <w:r>
        <w:rPr>
          <w:color w:val="auto"/>
          <w:szCs w:val="21"/>
        </w:rPr>
        <w:t>电子邮件：</w:t>
      </w:r>
      <w:r>
        <w:rPr>
          <w:color w:val="auto"/>
          <w:szCs w:val="21"/>
          <w:u w:val="single"/>
        </w:rPr>
        <w:t xml:space="preserve">                         </w:t>
      </w:r>
      <w:r>
        <w:rPr>
          <w:color w:val="auto"/>
          <w:szCs w:val="21"/>
        </w:rPr>
        <w:t xml:space="preserve">     电子邮件：</w:t>
      </w:r>
      <w:r>
        <w:rPr>
          <w:color w:val="auto"/>
          <w:szCs w:val="21"/>
          <w:u w:val="single"/>
        </w:rPr>
        <w:t xml:space="preserve">                    </w:t>
      </w:r>
    </w:p>
    <w:p w14:paraId="7DC42A63">
      <w:pPr>
        <w:topLinePunct/>
        <w:spacing w:line="460" w:lineRule="exact"/>
        <w:ind w:firstLine="420" w:firstLineChars="200"/>
        <w:rPr>
          <w:color w:val="auto"/>
          <w:szCs w:val="21"/>
        </w:rPr>
      </w:pPr>
      <w:r>
        <w:rPr>
          <w:color w:val="auto"/>
          <w:szCs w:val="21"/>
        </w:rPr>
        <w:t>网    址：</w:t>
      </w:r>
      <w:r>
        <w:rPr>
          <w:color w:val="auto"/>
          <w:szCs w:val="21"/>
          <w:u w:val="single"/>
        </w:rPr>
        <w:t xml:space="preserve">                         </w:t>
      </w:r>
      <w:r>
        <w:rPr>
          <w:color w:val="auto"/>
          <w:szCs w:val="21"/>
        </w:rPr>
        <w:t xml:space="preserve">     网    址：</w:t>
      </w:r>
      <w:r>
        <w:rPr>
          <w:color w:val="auto"/>
          <w:szCs w:val="21"/>
          <w:u w:val="single"/>
        </w:rPr>
        <w:t xml:space="preserve">                    </w:t>
      </w:r>
    </w:p>
    <w:p w14:paraId="36B7EC4D">
      <w:pPr>
        <w:topLinePunct/>
        <w:spacing w:line="460" w:lineRule="exact"/>
        <w:ind w:firstLine="420" w:firstLineChars="200"/>
        <w:rPr>
          <w:color w:val="auto"/>
          <w:szCs w:val="21"/>
        </w:rPr>
      </w:pPr>
      <w:r>
        <w:rPr>
          <w:color w:val="auto"/>
          <w:szCs w:val="21"/>
        </w:rPr>
        <w:t>开户银行：</w:t>
      </w:r>
      <w:r>
        <w:rPr>
          <w:color w:val="auto"/>
          <w:szCs w:val="21"/>
          <w:u w:val="single"/>
        </w:rPr>
        <w:t xml:space="preserve">                         </w:t>
      </w:r>
      <w:r>
        <w:rPr>
          <w:color w:val="auto"/>
          <w:szCs w:val="21"/>
        </w:rPr>
        <w:t xml:space="preserve">     开户银行：</w:t>
      </w:r>
      <w:r>
        <w:rPr>
          <w:color w:val="auto"/>
          <w:szCs w:val="21"/>
          <w:u w:val="single"/>
        </w:rPr>
        <w:t xml:space="preserve">                    </w:t>
      </w:r>
    </w:p>
    <w:p w14:paraId="10720D27">
      <w:pPr>
        <w:spacing w:line="460" w:lineRule="exact"/>
        <w:ind w:firstLine="420" w:firstLineChars="200"/>
        <w:rPr>
          <w:color w:val="auto"/>
          <w:szCs w:val="21"/>
        </w:rPr>
      </w:pPr>
      <w:r>
        <w:rPr>
          <w:rFonts w:hint="eastAsia"/>
          <w:color w:val="auto"/>
          <w:szCs w:val="21"/>
        </w:rPr>
        <w:t>账</w:t>
      </w:r>
      <w:r>
        <w:rPr>
          <w:color w:val="auto"/>
          <w:szCs w:val="21"/>
        </w:rPr>
        <w:t xml:space="preserve">    号：</w:t>
      </w:r>
      <w:r>
        <w:rPr>
          <w:color w:val="auto"/>
          <w:szCs w:val="21"/>
          <w:u w:val="single"/>
        </w:rPr>
        <w:t xml:space="preserve">                         </w:t>
      </w:r>
      <w:r>
        <w:rPr>
          <w:color w:val="auto"/>
          <w:szCs w:val="21"/>
        </w:rPr>
        <w:t xml:space="preserve">     </w:t>
      </w:r>
      <w:r>
        <w:rPr>
          <w:rFonts w:hint="eastAsia"/>
          <w:color w:val="auto"/>
          <w:szCs w:val="21"/>
        </w:rPr>
        <w:t>账</w:t>
      </w:r>
      <w:r>
        <w:rPr>
          <w:color w:val="auto"/>
          <w:szCs w:val="21"/>
        </w:rPr>
        <w:t xml:space="preserve">    号：</w:t>
      </w:r>
      <w:r>
        <w:rPr>
          <w:color w:val="auto"/>
          <w:szCs w:val="21"/>
          <w:u w:val="single"/>
        </w:rPr>
        <w:t xml:space="preserve">                    </w:t>
      </w:r>
    </w:p>
    <w:p w14:paraId="4C71CDE0">
      <w:pPr>
        <w:keepNext w:val="0"/>
        <w:keepLines w:val="0"/>
        <w:pageBreakBefore w:val="0"/>
        <w:widowControl w:val="0"/>
        <w:numPr>
          <w:ilvl w:val="0"/>
          <w:numId w:val="12"/>
        </w:numPr>
        <w:kinsoku/>
        <w:wordWrap/>
        <w:overflowPunct/>
        <w:topLinePunct w:val="0"/>
        <w:autoSpaceDE/>
        <w:autoSpaceDN/>
        <w:bidi w:val="0"/>
        <w:adjustRightInd/>
        <w:snapToGrid/>
        <w:spacing w:before="63" w:beforeLines="20" w:line="240" w:lineRule="auto"/>
        <w:textAlignment w:val="auto"/>
        <w:rPr>
          <w:rFonts w:hint="eastAsia" w:ascii="Times New Roman" w:hAnsi="Times New Roman" w:eastAsia="黑体" w:cs="Times New Roman"/>
          <w:bCs/>
          <w:color w:val="auto"/>
          <w:kern w:val="2"/>
          <w:sz w:val="28"/>
          <w:szCs w:val="28"/>
          <w:lang w:val="en-US" w:eastAsia="zh-CN" w:bidi="ar-SA"/>
        </w:rPr>
      </w:pPr>
      <w:r>
        <w:rPr>
          <w:rFonts w:hint="eastAsia" w:ascii="Times New Roman" w:hAnsi="Times New Roman" w:eastAsia="黑体" w:cs="Times New Roman"/>
          <w:bCs/>
          <w:color w:val="auto"/>
          <w:kern w:val="2"/>
          <w:sz w:val="28"/>
          <w:szCs w:val="28"/>
          <w:lang w:val="en-US" w:eastAsia="zh-CN" w:bidi="ar-SA"/>
        </w:rPr>
        <w:t>行政监督部门</w:t>
      </w:r>
    </w:p>
    <w:p w14:paraId="1B415622">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color w:val="auto"/>
          <w:szCs w:val="21"/>
        </w:rPr>
      </w:pPr>
      <w:r>
        <w:rPr>
          <w:rFonts w:hint="eastAsia"/>
          <w:color w:val="auto"/>
          <w:szCs w:val="21"/>
        </w:rPr>
        <w:t>名称</w:t>
      </w:r>
      <w:r>
        <w:rPr>
          <w:rFonts w:hint="eastAsia"/>
          <w:color w:val="auto"/>
          <w:szCs w:val="21"/>
          <w:lang w:eastAsia="zh-CN"/>
        </w:rPr>
        <w:t>：</w:t>
      </w:r>
      <w:r>
        <w:rPr>
          <w:rFonts w:hint="eastAsia"/>
          <w:color w:val="auto"/>
          <w:szCs w:val="21"/>
        </w:rPr>
        <w:t>英山县住房和城乡建设局</w:t>
      </w:r>
    </w:p>
    <w:p w14:paraId="5A62E5A3">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color w:val="auto"/>
          <w:szCs w:val="21"/>
        </w:rPr>
      </w:pPr>
      <w:r>
        <w:rPr>
          <w:rFonts w:hint="eastAsia"/>
          <w:color w:val="auto"/>
          <w:szCs w:val="21"/>
        </w:rPr>
        <w:t>地址</w:t>
      </w:r>
      <w:r>
        <w:rPr>
          <w:rFonts w:hint="eastAsia"/>
          <w:color w:val="auto"/>
          <w:szCs w:val="21"/>
          <w:lang w:eastAsia="zh-CN"/>
        </w:rPr>
        <w:t>：</w:t>
      </w:r>
      <w:r>
        <w:rPr>
          <w:rFonts w:hint="eastAsia"/>
          <w:color w:val="auto"/>
          <w:szCs w:val="21"/>
        </w:rPr>
        <w:t>英山县温泉镇新政务服</w:t>
      </w:r>
      <w:r>
        <w:rPr>
          <w:rFonts w:hint="eastAsia" w:ascii="宋体" w:hAnsi="宋体" w:eastAsia="宋体" w:cs="宋体"/>
          <w:color w:val="auto"/>
          <w:szCs w:val="21"/>
        </w:rPr>
        <w:t>务中心A区二</w:t>
      </w:r>
      <w:r>
        <w:rPr>
          <w:rFonts w:hint="eastAsia"/>
          <w:color w:val="auto"/>
          <w:szCs w:val="21"/>
        </w:rPr>
        <w:t>楼</w:t>
      </w:r>
    </w:p>
    <w:p w14:paraId="67DB9E03">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color w:val="auto"/>
          <w:szCs w:val="21"/>
        </w:rPr>
      </w:pPr>
      <w:r>
        <w:rPr>
          <w:rFonts w:hint="eastAsia"/>
          <w:color w:val="auto"/>
          <w:szCs w:val="21"/>
        </w:rPr>
        <w:t>电话</w:t>
      </w:r>
      <w:r>
        <w:rPr>
          <w:rFonts w:hint="eastAsia"/>
          <w:color w:val="auto"/>
          <w:szCs w:val="21"/>
          <w:lang w:eastAsia="zh-CN"/>
        </w:rPr>
        <w:t>：</w:t>
      </w:r>
      <w:r>
        <w:rPr>
          <w:rFonts w:hint="eastAsia" w:ascii="宋体" w:hAnsi="宋体" w:eastAsia="宋体" w:cs="宋体"/>
          <w:color w:val="auto"/>
          <w:sz w:val="21"/>
          <w:szCs w:val="21"/>
        </w:rPr>
        <w:t>0713-7013301</w:t>
      </w:r>
    </w:p>
    <w:p w14:paraId="37164F17">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eastAsia="宋体"/>
          <w:color w:val="auto"/>
          <w:szCs w:val="21"/>
          <w:lang w:eastAsia="zh-CN"/>
        </w:rPr>
      </w:pPr>
      <w:r>
        <w:rPr>
          <w:rFonts w:hint="eastAsia"/>
          <w:color w:val="auto"/>
          <w:szCs w:val="21"/>
        </w:rPr>
        <w:t>传真</w:t>
      </w:r>
      <w:r>
        <w:rPr>
          <w:rFonts w:hint="eastAsia"/>
          <w:color w:val="auto"/>
          <w:szCs w:val="21"/>
          <w:lang w:eastAsia="zh-CN"/>
        </w:rPr>
        <w:t>：</w:t>
      </w:r>
      <w:r>
        <w:rPr>
          <w:rFonts w:hint="eastAsia" w:ascii="宋体" w:hAnsi="宋体" w:eastAsia="宋体" w:cs="宋体"/>
          <w:color w:val="auto"/>
          <w:szCs w:val="21"/>
          <w:lang w:val="en-US" w:eastAsia="zh-CN"/>
        </w:rPr>
        <w:t>/</w:t>
      </w:r>
    </w:p>
    <w:p w14:paraId="0BA30070">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color w:val="auto"/>
          <w:szCs w:val="21"/>
        </w:rPr>
      </w:pPr>
      <w:r>
        <w:rPr>
          <w:rFonts w:hint="eastAsia"/>
          <w:color w:val="auto"/>
          <w:szCs w:val="21"/>
        </w:rPr>
        <w:t>邮政编码</w:t>
      </w:r>
      <w:r>
        <w:rPr>
          <w:rFonts w:hint="eastAsia"/>
          <w:color w:val="auto"/>
          <w:szCs w:val="21"/>
          <w:lang w:eastAsia="zh-CN"/>
        </w:rPr>
        <w:t>：</w:t>
      </w:r>
      <w:r>
        <w:rPr>
          <w:rFonts w:hint="eastAsia" w:ascii="宋体" w:hAnsi="宋体" w:eastAsia="宋体" w:cs="宋体"/>
          <w:color w:val="auto"/>
          <w:szCs w:val="21"/>
        </w:rPr>
        <w:t>438700</w:t>
      </w:r>
    </w:p>
    <w:p w14:paraId="5C53741D">
      <w:pPr>
        <w:spacing w:line="460" w:lineRule="exact"/>
        <w:rPr>
          <w:color w:val="auto"/>
          <w:szCs w:val="21"/>
        </w:rPr>
      </w:pPr>
      <w:r>
        <w:rPr>
          <w:color w:val="auto"/>
          <w:szCs w:val="21"/>
        </w:rPr>
        <w:t>　　　　　　　　　　　　　　　　　　　　　　　　　</w:t>
      </w:r>
      <w:r>
        <w:rPr>
          <w:color w:val="auto"/>
          <w:szCs w:val="21"/>
          <w:u w:val="single"/>
        </w:rPr>
        <w:t xml:space="preserve">      </w:t>
      </w:r>
      <w:r>
        <w:rPr>
          <w:color w:val="auto"/>
          <w:szCs w:val="21"/>
        </w:rPr>
        <w:t xml:space="preserve">年 </w:t>
      </w:r>
      <w:r>
        <w:rPr>
          <w:color w:val="auto"/>
          <w:szCs w:val="21"/>
          <w:u w:val="single"/>
        </w:rPr>
        <w:t xml:space="preserve"> </w:t>
      </w:r>
      <w:r>
        <w:rPr>
          <w:rFonts w:hint="eastAsia"/>
          <w:color w:val="auto"/>
          <w:szCs w:val="21"/>
          <w:u w:val="single"/>
        </w:rPr>
        <w:t xml:space="preserve">  </w:t>
      </w:r>
      <w:r>
        <w:rPr>
          <w:color w:val="auto"/>
          <w:szCs w:val="21"/>
          <w:u w:val="single"/>
        </w:rPr>
        <w:t xml:space="preserve">  </w:t>
      </w:r>
      <w:r>
        <w:rPr>
          <w:color w:val="auto"/>
          <w:szCs w:val="21"/>
        </w:rPr>
        <w:t>月</w:t>
      </w:r>
      <w:r>
        <w:rPr>
          <w:color w:val="auto"/>
          <w:szCs w:val="21"/>
          <w:u w:val="single"/>
        </w:rPr>
        <w:t xml:space="preserve">  </w:t>
      </w:r>
      <w:r>
        <w:rPr>
          <w:rFonts w:hint="eastAsia"/>
          <w:color w:val="auto"/>
          <w:szCs w:val="21"/>
          <w:u w:val="single"/>
        </w:rPr>
        <w:t xml:space="preserve"> </w:t>
      </w:r>
      <w:r>
        <w:rPr>
          <w:color w:val="auto"/>
          <w:szCs w:val="21"/>
          <w:u w:val="single"/>
        </w:rPr>
        <w:t xml:space="preserve">  </w:t>
      </w:r>
      <w:r>
        <w:rPr>
          <w:color w:val="auto"/>
          <w:szCs w:val="21"/>
        </w:rPr>
        <w:t>日</w:t>
      </w:r>
    </w:p>
    <w:p w14:paraId="22654500">
      <w:pPr>
        <w:spacing w:line="400" w:lineRule="exact"/>
        <w:rPr>
          <w:rFonts w:hint="eastAsia"/>
          <w:color w:val="auto"/>
        </w:rPr>
      </w:pPr>
    </w:p>
    <w:p w14:paraId="3663B403">
      <w:pPr>
        <w:spacing w:line="240" w:lineRule="auto"/>
        <w:ind w:left="945" w:hanging="945" w:hangingChars="450"/>
        <w:jc w:val="left"/>
        <w:rPr>
          <w:rFonts w:hint="eastAsia" w:ascii="宋体" w:hAnsi="宋体" w:eastAsia="宋体" w:cs="宋体"/>
          <w:color w:val="auto"/>
          <w:szCs w:val="20"/>
        </w:rPr>
      </w:pPr>
      <w:r>
        <w:rPr>
          <w:rFonts w:hint="eastAsia" w:ascii="宋体" w:hAnsi="宋体" w:eastAsia="宋体" w:cs="宋体"/>
          <w:color w:val="auto"/>
          <w:szCs w:val="20"/>
        </w:rPr>
        <w:t>备注</w:t>
      </w:r>
      <w:r>
        <w:rPr>
          <w:rFonts w:hint="eastAsia" w:ascii="宋体" w:hAnsi="宋体" w:eastAsia="宋体" w:cs="宋体"/>
          <w:color w:val="auto"/>
          <w:szCs w:val="20"/>
          <w:lang w:eastAsia="zh-CN"/>
        </w:rPr>
        <w:t>：</w:t>
      </w:r>
      <w:r>
        <w:rPr>
          <w:rFonts w:hint="eastAsia" w:ascii="宋体" w:hAnsi="宋体" w:eastAsia="宋体" w:cs="宋体"/>
          <w:color w:val="auto"/>
          <w:szCs w:val="20"/>
        </w:rPr>
        <w:t>1. 投标人拟派的项目经理及施工负责人不得同时担任其他工程项目的工程总承包或施工（总）承包项目经理。存在下列情形之一的，视为未同时担任其他工程的项目经理或施工负责人：（1）同一工程相邻分段发包或分期施工的</w:t>
      </w:r>
      <w:r>
        <w:rPr>
          <w:rFonts w:hint="eastAsia" w:ascii="宋体" w:hAnsi="宋体" w:eastAsia="宋体" w:cs="宋体"/>
          <w:color w:val="auto"/>
          <w:szCs w:val="20"/>
          <w:lang w:eastAsia="zh-CN"/>
        </w:rPr>
        <w:t>；</w:t>
      </w:r>
      <w:r>
        <w:rPr>
          <w:rFonts w:hint="eastAsia" w:ascii="宋体" w:hAnsi="宋体" w:eastAsia="宋体" w:cs="宋体"/>
          <w:color w:val="auto"/>
          <w:szCs w:val="20"/>
        </w:rPr>
        <w:t>（2）合同约定的工程验收合格的；（3）因非承包方原因致使工程项目停工超过120天（含），经建设单位同意的。</w:t>
      </w:r>
    </w:p>
    <w:p w14:paraId="10CE1D9C">
      <w:pPr>
        <w:spacing w:line="240" w:lineRule="auto"/>
        <w:ind w:left="945" w:leftChars="300" w:hanging="315" w:hangingChars="150"/>
        <w:jc w:val="left"/>
        <w:rPr>
          <w:rFonts w:hint="eastAsia"/>
          <w:color w:val="auto"/>
          <w:szCs w:val="21"/>
        </w:rPr>
      </w:pPr>
      <w:r>
        <w:rPr>
          <w:rFonts w:hint="eastAsia" w:ascii="宋体" w:hAnsi="宋体" w:eastAsia="宋体" w:cs="宋体"/>
          <w:color w:val="auto"/>
          <w:szCs w:val="20"/>
        </w:rPr>
        <w:t>2. “在所投标段免费下载招标文件”是指投标人拟参加某标段投标的，应按规定下载该标段的招标文件。投标人的下载活动“电子交易平台”将予以记录，并可在“下载情况查询”中查看，该记录作为投标人是否下载该标段招标文件的依据。</w:t>
      </w:r>
    </w:p>
    <w:p w14:paraId="09F4B991">
      <w:pPr>
        <w:pStyle w:val="2"/>
        <w:spacing w:before="0" w:after="0"/>
        <w:jc w:val="center"/>
        <w:rPr>
          <w:rFonts w:hint="eastAsia" w:eastAsia="黑体"/>
          <w:b w:val="0"/>
          <w:color w:val="auto"/>
          <w:sz w:val="32"/>
          <w:szCs w:val="20"/>
        </w:rPr>
        <w:sectPr>
          <w:pgSz w:w="11906" w:h="16838"/>
          <w:pgMar w:top="1440" w:right="1633" w:bottom="1440" w:left="1633" w:header="851" w:footer="850" w:gutter="0"/>
          <w:pgNumType w:start="1"/>
          <w:cols w:space="720" w:num="1"/>
          <w:docGrid w:type="linesAndChars" w:linePitch="312" w:charSpace="0"/>
        </w:sectPr>
      </w:pPr>
      <w:bookmarkStart w:id="105" w:name="_Toc154063374"/>
      <w:bookmarkStart w:id="106" w:name="_Toc1880"/>
      <w:bookmarkStart w:id="107" w:name="_Toc1561"/>
      <w:bookmarkStart w:id="108" w:name="_Toc23513"/>
      <w:bookmarkStart w:id="109" w:name="_Toc8662"/>
    </w:p>
    <w:p w14:paraId="7BC9C87D">
      <w:pPr>
        <w:pStyle w:val="2"/>
        <w:spacing w:before="0" w:after="0"/>
        <w:jc w:val="center"/>
        <w:rPr>
          <w:rFonts w:hint="eastAsia" w:eastAsia="黑体"/>
          <w:b w:val="0"/>
          <w:color w:val="auto"/>
          <w:sz w:val="32"/>
          <w:szCs w:val="20"/>
        </w:rPr>
      </w:pPr>
      <w:r>
        <w:rPr>
          <w:rFonts w:hint="eastAsia" w:eastAsia="黑体"/>
          <w:b w:val="0"/>
          <w:color w:val="auto"/>
          <w:sz w:val="32"/>
          <w:szCs w:val="20"/>
        </w:rPr>
        <w:t>第二章  投标人须知</w:t>
      </w:r>
      <w:bookmarkEnd w:id="105"/>
      <w:bookmarkEnd w:id="106"/>
      <w:bookmarkEnd w:id="107"/>
      <w:bookmarkEnd w:id="108"/>
      <w:bookmarkEnd w:id="109"/>
      <w:bookmarkStart w:id="110" w:name="_Toc152045528"/>
      <w:bookmarkStart w:id="111" w:name="_Toc247527552"/>
      <w:bookmarkStart w:id="112" w:name="_Toc29002"/>
      <w:bookmarkStart w:id="113" w:name="_Toc2703"/>
      <w:bookmarkStart w:id="114" w:name="_Toc29521"/>
      <w:bookmarkStart w:id="115" w:name="_Toc247513951"/>
      <w:bookmarkStart w:id="116" w:name="_Toc144974496"/>
      <w:bookmarkStart w:id="117" w:name="_Toc519085268"/>
      <w:bookmarkStart w:id="118" w:name="_Toc152042304"/>
      <w:bookmarkStart w:id="119" w:name="_Toc24124"/>
    </w:p>
    <w:p w14:paraId="06C4EF9D">
      <w:pPr>
        <w:pStyle w:val="3"/>
        <w:spacing w:before="62"/>
        <w:rPr>
          <w:rFonts w:hint="eastAsia"/>
          <w:color w:val="auto"/>
        </w:rPr>
      </w:pPr>
      <w:bookmarkStart w:id="120" w:name="_Toc154063375"/>
      <w:r>
        <w:rPr>
          <w:rFonts w:hint="eastAsia"/>
          <w:color w:val="auto"/>
          <w:sz w:val="28"/>
          <w:szCs w:val="28"/>
        </w:rPr>
        <w:t>投标人须知前附表</w:t>
      </w:r>
      <w:bookmarkEnd w:id="110"/>
      <w:bookmarkEnd w:id="111"/>
      <w:bookmarkEnd w:id="112"/>
      <w:bookmarkEnd w:id="113"/>
      <w:bookmarkEnd w:id="114"/>
      <w:bookmarkEnd w:id="115"/>
      <w:bookmarkEnd w:id="116"/>
      <w:bookmarkEnd w:id="117"/>
      <w:bookmarkEnd w:id="118"/>
      <w:bookmarkEnd w:id="119"/>
      <w:bookmarkEnd w:id="120"/>
    </w:p>
    <w:tbl>
      <w:tblPr>
        <w:tblStyle w:val="41"/>
        <w:tblpPr w:leftFromText="181" w:rightFromText="181" w:vertAnchor="text" w:horzAnchor="page" w:tblpX="1619" w:tblpY="1"/>
        <w:tblW w:w="9180" w:type="dxa"/>
        <w:tblInd w:w="0" w:type="dxa"/>
        <w:tblLayout w:type="fixed"/>
        <w:tblCellMar>
          <w:top w:w="0" w:type="dxa"/>
          <w:left w:w="108" w:type="dxa"/>
          <w:bottom w:w="0" w:type="dxa"/>
          <w:right w:w="108" w:type="dxa"/>
        </w:tblCellMar>
      </w:tblPr>
      <w:tblGrid>
        <w:gridCol w:w="1005"/>
        <w:gridCol w:w="2550"/>
        <w:gridCol w:w="5625"/>
      </w:tblGrid>
      <w:tr w14:paraId="16CD574C">
        <w:tblPrEx>
          <w:tblCellMar>
            <w:top w:w="0" w:type="dxa"/>
            <w:left w:w="108" w:type="dxa"/>
            <w:bottom w:w="0" w:type="dxa"/>
            <w:right w:w="108" w:type="dxa"/>
          </w:tblCellMar>
        </w:tblPrEx>
        <w:trPr>
          <w:trHeight w:val="698"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60664E3C">
            <w:pPr>
              <w:keepNext w:val="0"/>
              <w:keepLines w:val="0"/>
              <w:suppressLineNumbers w:val="0"/>
              <w:spacing w:before="0" w:beforeAutospacing="0" w:after="0" w:afterAutospacing="0" w:line="400" w:lineRule="exact"/>
              <w:ind w:left="0" w:right="0"/>
              <w:jc w:val="center"/>
              <w:rPr>
                <w:rFonts w:ascii="Calibri" w:hAnsi="Calibri" w:eastAsia="宋体" w:cs="Times New Roman"/>
                <w:b/>
                <w:color w:val="auto"/>
                <w:szCs w:val="21"/>
              </w:rPr>
            </w:pPr>
            <w:r>
              <w:rPr>
                <w:rFonts w:ascii="Calibri" w:hAnsi="Calibri" w:eastAsia="宋体" w:cs="Times New Roman"/>
                <w:b/>
                <w:color w:val="auto"/>
                <w:szCs w:val="21"/>
              </w:rPr>
              <w:t>条款号</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22D2FC96">
            <w:pPr>
              <w:keepNext w:val="0"/>
              <w:keepLines w:val="0"/>
              <w:suppressLineNumbers w:val="0"/>
              <w:spacing w:before="0" w:beforeAutospacing="0" w:after="0" w:afterAutospacing="0" w:line="400" w:lineRule="exact"/>
              <w:ind w:left="0" w:right="0"/>
              <w:jc w:val="center"/>
              <w:rPr>
                <w:rFonts w:ascii="Calibri" w:hAnsi="Calibri" w:eastAsia="宋体" w:cs="Times New Roman"/>
                <w:b/>
                <w:color w:val="auto"/>
                <w:szCs w:val="21"/>
              </w:rPr>
            </w:pPr>
            <w:r>
              <w:rPr>
                <w:rFonts w:ascii="Calibri" w:hAnsi="Calibri" w:eastAsia="宋体" w:cs="Times New Roman"/>
                <w:b/>
                <w:color w:val="auto"/>
                <w:szCs w:val="21"/>
              </w:rPr>
              <w:t>条  款  名  称</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0254DA00">
            <w:pPr>
              <w:keepNext w:val="0"/>
              <w:keepLines w:val="0"/>
              <w:suppressLineNumbers w:val="0"/>
              <w:spacing w:before="0" w:beforeAutospacing="0" w:after="0" w:afterAutospacing="0" w:line="400" w:lineRule="exact"/>
              <w:ind w:left="0" w:right="0"/>
              <w:jc w:val="center"/>
              <w:rPr>
                <w:rFonts w:ascii="Calibri" w:hAnsi="Calibri" w:eastAsia="宋体" w:cs="Times New Roman"/>
                <w:b/>
                <w:color w:val="auto"/>
                <w:szCs w:val="21"/>
              </w:rPr>
            </w:pPr>
            <w:r>
              <w:rPr>
                <w:rFonts w:ascii="Calibri" w:hAnsi="Calibri" w:eastAsia="宋体" w:cs="Times New Roman"/>
                <w:b/>
                <w:color w:val="auto"/>
                <w:szCs w:val="21"/>
              </w:rPr>
              <w:t>编  列  内  容</w:t>
            </w:r>
          </w:p>
        </w:tc>
      </w:tr>
      <w:tr w14:paraId="2A852FDB">
        <w:tblPrEx>
          <w:tblCellMar>
            <w:top w:w="0" w:type="dxa"/>
            <w:left w:w="108" w:type="dxa"/>
            <w:bottom w:w="0" w:type="dxa"/>
            <w:right w:w="108" w:type="dxa"/>
          </w:tblCellMar>
        </w:tblPrEx>
        <w:trPr>
          <w:trHeight w:val="90"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347D6C7D">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1.1.2</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14900335">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招标人</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696D2B9E">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ascii="Calibri" w:hAnsi="Calibri" w:eastAsia="宋体" w:cs="Times New Roman"/>
                <w:color w:val="auto"/>
                <w:szCs w:val="21"/>
              </w:rPr>
              <w:t>名称：同招标公告</w:t>
            </w:r>
          </w:p>
          <w:p w14:paraId="73D79426">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rPr>
            </w:pPr>
            <w:r>
              <w:rPr>
                <w:rFonts w:ascii="Calibri" w:hAnsi="Calibri" w:eastAsia="宋体" w:cs="Times New Roman"/>
                <w:color w:val="auto"/>
                <w:szCs w:val="21"/>
              </w:rPr>
              <w:t>地址：同招标公告</w:t>
            </w:r>
          </w:p>
          <w:p w14:paraId="593E5452">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rPr>
            </w:pPr>
            <w:r>
              <w:rPr>
                <w:rFonts w:ascii="Calibri" w:hAnsi="Calibri" w:eastAsia="宋体" w:cs="Times New Roman"/>
                <w:color w:val="auto"/>
                <w:szCs w:val="21"/>
              </w:rPr>
              <w:t>联系人：同招标公告</w:t>
            </w:r>
          </w:p>
          <w:p w14:paraId="489F2FB0">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rPr>
            </w:pPr>
            <w:r>
              <w:rPr>
                <w:rFonts w:ascii="Calibri" w:hAnsi="Calibri" w:eastAsia="宋体" w:cs="Times New Roman"/>
                <w:color w:val="auto"/>
                <w:szCs w:val="21"/>
              </w:rPr>
              <w:t>电话：同招标公告或</w:t>
            </w:r>
          </w:p>
        </w:tc>
      </w:tr>
      <w:tr w14:paraId="14728A5A">
        <w:tblPrEx>
          <w:tblCellMar>
            <w:top w:w="0" w:type="dxa"/>
            <w:left w:w="108" w:type="dxa"/>
            <w:bottom w:w="0" w:type="dxa"/>
            <w:right w:w="108" w:type="dxa"/>
          </w:tblCellMar>
        </w:tblPrEx>
        <w:trPr>
          <w:trHeight w:val="130" w:hRule="atLeast"/>
        </w:trPr>
        <w:tc>
          <w:tcPr>
            <w:tcW w:w="1005" w:type="dxa"/>
            <w:vMerge w:val="restart"/>
            <w:tcBorders>
              <w:top w:val="single" w:color="auto" w:sz="4" w:space="0"/>
              <w:left w:val="single" w:color="auto" w:sz="4" w:space="0"/>
              <w:right w:val="single" w:color="auto" w:sz="4" w:space="0"/>
            </w:tcBorders>
            <w:noWrap w:val="0"/>
            <w:vAlign w:val="center"/>
          </w:tcPr>
          <w:p w14:paraId="7ECD9622">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1.1.3</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6C49B149">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招标代理机构</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4B8D28B4">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ascii="Calibri" w:hAnsi="Calibri" w:eastAsia="宋体" w:cs="Times New Roman"/>
                <w:color w:val="auto"/>
                <w:szCs w:val="21"/>
              </w:rPr>
              <w:t>名称：同招标公告</w:t>
            </w:r>
          </w:p>
          <w:p w14:paraId="0F841793">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ascii="Calibri" w:hAnsi="Calibri" w:eastAsia="宋体" w:cs="Times New Roman"/>
                <w:color w:val="auto"/>
                <w:szCs w:val="21"/>
              </w:rPr>
              <w:t>地址：同招标公告</w:t>
            </w:r>
          </w:p>
          <w:p w14:paraId="2895EF28">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ascii="Calibri" w:hAnsi="Calibri" w:eastAsia="宋体" w:cs="Times New Roman"/>
                <w:color w:val="auto"/>
                <w:szCs w:val="21"/>
              </w:rPr>
              <w:t>联系人：同招标公告</w:t>
            </w:r>
          </w:p>
          <w:p w14:paraId="520AD291">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ascii="Calibri" w:hAnsi="Calibri" w:eastAsia="宋体" w:cs="Times New Roman"/>
                <w:color w:val="auto"/>
                <w:szCs w:val="21"/>
              </w:rPr>
              <w:t>电话：同招标公告</w:t>
            </w:r>
          </w:p>
        </w:tc>
      </w:tr>
      <w:tr w14:paraId="4A7536D5">
        <w:tblPrEx>
          <w:tblCellMar>
            <w:top w:w="0" w:type="dxa"/>
            <w:left w:w="108" w:type="dxa"/>
            <w:bottom w:w="0" w:type="dxa"/>
            <w:right w:w="108" w:type="dxa"/>
          </w:tblCellMar>
        </w:tblPrEx>
        <w:trPr>
          <w:trHeight w:val="562" w:hRule="atLeast"/>
        </w:trPr>
        <w:tc>
          <w:tcPr>
            <w:tcW w:w="1005" w:type="dxa"/>
            <w:vMerge w:val="continue"/>
            <w:tcBorders>
              <w:left w:val="single" w:color="auto" w:sz="4" w:space="0"/>
              <w:bottom w:val="single" w:color="auto" w:sz="4" w:space="0"/>
              <w:right w:val="single" w:color="auto" w:sz="4" w:space="0"/>
            </w:tcBorders>
            <w:noWrap w:val="0"/>
            <w:vAlign w:val="center"/>
          </w:tcPr>
          <w:p w14:paraId="0B8ED3E4">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p>
        </w:tc>
        <w:tc>
          <w:tcPr>
            <w:tcW w:w="2550" w:type="dxa"/>
            <w:tcBorders>
              <w:top w:val="single" w:color="auto" w:sz="4" w:space="0"/>
              <w:left w:val="single" w:color="auto" w:sz="4" w:space="0"/>
              <w:bottom w:val="single" w:color="auto" w:sz="4" w:space="0"/>
              <w:right w:val="single" w:color="auto" w:sz="4" w:space="0"/>
            </w:tcBorders>
            <w:noWrap w:val="0"/>
            <w:vAlign w:val="center"/>
          </w:tcPr>
          <w:p w14:paraId="5B7B72F9">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hint="eastAsia" w:ascii="Calibri" w:hAnsi="Calibri" w:eastAsia="宋体" w:cs="Times New Roman"/>
                <w:color w:val="auto"/>
              </w:rPr>
              <w:t>造价咨询人</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001BA32A">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lang w:val="en-US" w:eastAsia="zh-CN"/>
              </w:rPr>
            </w:pPr>
            <w:r>
              <w:rPr>
                <w:rFonts w:hint="eastAsia" w:ascii="Calibri" w:hAnsi="Calibri" w:cs="Times New Roman"/>
                <w:color w:val="auto"/>
                <w:szCs w:val="21"/>
                <w:lang w:val="en-US" w:eastAsia="zh-CN"/>
              </w:rPr>
              <w:t>/</w:t>
            </w:r>
          </w:p>
        </w:tc>
      </w:tr>
      <w:tr w14:paraId="1303F4D3">
        <w:tblPrEx>
          <w:tblCellMar>
            <w:top w:w="0" w:type="dxa"/>
            <w:left w:w="108" w:type="dxa"/>
            <w:bottom w:w="0" w:type="dxa"/>
            <w:right w:w="108" w:type="dxa"/>
          </w:tblCellMar>
        </w:tblPrEx>
        <w:trPr>
          <w:trHeight w:val="562" w:hRule="atLeast"/>
        </w:trPr>
        <w:tc>
          <w:tcPr>
            <w:tcW w:w="1005" w:type="dxa"/>
            <w:vMerge w:val="restart"/>
            <w:tcBorders>
              <w:top w:val="single" w:color="auto" w:sz="4" w:space="0"/>
              <w:left w:val="single" w:color="auto" w:sz="4" w:space="0"/>
              <w:right w:val="single" w:color="auto" w:sz="4" w:space="0"/>
            </w:tcBorders>
            <w:noWrap w:val="0"/>
            <w:vAlign w:val="center"/>
          </w:tcPr>
          <w:p w14:paraId="122C000E">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1.1.</w:t>
            </w:r>
            <w:r>
              <w:rPr>
                <w:rFonts w:hint="eastAsia" w:ascii="Calibri" w:hAnsi="Calibri" w:eastAsia="宋体" w:cs="Times New Roman"/>
                <w:color w:val="auto"/>
                <w:szCs w:val="21"/>
              </w:rPr>
              <w:t>4</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53968B4C">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rPr>
            </w:pPr>
            <w:r>
              <w:rPr>
                <w:rFonts w:hint="eastAsia" w:ascii="Calibri" w:hAnsi="Calibri" w:eastAsia="宋体" w:cs="Times New Roman"/>
                <w:color w:val="auto"/>
              </w:rPr>
              <w:t>监理人</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52FE38D1">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lang w:val="en-US" w:eastAsia="zh-CN"/>
              </w:rPr>
            </w:pPr>
            <w:r>
              <w:rPr>
                <w:rFonts w:hint="eastAsia" w:ascii="Calibri" w:hAnsi="Calibri" w:cs="Times New Roman"/>
                <w:color w:val="auto"/>
                <w:szCs w:val="21"/>
                <w:lang w:val="en-US" w:eastAsia="zh-CN"/>
              </w:rPr>
              <w:t>/</w:t>
            </w:r>
          </w:p>
        </w:tc>
      </w:tr>
      <w:tr w14:paraId="027A5241">
        <w:tblPrEx>
          <w:tblCellMar>
            <w:top w:w="0" w:type="dxa"/>
            <w:left w:w="108" w:type="dxa"/>
            <w:bottom w:w="0" w:type="dxa"/>
            <w:right w:w="108" w:type="dxa"/>
          </w:tblCellMar>
        </w:tblPrEx>
        <w:trPr>
          <w:trHeight w:val="562" w:hRule="atLeast"/>
        </w:trPr>
        <w:tc>
          <w:tcPr>
            <w:tcW w:w="1005" w:type="dxa"/>
            <w:vMerge w:val="continue"/>
            <w:tcBorders>
              <w:left w:val="single" w:color="auto" w:sz="4" w:space="0"/>
              <w:bottom w:val="single" w:color="auto" w:sz="4" w:space="0"/>
              <w:right w:val="single" w:color="auto" w:sz="4" w:space="0"/>
            </w:tcBorders>
            <w:noWrap w:val="0"/>
            <w:vAlign w:val="center"/>
          </w:tcPr>
          <w:p w14:paraId="3426E103">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p>
        </w:tc>
        <w:tc>
          <w:tcPr>
            <w:tcW w:w="2550" w:type="dxa"/>
            <w:tcBorders>
              <w:top w:val="single" w:color="auto" w:sz="4" w:space="0"/>
              <w:left w:val="single" w:color="auto" w:sz="4" w:space="0"/>
              <w:bottom w:val="single" w:color="auto" w:sz="4" w:space="0"/>
              <w:right w:val="single" w:color="auto" w:sz="4" w:space="0"/>
            </w:tcBorders>
            <w:noWrap w:val="0"/>
            <w:vAlign w:val="center"/>
          </w:tcPr>
          <w:p w14:paraId="6AAD8CDC">
            <w:pPr>
              <w:keepNext w:val="0"/>
              <w:keepLines w:val="0"/>
              <w:suppressLineNumbers w:val="0"/>
              <w:spacing w:before="0" w:beforeAutospacing="0" w:after="0" w:afterAutospacing="0" w:line="400" w:lineRule="exact"/>
              <w:ind w:left="0" w:right="0"/>
              <w:jc w:val="left"/>
              <w:rPr>
                <w:rFonts w:hint="eastAsia" w:ascii="Calibri" w:hAnsi="Calibri" w:eastAsia="宋体" w:cs="Times New Roman"/>
                <w:color w:val="auto"/>
              </w:rPr>
            </w:pPr>
            <w:r>
              <w:rPr>
                <w:rFonts w:hint="eastAsia" w:ascii="Calibri" w:hAnsi="Calibri" w:eastAsia="宋体" w:cs="Times New Roman"/>
                <w:color w:val="auto"/>
              </w:rPr>
              <w:t>项目管理单位</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4A691438">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lang w:val="en-US" w:eastAsia="zh-CN"/>
              </w:rPr>
            </w:pPr>
            <w:r>
              <w:rPr>
                <w:rFonts w:hint="eastAsia" w:ascii="Calibri" w:hAnsi="Calibri" w:cs="Times New Roman"/>
                <w:color w:val="auto"/>
                <w:szCs w:val="21"/>
                <w:lang w:val="en-US" w:eastAsia="zh-CN"/>
              </w:rPr>
              <w:t>/</w:t>
            </w:r>
          </w:p>
        </w:tc>
      </w:tr>
      <w:tr w14:paraId="12728D6D">
        <w:tblPrEx>
          <w:tblCellMar>
            <w:top w:w="0" w:type="dxa"/>
            <w:left w:w="108" w:type="dxa"/>
            <w:bottom w:w="0" w:type="dxa"/>
            <w:right w:w="108" w:type="dxa"/>
          </w:tblCellMar>
        </w:tblPrEx>
        <w:trPr>
          <w:trHeight w:val="562"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583D2F3E">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1.1.</w:t>
            </w:r>
            <w:r>
              <w:rPr>
                <w:rFonts w:hint="eastAsia" w:ascii="Calibri" w:hAnsi="Calibri" w:eastAsia="宋体" w:cs="Times New Roman"/>
                <w:color w:val="auto"/>
                <w:szCs w:val="21"/>
              </w:rPr>
              <w:t>5</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2A52C48C">
            <w:pPr>
              <w:keepNext w:val="0"/>
              <w:keepLines w:val="0"/>
              <w:suppressLineNumbers w:val="0"/>
              <w:spacing w:before="0" w:beforeAutospacing="0" w:after="0" w:afterAutospacing="0" w:line="400" w:lineRule="exact"/>
              <w:ind w:left="0" w:right="0"/>
              <w:jc w:val="left"/>
              <w:rPr>
                <w:rFonts w:hint="eastAsia" w:ascii="Calibri" w:hAnsi="Calibri" w:eastAsia="宋体" w:cs="Times New Roman"/>
                <w:color w:val="auto"/>
              </w:rPr>
            </w:pPr>
            <w:r>
              <w:rPr>
                <w:rFonts w:hint="eastAsia" w:ascii="Calibri" w:hAnsi="Calibri" w:eastAsia="宋体" w:cs="Times New Roman"/>
                <w:color w:val="auto"/>
              </w:rPr>
              <w:t>代建人</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56B42708">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lang w:val="en-US" w:eastAsia="zh-CN"/>
              </w:rPr>
            </w:pPr>
            <w:r>
              <w:rPr>
                <w:rFonts w:hint="eastAsia" w:ascii="Calibri" w:hAnsi="Calibri" w:cs="Times New Roman"/>
                <w:color w:val="auto"/>
                <w:szCs w:val="21"/>
                <w:lang w:val="en-US" w:eastAsia="zh-CN"/>
              </w:rPr>
              <w:t>/</w:t>
            </w:r>
          </w:p>
        </w:tc>
      </w:tr>
      <w:tr w14:paraId="1EEBDCFF">
        <w:tblPrEx>
          <w:tblCellMar>
            <w:top w:w="0" w:type="dxa"/>
            <w:left w:w="108" w:type="dxa"/>
            <w:bottom w:w="0" w:type="dxa"/>
            <w:right w:w="108" w:type="dxa"/>
          </w:tblCellMar>
        </w:tblPrEx>
        <w:trPr>
          <w:trHeight w:val="987"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506C081D">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1.1.</w:t>
            </w:r>
            <w:r>
              <w:rPr>
                <w:rFonts w:hint="eastAsia" w:ascii="Calibri" w:hAnsi="Calibri" w:eastAsia="宋体" w:cs="Times New Roman"/>
                <w:color w:val="auto"/>
                <w:szCs w:val="21"/>
              </w:rPr>
              <w:t>6</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3E1FE260">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项目名称、招标编号</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3B535DC7">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ascii="Calibri" w:hAnsi="Calibri" w:eastAsia="宋体" w:cs="Times New Roman"/>
                <w:color w:val="auto"/>
                <w:szCs w:val="21"/>
              </w:rPr>
              <w:t>项目名称：同招标公告或投标邀请书</w:t>
            </w:r>
          </w:p>
          <w:p w14:paraId="7778E3B6">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ascii="Calibri" w:hAnsi="Calibri" w:eastAsia="宋体" w:cs="Times New Roman"/>
                <w:color w:val="auto"/>
                <w:szCs w:val="21"/>
              </w:rPr>
              <w:t>招标编号：同招标公告或投标邀请书</w:t>
            </w:r>
          </w:p>
        </w:tc>
      </w:tr>
      <w:tr w14:paraId="6D62A759">
        <w:tblPrEx>
          <w:tblCellMar>
            <w:top w:w="0" w:type="dxa"/>
            <w:left w:w="108" w:type="dxa"/>
            <w:bottom w:w="0" w:type="dxa"/>
            <w:right w:w="108" w:type="dxa"/>
          </w:tblCellMar>
        </w:tblPrEx>
        <w:trPr>
          <w:trHeight w:val="536"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026B8F54">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1.1.</w:t>
            </w:r>
            <w:r>
              <w:rPr>
                <w:rFonts w:hint="eastAsia" w:ascii="Calibri" w:hAnsi="Calibri" w:eastAsia="宋体" w:cs="Times New Roman"/>
                <w:color w:val="auto"/>
                <w:szCs w:val="21"/>
              </w:rPr>
              <w:t>7</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0E9702F2">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建设地点</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40A33360">
            <w:pPr>
              <w:keepNext w:val="0"/>
              <w:keepLines w:val="0"/>
              <w:suppressLineNumbers w:val="0"/>
              <w:spacing w:before="0" w:beforeAutospacing="0" w:after="0" w:afterAutospacing="0" w:line="400" w:lineRule="exact"/>
              <w:ind w:left="0" w:right="0"/>
              <w:rPr>
                <w:rFonts w:hint="default" w:ascii="Calibri" w:hAnsi="Calibri" w:eastAsia="宋体" w:cs="Times New Roman"/>
                <w:color w:val="auto"/>
                <w:szCs w:val="21"/>
                <w:lang w:val="en-US" w:eastAsia="zh-CN"/>
              </w:rPr>
            </w:pPr>
            <w:r>
              <w:rPr>
                <w:rFonts w:hint="eastAsia" w:ascii="Calibri" w:hAnsi="Calibri" w:cs="Times New Roman"/>
                <w:color w:val="auto"/>
                <w:sz w:val="24"/>
                <w:szCs w:val="24"/>
                <w:lang w:val="en-US" w:eastAsia="zh-CN"/>
              </w:rPr>
              <w:t>英山县城区</w:t>
            </w:r>
          </w:p>
        </w:tc>
      </w:tr>
      <w:tr w14:paraId="49E871C1">
        <w:tblPrEx>
          <w:tblCellMar>
            <w:top w:w="0" w:type="dxa"/>
            <w:left w:w="108" w:type="dxa"/>
            <w:bottom w:w="0" w:type="dxa"/>
            <w:right w:w="108" w:type="dxa"/>
          </w:tblCellMar>
        </w:tblPrEx>
        <w:trPr>
          <w:trHeight w:val="536"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730F15BD">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1.2.1</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66ED3521">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资金来源</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7CE3B496">
            <w:pPr>
              <w:keepNext w:val="0"/>
              <w:keepLines w:val="0"/>
              <w:suppressLineNumbers w:val="0"/>
              <w:spacing w:before="0" w:beforeAutospacing="0" w:after="0" w:afterAutospacing="0" w:line="400" w:lineRule="exact"/>
              <w:ind w:left="0" w:right="0"/>
              <w:rPr>
                <w:rFonts w:hint="default" w:ascii="Calibri" w:hAnsi="Calibri" w:eastAsia="宋体" w:cs="Times New Roman"/>
                <w:color w:val="auto"/>
                <w:szCs w:val="21"/>
                <w:lang w:val="en-US" w:eastAsia="zh-CN"/>
              </w:rPr>
            </w:pPr>
            <w:r>
              <w:rPr>
                <w:rFonts w:hint="eastAsia" w:ascii="Calibri" w:hAnsi="Calibri" w:cs="Times New Roman"/>
                <w:color w:val="auto"/>
                <w:sz w:val="24"/>
                <w:szCs w:val="24"/>
                <w:lang w:val="en-US" w:eastAsia="zh-CN"/>
              </w:rPr>
              <w:t>上级资金及自筹</w:t>
            </w:r>
          </w:p>
        </w:tc>
      </w:tr>
      <w:tr w14:paraId="5C3EED9C">
        <w:tblPrEx>
          <w:tblCellMar>
            <w:top w:w="0" w:type="dxa"/>
            <w:left w:w="108" w:type="dxa"/>
            <w:bottom w:w="0" w:type="dxa"/>
            <w:right w:w="108" w:type="dxa"/>
          </w:tblCellMar>
        </w:tblPrEx>
        <w:trPr>
          <w:trHeight w:val="536"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2352D07B">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1.2.2</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0C07CF02">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hint="eastAsia" w:ascii="Calibri" w:hAnsi="Calibri" w:eastAsia="宋体" w:cs="Times New Roman"/>
                <w:color w:val="auto"/>
                <w:szCs w:val="21"/>
              </w:rPr>
              <w:t>出资比例</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4BB0436F">
            <w:pPr>
              <w:keepNext w:val="0"/>
              <w:keepLines w:val="0"/>
              <w:suppressLineNumbers w:val="0"/>
              <w:spacing w:before="0" w:beforeAutospacing="0" w:after="0" w:afterAutospacing="0" w:line="400" w:lineRule="exact"/>
              <w:ind w:left="0" w:right="0"/>
              <w:rPr>
                <w:rFonts w:hint="default" w:ascii="Calibri" w:hAnsi="Calibri" w:eastAsia="宋体" w:cs="Times New Roman"/>
                <w:color w:val="auto"/>
                <w:szCs w:val="21"/>
                <w:lang w:val="en-US"/>
              </w:rPr>
            </w:pPr>
            <w:r>
              <w:rPr>
                <w:rFonts w:hint="eastAsia" w:ascii="Calibri" w:hAnsi="Calibri" w:cs="Times New Roman"/>
                <w:color w:val="auto"/>
                <w:sz w:val="24"/>
                <w:szCs w:val="24"/>
                <w:lang w:val="en-US" w:eastAsia="zh-CN"/>
              </w:rPr>
              <w:t>上级</w:t>
            </w:r>
            <w:r>
              <w:rPr>
                <w:rFonts w:hint="eastAsia" w:ascii="宋体" w:hAnsi="宋体" w:eastAsia="宋体" w:cs="宋体"/>
                <w:color w:val="auto"/>
                <w:sz w:val="24"/>
                <w:szCs w:val="24"/>
                <w:lang w:val="en-US" w:eastAsia="zh-CN"/>
              </w:rPr>
              <w:t>资金55%，自筹45%</w:t>
            </w:r>
          </w:p>
        </w:tc>
      </w:tr>
      <w:tr w14:paraId="707D291D">
        <w:tblPrEx>
          <w:tblCellMar>
            <w:top w:w="0" w:type="dxa"/>
            <w:left w:w="108" w:type="dxa"/>
            <w:bottom w:w="0" w:type="dxa"/>
            <w:right w:w="108" w:type="dxa"/>
          </w:tblCellMar>
        </w:tblPrEx>
        <w:trPr>
          <w:trHeight w:val="536"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03BCD392">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1.2.3</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44ED40F2">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资金落实情况</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13CB5FBA">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lang w:val="en-US" w:eastAsia="zh-CN"/>
              </w:rPr>
            </w:pPr>
            <w:r>
              <w:rPr>
                <w:rFonts w:hint="eastAsia" w:ascii="Calibri" w:hAnsi="Calibri" w:cs="Times New Roman"/>
                <w:color w:val="auto"/>
                <w:sz w:val="24"/>
                <w:szCs w:val="24"/>
                <w:lang w:val="en-US" w:eastAsia="zh-CN"/>
              </w:rPr>
              <w:t>已落实</w:t>
            </w:r>
          </w:p>
        </w:tc>
      </w:tr>
      <w:tr w14:paraId="6E895ED2">
        <w:tblPrEx>
          <w:tblCellMar>
            <w:top w:w="0" w:type="dxa"/>
            <w:left w:w="108" w:type="dxa"/>
            <w:bottom w:w="0" w:type="dxa"/>
            <w:right w:w="108" w:type="dxa"/>
          </w:tblCellMar>
        </w:tblPrEx>
        <w:trPr>
          <w:trHeight w:val="695"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4D116120">
            <w:pPr>
              <w:keepNext w:val="0"/>
              <w:keepLines w:val="0"/>
              <w:suppressLineNumbers w:val="0"/>
              <w:spacing w:before="0" w:beforeAutospacing="0" w:after="0" w:afterAutospacing="0"/>
              <w:ind w:left="0" w:right="0"/>
              <w:jc w:val="center"/>
              <w:rPr>
                <w:rFonts w:hint="eastAsia" w:ascii="Calibri" w:hAnsi="Calibri" w:eastAsia="宋体" w:cs="Times New Roman"/>
                <w:color w:val="auto"/>
              </w:rPr>
            </w:pPr>
            <w:r>
              <w:rPr>
                <w:rFonts w:hint="eastAsia" w:ascii="Calibri" w:hAnsi="Calibri" w:eastAsia="宋体" w:cs="Times New Roman"/>
                <w:color w:val="auto"/>
              </w:rPr>
              <w:t>1.2.</w:t>
            </w:r>
            <w:r>
              <w:rPr>
                <w:rFonts w:ascii="Calibri" w:hAnsi="Calibri" w:eastAsia="宋体" w:cs="Times New Roman"/>
                <w:color w:val="auto"/>
              </w:rPr>
              <w:t>4</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0A6C4153">
            <w:pPr>
              <w:keepNext w:val="0"/>
              <w:keepLines w:val="0"/>
              <w:suppressLineNumbers w:val="0"/>
              <w:spacing w:before="0" w:beforeAutospacing="0" w:after="0" w:afterAutospacing="0"/>
              <w:ind w:left="0" w:right="0"/>
              <w:rPr>
                <w:rFonts w:hint="eastAsia" w:ascii="Calibri" w:hAnsi="Calibri" w:eastAsia="宋体" w:cs="Times New Roman"/>
                <w:color w:val="auto"/>
              </w:rPr>
            </w:pPr>
            <w:r>
              <w:rPr>
                <w:rFonts w:hint="eastAsia" w:ascii="Calibri" w:hAnsi="Calibri" w:eastAsia="宋体" w:cs="Times New Roman"/>
                <w:color w:val="auto"/>
              </w:rPr>
              <w:t>项目性质</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1D387A6A">
            <w:pPr>
              <w:keepNext w:val="0"/>
              <w:keepLines w:val="0"/>
              <w:suppressLineNumbers w:val="0"/>
              <w:spacing w:before="0" w:beforeAutospacing="0" w:after="0" w:afterAutospacing="0"/>
              <w:ind w:left="0" w:right="0"/>
              <w:rPr>
                <w:rFonts w:ascii="Calibri" w:hAnsi="Calibri" w:eastAsia="宋体" w:cs="Times New Roman"/>
                <w:color w:val="auto"/>
              </w:rPr>
            </w:pPr>
            <w:r>
              <w:rPr>
                <w:rFonts w:ascii="宋体" w:hAnsi="宋体" w:eastAsia="宋体" w:cs="Times New Roman"/>
                <w:color w:val="auto"/>
              </w:rPr>
              <w:t>□</w:t>
            </w:r>
            <w:r>
              <w:rPr>
                <w:rFonts w:hint="eastAsia" w:ascii="Calibri" w:hAnsi="Calibri" w:eastAsia="宋体" w:cs="Times New Roman"/>
                <w:color w:val="auto"/>
              </w:rPr>
              <w:t>本项目不属于政府采购工程，不执行政府采购政策。</w:t>
            </w:r>
          </w:p>
          <w:p w14:paraId="3FE79F68">
            <w:pPr>
              <w:keepNext w:val="0"/>
              <w:keepLines w:val="0"/>
              <w:suppressLineNumbers w:val="0"/>
              <w:spacing w:before="0" w:beforeAutospacing="0" w:after="0" w:afterAutospacing="0"/>
              <w:ind w:left="210" w:right="0" w:hanging="210" w:hangingChars="100"/>
              <w:rPr>
                <w:rFonts w:hint="eastAsia" w:ascii="Calibri" w:hAnsi="Calibri" w:eastAsia="宋体" w:cs="Times New Roman"/>
                <w:color w:val="auto"/>
              </w:rPr>
            </w:pPr>
            <w:r>
              <w:rPr>
                <w:rFonts w:hint="eastAsia" w:ascii="宋体" w:hAnsi="宋体" w:eastAsia="宋体" w:cs="Times New Roman"/>
                <w:color w:val="auto"/>
                <w:lang w:eastAsia="zh-CN"/>
              </w:rPr>
              <w:t>☑</w:t>
            </w:r>
            <w:r>
              <w:rPr>
                <w:rFonts w:hint="eastAsia" w:ascii="Calibri" w:hAnsi="Calibri" w:eastAsia="宋体" w:cs="Times New Roman"/>
                <w:color w:val="auto"/>
              </w:rPr>
              <w:t>本项目属于政府采购工程，执行支持中小企业发展政策。</w:t>
            </w:r>
            <w:r>
              <w:rPr>
                <w:rFonts w:hint="eastAsia" w:ascii="Calibri" w:hAnsi="Calibri" w:eastAsia="宋体" w:cs="Times New Roman"/>
                <w:color w:val="auto"/>
                <w:u w:val="single"/>
              </w:rPr>
              <w:t>采购标的对应的中小企业划型标准所属行业为：建筑业</w:t>
            </w:r>
            <w:r>
              <w:rPr>
                <w:rFonts w:hint="eastAsia" w:ascii="Calibri" w:hAnsi="Calibri" w:eastAsia="宋体" w:cs="Times New Roman"/>
                <w:color w:val="auto"/>
              </w:rPr>
              <w:t>。</w:t>
            </w:r>
          </w:p>
        </w:tc>
      </w:tr>
      <w:tr w14:paraId="0E1856A3">
        <w:tblPrEx>
          <w:tblCellMar>
            <w:top w:w="0" w:type="dxa"/>
            <w:left w:w="108" w:type="dxa"/>
            <w:bottom w:w="0" w:type="dxa"/>
            <w:right w:w="108" w:type="dxa"/>
          </w:tblCellMar>
        </w:tblPrEx>
        <w:trPr>
          <w:trHeight w:val="560"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1E46AD77">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1.3.1</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71776A6C">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招标范围</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364C7E86">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hint="eastAsia" w:ascii="Calibri" w:hAnsi="Calibri" w:eastAsia="宋体" w:cs="Times New Roman"/>
                <w:color w:val="auto"/>
                <w:sz w:val="24"/>
                <w:szCs w:val="24"/>
              </w:rPr>
              <w:t>详见招标公告</w:t>
            </w:r>
          </w:p>
        </w:tc>
      </w:tr>
      <w:tr w14:paraId="4D7AFDAE">
        <w:tblPrEx>
          <w:tblCellMar>
            <w:top w:w="0" w:type="dxa"/>
            <w:left w:w="108" w:type="dxa"/>
            <w:bottom w:w="0" w:type="dxa"/>
            <w:right w:w="108" w:type="dxa"/>
          </w:tblCellMar>
        </w:tblPrEx>
        <w:trPr>
          <w:trHeight w:val="90"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5A1CCB51">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1.3.2</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697DA17B">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计划工期</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3BE69F63">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ascii="Calibri" w:hAnsi="Calibri" w:eastAsia="宋体" w:cs="Times New Roman"/>
                <w:color w:val="auto"/>
                <w:szCs w:val="21"/>
              </w:rPr>
              <w:t>计划工期：</w:t>
            </w:r>
            <w:r>
              <w:rPr>
                <w:rFonts w:ascii="Calibri" w:hAnsi="Calibri" w:eastAsia="宋体" w:cs="Times New Roman"/>
                <w:color w:val="auto"/>
                <w:szCs w:val="21"/>
                <w:u w:val="single"/>
              </w:rPr>
              <w:t xml:space="preserve"> </w:t>
            </w:r>
            <w:r>
              <w:rPr>
                <w:rFonts w:hint="eastAsia" w:ascii="宋体" w:hAnsi="宋体" w:eastAsia="宋体" w:cs="宋体"/>
                <w:color w:val="auto"/>
                <w:sz w:val="24"/>
                <w:szCs w:val="24"/>
                <w:u w:val="single"/>
                <w:lang w:val="en-US" w:eastAsia="zh-CN"/>
              </w:rPr>
              <w:t>36</w:t>
            </w:r>
            <w:r>
              <w:rPr>
                <w:rFonts w:hint="eastAsia" w:ascii="宋体" w:hAnsi="宋体" w:cs="宋体"/>
                <w:color w:val="auto"/>
                <w:sz w:val="24"/>
                <w:szCs w:val="24"/>
                <w:u w:val="single"/>
                <w:lang w:val="en-US" w:eastAsia="zh-CN"/>
              </w:rPr>
              <w:t>5</w:t>
            </w:r>
            <w:r>
              <w:rPr>
                <w:rFonts w:ascii="Calibri" w:hAnsi="Calibri" w:eastAsia="宋体" w:cs="Times New Roman"/>
                <w:color w:val="auto"/>
                <w:szCs w:val="21"/>
                <w:u w:val="single"/>
              </w:rPr>
              <w:t xml:space="preserve"> </w:t>
            </w:r>
            <w:r>
              <w:rPr>
                <w:rFonts w:ascii="Calibri" w:hAnsi="Calibri" w:eastAsia="宋体" w:cs="Times New Roman"/>
                <w:color w:val="auto"/>
                <w:szCs w:val="21"/>
              </w:rPr>
              <w:t>日历天</w:t>
            </w:r>
          </w:p>
          <w:p w14:paraId="6C67C8C1">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ascii="Calibri" w:hAnsi="Calibri" w:eastAsia="宋体" w:cs="Times New Roman"/>
                <w:color w:val="auto"/>
                <w:szCs w:val="21"/>
              </w:rPr>
              <w:t>计划开始工作日期：</w:t>
            </w:r>
            <w:r>
              <w:rPr>
                <w:rFonts w:ascii="Calibri" w:hAnsi="Calibri" w:eastAsia="宋体" w:cs="Times New Roman"/>
                <w:color w:val="auto"/>
                <w:szCs w:val="21"/>
                <w:u w:val="single"/>
              </w:rPr>
              <w:t xml:space="preserve">  </w:t>
            </w:r>
            <w:r>
              <w:rPr>
                <w:rFonts w:hint="eastAsia" w:ascii="Calibri" w:hAnsi="Calibri" w:cs="Times New Roman"/>
                <w:color w:val="auto"/>
                <w:szCs w:val="21"/>
                <w:u w:val="single"/>
                <w:lang w:val="en-US" w:eastAsia="zh-CN"/>
              </w:rPr>
              <w:t xml:space="preserve"> </w:t>
            </w:r>
            <w:r>
              <w:rPr>
                <w:rFonts w:ascii="Calibri" w:hAnsi="Calibri" w:eastAsia="宋体" w:cs="Times New Roman"/>
                <w:color w:val="auto"/>
                <w:szCs w:val="21"/>
                <w:u w:val="single"/>
              </w:rPr>
              <w:t xml:space="preserve">  </w:t>
            </w:r>
            <w:r>
              <w:rPr>
                <w:rFonts w:ascii="Calibri" w:hAnsi="Calibri" w:eastAsia="宋体" w:cs="Times New Roman"/>
                <w:color w:val="auto"/>
                <w:szCs w:val="21"/>
              </w:rPr>
              <w:t>年</w:t>
            </w:r>
            <w:r>
              <w:rPr>
                <w:rFonts w:ascii="Calibri" w:hAnsi="Calibri" w:eastAsia="宋体" w:cs="Times New Roman"/>
                <w:color w:val="auto"/>
                <w:szCs w:val="21"/>
                <w:u w:val="single"/>
              </w:rPr>
              <w:t xml:space="preserve">     </w:t>
            </w:r>
            <w:r>
              <w:rPr>
                <w:rFonts w:ascii="Calibri" w:hAnsi="Calibri" w:eastAsia="宋体" w:cs="Times New Roman"/>
                <w:color w:val="auto"/>
                <w:szCs w:val="21"/>
              </w:rPr>
              <w:t>月</w:t>
            </w:r>
            <w:r>
              <w:rPr>
                <w:rFonts w:ascii="Calibri" w:hAnsi="Calibri" w:eastAsia="宋体" w:cs="Times New Roman"/>
                <w:color w:val="auto"/>
                <w:szCs w:val="21"/>
                <w:u w:val="single"/>
              </w:rPr>
              <w:t xml:space="preserve">    </w:t>
            </w:r>
            <w:r>
              <w:rPr>
                <w:rFonts w:ascii="Calibri" w:hAnsi="Calibri" w:eastAsia="宋体" w:cs="Times New Roman"/>
                <w:color w:val="auto"/>
                <w:szCs w:val="21"/>
              </w:rPr>
              <w:t>日</w:t>
            </w:r>
          </w:p>
          <w:p w14:paraId="0CFAE161">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ascii="Calibri" w:hAnsi="Calibri" w:eastAsia="宋体" w:cs="Times New Roman"/>
                <w:color w:val="auto"/>
                <w:szCs w:val="21"/>
              </w:rPr>
              <w:t>计划竣工日期：</w:t>
            </w:r>
            <w:r>
              <w:rPr>
                <w:rFonts w:ascii="Calibri" w:hAnsi="Calibri" w:eastAsia="宋体" w:cs="Times New Roman"/>
                <w:color w:val="auto"/>
                <w:szCs w:val="21"/>
                <w:u w:val="single"/>
              </w:rPr>
              <w:t xml:space="preserve">  </w:t>
            </w:r>
            <w:r>
              <w:rPr>
                <w:rFonts w:hint="eastAsia" w:ascii="Calibri" w:hAnsi="Calibri" w:cs="Times New Roman"/>
                <w:color w:val="auto"/>
                <w:szCs w:val="21"/>
                <w:u w:val="single"/>
                <w:lang w:val="en-US" w:eastAsia="zh-CN"/>
              </w:rPr>
              <w:t xml:space="preserve"> </w:t>
            </w:r>
            <w:r>
              <w:rPr>
                <w:rFonts w:ascii="Calibri" w:hAnsi="Calibri" w:eastAsia="宋体" w:cs="Times New Roman"/>
                <w:color w:val="auto"/>
                <w:szCs w:val="21"/>
                <w:u w:val="single"/>
              </w:rPr>
              <w:t xml:space="preserve">  </w:t>
            </w:r>
            <w:r>
              <w:rPr>
                <w:rFonts w:ascii="Calibri" w:hAnsi="Calibri" w:eastAsia="宋体" w:cs="Times New Roman"/>
                <w:color w:val="auto"/>
                <w:szCs w:val="21"/>
              </w:rPr>
              <w:t>年</w:t>
            </w:r>
            <w:r>
              <w:rPr>
                <w:rFonts w:ascii="Calibri" w:hAnsi="Calibri" w:eastAsia="宋体" w:cs="Times New Roman"/>
                <w:color w:val="auto"/>
                <w:szCs w:val="21"/>
                <w:u w:val="single"/>
              </w:rPr>
              <w:t xml:space="preserve">     </w:t>
            </w:r>
            <w:r>
              <w:rPr>
                <w:rFonts w:ascii="Calibri" w:hAnsi="Calibri" w:eastAsia="宋体" w:cs="Times New Roman"/>
                <w:color w:val="auto"/>
                <w:szCs w:val="21"/>
              </w:rPr>
              <w:t>月</w:t>
            </w:r>
            <w:r>
              <w:rPr>
                <w:rFonts w:ascii="Calibri" w:hAnsi="Calibri" w:eastAsia="宋体" w:cs="Times New Roman"/>
                <w:color w:val="auto"/>
                <w:szCs w:val="21"/>
                <w:u w:val="single"/>
              </w:rPr>
              <w:t xml:space="preserve">    </w:t>
            </w:r>
            <w:r>
              <w:rPr>
                <w:rFonts w:ascii="Calibri" w:hAnsi="Calibri" w:eastAsia="宋体" w:cs="Times New Roman"/>
                <w:color w:val="auto"/>
                <w:szCs w:val="21"/>
              </w:rPr>
              <w:t>日</w:t>
            </w:r>
          </w:p>
        </w:tc>
      </w:tr>
      <w:tr w14:paraId="23C28446">
        <w:tblPrEx>
          <w:tblCellMar>
            <w:top w:w="0" w:type="dxa"/>
            <w:left w:w="108" w:type="dxa"/>
            <w:bottom w:w="0" w:type="dxa"/>
            <w:right w:w="108" w:type="dxa"/>
          </w:tblCellMar>
        </w:tblPrEx>
        <w:trPr>
          <w:trHeight w:val="90"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494D4C32">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1.3.3</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78515BB9">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质量标准</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59924C82">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ascii="Calibri" w:hAnsi="Calibri" w:eastAsia="宋体" w:cs="Times New Roman"/>
                <w:color w:val="auto"/>
                <w:szCs w:val="21"/>
              </w:rPr>
              <w:t>设计要求的质量标准：</w:t>
            </w:r>
            <w:r>
              <w:rPr>
                <w:rFonts w:hint="eastAsia" w:ascii="宋体" w:hAnsi="宋体" w:eastAsia="宋体" w:cs="宋体"/>
                <w:color w:val="auto"/>
                <w:sz w:val="24"/>
                <w:szCs w:val="24"/>
                <w:u w:val="single"/>
              </w:rPr>
              <w:t>符合设计规范及相关标准要求</w:t>
            </w:r>
            <w:r>
              <w:rPr>
                <w:rFonts w:ascii="Calibri" w:hAnsi="Calibri" w:eastAsia="宋体" w:cs="Times New Roman"/>
                <w:color w:val="auto"/>
                <w:szCs w:val="21"/>
                <w:u w:val="single"/>
              </w:rPr>
              <w:t xml:space="preserve"> </w:t>
            </w:r>
          </w:p>
          <w:p w14:paraId="0EEF9F34">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ascii="Calibri" w:hAnsi="Calibri" w:eastAsia="宋体" w:cs="Times New Roman"/>
                <w:color w:val="auto"/>
                <w:szCs w:val="21"/>
              </w:rPr>
              <w:t>施工要求的质量标准：</w:t>
            </w:r>
            <w:r>
              <w:rPr>
                <w:rFonts w:hint="eastAsia" w:ascii="宋体" w:hAnsi="宋体" w:eastAsia="宋体" w:cs="宋体"/>
                <w:color w:val="auto"/>
                <w:sz w:val="24"/>
                <w:szCs w:val="24"/>
                <w:u w:val="single"/>
              </w:rPr>
              <w:t>达到国家合格质量验收标准</w:t>
            </w:r>
            <w:r>
              <w:rPr>
                <w:rFonts w:ascii="Calibri" w:hAnsi="Calibri" w:eastAsia="宋体" w:cs="Times New Roman"/>
                <w:color w:val="auto"/>
                <w:szCs w:val="21"/>
                <w:u w:val="single"/>
              </w:rPr>
              <w:t xml:space="preserve"> </w:t>
            </w:r>
          </w:p>
        </w:tc>
      </w:tr>
      <w:tr w14:paraId="5BE40F5B">
        <w:tblPrEx>
          <w:tblCellMar>
            <w:top w:w="0" w:type="dxa"/>
            <w:left w:w="108" w:type="dxa"/>
            <w:bottom w:w="0" w:type="dxa"/>
            <w:right w:w="108" w:type="dxa"/>
          </w:tblCellMar>
        </w:tblPrEx>
        <w:trPr>
          <w:trHeight w:val="90"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549D1A00">
            <w:pPr>
              <w:keepNext w:val="0"/>
              <w:keepLines w:val="0"/>
              <w:suppressLineNumbers w:val="0"/>
              <w:spacing w:before="0" w:beforeAutospacing="0" w:after="0" w:afterAutospacing="0"/>
              <w:ind w:left="0" w:right="0"/>
              <w:jc w:val="center"/>
              <w:rPr>
                <w:rFonts w:hint="eastAsia" w:ascii="Calibri" w:hAnsi="Calibri" w:eastAsia="宋体" w:cs="Times New Roman"/>
                <w:color w:val="auto"/>
              </w:rPr>
            </w:pPr>
            <w:r>
              <w:rPr>
                <w:rFonts w:hint="eastAsia" w:ascii="Calibri" w:hAnsi="Calibri" w:eastAsia="宋体" w:cs="Times New Roman"/>
                <w:color w:val="auto"/>
              </w:rPr>
              <w:t>1.3.4</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774C1418">
            <w:pPr>
              <w:keepNext w:val="0"/>
              <w:keepLines w:val="0"/>
              <w:suppressLineNumbers w:val="0"/>
              <w:spacing w:before="0" w:beforeAutospacing="0" w:after="0" w:afterAutospacing="0"/>
              <w:ind w:left="0" w:right="0"/>
              <w:rPr>
                <w:rFonts w:hint="eastAsia" w:ascii="Calibri" w:hAnsi="Calibri" w:eastAsia="宋体" w:cs="Times New Roman"/>
                <w:color w:val="auto"/>
              </w:rPr>
            </w:pPr>
            <w:r>
              <w:rPr>
                <w:rFonts w:hint="eastAsia" w:ascii="Calibri" w:hAnsi="Calibri" w:eastAsia="宋体" w:cs="Times New Roman"/>
                <w:color w:val="auto"/>
              </w:rPr>
              <w:t>政府采购政策</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09F1C8EB">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Cs w:val="21"/>
              </w:rPr>
            </w:pPr>
            <w:r>
              <w:rPr>
                <w:rFonts w:ascii="宋体" w:hAnsi="宋体" w:eastAsia="宋体" w:cs="宋体"/>
                <w:color w:val="auto"/>
                <w:kern w:val="0"/>
                <w:szCs w:val="21"/>
              </w:rPr>
              <w:t>1.</w:t>
            </w:r>
            <w:r>
              <w:rPr>
                <w:rFonts w:hint="eastAsia" w:ascii="宋体" w:hAnsi="宋体" w:eastAsia="宋体" w:cs="宋体"/>
                <w:color w:val="auto"/>
                <w:kern w:val="0"/>
                <w:szCs w:val="21"/>
                <w:u w:val="single"/>
              </w:rPr>
              <w:t>根据规定，本项目采用以下方式支持中小企业发展：</w:t>
            </w:r>
          </w:p>
          <w:p w14:paraId="67DF4F78">
            <w:pPr>
              <w:keepNext w:val="0"/>
              <w:keepLines w:val="0"/>
              <w:widowControl/>
              <w:suppressLineNumbers w:val="0"/>
              <w:spacing w:before="0" w:beforeAutospacing="0" w:after="0" w:afterAutospacing="0"/>
              <w:ind w:left="252" w:leftChars="120" w:right="0"/>
              <w:jc w:val="left"/>
              <w:rPr>
                <w:rFonts w:hint="eastAsia" w:ascii="宋体" w:hAnsi="宋体" w:eastAsia="宋体" w:cs="宋体"/>
                <w:color w:val="auto"/>
                <w:kern w:val="0"/>
                <w:szCs w:val="21"/>
                <w:u w:val="single"/>
              </w:rPr>
            </w:pPr>
            <w:r>
              <w:rPr>
                <w:rFonts w:hint="eastAsia" w:ascii="宋体" w:hAnsi="宋体" w:eastAsia="宋体" w:cs="宋体"/>
                <w:color w:val="auto"/>
                <w:kern w:val="0"/>
                <w:szCs w:val="21"/>
                <w:u w:val="single"/>
              </w:rPr>
              <w:t>□项目整体预留专门面向中小企业采购。</w:t>
            </w:r>
          </w:p>
          <w:p w14:paraId="27C2F03F">
            <w:pPr>
              <w:keepNext w:val="0"/>
              <w:keepLines w:val="0"/>
              <w:widowControl/>
              <w:suppressLineNumbers w:val="0"/>
              <w:spacing w:before="0" w:beforeAutospacing="0" w:after="0" w:afterAutospacing="0"/>
              <w:ind w:left="252" w:leftChars="120" w:right="0"/>
              <w:jc w:val="left"/>
              <w:rPr>
                <w:rFonts w:hint="eastAsia" w:ascii="宋体" w:hAnsi="宋体" w:eastAsia="宋体" w:cs="宋体"/>
                <w:color w:val="auto"/>
                <w:kern w:val="0"/>
                <w:szCs w:val="21"/>
                <w:u w:val="single"/>
              </w:rPr>
            </w:pPr>
            <w:r>
              <w:rPr>
                <w:rFonts w:hint="eastAsia" w:ascii="宋体" w:hAnsi="宋体" w:eastAsia="宋体" w:cs="宋体"/>
                <w:color w:val="auto"/>
                <w:kern w:val="0"/>
                <w:szCs w:val="21"/>
                <w:u w:val="single"/>
              </w:rPr>
              <w:t>□项目整体预留专门面向小微企业采购。</w:t>
            </w:r>
          </w:p>
          <w:p w14:paraId="137B481B">
            <w:pPr>
              <w:keepNext w:val="0"/>
              <w:keepLines w:val="0"/>
              <w:widowControl/>
              <w:suppressLineNumbers w:val="0"/>
              <w:spacing w:before="0" w:beforeAutospacing="0" w:after="0" w:afterAutospacing="0"/>
              <w:ind w:left="252" w:leftChars="120" w:right="0"/>
              <w:jc w:val="left"/>
              <w:rPr>
                <w:rFonts w:hint="eastAsia" w:ascii="宋体" w:hAnsi="宋体" w:eastAsia="宋体" w:cs="宋体"/>
                <w:color w:val="auto"/>
                <w:kern w:val="0"/>
                <w:szCs w:val="21"/>
                <w:u w:val="single"/>
              </w:rPr>
            </w:pPr>
            <w:r>
              <w:rPr>
                <w:rFonts w:hint="eastAsia" w:ascii="宋体" w:hAnsi="宋体" w:eastAsia="宋体" w:cs="宋体"/>
                <w:color w:val="auto"/>
                <w:kern w:val="0"/>
                <w:szCs w:val="21"/>
                <w:u w:val="single"/>
              </w:rPr>
              <w:t>□项目部分预留专门面向中小企业采购。具体的政府采购特别资格要求详见第二章投标人须知附录一“投标人资质条件、能力和信誉”。部分预留的工作详见第二章投标人须知附录二“政府采购工程预留工作及金额”。</w:t>
            </w:r>
          </w:p>
          <w:p w14:paraId="48A15C41">
            <w:pPr>
              <w:keepNext w:val="0"/>
              <w:keepLines w:val="0"/>
              <w:widowControl/>
              <w:suppressLineNumbers w:val="0"/>
              <w:spacing w:before="0" w:beforeAutospacing="0" w:after="0" w:afterAutospacing="0"/>
              <w:ind w:left="252" w:leftChars="120" w:right="0"/>
              <w:jc w:val="left"/>
              <w:rPr>
                <w:rFonts w:hint="eastAsia" w:ascii="宋体" w:hAnsi="宋体" w:eastAsia="宋体" w:cs="宋体"/>
                <w:color w:val="auto"/>
                <w:kern w:val="0"/>
                <w:szCs w:val="21"/>
                <w:u w:val="single"/>
              </w:rPr>
            </w:pPr>
            <w:r>
              <w:rPr>
                <w:rFonts w:hint="eastAsia" w:ascii="宋体" w:hAnsi="宋体" w:eastAsia="宋体" w:cs="宋体"/>
                <w:color w:val="auto"/>
                <w:kern w:val="0"/>
                <w:szCs w:val="21"/>
                <w:u w:val="single"/>
              </w:rPr>
              <w:t>□项目未预留份额专门面向中小企业采购。但对符合政府采购特别资格要求（详见第二章投标人须知附录一“投标人资质条件、能力和信誉”）且满足一定条件的投标人（详见第三章评标办法“政府采购工程价格评审优惠”），在评标时享受价格扣除或增加价格分的优惠政策。</w:t>
            </w:r>
          </w:p>
          <w:p w14:paraId="22446A4D">
            <w:pPr>
              <w:keepNext w:val="0"/>
              <w:keepLines w:val="0"/>
              <w:suppressLineNumbers w:val="0"/>
              <w:spacing w:before="0" w:beforeAutospacing="0" w:after="0" w:afterAutospacing="0"/>
              <w:ind w:left="0" w:right="0"/>
              <w:rPr>
                <w:rFonts w:hint="eastAsia" w:ascii="宋体" w:hAnsi="宋体" w:eastAsia="宋体" w:cs="宋体"/>
                <w:color w:val="auto"/>
                <w:kern w:val="0"/>
                <w:szCs w:val="21"/>
                <w:u w:val="single"/>
              </w:rPr>
            </w:pPr>
            <w:r>
              <w:rPr>
                <w:rFonts w:hint="eastAsia" w:ascii="Calibri" w:hAnsi="Calibri" w:eastAsia="宋体" w:cs="Times New Roman"/>
                <w:color w:val="auto"/>
              </w:rPr>
              <w:t>2</w:t>
            </w:r>
            <w:r>
              <w:rPr>
                <w:rFonts w:ascii="宋体" w:hAnsi="宋体" w:eastAsia="宋体" w:cs="宋体"/>
                <w:color w:val="auto"/>
                <w:kern w:val="0"/>
                <w:szCs w:val="21"/>
              </w:rPr>
              <w:t>.</w:t>
            </w:r>
            <w:r>
              <w:rPr>
                <w:rFonts w:hint="eastAsia" w:ascii="宋体" w:hAnsi="宋体" w:eastAsia="宋体" w:cs="Times New Roman"/>
                <w:color w:val="auto"/>
                <w:u w:val="single"/>
              </w:rPr>
              <w:t>根据规定，</w:t>
            </w:r>
            <w:r>
              <w:rPr>
                <w:rFonts w:hint="eastAsia" w:ascii="宋体" w:hAnsi="宋体" w:eastAsia="宋体" w:cs="宋体"/>
                <w:color w:val="auto"/>
                <w:kern w:val="0"/>
                <w:szCs w:val="21"/>
                <w:u w:val="single"/>
              </w:rPr>
              <w:t>本项目采用以下方式支持监狱企业发展：</w:t>
            </w:r>
          </w:p>
          <w:p w14:paraId="4CBFEF83">
            <w:pPr>
              <w:keepNext w:val="0"/>
              <w:keepLines w:val="0"/>
              <w:widowControl/>
              <w:suppressLineNumbers w:val="0"/>
              <w:spacing w:before="0" w:beforeAutospacing="0" w:after="0" w:afterAutospacing="0"/>
              <w:ind w:left="252" w:leftChars="120" w:right="0"/>
              <w:jc w:val="left"/>
              <w:rPr>
                <w:rFonts w:hint="eastAsia" w:ascii="宋体" w:hAnsi="宋体" w:eastAsia="宋体" w:cs="宋体"/>
                <w:color w:val="auto"/>
                <w:kern w:val="0"/>
                <w:szCs w:val="21"/>
                <w:u w:val="single"/>
              </w:rPr>
            </w:pPr>
            <w:r>
              <w:rPr>
                <w:rFonts w:hint="eastAsia" w:ascii="宋体" w:hAnsi="宋体" w:eastAsia="宋体" w:cs="宋体"/>
                <w:color w:val="auto"/>
                <w:kern w:val="0"/>
                <w:szCs w:val="21"/>
                <w:u w:val="single"/>
              </w:rPr>
              <w:t>在招标活动中，监狱企业视同小型、微型企业。</w:t>
            </w:r>
          </w:p>
          <w:p w14:paraId="2E3DBAA9">
            <w:pPr>
              <w:keepNext w:val="0"/>
              <w:keepLines w:val="0"/>
              <w:widowControl/>
              <w:suppressLineNumbers w:val="0"/>
              <w:spacing w:before="0" w:beforeAutospacing="0" w:after="0" w:afterAutospacing="0"/>
              <w:ind w:left="252" w:leftChars="120" w:right="0"/>
              <w:jc w:val="left"/>
              <w:rPr>
                <w:rFonts w:hint="eastAsia" w:ascii="宋体" w:hAnsi="宋体" w:eastAsia="宋体" w:cs="宋体"/>
                <w:color w:val="auto"/>
                <w:kern w:val="0"/>
                <w:szCs w:val="21"/>
                <w:u w:val="single"/>
              </w:rPr>
            </w:pPr>
            <w:r>
              <w:rPr>
                <w:rFonts w:hint="eastAsia" w:ascii="宋体" w:hAnsi="宋体" w:eastAsia="宋体" w:cs="宋体"/>
                <w:color w:val="auto"/>
                <w:kern w:val="0"/>
                <w:szCs w:val="21"/>
                <w:u w:val="single"/>
              </w:rPr>
              <w:t>监狱企业参加招标活动时，应当提供由省级以上监狱管理局、戒毒管理局（含新疆生产建设兵团）出具的属于监狱企业的证明文件，材料不全的不享受政策。</w:t>
            </w:r>
          </w:p>
          <w:p w14:paraId="41CE6D1E">
            <w:pPr>
              <w:keepNext w:val="0"/>
              <w:keepLines w:val="0"/>
              <w:widowControl/>
              <w:suppressLineNumbers w:val="0"/>
              <w:spacing w:before="0" w:beforeAutospacing="0" w:after="0" w:afterAutospacing="0"/>
              <w:ind w:left="252" w:leftChars="120" w:right="0"/>
              <w:jc w:val="left"/>
              <w:rPr>
                <w:rFonts w:hint="eastAsia" w:ascii="宋体" w:hAnsi="宋体" w:eastAsia="宋体" w:cs="宋体"/>
                <w:color w:val="auto"/>
                <w:kern w:val="0"/>
                <w:szCs w:val="21"/>
                <w:u w:val="single"/>
              </w:rPr>
            </w:pPr>
            <w:r>
              <w:rPr>
                <w:rFonts w:hint="eastAsia" w:ascii="宋体" w:hAnsi="宋体" w:eastAsia="宋体" w:cs="宋体"/>
                <w:color w:val="auto"/>
                <w:kern w:val="0"/>
                <w:szCs w:val="21"/>
                <w:u w:val="single"/>
              </w:rPr>
              <w:t>对小微企业中的监狱企业，评审中计算价格扣除时给予5%的扣除或增加价格分时给予5%的增加价格分。</w:t>
            </w:r>
          </w:p>
          <w:p w14:paraId="33AE1397">
            <w:pPr>
              <w:keepNext w:val="0"/>
              <w:keepLines w:val="0"/>
              <w:suppressLineNumbers w:val="0"/>
              <w:spacing w:before="0" w:beforeAutospacing="0" w:after="0" w:afterAutospacing="0"/>
              <w:ind w:left="0" w:right="0"/>
              <w:rPr>
                <w:rFonts w:hint="eastAsia" w:ascii="宋体" w:hAnsi="宋体" w:eastAsia="宋体" w:cs="宋体"/>
                <w:color w:val="auto"/>
                <w:kern w:val="0"/>
                <w:szCs w:val="21"/>
                <w:u w:val="single"/>
              </w:rPr>
            </w:pPr>
            <w:r>
              <w:rPr>
                <w:rFonts w:hint="eastAsia" w:ascii="宋体" w:hAnsi="宋体" w:eastAsia="宋体" w:cs="Times New Roman"/>
                <w:color w:val="auto"/>
                <w:u w:val="single"/>
              </w:rPr>
              <w:t>3.根据规定，</w:t>
            </w:r>
            <w:r>
              <w:rPr>
                <w:rFonts w:hint="eastAsia" w:ascii="宋体" w:hAnsi="宋体" w:eastAsia="宋体" w:cs="宋体"/>
                <w:color w:val="auto"/>
                <w:kern w:val="0"/>
                <w:szCs w:val="21"/>
                <w:u w:val="single"/>
              </w:rPr>
              <w:t>本项目采用以下方式支持残疾人福利性单位发展：</w:t>
            </w:r>
          </w:p>
          <w:p w14:paraId="7633200A">
            <w:pPr>
              <w:keepNext w:val="0"/>
              <w:keepLines w:val="0"/>
              <w:widowControl/>
              <w:suppressLineNumbers w:val="0"/>
              <w:spacing w:before="0" w:beforeAutospacing="0" w:after="0" w:afterAutospacing="0"/>
              <w:ind w:left="252" w:leftChars="120" w:right="0"/>
              <w:jc w:val="left"/>
              <w:rPr>
                <w:rFonts w:hint="eastAsia" w:ascii="宋体" w:hAnsi="宋体" w:eastAsia="宋体" w:cs="宋体"/>
                <w:color w:val="auto"/>
                <w:kern w:val="0"/>
                <w:szCs w:val="21"/>
                <w:u w:val="single"/>
              </w:rPr>
            </w:pPr>
            <w:r>
              <w:rPr>
                <w:rFonts w:hint="eastAsia" w:ascii="宋体" w:hAnsi="宋体" w:eastAsia="宋体" w:cs="宋体"/>
                <w:color w:val="auto"/>
                <w:kern w:val="0"/>
                <w:szCs w:val="21"/>
                <w:u w:val="single"/>
              </w:rPr>
              <w:t>在招标活动中，残疾人福利性单位视同小型、微型企业。</w:t>
            </w:r>
          </w:p>
          <w:p w14:paraId="0116DFEA">
            <w:pPr>
              <w:keepNext w:val="0"/>
              <w:keepLines w:val="0"/>
              <w:widowControl/>
              <w:suppressLineNumbers w:val="0"/>
              <w:spacing w:before="0" w:beforeAutospacing="0" w:after="0" w:afterAutospacing="0"/>
              <w:ind w:left="252" w:leftChars="120" w:right="0"/>
              <w:jc w:val="left"/>
              <w:rPr>
                <w:rFonts w:hint="eastAsia" w:ascii="宋体" w:hAnsi="宋体" w:eastAsia="宋体" w:cs="宋体"/>
                <w:color w:val="auto"/>
                <w:kern w:val="0"/>
                <w:szCs w:val="21"/>
                <w:u w:val="single"/>
              </w:rPr>
            </w:pPr>
            <w:r>
              <w:rPr>
                <w:rFonts w:hint="eastAsia" w:ascii="宋体" w:hAnsi="宋体" w:eastAsia="宋体" w:cs="宋体"/>
                <w:color w:val="auto"/>
                <w:kern w:val="0"/>
                <w:szCs w:val="21"/>
                <w:u w:val="single"/>
              </w:rPr>
              <w:t>符合条件的残疾人福利性单位在参加招标活动时，应当提供《残疾人福利性单位声明函》，并对声明的真实性负责，未提供声明函的不享受政策。</w:t>
            </w:r>
          </w:p>
          <w:p w14:paraId="035AEFCC">
            <w:pPr>
              <w:keepNext w:val="0"/>
              <w:keepLines w:val="0"/>
              <w:widowControl/>
              <w:suppressLineNumbers w:val="0"/>
              <w:spacing w:before="0" w:beforeAutospacing="0" w:after="0" w:afterAutospacing="0"/>
              <w:ind w:left="252" w:leftChars="120" w:right="0"/>
              <w:jc w:val="left"/>
              <w:rPr>
                <w:rFonts w:hint="eastAsia" w:ascii="宋体" w:hAnsi="宋体" w:eastAsia="宋体" w:cs="宋体"/>
                <w:color w:val="auto"/>
                <w:kern w:val="0"/>
                <w:szCs w:val="21"/>
                <w:u w:val="single"/>
              </w:rPr>
            </w:pPr>
            <w:r>
              <w:rPr>
                <w:rFonts w:hint="eastAsia" w:ascii="宋体" w:hAnsi="宋体" w:eastAsia="宋体" w:cs="宋体"/>
                <w:color w:val="auto"/>
                <w:kern w:val="0"/>
                <w:szCs w:val="21"/>
                <w:u w:val="single"/>
              </w:rPr>
              <w:t>对小微企业中符合残疾人福利性单位条件的企业，评审中计算价格扣除时给予5%的扣除或增加价格分时给予5%的增加价格分。</w:t>
            </w:r>
          </w:p>
          <w:p w14:paraId="3DC4790C">
            <w:pPr>
              <w:keepNext w:val="0"/>
              <w:keepLines w:val="0"/>
              <w:suppressLineNumbers w:val="0"/>
              <w:spacing w:before="0" w:beforeAutospacing="0" w:after="0" w:afterAutospacing="0"/>
              <w:ind w:left="0" w:right="0"/>
              <w:rPr>
                <w:rFonts w:hint="eastAsia" w:ascii="Calibri" w:hAnsi="Calibri" w:eastAsia="宋体" w:cs="Times New Roman"/>
                <w:color w:val="auto"/>
              </w:rPr>
            </w:pPr>
            <w:r>
              <w:rPr>
                <w:rFonts w:hint="eastAsia" w:ascii="Calibri" w:hAnsi="Calibri" w:eastAsia="宋体" w:cs="Times New Roman"/>
                <w:color w:val="auto"/>
                <w:u w:val="single"/>
              </w:rPr>
              <w:t>　　　　　　　／　　　　　　　。</w:t>
            </w:r>
            <w:r>
              <w:rPr>
                <w:rFonts w:hint="eastAsia" w:ascii="Calibri" w:hAnsi="Calibri" w:eastAsia="宋体" w:cs="Times New Roman"/>
                <w:color w:val="auto"/>
              </w:rPr>
              <w:t>　　　</w:t>
            </w:r>
          </w:p>
        </w:tc>
      </w:tr>
      <w:tr w14:paraId="09B4EEEF">
        <w:tblPrEx>
          <w:tblCellMar>
            <w:top w:w="0" w:type="dxa"/>
            <w:left w:w="108" w:type="dxa"/>
            <w:bottom w:w="0" w:type="dxa"/>
            <w:right w:w="108" w:type="dxa"/>
          </w:tblCellMar>
        </w:tblPrEx>
        <w:trPr>
          <w:trHeight w:val="0"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02526BFF">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1.4.1</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3B3ED8F9">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投标人资质条件、能力和信誉</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1F8B57A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ascii="Calibri" w:hAnsi="Calibri" w:eastAsia="宋体" w:cs="Times New Roman"/>
                <w:color w:val="auto"/>
                <w:szCs w:val="21"/>
              </w:rPr>
            </w:pPr>
            <w:r>
              <w:rPr>
                <w:rFonts w:ascii="Calibri" w:hAnsi="Calibri" w:eastAsia="宋体" w:cs="Times New Roman"/>
                <w:b/>
                <w:color w:val="auto"/>
                <w:szCs w:val="21"/>
              </w:rPr>
              <w:t>资质条件：</w:t>
            </w:r>
            <w:r>
              <w:rPr>
                <w:rFonts w:ascii="Calibri" w:hAnsi="Calibri" w:eastAsia="宋体" w:cs="Times New Roman"/>
                <w:color w:val="auto"/>
                <w:szCs w:val="21"/>
              </w:rPr>
              <w:t>见本章附</w:t>
            </w:r>
            <w:r>
              <w:rPr>
                <w:rFonts w:hint="eastAsia" w:ascii="Calibri" w:hAnsi="Calibri" w:eastAsia="宋体" w:cs="Times New Roman"/>
                <w:color w:val="auto"/>
                <w:szCs w:val="21"/>
              </w:rPr>
              <w:t>录一</w:t>
            </w:r>
          </w:p>
          <w:p w14:paraId="47BCD67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ascii="Calibri" w:hAnsi="Calibri" w:eastAsia="宋体" w:cs="Times New Roman"/>
                <w:color w:val="auto"/>
                <w:szCs w:val="21"/>
              </w:rPr>
            </w:pPr>
            <w:r>
              <w:rPr>
                <w:rFonts w:ascii="Calibri" w:hAnsi="Calibri" w:eastAsia="宋体" w:cs="Times New Roman"/>
                <w:b/>
                <w:color w:val="auto"/>
                <w:szCs w:val="21"/>
              </w:rPr>
              <w:t>财务要求：</w:t>
            </w:r>
            <w:r>
              <w:rPr>
                <w:rFonts w:ascii="Calibri" w:hAnsi="Calibri" w:eastAsia="宋体" w:cs="Times New Roman"/>
                <w:color w:val="auto"/>
                <w:szCs w:val="21"/>
              </w:rPr>
              <w:t>见本章附</w:t>
            </w:r>
            <w:r>
              <w:rPr>
                <w:rFonts w:hint="eastAsia" w:ascii="Calibri" w:hAnsi="Calibri" w:eastAsia="宋体" w:cs="Times New Roman"/>
                <w:color w:val="auto"/>
                <w:szCs w:val="21"/>
              </w:rPr>
              <w:t>录一</w:t>
            </w:r>
          </w:p>
          <w:p w14:paraId="76AD25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1136" w:right="0" w:hanging="1131" w:hangingChars="539"/>
              <w:textAlignment w:val="auto"/>
              <w:rPr>
                <w:rFonts w:ascii="Calibri" w:hAnsi="Calibri" w:eastAsia="宋体" w:cs="Times New Roman"/>
                <w:color w:val="auto"/>
              </w:rPr>
            </w:pPr>
            <w:r>
              <w:rPr>
                <w:rFonts w:ascii="Calibri" w:hAnsi="Calibri" w:eastAsia="宋体" w:cs="Times New Roman"/>
                <w:b/>
                <w:color w:val="auto"/>
                <w:szCs w:val="21"/>
              </w:rPr>
              <w:t>业绩要求：</w:t>
            </w:r>
            <w:r>
              <w:rPr>
                <w:rFonts w:ascii="Calibri" w:hAnsi="Calibri" w:eastAsia="宋体" w:cs="Times New Roman"/>
                <w:color w:val="auto"/>
                <w:szCs w:val="21"/>
              </w:rPr>
              <w:t>见本章附</w:t>
            </w:r>
            <w:r>
              <w:rPr>
                <w:rFonts w:hint="eastAsia" w:ascii="Calibri" w:hAnsi="Calibri" w:eastAsia="宋体" w:cs="Times New Roman"/>
                <w:color w:val="auto"/>
                <w:szCs w:val="21"/>
              </w:rPr>
              <w:t>录一</w:t>
            </w:r>
            <w:r>
              <w:rPr>
                <w:rFonts w:hint="eastAsia" w:ascii="Calibri" w:hAnsi="Calibri" w:eastAsia="宋体" w:cs="Times New Roman"/>
                <w:color w:val="auto"/>
              </w:rPr>
              <w:t>且与招标公告或投标邀请书要求一致</w:t>
            </w:r>
          </w:p>
          <w:p w14:paraId="453D82E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ascii="Calibri" w:hAnsi="Calibri" w:eastAsia="宋体" w:cs="Times New Roman"/>
                <w:color w:val="auto"/>
                <w:szCs w:val="21"/>
              </w:rPr>
            </w:pPr>
            <w:r>
              <w:rPr>
                <w:rFonts w:ascii="Calibri" w:hAnsi="Calibri" w:eastAsia="宋体" w:cs="Times New Roman"/>
                <w:b/>
                <w:color w:val="auto"/>
                <w:szCs w:val="21"/>
              </w:rPr>
              <w:t>信誉要求：</w:t>
            </w:r>
            <w:r>
              <w:rPr>
                <w:rFonts w:ascii="Calibri" w:hAnsi="Calibri" w:eastAsia="宋体" w:cs="Times New Roman"/>
                <w:color w:val="auto"/>
                <w:szCs w:val="21"/>
              </w:rPr>
              <w:t>见本章附</w:t>
            </w:r>
            <w:r>
              <w:rPr>
                <w:rFonts w:hint="eastAsia" w:ascii="Calibri" w:hAnsi="Calibri" w:eastAsia="宋体" w:cs="Times New Roman"/>
                <w:color w:val="auto"/>
                <w:szCs w:val="21"/>
              </w:rPr>
              <w:t>录一</w:t>
            </w:r>
          </w:p>
          <w:p w14:paraId="5FD70BF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ascii="Calibri" w:hAnsi="Calibri" w:eastAsia="宋体" w:cs="Times New Roman"/>
                <w:color w:val="auto"/>
                <w:szCs w:val="21"/>
              </w:rPr>
            </w:pPr>
            <w:r>
              <w:rPr>
                <w:rFonts w:ascii="Calibri" w:hAnsi="Calibri" w:eastAsia="宋体" w:cs="Times New Roman"/>
                <w:b/>
                <w:color w:val="auto"/>
                <w:szCs w:val="21"/>
              </w:rPr>
              <w:t>项目经理的资格要求：</w:t>
            </w:r>
            <w:r>
              <w:rPr>
                <w:rFonts w:ascii="Calibri" w:hAnsi="Calibri" w:eastAsia="宋体" w:cs="Times New Roman"/>
                <w:color w:val="auto"/>
                <w:szCs w:val="21"/>
              </w:rPr>
              <w:t>见本章附</w:t>
            </w:r>
            <w:r>
              <w:rPr>
                <w:rFonts w:hint="eastAsia" w:ascii="Calibri" w:hAnsi="Calibri" w:eastAsia="宋体" w:cs="Times New Roman"/>
                <w:color w:val="auto"/>
                <w:szCs w:val="21"/>
              </w:rPr>
              <w:t>录一</w:t>
            </w:r>
          </w:p>
          <w:p w14:paraId="066E83C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ascii="Calibri" w:hAnsi="Calibri" w:eastAsia="宋体" w:cs="Times New Roman"/>
                <w:color w:val="auto"/>
                <w:szCs w:val="21"/>
              </w:rPr>
            </w:pPr>
            <w:r>
              <w:rPr>
                <w:rFonts w:ascii="Calibri" w:hAnsi="Calibri" w:eastAsia="宋体" w:cs="Times New Roman"/>
                <w:b/>
                <w:color w:val="auto"/>
                <w:szCs w:val="21"/>
              </w:rPr>
              <w:t>设计负责人的资格要求：</w:t>
            </w:r>
            <w:r>
              <w:rPr>
                <w:rFonts w:ascii="Calibri" w:hAnsi="Calibri" w:eastAsia="宋体" w:cs="Times New Roman"/>
                <w:color w:val="auto"/>
                <w:szCs w:val="21"/>
              </w:rPr>
              <w:t>见本章附</w:t>
            </w:r>
            <w:r>
              <w:rPr>
                <w:rFonts w:hint="eastAsia" w:ascii="Calibri" w:hAnsi="Calibri" w:eastAsia="宋体" w:cs="Times New Roman"/>
                <w:color w:val="auto"/>
                <w:szCs w:val="21"/>
              </w:rPr>
              <w:t>录一</w:t>
            </w:r>
          </w:p>
          <w:p w14:paraId="38615A2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ascii="Calibri" w:hAnsi="Calibri" w:eastAsia="宋体" w:cs="Times New Roman"/>
                <w:color w:val="auto"/>
                <w:szCs w:val="21"/>
              </w:rPr>
            </w:pPr>
            <w:r>
              <w:rPr>
                <w:rFonts w:ascii="Calibri" w:hAnsi="Calibri" w:eastAsia="宋体" w:cs="Times New Roman"/>
                <w:b/>
                <w:color w:val="auto"/>
                <w:szCs w:val="21"/>
              </w:rPr>
              <w:t>施工负责人的资格要求：</w:t>
            </w:r>
            <w:r>
              <w:rPr>
                <w:rFonts w:ascii="Calibri" w:hAnsi="Calibri" w:eastAsia="宋体" w:cs="Times New Roman"/>
                <w:color w:val="auto"/>
                <w:szCs w:val="21"/>
              </w:rPr>
              <w:t>见本章附</w:t>
            </w:r>
            <w:r>
              <w:rPr>
                <w:rFonts w:hint="eastAsia" w:ascii="Calibri" w:hAnsi="Calibri" w:eastAsia="宋体" w:cs="Times New Roman"/>
                <w:color w:val="auto"/>
                <w:szCs w:val="21"/>
              </w:rPr>
              <w:t>录一</w:t>
            </w:r>
          </w:p>
          <w:p w14:paraId="23D34E5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ascii="Calibri" w:hAnsi="Calibri" w:eastAsia="宋体" w:cs="Times New Roman"/>
                <w:color w:val="auto"/>
                <w:szCs w:val="21"/>
              </w:rPr>
            </w:pPr>
            <w:r>
              <w:rPr>
                <w:rFonts w:ascii="Calibri" w:hAnsi="Calibri" w:eastAsia="宋体" w:cs="Times New Roman"/>
                <w:b/>
                <w:color w:val="auto"/>
                <w:szCs w:val="21"/>
              </w:rPr>
              <w:t>施工机械设备：</w:t>
            </w:r>
            <w:r>
              <w:rPr>
                <w:rFonts w:ascii="Calibri" w:hAnsi="Calibri" w:eastAsia="宋体" w:cs="Times New Roman"/>
                <w:color w:val="auto"/>
                <w:szCs w:val="21"/>
              </w:rPr>
              <w:t>见本章附</w:t>
            </w:r>
            <w:r>
              <w:rPr>
                <w:rFonts w:hint="eastAsia" w:ascii="Calibri" w:hAnsi="Calibri" w:eastAsia="宋体" w:cs="Times New Roman"/>
                <w:color w:val="auto"/>
                <w:szCs w:val="21"/>
              </w:rPr>
              <w:t>录一</w:t>
            </w:r>
          </w:p>
          <w:p w14:paraId="4D02FE5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Calibri" w:hAnsi="Calibri" w:eastAsia="宋体" w:cs="Times New Roman"/>
                <w:color w:val="auto"/>
                <w:szCs w:val="21"/>
              </w:rPr>
            </w:pPr>
            <w:r>
              <w:rPr>
                <w:rFonts w:ascii="Calibri" w:hAnsi="Calibri" w:eastAsia="宋体" w:cs="Times New Roman"/>
                <w:b/>
                <w:color w:val="auto"/>
                <w:szCs w:val="21"/>
              </w:rPr>
              <w:t>项目管理机构及人员：</w:t>
            </w:r>
            <w:r>
              <w:rPr>
                <w:rFonts w:ascii="Calibri" w:hAnsi="Calibri" w:eastAsia="宋体" w:cs="Times New Roman"/>
                <w:color w:val="auto"/>
                <w:szCs w:val="21"/>
              </w:rPr>
              <w:t>见本章附</w:t>
            </w:r>
            <w:r>
              <w:rPr>
                <w:rFonts w:hint="eastAsia" w:ascii="Calibri" w:hAnsi="Calibri" w:eastAsia="宋体" w:cs="Times New Roman"/>
                <w:color w:val="auto"/>
                <w:szCs w:val="21"/>
              </w:rPr>
              <w:t>录一</w:t>
            </w:r>
          </w:p>
          <w:p w14:paraId="6C12B10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ascii="Calibri" w:hAnsi="Calibri" w:eastAsia="宋体" w:cs="Times New Roman"/>
                <w:color w:val="auto"/>
                <w:szCs w:val="21"/>
              </w:rPr>
            </w:pPr>
            <w:r>
              <w:rPr>
                <w:rFonts w:ascii="Calibri" w:hAnsi="Calibri" w:eastAsia="宋体" w:cs="Times New Roman"/>
                <w:b/>
                <w:color w:val="auto"/>
                <w:szCs w:val="21"/>
              </w:rPr>
              <w:t>其他要求：</w:t>
            </w:r>
            <w:r>
              <w:rPr>
                <w:rFonts w:ascii="Calibri" w:hAnsi="Calibri" w:eastAsia="宋体" w:cs="Times New Roman"/>
                <w:color w:val="auto"/>
                <w:szCs w:val="21"/>
              </w:rPr>
              <w:t>见本章附</w:t>
            </w:r>
            <w:r>
              <w:rPr>
                <w:rFonts w:hint="eastAsia" w:ascii="Calibri" w:hAnsi="Calibri" w:eastAsia="宋体" w:cs="Times New Roman"/>
                <w:color w:val="auto"/>
                <w:szCs w:val="21"/>
              </w:rPr>
              <w:t>录一</w:t>
            </w:r>
          </w:p>
        </w:tc>
      </w:tr>
      <w:tr w14:paraId="580F7135">
        <w:tblPrEx>
          <w:tblCellMar>
            <w:top w:w="0" w:type="dxa"/>
            <w:left w:w="108" w:type="dxa"/>
            <w:bottom w:w="0" w:type="dxa"/>
            <w:right w:w="108" w:type="dxa"/>
          </w:tblCellMar>
        </w:tblPrEx>
        <w:trPr>
          <w:trHeight w:val="1119"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5DE1E5F4">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1.4.2</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08B8A4FF">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是否接受联合体投标</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3CF68267">
            <w:pPr>
              <w:pStyle w:val="15"/>
              <w:keepNext w:val="0"/>
              <w:keepLines w:val="0"/>
              <w:suppressLineNumbers w:val="0"/>
              <w:topLinePunct/>
              <w:spacing w:before="0" w:beforeAutospacing="0" w:after="0" w:afterAutospacing="0" w:line="400" w:lineRule="exact"/>
              <w:ind w:left="0" w:right="0"/>
              <w:rPr>
                <w:rFonts w:ascii="Times New Roman" w:hAnsi="Calibri" w:eastAsia="宋体" w:cs="Times New Roman"/>
                <w:color w:val="auto"/>
                <w:sz w:val="21"/>
                <w:szCs w:val="21"/>
              </w:rPr>
            </w:pPr>
            <w:r>
              <w:rPr>
                <w:rFonts w:hint="eastAsia" w:hAnsi="Calibri" w:eastAsia="宋体" w:cs="Times New Roman"/>
                <w:color w:val="auto"/>
                <w:sz w:val="21"/>
                <w:szCs w:val="21"/>
              </w:rPr>
              <w:t>□</w:t>
            </w:r>
            <w:r>
              <w:rPr>
                <w:rFonts w:ascii="Times New Roman" w:hAnsi="Calibri" w:eastAsia="宋体" w:cs="Times New Roman"/>
                <w:color w:val="auto"/>
                <w:sz w:val="21"/>
                <w:szCs w:val="21"/>
              </w:rPr>
              <w:t>不接受</w:t>
            </w:r>
          </w:p>
          <w:p w14:paraId="14A3FAEA">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hint="eastAsia" w:ascii="Calibri" w:hAnsi="Calibri" w:eastAsia="宋体" w:cs="Times New Roman"/>
                <w:color w:val="auto"/>
                <w:lang w:eastAsia="zh-CN"/>
              </w:rPr>
              <w:t>☑</w:t>
            </w:r>
            <w:r>
              <w:rPr>
                <w:rFonts w:ascii="Calibri" w:hAnsi="Calibri" w:eastAsia="宋体" w:cs="Times New Roman"/>
                <w:color w:val="auto"/>
                <w:szCs w:val="21"/>
              </w:rPr>
              <w:t>接受，应满足下列要求：</w:t>
            </w:r>
            <w:r>
              <w:rPr>
                <w:rFonts w:hint="eastAsia" w:ascii="宋体" w:hAnsi="宋体" w:eastAsia="宋体" w:cs="宋体"/>
                <w:color w:val="auto"/>
                <w:sz w:val="24"/>
                <w:szCs w:val="24"/>
                <w:u w:val="single"/>
                <w:lang w:val="en-US" w:eastAsia="zh-CN"/>
              </w:rPr>
              <w:t>（1）以联合体式投标时，在投标文件中应提交一份由各成员代表签署的联合体协议书，明确联合体牵头人及各方分工和权力责任，同时约定资金分配比例；（2）如为联合体投标，则施工单位应作为联合体牵头方，并且投标文件统一由牵头方盖章</w:t>
            </w:r>
            <w:r>
              <w:rPr>
                <w:rFonts w:ascii="Calibri" w:hAnsi="Calibri" w:eastAsia="宋体" w:cs="Times New Roman"/>
                <w:color w:val="auto"/>
                <w:szCs w:val="21"/>
                <w:u w:val="single"/>
              </w:rPr>
              <w:t xml:space="preserve"> </w:t>
            </w:r>
            <w:r>
              <w:rPr>
                <w:rFonts w:ascii="Calibri" w:hAnsi="Calibri" w:eastAsia="宋体" w:cs="Times New Roman"/>
                <w:color w:val="auto"/>
                <w:szCs w:val="21"/>
              </w:rPr>
              <w:t>。</w:t>
            </w:r>
          </w:p>
          <w:p w14:paraId="3EBE8EEA">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rPr>
            </w:pPr>
            <w:r>
              <w:rPr>
                <w:rFonts w:hint="eastAsia" w:ascii="Calibri" w:hAnsi="Calibri" w:eastAsia="宋体" w:cs="Times New Roman"/>
                <w:color w:val="auto"/>
                <w:szCs w:val="21"/>
              </w:rPr>
              <w:t>其中：</w:t>
            </w:r>
            <w:r>
              <w:rPr>
                <w:rFonts w:hint="eastAsia" w:ascii="Calibri" w:hAnsi="Calibri" w:eastAsia="宋体" w:cs="Times New Roman"/>
                <w:color w:val="auto"/>
                <w:szCs w:val="21"/>
                <w:u w:val="single"/>
              </w:rPr>
              <w:t>联合体资质按照联合体协议约定的分工认定，其他审查标准按联合体协议中约定的各成员分工所占合同工作量的比例，进行加权折算。</w:t>
            </w:r>
          </w:p>
        </w:tc>
      </w:tr>
      <w:tr w14:paraId="7B03B1F9">
        <w:tblPrEx>
          <w:tblCellMar>
            <w:top w:w="0" w:type="dxa"/>
            <w:left w:w="108" w:type="dxa"/>
            <w:bottom w:w="0" w:type="dxa"/>
            <w:right w:w="108" w:type="dxa"/>
          </w:tblCellMar>
        </w:tblPrEx>
        <w:trPr>
          <w:trHeight w:val="563"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4F0E903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42" w:leftChars="-20" w:right="-42" w:rightChars="-20"/>
              <w:jc w:val="center"/>
              <w:textAlignment w:val="auto"/>
              <w:rPr>
                <w:rFonts w:hint="eastAsia" w:ascii="Calibri" w:hAnsi="Calibri" w:eastAsia="宋体" w:cs="Times New Roman"/>
                <w:color w:val="auto"/>
                <w:szCs w:val="21"/>
                <w:lang w:eastAsia="zh-CN"/>
              </w:rPr>
            </w:pPr>
            <w:r>
              <w:rPr>
                <w:rFonts w:ascii="Calibri" w:hAnsi="Calibri" w:eastAsia="宋体" w:cs="Times New Roman"/>
                <w:color w:val="auto"/>
              </w:rPr>
              <w:t>1.4.3</w:t>
            </w:r>
            <w:r>
              <w:rPr>
                <w:rFonts w:hint="eastAsia" w:ascii="宋体" w:hAnsi="宋体" w:eastAsia="宋体" w:cs="宋体"/>
                <w:color w:val="auto"/>
                <w:lang w:val="en-US" w:eastAsia="zh-CN"/>
              </w:rPr>
              <w:t>(</w:t>
            </w:r>
            <w:r>
              <w:rPr>
                <w:rFonts w:ascii="Calibri" w:hAnsi="Calibri" w:eastAsia="宋体" w:cs="Times New Roman"/>
                <w:color w:val="auto"/>
              </w:rPr>
              <w:t>19</w:t>
            </w:r>
            <w:r>
              <w:rPr>
                <w:rFonts w:hint="eastAsia" w:ascii="宋体" w:hAnsi="宋体" w:eastAsia="宋体" w:cs="宋体"/>
                <w:color w:val="auto"/>
                <w:lang w:val="en-US" w:eastAsia="zh-CN"/>
              </w:rPr>
              <w:t>)</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5DEA3B45">
            <w:pPr>
              <w:keepNext w:val="0"/>
              <w:keepLines w:val="0"/>
              <w:suppressLineNumbers w:val="0"/>
              <w:spacing w:before="0" w:beforeAutospacing="0" w:after="0" w:afterAutospacing="0"/>
              <w:ind w:left="0" w:right="0"/>
              <w:jc w:val="left"/>
              <w:rPr>
                <w:rFonts w:ascii="Calibri" w:hAnsi="Calibri" w:eastAsia="宋体" w:cs="Times New Roman"/>
                <w:color w:val="auto"/>
              </w:rPr>
            </w:pPr>
            <w:r>
              <w:rPr>
                <w:rFonts w:hint="eastAsia" w:ascii="Calibri" w:hAnsi="Calibri" w:eastAsia="宋体" w:cs="Times New Roman"/>
                <w:color w:val="auto"/>
                <w:szCs w:val="21"/>
              </w:rPr>
              <w:t>不得存在的其他情形</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25BBF65C">
            <w:pPr>
              <w:pStyle w:val="15"/>
              <w:keepNext w:val="0"/>
              <w:keepLines w:val="0"/>
              <w:suppressLineNumbers w:val="0"/>
              <w:topLinePunct/>
              <w:spacing w:before="0" w:beforeAutospacing="0" w:after="0" w:afterAutospacing="0" w:line="400" w:lineRule="exact"/>
              <w:ind w:left="0" w:right="0"/>
              <w:rPr>
                <w:rFonts w:hint="eastAsia" w:hAnsi="Calibri" w:eastAsia="宋体" w:cs="Times New Roman"/>
                <w:color w:val="auto"/>
                <w:sz w:val="21"/>
                <w:szCs w:val="21"/>
              </w:rPr>
            </w:pPr>
          </w:p>
        </w:tc>
      </w:tr>
      <w:tr w14:paraId="71CA102E">
        <w:tblPrEx>
          <w:tblCellMar>
            <w:top w:w="0" w:type="dxa"/>
            <w:left w:w="108" w:type="dxa"/>
            <w:bottom w:w="0" w:type="dxa"/>
            <w:right w:w="108" w:type="dxa"/>
          </w:tblCellMar>
        </w:tblPrEx>
        <w:trPr>
          <w:trHeight w:val="90"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19EED482">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1.5</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5BEE45C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42" w:leftChars="-20" w:right="-42" w:rightChars="-20"/>
              <w:jc w:val="left"/>
              <w:textAlignment w:val="auto"/>
              <w:rPr>
                <w:rFonts w:ascii="Calibri" w:hAnsi="Calibri" w:eastAsia="宋体" w:cs="Times New Roman"/>
                <w:color w:val="auto"/>
                <w:szCs w:val="21"/>
              </w:rPr>
            </w:pPr>
            <w:r>
              <w:rPr>
                <w:rFonts w:ascii="Calibri" w:hAnsi="Calibri" w:eastAsia="宋体" w:cs="Times New Roman"/>
                <w:color w:val="auto"/>
                <w:szCs w:val="21"/>
              </w:rPr>
              <w:t>费用承担和设计成果补偿</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79C08FE4">
            <w:pPr>
              <w:keepNext w:val="0"/>
              <w:keepLines w:val="0"/>
              <w:suppressLineNumbers w:val="0"/>
              <w:spacing w:before="0" w:beforeAutospacing="0" w:after="0" w:afterAutospacing="0" w:line="400" w:lineRule="exact"/>
              <w:ind w:left="0" w:right="0"/>
              <w:rPr>
                <w:rFonts w:ascii="Calibri" w:hAnsi="Calibri" w:eastAsia="宋体" w:cs="Times New Roman"/>
                <w:color w:val="auto"/>
                <w:sz w:val="24"/>
                <w:szCs w:val="24"/>
              </w:rPr>
            </w:pPr>
            <w:r>
              <w:rPr>
                <w:rFonts w:hint="eastAsia" w:ascii="Calibri" w:hAnsi="Calibri" w:eastAsia="宋体" w:cs="Times New Roman"/>
                <w:color w:val="auto"/>
                <w:sz w:val="24"/>
                <w:szCs w:val="24"/>
                <w:lang w:eastAsia="zh-CN"/>
              </w:rPr>
              <w:t>☑</w:t>
            </w:r>
            <w:r>
              <w:rPr>
                <w:rFonts w:ascii="Calibri" w:hAnsi="Calibri" w:eastAsia="宋体" w:cs="Times New Roman"/>
                <w:color w:val="auto"/>
                <w:sz w:val="24"/>
                <w:szCs w:val="24"/>
              </w:rPr>
              <w:t>不补偿</w:t>
            </w:r>
          </w:p>
          <w:p w14:paraId="2D5E7BBF">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hint="eastAsia" w:ascii="Calibri" w:hAnsi="Calibri" w:eastAsia="宋体" w:cs="Times New Roman"/>
                <w:color w:val="auto"/>
                <w:szCs w:val="21"/>
              </w:rPr>
              <w:t>□</w:t>
            </w:r>
            <w:r>
              <w:rPr>
                <w:rFonts w:ascii="Calibri" w:hAnsi="Calibri" w:eastAsia="宋体" w:cs="Times New Roman"/>
                <w:color w:val="auto"/>
                <w:szCs w:val="21"/>
              </w:rPr>
              <w:t>补偿，补偿标准：</w:t>
            </w:r>
            <w:r>
              <w:rPr>
                <w:rFonts w:ascii="Calibri" w:hAnsi="Calibri" w:eastAsia="宋体" w:cs="Times New Roman"/>
                <w:color w:val="auto"/>
                <w:szCs w:val="21"/>
                <w:u w:val="single"/>
              </w:rPr>
              <w:t xml:space="preserve">             </w:t>
            </w:r>
          </w:p>
        </w:tc>
      </w:tr>
      <w:tr w14:paraId="6CC66B63">
        <w:tblPrEx>
          <w:tblCellMar>
            <w:top w:w="0" w:type="dxa"/>
            <w:left w:w="108" w:type="dxa"/>
            <w:bottom w:w="0" w:type="dxa"/>
            <w:right w:w="108" w:type="dxa"/>
          </w:tblCellMar>
        </w:tblPrEx>
        <w:trPr>
          <w:trHeight w:val="1159"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226074A4">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1.9.1</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51C721E6">
            <w:pPr>
              <w:keepNext w:val="0"/>
              <w:keepLines w:val="0"/>
              <w:suppressLineNumbers w:val="0"/>
              <w:spacing w:before="0" w:beforeAutospacing="0" w:after="0" w:afterAutospacing="0" w:line="400" w:lineRule="exact"/>
              <w:ind w:left="0" w:right="0"/>
              <w:jc w:val="left"/>
              <w:rPr>
                <w:rFonts w:hint="eastAsia" w:ascii="Calibri" w:hAnsi="Calibri" w:eastAsia="宋体" w:cs="Times New Roman"/>
                <w:color w:val="auto"/>
                <w:szCs w:val="21"/>
              </w:rPr>
            </w:pPr>
            <w:r>
              <w:rPr>
                <w:rFonts w:ascii="Calibri" w:hAnsi="Calibri" w:eastAsia="宋体" w:cs="Times New Roman"/>
                <w:color w:val="auto"/>
                <w:szCs w:val="21"/>
              </w:rPr>
              <w:t>踏勘</w:t>
            </w:r>
            <w:r>
              <w:rPr>
                <w:rFonts w:hint="eastAsia" w:ascii="Calibri" w:hAnsi="Calibri" w:eastAsia="宋体" w:cs="Times New Roman"/>
                <w:color w:val="auto"/>
                <w:szCs w:val="21"/>
              </w:rPr>
              <w:t>现场</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3A068EE7">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hint="eastAsia" w:ascii="Calibri" w:hAnsi="Calibri" w:eastAsia="宋体" w:cs="Times New Roman"/>
                <w:color w:val="auto"/>
                <w:sz w:val="24"/>
                <w:szCs w:val="24"/>
                <w:lang w:eastAsia="zh-CN"/>
              </w:rPr>
              <w:t>☑</w:t>
            </w:r>
            <w:r>
              <w:rPr>
                <w:rFonts w:ascii="Calibri" w:hAnsi="Calibri" w:eastAsia="宋体" w:cs="Times New Roman"/>
                <w:color w:val="auto"/>
                <w:sz w:val="24"/>
                <w:szCs w:val="24"/>
              </w:rPr>
              <w:t>不组织</w:t>
            </w:r>
            <w:r>
              <w:rPr>
                <w:rFonts w:ascii="Calibri" w:hAnsi="Calibri" w:eastAsia="宋体" w:cs="Times New Roman"/>
                <w:color w:val="auto"/>
                <w:szCs w:val="21"/>
              </w:rPr>
              <w:t>：</w:t>
            </w:r>
          </w:p>
          <w:p w14:paraId="35B47292">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hint="eastAsia" w:ascii="Calibri" w:hAnsi="Calibri" w:eastAsia="宋体" w:cs="Times New Roman"/>
                <w:color w:val="auto"/>
                <w:szCs w:val="21"/>
              </w:rPr>
              <w:t>□</w:t>
            </w:r>
            <w:r>
              <w:rPr>
                <w:rFonts w:ascii="Calibri" w:hAnsi="Calibri" w:eastAsia="宋体" w:cs="Times New Roman"/>
                <w:color w:val="auto"/>
                <w:szCs w:val="21"/>
              </w:rPr>
              <w:t>组织，踏勘时间：</w:t>
            </w:r>
            <w:r>
              <w:rPr>
                <w:rFonts w:ascii="Calibri" w:hAnsi="Calibri" w:eastAsia="宋体" w:cs="Times New Roman"/>
                <w:color w:val="auto"/>
                <w:szCs w:val="21"/>
                <w:u w:val="single"/>
              </w:rPr>
              <w:t xml:space="preserve">                 </w:t>
            </w:r>
          </w:p>
          <w:p w14:paraId="788D35E0">
            <w:pPr>
              <w:keepNext w:val="0"/>
              <w:keepLines w:val="0"/>
              <w:suppressLineNumbers w:val="0"/>
              <w:spacing w:before="0" w:beforeAutospacing="0" w:after="0" w:afterAutospacing="0" w:line="400" w:lineRule="exact"/>
              <w:ind w:left="0" w:right="0" w:firstLine="840" w:firstLineChars="400"/>
              <w:rPr>
                <w:rFonts w:ascii="Calibri" w:hAnsi="Calibri" w:eastAsia="宋体" w:cs="Times New Roman"/>
                <w:color w:val="auto"/>
                <w:szCs w:val="21"/>
              </w:rPr>
            </w:pPr>
            <w:r>
              <w:rPr>
                <w:rFonts w:ascii="Calibri" w:hAnsi="Calibri" w:eastAsia="宋体" w:cs="Times New Roman"/>
                <w:color w:val="auto"/>
                <w:szCs w:val="21"/>
              </w:rPr>
              <w:t>踏勘集中地点：</w:t>
            </w:r>
            <w:r>
              <w:rPr>
                <w:rFonts w:ascii="Calibri" w:hAnsi="Calibri" w:eastAsia="宋体" w:cs="Times New Roman"/>
                <w:color w:val="auto"/>
                <w:szCs w:val="21"/>
                <w:u w:val="single"/>
              </w:rPr>
              <w:t xml:space="preserve">             </w:t>
            </w:r>
          </w:p>
        </w:tc>
      </w:tr>
      <w:tr w14:paraId="3B68814C">
        <w:tblPrEx>
          <w:tblCellMar>
            <w:top w:w="0" w:type="dxa"/>
            <w:left w:w="108" w:type="dxa"/>
            <w:bottom w:w="0" w:type="dxa"/>
            <w:right w:w="108" w:type="dxa"/>
          </w:tblCellMar>
        </w:tblPrEx>
        <w:trPr>
          <w:trHeight w:val="936"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36C1DE28">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1.10.1</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49AEF1FB">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投标预备会</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50349C4E">
            <w:pPr>
              <w:pStyle w:val="15"/>
              <w:keepNext w:val="0"/>
              <w:keepLines w:val="0"/>
              <w:suppressLineNumbers w:val="0"/>
              <w:topLinePunct/>
              <w:spacing w:before="0" w:beforeAutospacing="0" w:after="0" w:afterAutospacing="0" w:line="400" w:lineRule="exact"/>
              <w:ind w:left="0" w:right="0"/>
              <w:rPr>
                <w:rFonts w:ascii="Times New Roman" w:hAnsi="Calibri" w:eastAsia="宋体" w:cs="Times New Roman"/>
                <w:color w:val="auto"/>
                <w:sz w:val="24"/>
                <w:szCs w:val="24"/>
              </w:rPr>
            </w:pPr>
            <w:r>
              <w:rPr>
                <w:rFonts w:hint="eastAsia" w:hAnsi="Calibri" w:eastAsia="宋体" w:cs="Times New Roman"/>
                <w:color w:val="auto"/>
                <w:sz w:val="24"/>
                <w:szCs w:val="24"/>
                <w:lang w:eastAsia="zh-CN"/>
              </w:rPr>
              <w:t>☑</w:t>
            </w:r>
            <w:r>
              <w:rPr>
                <w:rFonts w:ascii="Times New Roman" w:hAnsi="Calibri" w:eastAsia="宋体" w:cs="Times New Roman"/>
                <w:color w:val="auto"/>
                <w:sz w:val="24"/>
                <w:szCs w:val="24"/>
              </w:rPr>
              <w:t>不召开</w:t>
            </w:r>
          </w:p>
          <w:p w14:paraId="54686146">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hint="eastAsia" w:ascii="Calibri" w:hAnsi="Calibri" w:eastAsia="宋体" w:cs="Times New Roman"/>
                <w:color w:val="auto"/>
                <w:szCs w:val="21"/>
              </w:rPr>
              <w:t>□</w:t>
            </w:r>
            <w:r>
              <w:rPr>
                <w:rFonts w:ascii="Calibri" w:hAnsi="Calibri" w:eastAsia="宋体" w:cs="Times New Roman"/>
                <w:color w:val="auto"/>
                <w:szCs w:val="21"/>
              </w:rPr>
              <w:t>召开，召开时间：</w:t>
            </w:r>
            <w:r>
              <w:rPr>
                <w:rFonts w:ascii="Calibri" w:hAnsi="Calibri" w:eastAsia="宋体" w:cs="Times New Roman"/>
                <w:color w:val="auto"/>
                <w:szCs w:val="21"/>
                <w:u w:val="single"/>
              </w:rPr>
              <w:t xml:space="preserve">             </w:t>
            </w:r>
          </w:p>
          <w:p w14:paraId="478ED9D6">
            <w:pPr>
              <w:keepNext w:val="0"/>
              <w:keepLines w:val="0"/>
              <w:suppressLineNumbers w:val="0"/>
              <w:spacing w:before="0" w:beforeAutospacing="0" w:after="0" w:afterAutospacing="0" w:line="400" w:lineRule="exact"/>
              <w:ind w:left="0" w:right="0" w:firstLine="840" w:firstLineChars="400"/>
              <w:rPr>
                <w:rFonts w:ascii="Calibri" w:hAnsi="Calibri" w:eastAsia="宋体" w:cs="Times New Roman"/>
                <w:color w:val="auto"/>
                <w:szCs w:val="21"/>
              </w:rPr>
            </w:pPr>
            <w:r>
              <w:rPr>
                <w:rFonts w:ascii="Calibri" w:hAnsi="Calibri" w:eastAsia="宋体" w:cs="Times New Roman"/>
                <w:color w:val="auto"/>
                <w:szCs w:val="21"/>
              </w:rPr>
              <w:t>召开地点：</w:t>
            </w:r>
            <w:r>
              <w:rPr>
                <w:rFonts w:ascii="Calibri" w:hAnsi="Calibri" w:eastAsia="宋体" w:cs="Times New Roman"/>
                <w:color w:val="auto"/>
                <w:szCs w:val="21"/>
                <w:u w:val="single"/>
              </w:rPr>
              <w:t xml:space="preserve">             </w:t>
            </w:r>
          </w:p>
        </w:tc>
      </w:tr>
      <w:tr w14:paraId="3CC7DF52">
        <w:tblPrEx>
          <w:tblCellMar>
            <w:top w:w="0" w:type="dxa"/>
            <w:left w:w="108" w:type="dxa"/>
            <w:bottom w:w="0" w:type="dxa"/>
            <w:right w:w="108" w:type="dxa"/>
          </w:tblCellMar>
        </w:tblPrEx>
        <w:trPr>
          <w:trHeight w:val="516"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122769EA">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1.10.2</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0090F7AC">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投标人提出问题的截止时间</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29D01B61">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hint="eastAsia" w:ascii="Calibri" w:hAnsi="Calibri" w:eastAsia="宋体" w:cs="Times New Roman"/>
                <w:color w:val="auto"/>
              </w:rPr>
              <w:t>召开投标预备会</w:t>
            </w:r>
            <w:r>
              <w:rPr>
                <w:rFonts w:hint="eastAsia" w:ascii="Calibri" w:hAnsi="Calibri" w:eastAsia="宋体" w:cs="Times New Roman"/>
                <w:color w:val="auto"/>
                <w:szCs w:val="21"/>
              </w:rPr>
              <w:t>之日</w:t>
            </w:r>
            <w:r>
              <w:rPr>
                <w:rFonts w:ascii="Calibri" w:hAnsi="Calibri" w:eastAsia="宋体" w:cs="Times New Roman"/>
                <w:color w:val="auto"/>
                <w:szCs w:val="21"/>
                <w:u w:val="single"/>
              </w:rPr>
              <w:t xml:space="preserve">  </w:t>
            </w:r>
            <w:r>
              <w:rPr>
                <w:rFonts w:hint="eastAsia" w:ascii="宋体" w:hAnsi="宋体" w:eastAsia="宋体" w:cs="宋体"/>
                <w:color w:val="auto"/>
                <w:sz w:val="24"/>
                <w:szCs w:val="24"/>
                <w:u w:val="single"/>
                <w:lang w:val="en-US" w:eastAsia="zh-CN"/>
              </w:rPr>
              <w:t>/</w:t>
            </w:r>
            <w:r>
              <w:rPr>
                <w:rFonts w:hint="eastAsia" w:ascii="Calibri" w:hAnsi="Calibri" w:eastAsia="宋体" w:cs="Times New Roman"/>
                <w:color w:val="auto"/>
                <w:szCs w:val="21"/>
                <w:u w:val="single"/>
                <w:lang w:val="en-US" w:eastAsia="zh-CN"/>
              </w:rPr>
              <w:t xml:space="preserve"> </w:t>
            </w:r>
            <w:r>
              <w:rPr>
                <w:rFonts w:ascii="Calibri" w:hAnsi="Calibri" w:eastAsia="宋体" w:cs="Times New Roman"/>
                <w:color w:val="auto"/>
                <w:szCs w:val="21"/>
                <w:u w:val="single"/>
              </w:rPr>
              <w:t xml:space="preserve"> </w:t>
            </w:r>
            <w:r>
              <w:rPr>
                <w:rFonts w:hint="eastAsia" w:ascii="Calibri" w:hAnsi="Calibri" w:eastAsia="宋体" w:cs="Times New Roman"/>
                <w:color w:val="auto"/>
                <w:szCs w:val="21"/>
              </w:rPr>
              <w:t>日前</w:t>
            </w:r>
          </w:p>
        </w:tc>
      </w:tr>
      <w:tr w14:paraId="3BB9D1E0">
        <w:tblPrEx>
          <w:tblCellMar>
            <w:top w:w="0" w:type="dxa"/>
            <w:left w:w="108" w:type="dxa"/>
            <w:bottom w:w="0" w:type="dxa"/>
            <w:right w:w="108" w:type="dxa"/>
          </w:tblCellMar>
        </w:tblPrEx>
        <w:trPr>
          <w:trHeight w:val="90"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11AE2587">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1.11</w:t>
            </w:r>
            <w:r>
              <w:rPr>
                <w:rFonts w:hint="eastAsia" w:ascii="Calibri" w:hAnsi="Calibri" w:eastAsia="宋体" w:cs="Times New Roman"/>
                <w:color w:val="auto"/>
                <w:szCs w:val="21"/>
              </w:rPr>
              <w:t>.1</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709DB7A2">
            <w:pPr>
              <w:keepNext w:val="0"/>
              <w:keepLines w:val="0"/>
              <w:suppressLineNumbers w:val="0"/>
              <w:spacing w:before="0" w:beforeAutospacing="0" w:after="0" w:afterAutospacing="0" w:line="40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招标人规定由分包人承担的工作</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295C047D">
            <w:pPr>
              <w:keepNext w:val="0"/>
              <w:keepLines w:val="0"/>
              <w:suppressLineNumbers w:val="0"/>
              <w:spacing w:before="0" w:beforeAutospacing="0" w:after="0" w:afterAutospacing="0" w:line="400" w:lineRule="exact"/>
              <w:ind w:left="0" w:right="0" w:firstLine="960" w:firstLineChars="400"/>
              <w:rPr>
                <w:rFonts w:hint="eastAsia" w:ascii="Calibri" w:hAnsi="Calibri" w:eastAsia="宋体" w:cs="Times New Roman"/>
                <w:color w:val="auto"/>
                <w:sz w:val="24"/>
                <w:szCs w:val="24"/>
                <w:lang w:val="en-US" w:eastAsia="zh-CN"/>
              </w:rPr>
            </w:pPr>
            <w:r>
              <w:rPr>
                <w:rFonts w:hint="eastAsia" w:ascii="宋体" w:hAnsi="宋体" w:eastAsia="宋体" w:cs="宋体"/>
                <w:color w:val="auto"/>
                <w:sz w:val="24"/>
                <w:szCs w:val="24"/>
                <w:lang w:val="en-US" w:eastAsia="zh-CN"/>
              </w:rPr>
              <w:t>/</w:t>
            </w:r>
          </w:p>
        </w:tc>
      </w:tr>
      <w:tr w14:paraId="777D3540">
        <w:tblPrEx>
          <w:tblCellMar>
            <w:top w:w="0" w:type="dxa"/>
            <w:left w:w="108" w:type="dxa"/>
            <w:bottom w:w="0" w:type="dxa"/>
            <w:right w:w="108" w:type="dxa"/>
          </w:tblCellMar>
        </w:tblPrEx>
        <w:tc>
          <w:tcPr>
            <w:tcW w:w="1005" w:type="dxa"/>
            <w:tcBorders>
              <w:top w:val="single" w:color="auto" w:sz="4" w:space="0"/>
              <w:left w:val="single" w:color="auto" w:sz="4" w:space="0"/>
              <w:bottom w:val="single" w:color="auto" w:sz="4" w:space="0"/>
              <w:right w:val="single" w:color="auto" w:sz="4" w:space="0"/>
            </w:tcBorders>
            <w:noWrap w:val="0"/>
            <w:vAlign w:val="center"/>
          </w:tcPr>
          <w:p w14:paraId="3DCA0B18">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1.11</w:t>
            </w:r>
            <w:r>
              <w:rPr>
                <w:rFonts w:hint="eastAsia" w:ascii="Calibri" w:hAnsi="Calibri" w:eastAsia="宋体" w:cs="Times New Roman"/>
                <w:color w:val="auto"/>
                <w:szCs w:val="21"/>
              </w:rPr>
              <w:t>.2</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346DC1A6">
            <w:pPr>
              <w:keepNext w:val="0"/>
              <w:keepLines w:val="0"/>
              <w:suppressLineNumbers w:val="0"/>
              <w:spacing w:before="0" w:beforeAutospacing="0" w:after="0" w:afterAutospacing="0" w:line="40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投标人拟分包的工作</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3AE5FB1B">
            <w:pPr>
              <w:pStyle w:val="15"/>
              <w:keepNext w:val="0"/>
              <w:keepLines w:val="0"/>
              <w:suppressLineNumbers w:val="0"/>
              <w:topLinePunct/>
              <w:spacing w:before="0" w:beforeAutospacing="0" w:after="0" w:afterAutospacing="0" w:line="400" w:lineRule="exact"/>
              <w:ind w:left="0" w:right="0"/>
              <w:rPr>
                <w:rFonts w:ascii="Times New Roman" w:hAnsi="Calibri" w:eastAsia="宋体" w:cs="Times New Roman"/>
                <w:color w:val="auto"/>
                <w:sz w:val="21"/>
                <w:szCs w:val="21"/>
              </w:rPr>
            </w:pPr>
            <w:r>
              <w:rPr>
                <w:rFonts w:hint="eastAsia" w:hAnsi="Calibri" w:cs="Times New Roman"/>
                <w:color w:val="auto"/>
                <w:sz w:val="21"/>
                <w:szCs w:val="21"/>
                <w:lang w:eastAsia="zh-CN"/>
              </w:rPr>
              <w:t>□</w:t>
            </w:r>
            <w:r>
              <w:rPr>
                <w:rFonts w:ascii="Times New Roman" w:hAnsi="Calibri" w:eastAsia="宋体" w:cs="Times New Roman"/>
                <w:color w:val="auto"/>
                <w:sz w:val="21"/>
                <w:szCs w:val="21"/>
              </w:rPr>
              <w:t>不允许</w:t>
            </w:r>
          </w:p>
          <w:p w14:paraId="0F221213">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u w:val="single"/>
              </w:rPr>
            </w:pPr>
            <w:r>
              <w:rPr>
                <w:rFonts w:hint="eastAsia" w:ascii="Calibri" w:hAnsi="Calibri" w:cs="Times New Roman"/>
                <w:color w:val="auto"/>
                <w:szCs w:val="21"/>
                <w:lang w:eastAsia="zh-CN"/>
              </w:rPr>
              <w:t>☑</w:t>
            </w:r>
            <w:r>
              <w:rPr>
                <w:rFonts w:ascii="Calibri" w:hAnsi="Calibri" w:eastAsia="宋体" w:cs="Times New Roman"/>
                <w:color w:val="auto"/>
                <w:szCs w:val="21"/>
              </w:rPr>
              <w:t>允许，分包内容要求：</w:t>
            </w:r>
            <w:r>
              <w:rPr>
                <w:rFonts w:hint="eastAsia" w:ascii="宋体" w:hAnsi="宋体" w:eastAsia="宋体" w:cs="宋体"/>
                <w:color w:val="auto"/>
                <w:sz w:val="24"/>
                <w:szCs w:val="24"/>
                <w:u w:val="single"/>
              </w:rPr>
              <w:t>承包和分包单位自主约定</w:t>
            </w:r>
            <w:r>
              <w:rPr>
                <w:rFonts w:ascii="Calibri" w:hAnsi="Calibri" w:eastAsia="宋体" w:cs="Times New Roman"/>
                <w:color w:val="auto"/>
                <w:szCs w:val="21"/>
                <w:u w:val="single"/>
              </w:rPr>
              <w:t xml:space="preserve"> </w:t>
            </w:r>
          </w:p>
          <w:p w14:paraId="4F6CAAB9">
            <w:pPr>
              <w:keepNext w:val="0"/>
              <w:keepLines w:val="0"/>
              <w:suppressLineNumbers w:val="0"/>
              <w:spacing w:before="0" w:beforeAutospacing="0" w:after="0" w:afterAutospacing="0" w:line="400" w:lineRule="exact"/>
              <w:ind w:left="0" w:right="0" w:firstLine="840" w:firstLineChars="400"/>
              <w:rPr>
                <w:rFonts w:hint="default" w:ascii="Calibri" w:hAnsi="Calibri" w:eastAsia="宋体" w:cs="Times New Roman"/>
                <w:color w:val="auto"/>
                <w:szCs w:val="21"/>
                <w:lang w:val="en-US" w:eastAsia="zh-CN"/>
              </w:rPr>
            </w:pPr>
            <w:r>
              <w:rPr>
                <w:rFonts w:ascii="Calibri" w:hAnsi="Calibri" w:eastAsia="宋体" w:cs="Times New Roman"/>
                <w:color w:val="auto"/>
                <w:szCs w:val="21"/>
              </w:rPr>
              <w:t>分包金额要求：</w:t>
            </w:r>
            <w:r>
              <w:rPr>
                <w:rFonts w:ascii="Calibri" w:hAnsi="Calibri" w:eastAsia="宋体" w:cs="Times New Roman"/>
                <w:color w:val="auto"/>
                <w:szCs w:val="21"/>
                <w:u w:val="single"/>
              </w:rPr>
              <w:t xml:space="preserve"> </w:t>
            </w:r>
            <w:r>
              <w:rPr>
                <w:rFonts w:hint="eastAsia" w:ascii="宋体" w:hAnsi="宋体" w:eastAsia="宋体" w:cs="宋体"/>
                <w:color w:val="auto"/>
                <w:sz w:val="24"/>
                <w:szCs w:val="24"/>
                <w:u w:val="single"/>
                <w:lang w:val="en-US" w:eastAsia="zh-CN"/>
              </w:rPr>
              <w:t>/</w:t>
            </w:r>
            <w:r>
              <w:rPr>
                <w:rFonts w:ascii="Calibri" w:hAnsi="Calibri" w:eastAsia="宋体" w:cs="Times New Roman"/>
                <w:color w:val="auto"/>
                <w:szCs w:val="21"/>
                <w:u w:val="single"/>
              </w:rPr>
              <w:t xml:space="preserve"> </w:t>
            </w:r>
            <w:r>
              <w:rPr>
                <w:rFonts w:hint="eastAsia" w:ascii="Calibri" w:hAnsi="Calibri" w:eastAsia="宋体" w:cs="Times New Roman"/>
                <w:color w:val="auto"/>
                <w:szCs w:val="21"/>
                <w:u w:val="single"/>
                <w:lang w:val="en-US" w:eastAsia="zh-CN"/>
              </w:rPr>
              <w:t xml:space="preserve">   </w:t>
            </w:r>
          </w:p>
          <w:p w14:paraId="218D2C06">
            <w:pPr>
              <w:keepNext w:val="0"/>
              <w:keepLines w:val="0"/>
              <w:suppressLineNumbers w:val="0"/>
              <w:spacing w:before="0" w:beforeAutospacing="0" w:after="0" w:afterAutospacing="0" w:line="400" w:lineRule="exact"/>
              <w:ind w:left="0" w:right="0" w:firstLine="840" w:firstLineChars="400"/>
              <w:rPr>
                <w:rFonts w:ascii="Calibri" w:hAnsi="Calibri" w:eastAsia="宋体" w:cs="Times New Roman"/>
                <w:color w:val="auto"/>
                <w:szCs w:val="21"/>
              </w:rPr>
            </w:pPr>
            <w:r>
              <w:rPr>
                <w:rFonts w:ascii="Calibri" w:hAnsi="Calibri" w:eastAsia="宋体" w:cs="Times New Roman"/>
                <w:color w:val="auto"/>
                <w:szCs w:val="21"/>
              </w:rPr>
              <w:t>对分包人的资质要求：</w:t>
            </w:r>
            <w:r>
              <w:rPr>
                <w:rFonts w:hint="eastAsia" w:ascii="宋体" w:hAnsi="宋体" w:eastAsia="宋体" w:cs="宋体"/>
                <w:color w:val="auto"/>
                <w:sz w:val="24"/>
                <w:szCs w:val="24"/>
                <w:u w:val="single"/>
              </w:rPr>
              <w:t>1、各分包单位的资质所能承包工程的范围应与分包内容的规模相适应具备相应的资质。2、分包内容和发包程序应符合国家相关法律法规的要求。</w:t>
            </w:r>
            <w:r>
              <w:rPr>
                <w:rFonts w:ascii="Calibri" w:hAnsi="Calibri" w:eastAsia="宋体" w:cs="Times New Roman"/>
                <w:color w:val="auto"/>
                <w:szCs w:val="21"/>
                <w:u w:val="single"/>
              </w:rPr>
              <w:t xml:space="preserve">  </w:t>
            </w:r>
          </w:p>
        </w:tc>
      </w:tr>
      <w:tr w14:paraId="2B8D3E2B">
        <w:tblPrEx>
          <w:tblCellMar>
            <w:top w:w="0" w:type="dxa"/>
            <w:left w:w="108" w:type="dxa"/>
            <w:bottom w:w="0" w:type="dxa"/>
            <w:right w:w="108" w:type="dxa"/>
          </w:tblCellMar>
        </w:tblPrEx>
        <w:trPr>
          <w:trHeight w:val="90"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5061AFF6">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1.12</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3B704B5B">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偏离</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58A6CB95">
            <w:pPr>
              <w:pStyle w:val="15"/>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80" w:lineRule="exact"/>
              <w:ind w:left="0" w:right="0"/>
              <w:textAlignment w:val="auto"/>
              <w:rPr>
                <w:rFonts w:ascii="Times New Roman" w:hAnsi="Calibri" w:eastAsia="宋体" w:cs="Times New Roman"/>
                <w:color w:val="auto"/>
                <w:sz w:val="21"/>
                <w:szCs w:val="21"/>
              </w:rPr>
            </w:pPr>
            <w:r>
              <w:rPr>
                <w:rFonts w:hint="eastAsia" w:hAnsi="Calibri" w:eastAsia="宋体" w:cs="Times New Roman"/>
                <w:color w:val="auto"/>
                <w:sz w:val="21"/>
                <w:szCs w:val="21"/>
                <w:lang w:eastAsia="zh-CN"/>
              </w:rPr>
              <w:t>☑</w:t>
            </w:r>
            <w:r>
              <w:rPr>
                <w:rFonts w:ascii="Times New Roman" w:hAnsi="Calibri" w:eastAsia="宋体" w:cs="Times New Roman"/>
                <w:color w:val="auto"/>
                <w:sz w:val="21"/>
                <w:szCs w:val="21"/>
              </w:rPr>
              <w:t>不允许</w:t>
            </w:r>
          </w:p>
          <w:p w14:paraId="55639140">
            <w:pPr>
              <w:pStyle w:val="15"/>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80" w:lineRule="exact"/>
              <w:ind w:left="0" w:right="0"/>
              <w:textAlignment w:val="auto"/>
              <w:rPr>
                <w:rFonts w:ascii="Times New Roman" w:hAnsi="Calibri" w:eastAsia="宋体" w:cs="Times New Roman"/>
                <w:color w:val="auto"/>
                <w:sz w:val="21"/>
                <w:szCs w:val="21"/>
              </w:rPr>
            </w:pPr>
            <w:r>
              <w:rPr>
                <w:rFonts w:hint="eastAsia" w:hAnsi="Calibri" w:eastAsia="宋体" w:cs="Times New Roman"/>
                <w:color w:val="auto"/>
                <w:sz w:val="21"/>
                <w:szCs w:val="21"/>
              </w:rPr>
              <w:t>□</w:t>
            </w:r>
            <w:r>
              <w:rPr>
                <w:rFonts w:ascii="Times New Roman" w:hAnsi="Calibri" w:eastAsia="宋体" w:cs="Times New Roman"/>
                <w:color w:val="auto"/>
                <w:sz w:val="21"/>
                <w:szCs w:val="21"/>
              </w:rPr>
              <w:t>允许，允许偏离的内容、偏离范围和幅度：</w:t>
            </w:r>
            <w:r>
              <w:rPr>
                <w:rFonts w:ascii="Times New Roman" w:hAnsi="Calibri" w:eastAsia="宋体" w:cs="Times New Roman"/>
                <w:color w:val="auto"/>
                <w:sz w:val="21"/>
                <w:szCs w:val="21"/>
                <w:u w:val="single"/>
              </w:rPr>
              <w:t xml:space="preserve">      </w:t>
            </w:r>
          </w:p>
        </w:tc>
      </w:tr>
      <w:tr w14:paraId="3D9A39C9">
        <w:tblPrEx>
          <w:tblCellMar>
            <w:top w:w="0" w:type="dxa"/>
            <w:left w:w="108" w:type="dxa"/>
            <w:bottom w:w="0" w:type="dxa"/>
            <w:right w:w="108" w:type="dxa"/>
          </w:tblCellMar>
        </w:tblPrEx>
        <w:trPr>
          <w:trHeight w:val="481"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26160F75">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2.1</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2750679D">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构成招标文件的其他资料</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6B9088AD">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hint="eastAsia" w:ascii="宋体" w:hAnsi="宋体" w:eastAsia="宋体" w:cs="宋体"/>
                <w:color w:val="auto"/>
                <w:sz w:val="24"/>
                <w:szCs w:val="24"/>
              </w:rPr>
              <w:t>澄清文件、修改文件、补充文件</w:t>
            </w:r>
          </w:p>
        </w:tc>
      </w:tr>
      <w:tr w14:paraId="27ADC2EC">
        <w:tblPrEx>
          <w:tblCellMar>
            <w:top w:w="0" w:type="dxa"/>
            <w:left w:w="108" w:type="dxa"/>
            <w:bottom w:w="0" w:type="dxa"/>
            <w:right w:w="108" w:type="dxa"/>
          </w:tblCellMar>
        </w:tblPrEx>
        <w:trPr>
          <w:trHeight w:val="90"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43CD21AE">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2.2.1</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0F2B3E9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ascii="Calibri" w:hAnsi="Calibri" w:eastAsia="宋体" w:cs="Times New Roman"/>
                <w:color w:val="auto"/>
                <w:szCs w:val="21"/>
              </w:rPr>
            </w:pPr>
            <w:r>
              <w:rPr>
                <w:rFonts w:ascii="Calibri" w:hAnsi="Calibri" w:eastAsia="宋体" w:cs="Times New Roman"/>
                <w:color w:val="auto"/>
                <w:szCs w:val="21"/>
              </w:rPr>
              <w:t>投标人要求澄清招标文件的截止时间</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6D41C7F2">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ascii="Calibri" w:hAnsi="Calibri" w:eastAsia="宋体" w:cs="Times New Roman"/>
                <w:color w:val="auto"/>
                <w:szCs w:val="21"/>
              </w:rPr>
              <w:t>递交投标文件截止之日</w:t>
            </w:r>
            <w:r>
              <w:rPr>
                <w:rFonts w:ascii="Calibri" w:hAnsi="Calibri" w:eastAsia="宋体" w:cs="Times New Roman"/>
                <w:color w:val="auto"/>
                <w:szCs w:val="21"/>
                <w:u w:val="single"/>
              </w:rPr>
              <w:t xml:space="preserve"> </w:t>
            </w:r>
            <w:r>
              <w:rPr>
                <w:rFonts w:hint="eastAsia" w:ascii="宋体" w:hAnsi="宋体" w:eastAsia="宋体" w:cs="宋体"/>
                <w:color w:val="auto"/>
                <w:sz w:val="24"/>
                <w:szCs w:val="24"/>
                <w:u w:val="single"/>
                <w:lang w:val="en-US" w:eastAsia="zh-CN"/>
              </w:rPr>
              <w:t>15</w:t>
            </w:r>
            <w:r>
              <w:rPr>
                <w:rFonts w:ascii="Calibri" w:hAnsi="Calibri" w:eastAsia="宋体" w:cs="Times New Roman"/>
                <w:color w:val="auto"/>
                <w:szCs w:val="21"/>
                <w:u w:val="single"/>
              </w:rPr>
              <w:t xml:space="preserve"> </w:t>
            </w:r>
            <w:r>
              <w:rPr>
                <w:rFonts w:ascii="Calibri" w:hAnsi="Calibri" w:eastAsia="宋体" w:cs="Times New Roman"/>
                <w:color w:val="auto"/>
                <w:szCs w:val="21"/>
              </w:rPr>
              <w:t>日前</w:t>
            </w:r>
          </w:p>
        </w:tc>
      </w:tr>
      <w:tr w14:paraId="37189689">
        <w:tblPrEx>
          <w:tblCellMar>
            <w:top w:w="0" w:type="dxa"/>
            <w:left w:w="108" w:type="dxa"/>
            <w:bottom w:w="0" w:type="dxa"/>
            <w:right w:w="108" w:type="dxa"/>
          </w:tblCellMar>
        </w:tblPrEx>
        <w:trPr>
          <w:trHeight w:val="592"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77D66AC0">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3.1.1</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7C10DB88">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构成投标文件的其他资料</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029BF091">
            <w:pPr>
              <w:keepNext w:val="0"/>
              <w:keepLines w:val="0"/>
              <w:suppressLineNumbers w:val="0"/>
              <w:spacing w:before="0" w:beforeAutospacing="0" w:after="0" w:afterAutospacing="0" w:line="400" w:lineRule="exact"/>
              <w:ind w:left="0" w:leftChars="0" w:right="0" w:rightChars="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4"/>
                <w:szCs w:val="24"/>
                <w:lang w:val="en-US" w:eastAsia="zh-CN"/>
              </w:rPr>
              <w:t>/</w:t>
            </w:r>
          </w:p>
        </w:tc>
      </w:tr>
      <w:tr w14:paraId="517E0B38">
        <w:tblPrEx>
          <w:tblCellMar>
            <w:top w:w="0" w:type="dxa"/>
            <w:left w:w="108" w:type="dxa"/>
            <w:bottom w:w="0" w:type="dxa"/>
            <w:right w:w="108" w:type="dxa"/>
          </w:tblCellMar>
        </w:tblPrEx>
        <w:trPr>
          <w:trHeight w:val="684"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78B8D289">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3.2.4</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492E0A5E">
            <w:pPr>
              <w:keepNext w:val="0"/>
              <w:keepLines w:val="0"/>
              <w:suppressLineNumbers w:val="0"/>
              <w:spacing w:before="0" w:beforeAutospacing="0" w:after="0" w:afterAutospacing="0" w:line="400" w:lineRule="exact"/>
              <w:ind w:left="0" w:right="0"/>
              <w:jc w:val="left"/>
              <w:rPr>
                <w:rFonts w:hint="eastAsia" w:ascii="Calibri" w:hAnsi="Calibri" w:eastAsia="宋体" w:cs="Times New Roman"/>
                <w:color w:val="auto"/>
                <w:szCs w:val="21"/>
              </w:rPr>
            </w:pPr>
            <w:r>
              <w:rPr>
                <w:rFonts w:ascii="Calibri" w:hAnsi="Calibri" w:eastAsia="宋体" w:cs="Times New Roman"/>
                <w:color w:val="auto"/>
                <w:szCs w:val="21"/>
              </w:rPr>
              <w:t>最高投标限价</w:t>
            </w:r>
          </w:p>
          <w:p w14:paraId="758AFDB7">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或其计算方法</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12E8F95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4"/>
                <w:szCs w:val="24"/>
                <w:u w:val="none"/>
                <w:lang w:val="en-US" w:eastAsia="zh-CN"/>
              </w:rPr>
              <w:t>最高投标限价：</w:t>
            </w:r>
            <w:r>
              <w:rPr>
                <w:rFonts w:hint="eastAsia" w:ascii="宋体" w:hAnsi="宋体" w:cs="宋体"/>
                <w:color w:val="auto"/>
                <w:sz w:val="24"/>
                <w:szCs w:val="24"/>
                <w:highlight w:val="none"/>
                <w:u w:val="none"/>
                <w:lang w:val="en-US" w:eastAsia="zh-CN"/>
              </w:rPr>
              <w:t>2857.23</w:t>
            </w:r>
            <w:r>
              <w:rPr>
                <w:rFonts w:hint="eastAsia" w:ascii="宋体" w:hAnsi="宋体" w:eastAsia="宋体" w:cs="宋体"/>
                <w:color w:val="auto"/>
                <w:sz w:val="24"/>
                <w:szCs w:val="24"/>
                <w:highlight w:val="none"/>
                <w:u w:val="none"/>
                <w:lang w:val="en-US" w:eastAsia="zh-CN"/>
              </w:rPr>
              <w:t>万元（其中：①设计费：</w:t>
            </w:r>
            <w:r>
              <w:rPr>
                <w:rFonts w:hint="eastAsia" w:ascii="宋体" w:hAnsi="宋体" w:cs="宋体"/>
                <w:color w:val="auto"/>
                <w:sz w:val="24"/>
                <w:szCs w:val="24"/>
                <w:highlight w:val="none"/>
                <w:u w:val="none"/>
                <w:lang w:val="en-US" w:eastAsia="zh-CN"/>
              </w:rPr>
              <w:t>23.6万元</w:t>
            </w:r>
            <w:r>
              <w:rPr>
                <w:rFonts w:hint="eastAsia" w:ascii="宋体" w:hAnsi="宋体" w:eastAsia="宋体" w:cs="宋体"/>
                <w:color w:val="auto"/>
                <w:sz w:val="24"/>
                <w:szCs w:val="24"/>
                <w:highlight w:val="none"/>
                <w:u w:val="none"/>
                <w:lang w:val="en-US" w:eastAsia="zh-CN"/>
              </w:rPr>
              <w:t>；②建安费：</w:t>
            </w:r>
            <w:r>
              <w:rPr>
                <w:rFonts w:hint="eastAsia" w:ascii="宋体" w:hAnsi="宋体" w:cs="宋体"/>
                <w:color w:val="auto"/>
                <w:sz w:val="24"/>
                <w:szCs w:val="24"/>
                <w:highlight w:val="none"/>
                <w:u w:val="none"/>
                <w:lang w:val="en-US" w:eastAsia="zh-CN"/>
              </w:rPr>
              <w:t>2833.63万元</w:t>
            </w:r>
            <w:r>
              <w:rPr>
                <w:rFonts w:hint="eastAsia" w:ascii="宋体" w:hAnsi="宋体" w:eastAsia="宋体" w:cs="宋体"/>
                <w:color w:val="auto"/>
                <w:sz w:val="24"/>
                <w:szCs w:val="24"/>
                <w:u w:val="none"/>
                <w:lang w:val="en-US" w:eastAsia="zh-CN"/>
              </w:rPr>
              <w:t>）</w:t>
            </w:r>
          </w:p>
        </w:tc>
      </w:tr>
      <w:tr w14:paraId="217C7758">
        <w:tblPrEx>
          <w:tblCellMar>
            <w:top w:w="0" w:type="dxa"/>
            <w:left w:w="108" w:type="dxa"/>
            <w:bottom w:w="0" w:type="dxa"/>
            <w:right w:w="108" w:type="dxa"/>
          </w:tblCellMar>
        </w:tblPrEx>
        <w:trPr>
          <w:trHeight w:val="683"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766AD181">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3.2.5</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30F40CB2">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投标报价的其他要求</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0E0AD39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sz w:val="24"/>
                <w:szCs w:val="24"/>
              </w:rPr>
              <w:t>投标报价由以上2项组成，其中</w:t>
            </w:r>
            <w:r>
              <w:rPr>
                <w:rFonts w:hint="eastAsia" w:ascii="宋体" w:hAnsi="宋体" w:eastAsia="宋体" w:cs="宋体"/>
                <w:color w:val="auto"/>
                <w:sz w:val="24"/>
                <w:szCs w:val="24"/>
                <w:highlight w:val="none"/>
              </w:rPr>
              <w:t>①设计费不得超过</w:t>
            </w:r>
            <w:r>
              <w:rPr>
                <w:rFonts w:hint="eastAsia" w:ascii="宋体" w:hAnsi="宋体" w:cs="宋体"/>
                <w:color w:val="auto"/>
                <w:sz w:val="24"/>
                <w:szCs w:val="24"/>
                <w:highlight w:val="none"/>
                <w:lang w:val="en-US" w:eastAsia="zh-CN"/>
              </w:rPr>
              <w:t>23.6万元</w:t>
            </w:r>
            <w:r>
              <w:rPr>
                <w:rFonts w:hint="eastAsia" w:ascii="宋体" w:hAnsi="宋体" w:eastAsia="宋体" w:cs="宋体"/>
                <w:color w:val="auto"/>
                <w:sz w:val="24"/>
                <w:szCs w:val="24"/>
                <w:highlight w:val="none"/>
              </w:rPr>
              <w:t>；②建安费不得超过</w:t>
            </w:r>
            <w:r>
              <w:rPr>
                <w:rFonts w:hint="eastAsia" w:ascii="宋体" w:hAnsi="宋体" w:cs="宋体"/>
                <w:color w:val="auto"/>
                <w:sz w:val="24"/>
                <w:szCs w:val="24"/>
                <w:highlight w:val="none"/>
                <w:lang w:val="en-US" w:eastAsia="zh-CN"/>
              </w:rPr>
              <w:t>2833.63万元</w:t>
            </w:r>
            <w:r>
              <w:rPr>
                <w:rFonts w:hint="eastAsia" w:ascii="宋体" w:hAnsi="宋体" w:eastAsia="宋体" w:cs="宋体"/>
                <w:color w:val="auto"/>
                <w:sz w:val="24"/>
                <w:szCs w:val="24"/>
                <w:highlight w:val="none"/>
                <w:lang w:val="en-US" w:eastAsia="zh-CN"/>
              </w:rPr>
              <w:t>)。</w:t>
            </w:r>
          </w:p>
        </w:tc>
      </w:tr>
      <w:tr w14:paraId="32854C4F">
        <w:tblPrEx>
          <w:tblCellMar>
            <w:top w:w="0" w:type="dxa"/>
            <w:left w:w="108" w:type="dxa"/>
            <w:bottom w:w="0" w:type="dxa"/>
            <w:right w:w="108" w:type="dxa"/>
          </w:tblCellMar>
        </w:tblPrEx>
        <w:trPr>
          <w:trHeight w:val="528"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06C64FBC">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3.3.1</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1A18390E">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投标有效期</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033A88ED">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ascii="Calibri" w:hAnsi="Calibri" w:eastAsia="宋体" w:cs="Times New Roman"/>
                <w:caps/>
                <w:color w:val="auto"/>
                <w:szCs w:val="21"/>
              </w:rPr>
              <w:t>自投标截止时间起</w:t>
            </w:r>
            <w:r>
              <w:rPr>
                <w:rFonts w:ascii="Calibri" w:hAnsi="Calibri" w:eastAsia="宋体" w:cs="Times New Roman"/>
                <w:caps/>
                <w:color w:val="auto"/>
                <w:szCs w:val="21"/>
                <w:u w:val="single"/>
              </w:rPr>
              <w:t xml:space="preserve">  </w:t>
            </w:r>
            <w:r>
              <w:rPr>
                <w:rFonts w:hint="eastAsia" w:ascii="宋体" w:hAnsi="宋体" w:eastAsia="宋体" w:cs="宋体"/>
                <w:caps/>
                <w:color w:val="auto"/>
                <w:sz w:val="24"/>
                <w:szCs w:val="24"/>
                <w:u w:val="single"/>
                <w:lang w:val="en-US" w:eastAsia="zh-CN"/>
              </w:rPr>
              <w:t>60</w:t>
            </w:r>
            <w:r>
              <w:rPr>
                <w:rFonts w:ascii="Calibri" w:hAnsi="Calibri" w:eastAsia="宋体" w:cs="Times New Roman"/>
                <w:caps/>
                <w:color w:val="auto"/>
                <w:szCs w:val="21"/>
                <w:u w:val="single"/>
              </w:rPr>
              <w:t xml:space="preserve">  </w:t>
            </w:r>
            <w:r>
              <w:rPr>
                <w:rFonts w:hint="eastAsia" w:ascii="Calibri" w:hAnsi="Calibri" w:eastAsia="宋体" w:cs="Times New Roman"/>
                <w:caps/>
                <w:color w:val="auto"/>
                <w:szCs w:val="21"/>
              </w:rPr>
              <w:t>天</w:t>
            </w:r>
          </w:p>
        </w:tc>
      </w:tr>
      <w:tr w14:paraId="7AF5E24A">
        <w:tblPrEx>
          <w:tblCellMar>
            <w:top w:w="0" w:type="dxa"/>
            <w:left w:w="108" w:type="dxa"/>
            <w:bottom w:w="0" w:type="dxa"/>
            <w:right w:w="108" w:type="dxa"/>
          </w:tblCellMar>
        </w:tblPrEx>
        <w:trPr>
          <w:trHeight w:val="558"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2A633825">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3.4.1</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12EA2E71">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投标保证金</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53D734C3">
            <w:pPr>
              <w:keepNext w:val="0"/>
              <w:keepLines w:val="0"/>
              <w:pageBreakBefore w:val="0"/>
              <w:suppressLineNumbers w:val="0"/>
              <w:kinsoku/>
              <w:wordWrap/>
              <w:overflowPunct/>
              <w:topLinePunct w:val="0"/>
              <w:bidi w:val="0"/>
              <w:adjustRightInd w:val="0"/>
              <w:snapToGrid w:val="0"/>
              <w:spacing w:before="0" w:beforeAutospacing="0" w:after="0" w:afterAutospacing="0" w:line="380" w:lineRule="exact"/>
              <w:ind w:left="0" w:right="0"/>
              <w:textAlignment w:val="auto"/>
              <w:rPr>
                <w:rFonts w:hint="eastAsia" w:ascii="Calibri" w:hAnsi="Calibri" w:eastAsia="宋体" w:cs="Times New Roman"/>
                <w:color w:val="auto"/>
                <w:sz w:val="24"/>
                <w:szCs w:val="24"/>
              </w:rPr>
            </w:pPr>
            <w:r>
              <w:rPr>
                <w:rFonts w:hint="eastAsia" w:ascii="Calibri" w:hAnsi="Calibri" w:eastAsia="宋体" w:cs="Times New Roman"/>
                <w:color w:val="auto"/>
                <w:sz w:val="24"/>
                <w:szCs w:val="24"/>
                <w:lang w:eastAsia="zh-CN"/>
              </w:rPr>
              <w:t>☑</w:t>
            </w:r>
            <w:r>
              <w:rPr>
                <w:rFonts w:hint="eastAsia" w:ascii="Calibri" w:hAnsi="Calibri" w:eastAsia="宋体" w:cs="Times New Roman"/>
                <w:color w:val="auto"/>
                <w:sz w:val="24"/>
                <w:szCs w:val="24"/>
              </w:rPr>
              <w:t>不提交</w:t>
            </w:r>
          </w:p>
          <w:p w14:paraId="7DCEC880">
            <w:pPr>
              <w:keepNext w:val="0"/>
              <w:keepLines w:val="0"/>
              <w:pageBreakBefore w:val="0"/>
              <w:suppressLineNumbers w:val="0"/>
              <w:kinsoku/>
              <w:wordWrap/>
              <w:overflowPunct/>
              <w:topLinePunct w:val="0"/>
              <w:bidi w:val="0"/>
              <w:adjustRightInd w:val="0"/>
              <w:snapToGrid w:val="0"/>
              <w:spacing w:before="0" w:beforeAutospacing="0" w:after="0" w:afterAutospacing="0" w:line="380" w:lineRule="exact"/>
              <w:ind w:left="0" w:right="0"/>
              <w:textAlignment w:val="auto"/>
              <w:rPr>
                <w:rFonts w:ascii="Calibri" w:hAnsi="Calibri" w:eastAsia="宋体" w:cs="Times New Roman"/>
                <w:color w:val="auto"/>
                <w:szCs w:val="21"/>
              </w:rPr>
            </w:pPr>
            <w:r>
              <w:rPr>
                <w:rFonts w:hint="eastAsia" w:ascii="Calibri" w:hAnsi="Calibri" w:eastAsia="宋体" w:cs="Times New Roman"/>
                <w:color w:val="auto"/>
                <w:szCs w:val="21"/>
              </w:rPr>
              <w:t>□提交，</w:t>
            </w:r>
          </w:p>
          <w:p w14:paraId="31F54E37">
            <w:pPr>
              <w:keepNext w:val="0"/>
              <w:keepLines w:val="0"/>
              <w:pageBreakBefore w:val="0"/>
              <w:suppressLineNumbers w:val="0"/>
              <w:kinsoku/>
              <w:wordWrap/>
              <w:overflowPunct/>
              <w:topLinePunct w:val="0"/>
              <w:bidi w:val="0"/>
              <w:adjustRightInd w:val="0"/>
              <w:snapToGrid w:val="0"/>
              <w:spacing w:before="0" w:beforeAutospacing="0" w:after="0" w:afterAutospacing="0" w:line="380" w:lineRule="exact"/>
              <w:ind w:left="0" w:right="0"/>
              <w:textAlignment w:val="auto"/>
              <w:rPr>
                <w:rFonts w:ascii="Calibri" w:hAnsi="Calibri" w:eastAsia="宋体" w:cs="Times New Roman"/>
                <w:color w:val="auto"/>
                <w:szCs w:val="21"/>
              </w:rPr>
            </w:pPr>
            <w:r>
              <w:rPr>
                <w:rFonts w:hint="eastAsia" w:ascii="Calibri" w:hAnsi="Calibri" w:eastAsia="宋体" w:cs="Times New Roman"/>
                <w:color w:val="auto"/>
                <w:szCs w:val="21"/>
              </w:rPr>
              <w:t>1. 递交截止时间（到账时间）：同本项目投标截止时间。</w:t>
            </w:r>
          </w:p>
          <w:p w14:paraId="01D15D29">
            <w:pPr>
              <w:keepNext w:val="0"/>
              <w:keepLines w:val="0"/>
              <w:pageBreakBefore w:val="0"/>
              <w:suppressLineNumbers w:val="0"/>
              <w:kinsoku/>
              <w:wordWrap/>
              <w:overflowPunct/>
              <w:topLinePunct w:val="0"/>
              <w:bidi w:val="0"/>
              <w:adjustRightInd w:val="0"/>
              <w:snapToGrid w:val="0"/>
              <w:spacing w:before="0" w:beforeAutospacing="0" w:after="0" w:afterAutospacing="0" w:line="380" w:lineRule="exact"/>
              <w:ind w:left="0" w:right="0"/>
              <w:textAlignment w:val="auto"/>
              <w:rPr>
                <w:rFonts w:ascii="Calibri" w:hAnsi="Calibri" w:eastAsia="宋体" w:cs="Times New Roman"/>
                <w:color w:val="auto"/>
                <w:szCs w:val="21"/>
              </w:rPr>
            </w:pPr>
            <w:r>
              <w:rPr>
                <w:rFonts w:hint="eastAsia" w:ascii="Calibri" w:hAnsi="Calibri" w:eastAsia="宋体" w:cs="Times New Roman"/>
                <w:color w:val="auto"/>
                <w:szCs w:val="21"/>
              </w:rPr>
              <w:t>2. 金额：</w:t>
            </w:r>
            <w:r>
              <w:rPr>
                <w:rFonts w:ascii="Calibri" w:hAnsi="Calibri" w:eastAsia="宋体" w:cs="Times New Roman"/>
                <w:color w:val="auto"/>
                <w:szCs w:val="21"/>
              </w:rPr>
              <w:t>_________</w:t>
            </w:r>
            <w:r>
              <w:rPr>
                <w:rFonts w:hint="eastAsia" w:ascii="Calibri" w:hAnsi="Calibri" w:eastAsia="宋体" w:cs="Times New Roman"/>
                <w:color w:val="auto"/>
                <w:szCs w:val="21"/>
              </w:rPr>
              <w:t>元。</w:t>
            </w:r>
          </w:p>
          <w:p w14:paraId="6D4B2ACF">
            <w:pPr>
              <w:keepNext w:val="0"/>
              <w:keepLines w:val="0"/>
              <w:pageBreakBefore w:val="0"/>
              <w:suppressLineNumbers w:val="0"/>
              <w:kinsoku/>
              <w:wordWrap/>
              <w:overflowPunct/>
              <w:topLinePunct w:val="0"/>
              <w:bidi w:val="0"/>
              <w:adjustRightInd w:val="0"/>
              <w:snapToGrid w:val="0"/>
              <w:spacing w:before="0" w:beforeAutospacing="0" w:after="0" w:afterAutospacing="0" w:line="380" w:lineRule="exact"/>
              <w:ind w:left="0" w:right="0"/>
              <w:textAlignment w:val="auto"/>
              <w:rPr>
                <w:rFonts w:ascii="Calibri" w:hAnsi="Calibri" w:eastAsia="宋体" w:cs="Times New Roman"/>
                <w:color w:val="auto"/>
                <w:szCs w:val="21"/>
              </w:rPr>
            </w:pPr>
            <w:r>
              <w:rPr>
                <w:rFonts w:hint="eastAsia" w:ascii="Calibri" w:hAnsi="Calibri" w:eastAsia="宋体" w:cs="Times New Roman"/>
                <w:color w:val="auto"/>
                <w:szCs w:val="21"/>
              </w:rPr>
              <w:t>3. 形式：投标人应当采用现金、电子银行保函、电子担保保函、电子保险保单中的一种形式递交投标担保。</w:t>
            </w:r>
          </w:p>
          <w:p w14:paraId="6C8D655E">
            <w:pPr>
              <w:keepNext w:val="0"/>
              <w:keepLines w:val="0"/>
              <w:pageBreakBefore w:val="0"/>
              <w:suppressLineNumbers w:val="0"/>
              <w:kinsoku/>
              <w:wordWrap/>
              <w:overflowPunct/>
              <w:topLinePunct w:val="0"/>
              <w:bidi w:val="0"/>
              <w:adjustRightInd w:val="0"/>
              <w:snapToGrid w:val="0"/>
              <w:spacing w:before="0" w:beforeAutospacing="0" w:after="0" w:afterAutospacing="0" w:line="380" w:lineRule="exact"/>
              <w:ind w:left="0" w:right="0"/>
              <w:textAlignment w:val="auto"/>
              <w:rPr>
                <w:rFonts w:ascii="Calibri" w:hAnsi="Calibri" w:eastAsia="宋体" w:cs="Times New Roman"/>
                <w:color w:val="auto"/>
                <w:szCs w:val="21"/>
              </w:rPr>
            </w:pPr>
            <w:r>
              <w:rPr>
                <w:rFonts w:hint="eastAsia" w:ascii="Calibri" w:hAnsi="Calibri" w:eastAsia="宋体" w:cs="Times New Roman"/>
                <w:color w:val="auto"/>
                <w:szCs w:val="21"/>
              </w:rPr>
              <w:t>4. 递交方式及要求：</w:t>
            </w:r>
          </w:p>
          <w:p w14:paraId="3B761967">
            <w:pPr>
              <w:keepNext w:val="0"/>
              <w:keepLines w:val="0"/>
              <w:pageBreakBefore w:val="0"/>
              <w:suppressLineNumbers w:val="0"/>
              <w:kinsoku/>
              <w:wordWrap/>
              <w:overflowPunct/>
              <w:topLinePunct w:val="0"/>
              <w:bidi w:val="0"/>
              <w:adjustRightInd w:val="0"/>
              <w:snapToGrid w:val="0"/>
              <w:spacing w:before="0" w:beforeAutospacing="0" w:after="0" w:afterAutospacing="0" w:line="380" w:lineRule="exact"/>
              <w:ind w:left="0" w:right="0"/>
              <w:textAlignment w:val="auto"/>
              <w:rPr>
                <w:rFonts w:ascii="Calibri" w:hAnsi="Calibri" w:eastAsia="宋体" w:cs="Times New Roman"/>
                <w:b/>
                <w:color w:val="auto"/>
                <w:szCs w:val="21"/>
              </w:rPr>
            </w:pPr>
            <w:r>
              <w:rPr>
                <w:rFonts w:hint="eastAsia" w:ascii="Calibri" w:hAnsi="Calibri" w:eastAsia="宋体" w:cs="Times New Roman"/>
                <w:b/>
                <w:color w:val="auto"/>
                <w:szCs w:val="21"/>
              </w:rPr>
              <w:t>（1）采用现金方式</w:t>
            </w:r>
          </w:p>
          <w:p w14:paraId="7072A799">
            <w:pPr>
              <w:keepNext w:val="0"/>
              <w:keepLines w:val="0"/>
              <w:pageBreakBefore w:val="0"/>
              <w:widowControl/>
              <w:suppressLineNumbers w:val="0"/>
              <w:kinsoku/>
              <w:wordWrap/>
              <w:overflowPunct/>
              <w:topLinePunct w:val="0"/>
              <w:bidi w:val="0"/>
              <w:spacing w:before="0" w:beforeAutospacing="0" w:after="0" w:afterAutospacing="0" w:line="380" w:lineRule="exact"/>
              <w:ind w:left="0" w:right="0" w:firstLine="420" w:firstLineChars="200"/>
              <w:jc w:val="left"/>
              <w:textAlignment w:val="auto"/>
              <w:rPr>
                <w:rFonts w:hint="eastAsia" w:ascii="宋体" w:hAnsi="宋体" w:eastAsia="宋体" w:cs="Times New Roman"/>
                <w:color w:val="auto"/>
                <w:kern w:val="0"/>
                <w:szCs w:val="21"/>
              </w:rPr>
            </w:pPr>
            <w:r>
              <w:rPr>
                <w:rFonts w:hint="eastAsia" w:ascii="Calibri" w:hAnsi="Calibri" w:eastAsia="宋体" w:cs="Times New Roman"/>
                <w:color w:val="auto"/>
                <w:szCs w:val="21"/>
              </w:rPr>
              <w:t>1）必须从投标人的基本账户汇至招标人指定的账户及账号。</w:t>
            </w:r>
            <w:r>
              <w:rPr>
                <w:rFonts w:ascii="宋体" w:hAnsi="宋体" w:eastAsia="宋体" w:cs="Times New Roman"/>
                <w:color w:val="auto"/>
                <w:kern w:val="0"/>
                <w:szCs w:val="21"/>
              </w:rPr>
              <w:t>招标人指定收取投标保证金的帐户信息如下：</w:t>
            </w:r>
          </w:p>
          <w:p w14:paraId="114D1082">
            <w:pPr>
              <w:pStyle w:val="159"/>
              <w:keepNext w:val="0"/>
              <w:keepLines w:val="0"/>
              <w:pageBreakBefore w:val="0"/>
              <w:suppressLineNumbers w:val="0"/>
              <w:kinsoku/>
              <w:wordWrap/>
              <w:overflowPunct/>
              <w:topLinePunct w:val="0"/>
              <w:bidi w:val="0"/>
              <w:adjustRightInd w:val="0"/>
              <w:snapToGrid w:val="0"/>
              <w:spacing w:before="0" w:beforeAutospacing="0" w:after="0" w:afterAutospacing="0" w:line="380" w:lineRule="exact"/>
              <w:ind w:left="0" w:right="0" w:firstLine="420" w:firstLineChars="200"/>
              <w:jc w:val="left"/>
              <w:textAlignment w:val="auto"/>
              <w:rPr>
                <w:rFonts w:ascii="Calibri" w:hAnsi="Calibri" w:eastAsia="宋体" w:cs="Times New Roman"/>
                <w:color w:val="auto"/>
              </w:rPr>
            </w:pPr>
            <w:r>
              <w:rPr>
                <w:rFonts w:hint="eastAsia" w:ascii="Calibri" w:hAnsi="Calibri" w:eastAsia="宋体" w:cs="Times New Roman"/>
                <w:color w:val="auto"/>
              </w:rPr>
              <w:t>标段</w:t>
            </w:r>
            <w:r>
              <w:rPr>
                <w:rFonts w:ascii="Calibri" w:hAnsi="Calibri" w:eastAsia="宋体" w:cs="Times New Roman"/>
                <w:color w:val="auto"/>
              </w:rPr>
              <w:t>编号：______________________________；</w:t>
            </w:r>
          </w:p>
          <w:p w14:paraId="2F98AA87">
            <w:pPr>
              <w:pStyle w:val="159"/>
              <w:keepNext w:val="0"/>
              <w:keepLines w:val="0"/>
              <w:pageBreakBefore w:val="0"/>
              <w:suppressLineNumbers w:val="0"/>
              <w:kinsoku/>
              <w:wordWrap/>
              <w:overflowPunct/>
              <w:topLinePunct w:val="0"/>
              <w:bidi w:val="0"/>
              <w:adjustRightInd w:val="0"/>
              <w:snapToGrid w:val="0"/>
              <w:spacing w:before="0" w:beforeAutospacing="0" w:after="0" w:afterAutospacing="0" w:line="380" w:lineRule="exact"/>
              <w:ind w:left="0" w:right="0" w:firstLine="420" w:firstLineChars="200"/>
              <w:jc w:val="left"/>
              <w:textAlignment w:val="auto"/>
              <w:rPr>
                <w:rFonts w:ascii="Calibri" w:hAnsi="Calibri" w:eastAsia="宋体" w:cs="Times New Roman"/>
                <w:color w:val="auto"/>
              </w:rPr>
            </w:pPr>
            <w:r>
              <w:rPr>
                <w:rFonts w:hint="eastAsia" w:ascii="Calibri" w:hAnsi="Calibri" w:eastAsia="宋体" w:cs="Times New Roman"/>
                <w:color w:val="auto"/>
              </w:rPr>
              <w:t>标段</w:t>
            </w:r>
            <w:r>
              <w:rPr>
                <w:rFonts w:ascii="Calibri" w:hAnsi="Calibri" w:eastAsia="宋体" w:cs="Times New Roman"/>
                <w:color w:val="auto"/>
              </w:rPr>
              <w:t>名称：______________________________；</w:t>
            </w:r>
          </w:p>
          <w:p w14:paraId="24CFF744">
            <w:pPr>
              <w:pStyle w:val="159"/>
              <w:keepNext w:val="0"/>
              <w:keepLines w:val="0"/>
              <w:pageBreakBefore w:val="0"/>
              <w:suppressLineNumbers w:val="0"/>
              <w:kinsoku/>
              <w:wordWrap/>
              <w:overflowPunct/>
              <w:topLinePunct w:val="0"/>
              <w:bidi w:val="0"/>
              <w:adjustRightInd w:val="0"/>
              <w:snapToGrid w:val="0"/>
              <w:spacing w:before="0" w:beforeAutospacing="0" w:after="0" w:afterAutospacing="0" w:line="380" w:lineRule="exact"/>
              <w:ind w:left="0" w:right="0" w:firstLine="420" w:firstLineChars="200"/>
              <w:jc w:val="left"/>
              <w:textAlignment w:val="auto"/>
              <w:rPr>
                <w:rFonts w:ascii="Calibri" w:hAnsi="Calibri" w:eastAsia="宋体" w:cs="Times New Roman"/>
                <w:color w:val="auto"/>
              </w:rPr>
            </w:pPr>
            <w:r>
              <w:rPr>
                <w:rFonts w:ascii="Calibri" w:hAnsi="Calibri" w:eastAsia="宋体" w:cs="Times New Roman"/>
                <w:color w:val="auto"/>
              </w:rPr>
              <w:t>保证金账号：____________________________；</w:t>
            </w:r>
          </w:p>
          <w:p w14:paraId="62E1A957">
            <w:pPr>
              <w:pStyle w:val="159"/>
              <w:keepNext w:val="0"/>
              <w:keepLines w:val="0"/>
              <w:pageBreakBefore w:val="0"/>
              <w:suppressLineNumbers w:val="0"/>
              <w:kinsoku/>
              <w:wordWrap/>
              <w:overflowPunct/>
              <w:topLinePunct w:val="0"/>
              <w:bidi w:val="0"/>
              <w:adjustRightInd w:val="0"/>
              <w:snapToGrid w:val="0"/>
              <w:spacing w:before="0" w:beforeAutospacing="0" w:after="0" w:afterAutospacing="0" w:line="380" w:lineRule="exact"/>
              <w:ind w:left="0" w:right="0" w:firstLine="420" w:firstLineChars="200"/>
              <w:jc w:val="left"/>
              <w:textAlignment w:val="auto"/>
              <w:rPr>
                <w:rFonts w:ascii="Calibri" w:hAnsi="Calibri" w:eastAsia="宋体" w:cs="Times New Roman"/>
                <w:color w:val="auto"/>
              </w:rPr>
            </w:pPr>
            <w:r>
              <w:rPr>
                <w:rFonts w:ascii="Calibri" w:hAnsi="Calibri" w:eastAsia="宋体" w:cs="Times New Roman"/>
                <w:color w:val="auto"/>
              </w:rPr>
              <w:t>账户名称：______________________________；</w:t>
            </w:r>
          </w:p>
          <w:p w14:paraId="6F019F83">
            <w:pPr>
              <w:pStyle w:val="159"/>
              <w:keepNext w:val="0"/>
              <w:keepLines w:val="0"/>
              <w:pageBreakBefore w:val="0"/>
              <w:suppressLineNumbers w:val="0"/>
              <w:kinsoku/>
              <w:wordWrap/>
              <w:overflowPunct/>
              <w:topLinePunct w:val="0"/>
              <w:bidi w:val="0"/>
              <w:adjustRightInd w:val="0"/>
              <w:snapToGrid w:val="0"/>
              <w:spacing w:before="0" w:beforeAutospacing="0" w:after="0" w:afterAutospacing="0" w:line="380" w:lineRule="exact"/>
              <w:ind w:left="0" w:right="0" w:firstLine="420" w:firstLineChars="200"/>
              <w:jc w:val="left"/>
              <w:textAlignment w:val="auto"/>
              <w:rPr>
                <w:rFonts w:ascii="Calibri" w:hAnsi="Calibri" w:eastAsia="宋体" w:cs="Times New Roman"/>
                <w:color w:val="auto"/>
              </w:rPr>
            </w:pPr>
            <w:r>
              <w:rPr>
                <w:rFonts w:ascii="Calibri" w:hAnsi="Calibri" w:eastAsia="宋体" w:cs="Times New Roman"/>
                <w:color w:val="auto"/>
              </w:rPr>
              <w:t>开户银行：______________________________；</w:t>
            </w:r>
          </w:p>
          <w:p w14:paraId="74BA39A5">
            <w:pPr>
              <w:keepNext w:val="0"/>
              <w:keepLines w:val="0"/>
              <w:pageBreakBefore w:val="0"/>
              <w:suppressLineNumbers w:val="0"/>
              <w:kinsoku/>
              <w:wordWrap/>
              <w:overflowPunct/>
              <w:topLinePunct w:val="0"/>
              <w:bidi w:val="0"/>
              <w:adjustRightInd w:val="0"/>
              <w:snapToGrid w:val="0"/>
              <w:spacing w:before="0" w:beforeAutospacing="0" w:after="0" w:afterAutospacing="0" w:line="380" w:lineRule="exact"/>
              <w:ind w:left="0" w:right="0" w:firstLine="420" w:firstLineChars="200"/>
              <w:textAlignment w:val="auto"/>
              <w:rPr>
                <w:rFonts w:ascii="Calibri" w:hAnsi="Calibri" w:eastAsia="宋体" w:cs="Times New Roman"/>
                <w:color w:val="auto"/>
                <w:szCs w:val="21"/>
              </w:rPr>
            </w:pPr>
            <w:r>
              <w:rPr>
                <w:rFonts w:hint="eastAsia" w:ascii="Calibri" w:hAnsi="Calibri" w:eastAsia="宋体" w:cs="Times New Roman"/>
                <w:color w:val="auto"/>
                <w:szCs w:val="21"/>
              </w:rPr>
              <w:t>2）基本账户信息将以投标人办理交易主体注册登记所填基本账户信息为准，若投标人汇款账户与注册登记时的基本账户信息不相符，由此造成投标保证金递交失败的责任由投标人自行承担。</w:t>
            </w:r>
          </w:p>
          <w:p w14:paraId="48CE8608">
            <w:pPr>
              <w:keepNext w:val="0"/>
              <w:keepLines w:val="0"/>
              <w:pageBreakBefore w:val="0"/>
              <w:suppressLineNumbers w:val="0"/>
              <w:kinsoku/>
              <w:wordWrap/>
              <w:overflowPunct/>
              <w:topLinePunct w:val="0"/>
              <w:bidi w:val="0"/>
              <w:adjustRightInd w:val="0"/>
              <w:snapToGrid w:val="0"/>
              <w:spacing w:before="0" w:beforeAutospacing="0" w:after="0" w:afterAutospacing="0" w:line="380" w:lineRule="exact"/>
              <w:ind w:left="0" w:right="0" w:firstLine="420" w:firstLineChars="200"/>
              <w:textAlignment w:val="auto"/>
              <w:rPr>
                <w:rFonts w:ascii="Calibri" w:hAnsi="Calibri" w:eastAsia="宋体" w:cs="Times New Roman"/>
                <w:color w:val="auto"/>
                <w:szCs w:val="21"/>
              </w:rPr>
            </w:pPr>
            <w:r>
              <w:rPr>
                <w:rFonts w:hint="eastAsia" w:ascii="Calibri" w:hAnsi="Calibri" w:eastAsia="宋体" w:cs="Times New Roman"/>
                <w:color w:val="auto"/>
                <w:szCs w:val="21"/>
              </w:rPr>
              <w:t>3）投标保证金到账查询方法及其它要求：</w:t>
            </w:r>
            <w:r>
              <w:rPr>
                <w:rFonts w:ascii="Calibri" w:hAnsi="Calibri" w:eastAsia="宋体" w:cs="Times New Roman"/>
                <w:color w:val="auto"/>
                <w:szCs w:val="21"/>
                <w:u w:val="single"/>
              </w:rPr>
              <w:t xml:space="preserve">  </w:t>
            </w:r>
            <w:r>
              <w:rPr>
                <w:rFonts w:hint="eastAsia" w:ascii="Calibri" w:hAnsi="Calibri" w:eastAsia="宋体" w:cs="Times New Roman"/>
                <w:color w:val="auto"/>
                <w:szCs w:val="21"/>
                <w:u w:val="single"/>
                <w:lang w:val="en-US" w:eastAsia="zh-CN"/>
              </w:rPr>
              <w:t xml:space="preserve">    </w:t>
            </w:r>
            <w:r>
              <w:rPr>
                <w:rFonts w:ascii="Calibri" w:hAnsi="Calibri" w:eastAsia="宋体" w:cs="Times New Roman"/>
                <w:color w:val="auto"/>
                <w:szCs w:val="21"/>
                <w:u w:val="single"/>
              </w:rPr>
              <w:t xml:space="preserve">  </w:t>
            </w:r>
            <w:r>
              <w:rPr>
                <w:rFonts w:hint="eastAsia" w:ascii="Calibri" w:hAnsi="Calibri" w:eastAsia="宋体" w:cs="Times New Roman"/>
                <w:color w:val="auto"/>
                <w:szCs w:val="21"/>
              </w:rPr>
              <w:t>。</w:t>
            </w:r>
          </w:p>
          <w:p w14:paraId="61F234F1">
            <w:pPr>
              <w:keepNext w:val="0"/>
              <w:keepLines w:val="0"/>
              <w:pageBreakBefore w:val="0"/>
              <w:suppressLineNumbers w:val="0"/>
              <w:kinsoku/>
              <w:wordWrap/>
              <w:overflowPunct/>
              <w:topLinePunct w:val="0"/>
              <w:bidi w:val="0"/>
              <w:adjustRightInd w:val="0"/>
              <w:snapToGrid w:val="0"/>
              <w:spacing w:before="0" w:beforeAutospacing="0" w:after="0" w:afterAutospacing="0" w:line="380" w:lineRule="exact"/>
              <w:ind w:left="0" w:right="0"/>
              <w:textAlignment w:val="auto"/>
              <w:rPr>
                <w:rFonts w:ascii="Calibri" w:hAnsi="Calibri" w:eastAsia="宋体" w:cs="Times New Roman"/>
                <w:b/>
                <w:color w:val="auto"/>
              </w:rPr>
            </w:pPr>
            <w:r>
              <w:rPr>
                <w:rFonts w:hint="eastAsia" w:ascii="Calibri" w:hAnsi="Calibri" w:eastAsia="宋体" w:cs="Times New Roman"/>
                <w:b/>
                <w:color w:val="auto"/>
              </w:rPr>
              <w:t>（</w:t>
            </w:r>
            <w:r>
              <w:rPr>
                <w:rFonts w:ascii="Calibri" w:hAnsi="Calibri" w:eastAsia="宋体" w:cs="Times New Roman"/>
                <w:b/>
                <w:color w:val="auto"/>
              </w:rPr>
              <w:t>2</w:t>
            </w:r>
            <w:r>
              <w:rPr>
                <w:rFonts w:hint="eastAsia" w:ascii="Calibri" w:hAnsi="Calibri" w:eastAsia="宋体" w:cs="Times New Roman"/>
                <w:b/>
                <w:color w:val="auto"/>
              </w:rPr>
              <w:t>）采用电子银行保函、电子担保保函、电子保险保单方式（以下简称保函、保单）</w:t>
            </w:r>
          </w:p>
          <w:p w14:paraId="2EA0E9F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firstLine="420" w:firstLineChars="200"/>
              <w:textAlignment w:val="auto"/>
              <w:rPr>
                <w:rFonts w:ascii="Calibri" w:hAnsi="Calibri" w:eastAsia="宋体" w:cs="Times New Roman"/>
                <w:color w:val="auto"/>
              </w:rPr>
            </w:pPr>
            <w:r>
              <w:rPr>
                <w:rFonts w:ascii="Calibri" w:hAnsi="Calibri" w:eastAsia="宋体" w:cs="Times New Roman"/>
                <w:color w:val="auto"/>
              </w:rPr>
              <w:t>1</w:t>
            </w:r>
            <w:r>
              <w:rPr>
                <w:rFonts w:hint="eastAsia" w:ascii="Calibri" w:hAnsi="Calibri" w:eastAsia="宋体" w:cs="Times New Roman"/>
                <w:color w:val="auto"/>
              </w:rPr>
              <w:t>）投标人须及时登录“电子交易平台”选择所投</w:t>
            </w:r>
            <w:r>
              <w:rPr>
                <w:rFonts w:hint="eastAsia" w:ascii="Calibri" w:hAnsi="Calibri" w:eastAsia="宋体" w:cs="Times New Roman"/>
                <w:color w:val="auto"/>
                <w:szCs w:val="21"/>
              </w:rPr>
              <w:t>项目</w:t>
            </w:r>
            <w:r>
              <w:rPr>
                <w:rFonts w:hint="eastAsia" w:ascii="Calibri" w:hAnsi="Calibri" w:eastAsia="宋体" w:cs="Times New Roman"/>
                <w:color w:val="auto"/>
              </w:rPr>
              <w:t>按系统引导的程序申请电子保函或保单。</w:t>
            </w:r>
          </w:p>
          <w:p w14:paraId="2C74C21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firstLine="420" w:firstLineChars="200"/>
              <w:textAlignment w:val="auto"/>
              <w:rPr>
                <w:rFonts w:ascii="Calibri" w:hAnsi="Calibri" w:eastAsia="宋体" w:cs="Times New Roman"/>
                <w:color w:val="auto"/>
              </w:rPr>
            </w:pPr>
            <w:r>
              <w:rPr>
                <w:rFonts w:ascii="Calibri" w:hAnsi="Calibri" w:eastAsia="宋体" w:cs="Times New Roman"/>
                <w:color w:val="auto"/>
              </w:rPr>
              <w:t>2</w:t>
            </w:r>
            <w:r>
              <w:rPr>
                <w:rFonts w:hint="eastAsia" w:ascii="Calibri" w:hAnsi="Calibri" w:eastAsia="宋体" w:cs="Times New Roman"/>
                <w:color w:val="auto"/>
              </w:rPr>
              <w:t>）投标人可在“电子交易平台”查询保函或保单是否申请成功，开具成功后可下载电子保函或保单。电子保函或保单应载明：保函或保单受益人（</w:t>
            </w:r>
            <w:r>
              <w:rPr>
                <w:rFonts w:hint="eastAsia" w:ascii="Calibri" w:hAnsi="Calibri" w:eastAsia="宋体" w:cs="Times New Roman"/>
                <w:color w:val="auto"/>
                <w:szCs w:val="21"/>
              </w:rPr>
              <w:t>招标</w:t>
            </w:r>
            <w:r>
              <w:rPr>
                <w:rFonts w:hint="eastAsia" w:ascii="Calibri" w:hAnsi="Calibri" w:eastAsia="宋体" w:cs="Times New Roman"/>
                <w:color w:val="auto"/>
              </w:rPr>
              <w:t>人）、</w:t>
            </w:r>
            <w:r>
              <w:rPr>
                <w:rFonts w:hint="eastAsia" w:ascii="Calibri" w:hAnsi="Calibri" w:eastAsia="宋体" w:cs="Times New Roman"/>
                <w:color w:val="auto"/>
                <w:szCs w:val="21"/>
              </w:rPr>
              <w:t>项目</w:t>
            </w:r>
            <w:r>
              <w:rPr>
                <w:rFonts w:hint="eastAsia" w:ascii="Calibri" w:hAnsi="Calibri" w:eastAsia="宋体" w:cs="Times New Roman"/>
                <w:color w:val="auto"/>
              </w:rPr>
              <w:t>名称、</w:t>
            </w:r>
            <w:r>
              <w:rPr>
                <w:rFonts w:hint="eastAsia" w:ascii="Calibri" w:hAnsi="Calibri" w:eastAsia="宋体" w:cs="Times New Roman"/>
                <w:color w:val="auto"/>
                <w:szCs w:val="21"/>
              </w:rPr>
              <w:t>项目</w:t>
            </w:r>
            <w:r>
              <w:rPr>
                <w:rFonts w:hint="eastAsia" w:ascii="Calibri" w:hAnsi="Calibri" w:eastAsia="宋体" w:cs="Times New Roman"/>
                <w:color w:val="auto"/>
              </w:rPr>
              <w:t>编号、担保内容、担保金额、保函或保单有效期等信息，检查其内容符合招标文件的相关约定后，上传至投标文件的“投标保证金”栏目中。</w:t>
            </w:r>
          </w:p>
          <w:p w14:paraId="6A1C608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firstLine="420" w:firstLineChars="200"/>
              <w:textAlignment w:val="auto"/>
              <w:rPr>
                <w:rFonts w:hint="eastAsia" w:ascii="宋体" w:hAnsi="宋体" w:eastAsia="宋体" w:cs="Times New Roman"/>
                <w:color w:val="auto"/>
                <w:kern w:val="0"/>
                <w:szCs w:val="21"/>
              </w:rPr>
            </w:pPr>
            <w:r>
              <w:rPr>
                <w:rFonts w:ascii="Calibri" w:hAnsi="Calibri" w:eastAsia="宋体" w:cs="Times New Roman"/>
                <w:color w:val="auto"/>
              </w:rPr>
              <w:t>3</w:t>
            </w:r>
            <w:r>
              <w:rPr>
                <w:rFonts w:hint="eastAsia" w:ascii="Calibri" w:hAnsi="Calibri" w:eastAsia="宋体" w:cs="Times New Roman"/>
                <w:color w:val="auto"/>
              </w:rPr>
              <w:t>）开标后，电子交易平台将自动比对投标截止时间前收到的电子保函或保单情况；评标时评标委员会可以直接在投标文件中查验电子保函或保单。</w:t>
            </w:r>
          </w:p>
        </w:tc>
      </w:tr>
      <w:tr w14:paraId="74768481">
        <w:tblPrEx>
          <w:tblCellMar>
            <w:top w:w="0" w:type="dxa"/>
            <w:left w:w="108" w:type="dxa"/>
            <w:bottom w:w="0" w:type="dxa"/>
            <w:right w:w="108" w:type="dxa"/>
          </w:tblCellMar>
        </w:tblPrEx>
        <w:trPr>
          <w:trHeight w:val="971"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3246068D">
            <w:pPr>
              <w:keepNext w:val="0"/>
              <w:keepLines w:val="0"/>
              <w:suppressLineNumbers w:val="0"/>
              <w:autoSpaceDE w:val="0"/>
              <w:autoSpaceDN w:val="0"/>
              <w:adjustRightInd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3.4.3</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3649E779">
            <w:pPr>
              <w:keepNext w:val="0"/>
              <w:keepLines w:val="0"/>
              <w:suppressLineNumbers w:val="0"/>
              <w:adjustRightInd w:val="0"/>
              <w:snapToGrid w:val="0"/>
              <w:spacing w:before="0" w:beforeAutospacing="0" w:after="0" w:afterAutospacing="0" w:line="400" w:lineRule="exact"/>
              <w:ind w:left="0" w:right="0"/>
              <w:jc w:val="left"/>
              <w:rPr>
                <w:rFonts w:ascii="Calibri" w:hAnsi="Calibri" w:eastAsia="宋体" w:cs="Times New Roman"/>
                <w:snapToGrid w:val="0"/>
                <w:color w:val="auto"/>
                <w:szCs w:val="21"/>
              </w:rPr>
            </w:pPr>
            <w:r>
              <w:rPr>
                <w:rFonts w:ascii="Calibri" w:hAnsi="Calibri" w:eastAsia="宋体" w:cs="Times New Roman"/>
                <w:snapToGrid w:val="0"/>
                <w:color w:val="auto"/>
                <w:szCs w:val="21"/>
              </w:rPr>
              <w:t>退还投标保证金及利息</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387828DA">
            <w:pPr>
              <w:pStyle w:val="15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left"/>
              <w:textAlignment w:val="auto"/>
              <w:rPr>
                <w:rFonts w:ascii="Calibri" w:hAnsi="Calibri" w:eastAsia="宋体" w:cs="Times New Roman"/>
                <w:color w:val="auto"/>
              </w:rPr>
            </w:pPr>
            <w:r>
              <w:rPr>
                <w:rFonts w:ascii="Calibri" w:hAnsi="Calibri" w:eastAsia="宋体" w:cs="Times New Roman"/>
                <w:color w:val="auto"/>
              </w:rPr>
              <w:t>1. 采用现金方式</w:t>
            </w:r>
          </w:p>
          <w:p w14:paraId="4EC14B1B">
            <w:pPr>
              <w:pStyle w:val="15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firstLine="210" w:firstLineChars="100"/>
              <w:jc w:val="left"/>
              <w:textAlignment w:val="auto"/>
              <w:rPr>
                <w:rFonts w:ascii="Calibri" w:hAnsi="Calibri" w:eastAsia="宋体" w:cs="Times New Roman"/>
                <w:color w:val="auto"/>
              </w:rPr>
            </w:pPr>
            <w:r>
              <w:rPr>
                <w:rFonts w:ascii="Calibri" w:hAnsi="Calibri" w:eastAsia="宋体" w:cs="Times New Roman"/>
                <w:color w:val="auto"/>
              </w:rPr>
              <w:t>计息标准：_____________________。</w:t>
            </w:r>
          </w:p>
          <w:p w14:paraId="1D562341">
            <w:pPr>
              <w:pStyle w:val="15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firstLine="210" w:firstLineChars="100"/>
              <w:jc w:val="left"/>
              <w:textAlignment w:val="auto"/>
              <w:rPr>
                <w:rFonts w:ascii="Calibri" w:hAnsi="Calibri" w:eastAsia="宋体" w:cs="Times New Roman"/>
                <w:color w:val="auto"/>
              </w:rPr>
            </w:pPr>
            <w:r>
              <w:rPr>
                <w:rFonts w:ascii="Calibri" w:hAnsi="Calibri" w:eastAsia="宋体" w:cs="Times New Roman"/>
                <w:color w:val="auto"/>
              </w:rPr>
              <w:t>计息时间：_____________________。</w:t>
            </w:r>
          </w:p>
          <w:p w14:paraId="2763EBA4">
            <w:pPr>
              <w:pStyle w:val="15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firstLine="210" w:firstLineChars="100"/>
              <w:jc w:val="left"/>
              <w:textAlignment w:val="auto"/>
              <w:rPr>
                <w:rFonts w:ascii="Calibri" w:hAnsi="Calibri" w:eastAsia="宋体" w:cs="Times New Roman"/>
                <w:color w:val="auto"/>
              </w:rPr>
            </w:pPr>
            <w:r>
              <w:rPr>
                <w:rFonts w:hint="eastAsia" w:ascii="Calibri" w:hAnsi="Calibri" w:eastAsia="宋体" w:cs="Times New Roman"/>
                <w:color w:val="auto"/>
              </w:rPr>
              <w:t>退还办法：</w:t>
            </w:r>
            <w:r>
              <w:rPr>
                <w:rFonts w:ascii="Calibri" w:hAnsi="Calibri" w:eastAsia="宋体" w:cs="Times New Roman"/>
                <w:color w:val="auto"/>
              </w:rPr>
              <w:t>_____________________。</w:t>
            </w:r>
          </w:p>
          <w:p w14:paraId="495C3DE3">
            <w:pPr>
              <w:pStyle w:val="15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210" w:right="0" w:hanging="210" w:hangingChars="100"/>
              <w:jc w:val="left"/>
              <w:textAlignment w:val="auto"/>
              <w:rPr>
                <w:rFonts w:ascii="Calibri" w:hAnsi="Calibri" w:eastAsia="宋体" w:cs="Times New Roman"/>
                <w:color w:val="auto"/>
              </w:rPr>
            </w:pPr>
            <w:r>
              <w:rPr>
                <w:rFonts w:ascii="Calibri" w:hAnsi="Calibri" w:eastAsia="宋体" w:cs="Times New Roman"/>
                <w:color w:val="auto"/>
              </w:rPr>
              <w:t>2. 采用银行电子保函方式，不产生利息，电子保函到期后自动失效。</w:t>
            </w:r>
          </w:p>
        </w:tc>
      </w:tr>
      <w:tr w14:paraId="208EFBE8">
        <w:tblPrEx>
          <w:tblCellMar>
            <w:top w:w="0" w:type="dxa"/>
            <w:left w:w="108" w:type="dxa"/>
            <w:bottom w:w="0" w:type="dxa"/>
            <w:right w:w="108" w:type="dxa"/>
          </w:tblCellMar>
        </w:tblPrEx>
        <w:trPr>
          <w:trHeight w:val="473"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12063DBB">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3.5.2</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09B19A3A">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近年财务状况</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5B2F4482">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hint="eastAsia" w:ascii="Calibri" w:hAnsi="Calibri" w:eastAsia="宋体" w:cs="Times New Roman"/>
                <w:color w:val="auto"/>
                <w:szCs w:val="21"/>
              </w:rPr>
              <w:t>“</w:t>
            </w:r>
            <w:r>
              <w:rPr>
                <w:rFonts w:ascii="Calibri" w:hAnsi="Calibri" w:eastAsia="宋体" w:cs="Times New Roman"/>
                <w:color w:val="auto"/>
                <w:szCs w:val="21"/>
              </w:rPr>
              <w:t>近年</w:t>
            </w:r>
            <w:r>
              <w:rPr>
                <w:rFonts w:hint="eastAsia" w:ascii="Calibri" w:hAnsi="Calibri" w:eastAsia="宋体" w:cs="Times New Roman"/>
                <w:color w:val="auto"/>
                <w:szCs w:val="21"/>
              </w:rPr>
              <w:t>”是指近</w:t>
            </w:r>
            <w:r>
              <w:rPr>
                <w:rFonts w:ascii="Calibri" w:hAnsi="Calibri" w:eastAsia="宋体" w:cs="Times New Roman"/>
                <w:color w:val="auto"/>
                <w:szCs w:val="21"/>
                <w:u w:val="single"/>
              </w:rPr>
              <w:t xml:space="preserve">  </w:t>
            </w:r>
            <w:r>
              <w:rPr>
                <w:rFonts w:hint="eastAsia" w:ascii="宋体" w:hAnsi="宋体" w:eastAsia="宋体" w:cs="宋体"/>
                <w:color w:val="auto"/>
                <w:sz w:val="24"/>
                <w:szCs w:val="24"/>
                <w:u w:val="single"/>
                <w:lang w:val="en-US" w:eastAsia="zh-CN"/>
              </w:rPr>
              <w:t>3</w:t>
            </w:r>
            <w:r>
              <w:rPr>
                <w:rFonts w:ascii="Calibri" w:hAnsi="Calibri" w:eastAsia="宋体" w:cs="Times New Roman"/>
                <w:color w:val="auto"/>
                <w:szCs w:val="21"/>
                <w:u w:val="single"/>
              </w:rPr>
              <w:t xml:space="preserve">  </w:t>
            </w:r>
            <w:r>
              <w:rPr>
                <w:rFonts w:hint="eastAsia" w:ascii="Calibri" w:hAnsi="Calibri" w:eastAsia="宋体" w:cs="Times New Roman"/>
                <w:color w:val="auto"/>
                <w:szCs w:val="21"/>
              </w:rPr>
              <w:t>年</w:t>
            </w:r>
          </w:p>
        </w:tc>
      </w:tr>
      <w:tr w14:paraId="7C35DFB5">
        <w:tblPrEx>
          <w:tblCellMar>
            <w:top w:w="0" w:type="dxa"/>
            <w:left w:w="108" w:type="dxa"/>
            <w:bottom w:w="0" w:type="dxa"/>
            <w:right w:w="108" w:type="dxa"/>
          </w:tblCellMar>
        </w:tblPrEx>
        <w:trPr>
          <w:trHeight w:val="90"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692DDACC">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3.5.3</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5892AD7A">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rPr>
            </w:pPr>
            <w:r>
              <w:rPr>
                <w:rFonts w:hint="eastAsia" w:ascii="Calibri" w:hAnsi="Calibri" w:eastAsia="宋体" w:cs="Times New Roman"/>
                <w:color w:val="auto"/>
                <w:szCs w:val="21"/>
              </w:rPr>
              <w:t>近年完成的类似项目</w:t>
            </w:r>
          </w:p>
          <w:p w14:paraId="3B426D7C">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rPr>
            </w:pPr>
            <w:r>
              <w:rPr>
                <w:rFonts w:hint="eastAsia" w:ascii="Calibri" w:hAnsi="Calibri" w:eastAsia="宋体" w:cs="Times New Roman"/>
                <w:color w:val="auto"/>
              </w:rPr>
              <w:t>近年完成的类似设计项目</w:t>
            </w:r>
          </w:p>
          <w:p w14:paraId="716D2387">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hint="eastAsia" w:ascii="Calibri" w:hAnsi="Calibri" w:eastAsia="宋体" w:cs="Times New Roman"/>
                <w:color w:val="auto"/>
              </w:rPr>
              <w:t>近年完成的类似施工项目</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287F9591">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rPr>
            </w:pPr>
            <w:r>
              <w:rPr>
                <w:rFonts w:hint="eastAsia" w:ascii="Calibri" w:hAnsi="Calibri" w:eastAsia="宋体" w:cs="Times New Roman"/>
                <w:color w:val="auto"/>
                <w:szCs w:val="21"/>
              </w:rPr>
              <w:t>“</w:t>
            </w:r>
            <w:r>
              <w:rPr>
                <w:rFonts w:ascii="Calibri" w:hAnsi="Calibri" w:eastAsia="宋体" w:cs="Times New Roman"/>
                <w:color w:val="auto"/>
                <w:szCs w:val="21"/>
              </w:rPr>
              <w:t>近年</w:t>
            </w:r>
            <w:r>
              <w:rPr>
                <w:rFonts w:hint="eastAsia" w:ascii="Calibri" w:hAnsi="Calibri" w:eastAsia="宋体" w:cs="Times New Roman"/>
                <w:color w:val="auto"/>
                <w:szCs w:val="21"/>
              </w:rPr>
              <w:t>”是指近</w:t>
            </w:r>
            <w:r>
              <w:rPr>
                <w:rFonts w:ascii="Calibri" w:hAnsi="Calibri" w:eastAsia="宋体" w:cs="Times New Roman"/>
                <w:color w:val="auto"/>
                <w:szCs w:val="21"/>
                <w:u w:val="single"/>
              </w:rPr>
              <w:t xml:space="preserve"> </w:t>
            </w:r>
            <w:r>
              <w:rPr>
                <w:rFonts w:hint="eastAsia" w:ascii="Calibri" w:hAnsi="Calibri" w:eastAsia="宋体" w:cs="Times New Roman"/>
                <w:color w:val="auto"/>
                <w:szCs w:val="21"/>
                <w:u w:val="single"/>
              </w:rPr>
              <w:t xml:space="preserve"> </w:t>
            </w:r>
            <w:r>
              <w:rPr>
                <w:rFonts w:hint="eastAsia" w:ascii="宋体" w:hAnsi="宋体" w:cs="宋体"/>
                <w:color w:val="auto"/>
                <w:sz w:val="24"/>
                <w:szCs w:val="24"/>
                <w:u w:val="single"/>
                <w:lang w:val="en-US" w:eastAsia="zh-CN"/>
              </w:rPr>
              <w:t>5</w:t>
            </w:r>
            <w:r>
              <w:rPr>
                <w:rFonts w:hint="eastAsia" w:ascii="Calibri" w:hAnsi="Calibri" w:eastAsia="宋体" w:cs="Times New Roman"/>
                <w:color w:val="auto"/>
                <w:szCs w:val="21"/>
                <w:u w:val="single"/>
              </w:rPr>
              <w:t xml:space="preserve"> </w:t>
            </w:r>
            <w:r>
              <w:rPr>
                <w:rFonts w:ascii="Calibri" w:hAnsi="Calibri" w:eastAsia="宋体" w:cs="Times New Roman"/>
                <w:color w:val="auto"/>
                <w:szCs w:val="21"/>
                <w:u w:val="single"/>
              </w:rPr>
              <w:t xml:space="preserve"> </w:t>
            </w:r>
            <w:r>
              <w:rPr>
                <w:rFonts w:ascii="Calibri" w:hAnsi="Calibri" w:eastAsia="宋体" w:cs="Times New Roman"/>
                <w:color w:val="auto"/>
                <w:szCs w:val="21"/>
              </w:rPr>
              <w:t>年</w:t>
            </w:r>
            <w:r>
              <w:rPr>
                <w:rFonts w:hint="eastAsia" w:ascii="Calibri" w:hAnsi="Calibri" w:eastAsia="宋体" w:cs="Times New Roman"/>
                <w:color w:val="auto"/>
                <w:szCs w:val="21"/>
              </w:rPr>
              <w:t xml:space="preserve"> </w:t>
            </w:r>
          </w:p>
          <w:p w14:paraId="3066091D">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highlight w:val="none"/>
              </w:rPr>
            </w:pPr>
            <w:r>
              <w:rPr>
                <w:rFonts w:hint="eastAsia" w:ascii="Calibri" w:hAnsi="Calibri" w:eastAsia="宋体" w:cs="Times New Roman"/>
                <w:color w:val="auto"/>
                <w:szCs w:val="21"/>
              </w:rPr>
              <w:t>“类似项目” 是</w:t>
            </w:r>
            <w:r>
              <w:rPr>
                <w:rFonts w:hint="eastAsia" w:ascii="Calibri" w:hAnsi="Calibri" w:eastAsia="宋体" w:cs="Times New Roman"/>
                <w:color w:val="auto"/>
                <w:szCs w:val="21"/>
                <w:highlight w:val="none"/>
              </w:rPr>
              <w:t>指</w:t>
            </w:r>
            <w:r>
              <w:rPr>
                <w:rFonts w:hint="eastAsia" w:ascii="Calibri" w:hAnsi="Calibri" w:eastAsia="宋体" w:cs="Times New Roman"/>
                <w:color w:val="auto"/>
                <w:szCs w:val="21"/>
                <w:highlight w:val="none"/>
                <w:u w:val="single"/>
              </w:rPr>
              <w:t xml:space="preserve"> </w:t>
            </w:r>
            <w:r>
              <w:rPr>
                <w:rFonts w:hint="eastAsia" w:ascii="宋体" w:hAnsi="宋体" w:eastAsia="宋体" w:cs="宋体"/>
                <w:color w:val="auto"/>
                <w:sz w:val="24"/>
                <w:szCs w:val="24"/>
                <w:highlight w:val="none"/>
                <w:u w:val="single"/>
              </w:rPr>
              <w:t>单项</w:t>
            </w:r>
            <w:r>
              <w:rPr>
                <w:rFonts w:hint="eastAsia" w:ascii="宋体" w:hAnsi="宋体" w:eastAsia="宋体" w:cs="宋体"/>
                <w:color w:val="auto"/>
                <w:sz w:val="24"/>
                <w:szCs w:val="24"/>
                <w:highlight w:val="none"/>
                <w:u w:val="single"/>
                <w:lang w:val="en-US" w:eastAsia="zh-CN"/>
              </w:rPr>
              <w:t>投资（或建安费）</w:t>
            </w:r>
            <w:r>
              <w:rPr>
                <w:rFonts w:hint="eastAsia" w:ascii="宋体" w:hAnsi="宋体" w:eastAsia="宋体" w:cs="宋体"/>
                <w:color w:val="auto"/>
                <w:sz w:val="24"/>
                <w:szCs w:val="24"/>
                <w:highlight w:val="none"/>
                <w:u w:val="single"/>
              </w:rPr>
              <w:t>金额在</w:t>
            </w:r>
            <w:r>
              <w:rPr>
                <w:rFonts w:hint="eastAsia" w:ascii="宋体" w:hAnsi="宋体" w:eastAsia="宋体" w:cs="宋体"/>
                <w:color w:val="auto"/>
                <w:sz w:val="24"/>
                <w:szCs w:val="24"/>
                <w:highlight w:val="none"/>
                <w:u w:val="single"/>
                <w:lang w:val="en-US" w:eastAsia="zh-CN"/>
              </w:rPr>
              <w:t>1</w:t>
            </w:r>
            <w:r>
              <w:rPr>
                <w:rFonts w:hint="eastAsia" w:ascii="宋体" w:hAnsi="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rPr>
              <w:t>00万元及以上的市政工程EPC总承包</w:t>
            </w:r>
            <w:r>
              <w:rPr>
                <w:rFonts w:hint="eastAsia" w:ascii="宋体" w:hAnsi="宋体" w:cs="宋体"/>
                <w:color w:val="auto"/>
                <w:sz w:val="24"/>
                <w:szCs w:val="24"/>
                <w:highlight w:val="none"/>
                <w:u w:val="single"/>
                <w:lang w:val="en-US" w:eastAsia="zh-CN"/>
              </w:rPr>
              <w:t>项目</w:t>
            </w:r>
            <w:r>
              <w:rPr>
                <w:rFonts w:hint="eastAsia" w:ascii="Calibri" w:hAnsi="Calibri" w:eastAsia="宋体" w:cs="Times New Roman"/>
                <w:color w:val="auto"/>
                <w:szCs w:val="21"/>
                <w:highlight w:val="none"/>
                <w:u w:val="single"/>
              </w:rPr>
              <w:t xml:space="preserve"> </w:t>
            </w:r>
            <w:r>
              <w:rPr>
                <w:rFonts w:hint="eastAsia" w:ascii="Calibri" w:hAnsi="Calibri" w:eastAsia="宋体" w:cs="Times New Roman"/>
                <w:color w:val="auto"/>
                <w:szCs w:val="21"/>
                <w:highlight w:val="none"/>
              </w:rPr>
              <w:t>。</w:t>
            </w:r>
          </w:p>
          <w:p w14:paraId="2DACADBC">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highlight w:val="none"/>
              </w:rPr>
            </w:pPr>
            <w:r>
              <w:rPr>
                <w:rFonts w:hint="eastAsia" w:ascii="Calibri" w:hAnsi="Calibri" w:eastAsia="宋体" w:cs="Times New Roman"/>
                <w:color w:val="auto"/>
                <w:highlight w:val="none"/>
              </w:rPr>
              <w:t>“类似设计项目”</w:t>
            </w:r>
            <w:r>
              <w:rPr>
                <w:rFonts w:hint="eastAsia" w:ascii="Calibri" w:hAnsi="Calibri" w:eastAsia="宋体" w:cs="Times New Roman"/>
                <w:color w:val="auto"/>
                <w:szCs w:val="21"/>
                <w:highlight w:val="none"/>
              </w:rPr>
              <w:t xml:space="preserve"> 是指</w:t>
            </w:r>
            <w:r>
              <w:rPr>
                <w:rFonts w:hint="eastAsia" w:ascii="Calibri" w:hAnsi="Calibri" w:eastAsia="宋体" w:cs="Times New Roman"/>
                <w:color w:val="auto"/>
                <w:szCs w:val="21"/>
                <w:highlight w:val="none"/>
                <w:u w:val="single"/>
              </w:rPr>
              <w:t xml:space="preserve"> </w:t>
            </w:r>
            <w:r>
              <w:rPr>
                <w:rFonts w:hint="eastAsia" w:ascii="宋体" w:hAnsi="宋体" w:eastAsia="宋体" w:cs="宋体"/>
                <w:color w:val="auto"/>
                <w:sz w:val="24"/>
                <w:szCs w:val="24"/>
                <w:highlight w:val="none"/>
                <w:u w:val="single"/>
              </w:rPr>
              <w:t>单项</w:t>
            </w:r>
            <w:r>
              <w:rPr>
                <w:rFonts w:hint="eastAsia" w:ascii="宋体" w:hAnsi="宋体" w:eastAsia="宋体" w:cs="宋体"/>
                <w:color w:val="auto"/>
                <w:sz w:val="24"/>
                <w:szCs w:val="24"/>
                <w:highlight w:val="none"/>
                <w:u w:val="single"/>
                <w:lang w:val="en-US" w:eastAsia="zh-CN"/>
              </w:rPr>
              <w:t>投资（或建安费）</w:t>
            </w:r>
            <w:r>
              <w:rPr>
                <w:rFonts w:hint="eastAsia" w:ascii="宋体" w:hAnsi="宋体" w:eastAsia="宋体" w:cs="宋体"/>
                <w:color w:val="auto"/>
                <w:sz w:val="24"/>
                <w:szCs w:val="24"/>
                <w:highlight w:val="none"/>
                <w:u w:val="single"/>
              </w:rPr>
              <w:t>金额在</w:t>
            </w:r>
            <w:r>
              <w:rPr>
                <w:rFonts w:hint="eastAsia" w:ascii="宋体" w:hAnsi="宋体" w:eastAsia="宋体" w:cs="宋体"/>
                <w:color w:val="auto"/>
                <w:sz w:val="24"/>
                <w:szCs w:val="24"/>
                <w:highlight w:val="none"/>
                <w:u w:val="single"/>
                <w:lang w:val="en-US" w:eastAsia="zh-CN"/>
              </w:rPr>
              <w:t>1</w:t>
            </w:r>
            <w:r>
              <w:rPr>
                <w:rFonts w:hint="eastAsia" w:ascii="宋体" w:hAnsi="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rPr>
              <w:t>00万元及以上的市政工程EPC总承包</w:t>
            </w:r>
            <w:r>
              <w:rPr>
                <w:rFonts w:hint="eastAsia" w:ascii="宋体" w:hAnsi="宋体" w:cs="宋体"/>
                <w:color w:val="auto"/>
                <w:sz w:val="24"/>
                <w:szCs w:val="24"/>
                <w:highlight w:val="none"/>
                <w:u w:val="single"/>
                <w:lang w:val="en-US" w:eastAsia="zh-CN"/>
              </w:rPr>
              <w:t>中</w:t>
            </w:r>
            <w:r>
              <w:rPr>
                <w:rFonts w:hint="eastAsia" w:ascii="宋体" w:hAnsi="宋体" w:eastAsia="宋体" w:cs="宋体"/>
                <w:color w:val="auto"/>
                <w:sz w:val="24"/>
                <w:szCs w:val="24"/>
                <w:highlight w:val="none"/>
                <w:u w:val="single"/>
                <w:lang w:val="en-US" w:eastAsia="zh-CN"/>
              </w:rPr>
              <w:t>承担设计任务</w:t>
            </w:r>
            <w:r>
              <w:rPr>
                <w:rFonts w:hint="eastAsia" w:ascii="宋体" w:hAnsi="宋体" w:cs="宋体"/>
                <w:color w:val="auto"/>
                <w:sz w:val="24"/>
                <w:szCs w:val="24"/>
                <w:highlight w:val="none"/>
                <w:u w:val="single"/>
                <w:lang w:val="en-US" w:eastAsia="zh-CN"/>
              </w:rPr>
              <w:t>或单项投资金额在1700万元</w:t>
            </w:r>
            <w:r>
              <w:rPr>
                <w:rFonts w:hint="eastAsia" w:ascii="宋体" w:hAnsi="宋体" w:eastAsia="宋体" w:cs="宋体"/>
                <w:color w:val="auto"/>
                <w:sz w:val="24"/>
                <w:szCs w:val="24"/>
                <w:highlight w:val="none"/>
                <w:u w:val="single"/>
              </w:rPr>
              <w:t>及以上</w:t>
            </w:r>
            <w:r>
              <w:rPr>
                <w:rFonts w:hint="eastAsia" w:ascii="宋体" w:hAnsi="宋体" w:cs="宋体"/>
                <w:color w:val="auto"/>
                <w:sz w:val="24"/>
                <w:szCs w:val="24"/>
                <w:highlight w:val="none"/>
                <w:u w:val="single"/>
                <w:lang w:val="en-US" w:eastAsia="zh-CN"/>
              </w:rPr>
              <w:t>的市政工程设计项目</w:t>
            </w:r>
            <w:r>
              <w:rPr>
                <w:rFonts w:hint="eastAsia" w:ascii="Calibri" w:hAnsi="Calibri" w:eastAsia="宋体" w:cs="Times New Roman"/>
                <w:color w:val="auto"/>
                <w:szCs w:val="21"/>
                <w:highlight w:val="none"/>
                <w:u w:val="single"/>
              </w:rPr>
              <w:t xml:space="preserve"> </w:t>
            </w:r>
            <w:r>
              <w:rPr>
                <w:rFonts w:hint="eastAsia" w:ascii="Calibri" w:hAnsi="Calibri" w:eastAsia="宋体" w:cs="Times New Roman"/>
                <w:color w:val="auto"/>
                <w:szCs w:val="21"/>
                <w:highlight w:val="none"/>
              </w:rPr>
              <w:t>。</w:t>
            </w:r>
          </w:p>
          <w:p w14:paraId="4B3B02DF">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hint="eastAsia" w:ascii="Calibri" w:hAnsi="Calibri" w:eastAsia="宋体" w:cs="Times New Roman"/>
                <w:color w:val="auto"/>
                <w:highlight w:val="none"/>
              </w:rPr>
              <w:t>“类似施工项目”</w:t>
            </w:r>
            <w:r>
              <w:rPr>
                <w:rFonts w:hint="eastAsia" w:ascii="Calibri" w:hAnsi="Calibri" w:eastAsia="宋体" w:cs="Times New Roman"/>
                <w:color w:val="auto"/>
                <w:szCs w:val="21"/>
                <w:highlight w:val="none"/>
              </w:rPr>
              <w:t xml:space="preserve"> 是指</w:t>
            </w:r>
            <w:r>
              <w:rPr>
                <w:rFonts w:hint="eastAsia" w:ascii="Calibri" w:hAnsi="Calibri" w:eastAsia="宋体" w:cs="Times New Roman"/>
                <w:color w:val="auto"/>
                <w:szCs w:val="21"/>
                <w:highlight w:val="none"/>
                <w:u w:val="single"/>
              </w:rPr>
              <w:t xml:space="preserve"> </w:t>
            </w:r>
            <w:r>
              <w:rPr>
                <w:rFonts w:hint="eastAsia" w:ascii="宋体" w:hAnsi="宋体" w:eastAsia="宋体" w:cs="宋体"/>
                <w:color w:val="auto"/>
                <w:sz w:val="24"/>
                <w:szCs w:val="24"/>
                <w:highlight w:val="none"/>
                <w:u w:val="single"/>
              </w:rPr>
              <w:t>单项</w:t>
            </w:r>
            <w:r>
              <w:rPr>
                <w:rFonts w:hint="eastAsia" w:ascii="宋体" w:hAnsi="宋体" w:eastAsia="宋体" w:cs="宋体"/>
                <w:color w:val="auto"/>
                <w:sz w:val="24"/>
                <w:szCs w:val="24"/>
                <w:highlight w:val="none"/>
                <w:u w:val="single"/>
                <w:lang w:val="en-US" w:eastAsia="zh-CN"/>
              </w:rPr>
              <w:t>投资（或建安费）</w:t>
            </w:r>
            <w:r>
              <w:rPr>
                <w:rFonts w:hint="eastAsia" w:ascii="宋体" w:hAnsi="宋体" w:eastAsia="宋体" w:cs="宋体"/>
                <w:color w:val="auto"/>
                <w:sz w:val="24"/>
                <w:szCs w:val="24"/>
                <w:highlight w:val="none"/>
                <w:u w:val="single"/>
              </w:rPr>
              <w:t>金额在</w:t>
            </w:r>
            <w:r>
              <w:rPr>
                <w:rFonts w:hint="eastAsia" w:ascii="宋体" w:hAnsi="宋体" w:eastAsia="宋体" w:cs="宋体"/>
                <w:color w:val="auto"/>
                <w:sz w:val="24"/>
                <w:szCs w:val="24"/>
                <w:highlight w:val="none"/>
                <w:u w:val="single"/>
                <w:lang w:val="en-US" w:eastAsia="zh-CN"/>
              </w:rPr>
              <w:t>1</w:t>
            </w:r>
            <w:r>
              <w:rPr>
                <w:rFonts w:hint="eastAsia" w:ascii="宋体" w:hAnsi="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rPr>
              <w:t>00万元及以上的市政工程</w:t>
            </w:r>
            <w:r>
              <w:rPr>
                <w:rFonts w:hint="eastAsia" w:ascii="宋体" w:hAnsi="宋体" w:cs="宋体"/>
                <w:color w:val="auto"/>
                <w:sz w:val="24"/>
                <w:szCs w:val="24"/>
                <w:highlight w:val="none"/>
                <w:u w:val="single"/>
                <w:lang w:val="en-US" w:eastAsia="zh-CN"/>
              </w:rPr>
              <w:t>施工总承包项目</w:t>
            </w:r>
            <w:r>
              <w:rPr>
                <w:rFonts w:hint="eastAsia" w:ascii="Calibri" w:hAnsi="Calibri" w:eastAsia="宋体" w:cs="Times New Roman"/>
                <w:color w:val="auto"/>
                <w:szCs w:val="21"/>
                <w:highlight w:val="none"/>
                <w:u w:val="single"/>
              </w:rPr>
              <w:t xml:space="preserve"> </w:t>
            </w:r>
            <w:r>
              <w:rPr>
                <w:rFonts w:hint="eastAsia" w:ascii="Calibri" w:hAnsi="Calibri" w:eastAsia="宋体" w:cs="Times New Roman"/>
                <w:color w:val="auto"/>
                <w:szCs w:val="21"/>
              </w:rPr>
              <w:t>。</w:t>
            </w:r>
          </w:p>
        </w:tc>
      </w:tr>
      <w:tr w14:paraId="5DAB308B">
        <w:tblPrEx>
          <w:tblCellMar>
            <w:top w:w="0" w:type="dxa"/>
            <w:left w:w="108" w:type="dxa"/>
            <w:bottom w:w="0" w:type="dxa"/>
            <w:right w:w="108" w:type="dxa"/>
          </w:tblCellMar>
        </w:tblPrEx>
        <w:trPr>
          <w:trHeight w:val="100"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71B9EAE7">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3.5.4</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448124B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ascii="Calibri" w:hAnsi="Calibri" w:eastAsia="宋体" w:cs="Times New Roman"/>
                <w:color w:val="auto"/>
                <w:szCs w:val="21"/>
              </w:rPr>
            </w:pPr>
            <w:r>
              <w:rPr>
                <w:rFonts w:ascii="Calibri" w:hAnsi="Calibri" w:eastAsia="宋体" w:cs="Times New Roman"/>
                <w:color w:val="auto"/>
                <w:szCs w:val="21"/>
              </w:rPr>
              <w:t>近年</w:t>
            </w:r>
            <w:r>
              <w:rPr>
                <w:rFonts w:hint="eastAsia" w:ascii="Calibri" w:hAnsi="Calibri" w:eastAsia="宋体" w:cs="Times New Roman"/>
                <w:color w:val="auto"/>
                <w:szCs w:val="21"/>
              </w:rPr>
              <w:t>发生的</w:t>
            </w:r>
            <w:r>
              <w:rPr>
                <w:rFonts w:ascii="Calibri" w:hAnsi="Calibri" w:eastAsia="宋体" w:cs="Times New Roman"/>
                <w:color w:val="auto"/>
                <w:szCs w:val="21"/>
              </w:rPr>
              <w:t>诉讼及仲裁情况</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19FFFB41">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hint="eastAsia" w:ascii="Calibri" w:hAnsi="Calibri" w:eastAsia="宋体" w:cs="Times New Roman"/>
                <w:color w:val="auto"/>
                <w:szCs w:val="21"/>
              </w:rPr>
              <w:t>“</w:t>
            </w:r>
            <w:r>
              <w:rPr>
                <w:rFonts w:ascii="Calibri" w:hAnsi="Calibri" w:eastAsia="宋体" w:cs="Times New Roman"/>
                <w:color w:val="auto"/>
                <w:szCs w:val="21"/>
              </w:rPr>
              <w:t>近年</w:t>
            </w:r>
            <w:r>
              <w:rPr>
                <w:rFonts w:hint="eastAsia" w:ascii="Calibri" w:hAnsi="Calibri" w:eastAsia="宋体" w:cs="Times New Roman"/>
                <w:color w:val="auto"/>
                <w:szCs w:val="21"/>
              </w:rPr>
              <w:t>”是指近</w:t>
            </w:r>
            <w:r>
              <w:rPr>
                <w:rFonts w:ascii="Calibri" w:hAnsi="Calibri" w:eastAsia="宋体" w:cs="Times New Roman"/>
                <w:color w:val="auto"/>
                <w:szCs w:val="21"/>
                <w:u w:val="single"/>
              </w:rPr>
              <w:t xml:space="preserve">  </w:t>
            </w:r>
            <w:r>
              <w:rPr>
                <w:rFonts w:hint="eastAsia" w:ascii="宋体" w:hAnsi="宋体" w:eastAsia="宋体" w:cs="宋体"/>
                <w:color w:val="auto"/>
                <w:sz w:val="24"/>
                <w:szCs w:val="24"/>
                <w:u w:val="single"/>
                <w:lang w:val="en-US" w:eastAsia="zh-CN"/>
              </w:rPr>
              <w:t>3</w:t>
            </w:r>
            <w:r>
              <w:rPr>
                <w:rFonts w:ascii="Calibri" w:hAnsi="Calibri" w:eastAsia="宋体" w:cs="Times New Roman"/>
                <w:color w:val="auto"/>
                <w:szCs w:val="21"/>
                <w:u w:val="single"/>
              </w:rPr>
              <w:t xml:space="preserve">  </w:t>
            </w:r>
            <w:r>
              <w:rPr>
                <w:rFonts w:hint="eastAsia" w:ascii="Calibri" w:hAnsi="Calibri" w:eastAsia="宋体" w:cs="Times New Roman"/>
                <w:color w:val="auto"/>
                <w:szCs w:val="21"/>
              </w:rPr>
              <w:t>年</w:t>
            </w:r>
          </w:p>
        </w:tc>
      </w:tr>
      <w:tr w14:paraId="0D3E1A5C">
        <w:tblPrEx>
          <w:tblCellMar>
            <w:top w:w="0" w:type="dxa"/>
            <w:left w:w="108" w:type="dxa"/>
            <w:bottom w:w="0" w:type="dxa"/>
            <w:right w:w="108" w:type="dxa"/>
          </w:tblCellMar>
        </w:tblPrEx>
        <w:trPr>
          <w:trHeight w:val="1303"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222E28D4">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3.5.5</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11A711F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ascii="Calibri" w:hAnsi="Calibri" w:eastAsia="宋体" w:cs="Times New Roman"/>
                <w:color w:val="auto"/>
                <w:szCs w:val="21"/>
              </w:rPr>
            </w:pPr>
            <w:r>
              <w:rPr>
                <w:rFonts w:hint="eastAsia" w:ascii="Calibri" w:hAnsi="Calibri" w:eastAsia="宋体" w:cs="Times New Roman"/>
                <w:color w:val="auto"/>
              </w:rPr>
              <w:t>近年投标人或项目管理机构相关主要人员获工程（设计）质量奖项、获表彰情况</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241DDFE6">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rPr>
            </w:pPr>
            <w:r>
              <w:rPr>
                <w:rFonts w:hint="eastAsia" w:ascii="Calibri" w:hAnsi="Calibri" w:eastAsia="宋体" w:cs="Times New Roman"/>
                <w:color w:val="auto"/>
                <w:szCs w:val="21"/>
              </w:rPr>
              <w:t>“</w:t>
            </w:r>
            <w:r>
              <w:rPr>
                <w:rFonts w:ascii="Calibri" w:hAnsi="Calibri" w:eastAsia="宋体" w:cs="Times New Roman"/>
                <w:color w:val="auto"/>
                <w:szCs w:val="21"/>
              </w:rPr>
              <w:t>近年</w:t>
            </w:r>
            <w:r>
              <w:rPr>
                <w:rFonts w:hint="eastAsia" w:ascii="Calibri" w:hAnsi="Calibri" w:eastAsia="宋体" w:cs="Times New Roman"/>
                <w:color w:val="auto"/>
                <w:szCs w:val="21"/>
              </w:rPr>
              <w:t>”是指近</w:t>
            </w:r>
            <w:r>
              <w:rPr>
                <w:rFonts w:hint="eastAsia" w:ascii="Calibri" w:hAnsi="Calibri" w:eastAsia="宋体" w:cs="Times New Roman"/>
                <w:color w:val="auto"/>
                <w:szCs w:val="21"/>
                <w:u w:val="single"/>
              </w:rPr>
              <w:t xml:space="preserve">  </w:t>
            </w:r>
            <w:r>
              <w:rPr>
                <w:rFonts w:hint="eastAsia" w:ascii="宋体" w:hAnsi="宋体" w:cs="宋体"/>
                <w:color w:val="auto"/>
                <w:sz w:val="24"/>
                <w:szCs w:val="24"/>
                <w:u w:val="single"/>
                <w:lang w:val="en-US" w:eastAsia="zh-CN"/>
              </w:rPr>
              <w:t>5</w:t>
            </w:r>
            <w:r>
              <w:rPr>
                <w:rFonts w:hint="eastAsia" w:ascii="Calibri" w:hAnsi="Calibri" w:eastAsia="宋体" w:cs="Times New Roman"/>
                <w:color w:val="auto"/>
                <w:szCs w:val="21"/>
                <w:u w:val="single"/>
              </w:rPr>
              <w:t xml:space="preserve"> </w:t>
            </w:r>
            <w:r>
              <w:rPr>
                <w:rFonts w:ascii="Calibri" w:hAnsi="Calibri" w:eastAsia="宋体" w:cs="Times New Roman"/>
                <w:color w:val="auto"/>
                <w:szCs w:val="21"/>
                <w:u w:val="single"/>
              </w:rPr>
              <w:t xml:space="preserve"> </w:t>
            </w:r>
            <w:r>
              <w:rPr>
                <w:rFonts w:ascii="Calibri" w:hAnsi="Calibri" w:eastAsia="宋体" w:cs="Times New Roman"/>
                <w:color w:val="auto"/>
                <w:szCs w:val="21"/>
              </w:rPr>
              <w:t>年</w:t>
            </w:r>
          </w:p>
        </w:tc>
      </w:tr>
      <w:tr w14:paraId="3F2D5A09">
        <w:tblPrEx>
          <w:tblCellMar>
            <w:top w:w="0" w:type="dxa"/>
            <w:left w:w="108" w:type="dxa"/>
            <w:bottom w:w="0" w:type="dxa"/>
            <w:right w:w="108" w:type="dxa"/>
          </w:tblCellMar>
        </w:tblPrEx>
        <w:trPr>
          <w:trHeight w:val="465"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73ADD2BC">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3.5.6</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17156C08">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hint="eastAsia" w:ascii="Calibri" w:hAnsi="Calibri" w:eastAsia="宋体" w:cs="Times New Roman"/>
                <w:color w:val="auto"/>
              </w:rPr>
              <w:t>其他材料</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48F8C211">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rPr>
            </w:pPr>
            <w:r>
              <w:rPr>
                <w:rFonts w:hint="eastAsia" w:ascii="Calibri" w:hAnsi="Calibri" w:eastAsia="宋体" w:cs="Times New Roman"/>
                <w:color w:val="auto"/>
              </w:rPr>
              <w:t>其他材料是指：</w:t>
            </w:r>
            <w:r>
              <w:rPr>
                <w:rFonts w:hint="eastAsia" w:ascii="Calibri" w:hAnsi="Calibri" w:eastAsia="宋体" w:cs="Times New Roman"/>
                <w:color w:val="auto"/>
                <w:u w:val="single"/>
              </w:rPr>
              <w:t xml:space="preserve"> </w:t>
            </w:r>
            <w:r>
              <w:rPr>
                <w:rFonts w:ascii="Calibri" w:hAnsi="Calibri" w:eastAsia="宋体" w:cs="Times New Roman"/>
                <w:color w:val="auto"/>
                <w:u w:val="single"/>
              </w:rPr>
              <w:t xml:space="preserve">     </w:t>
            </w:r>
            <w:r>
              <w:rPr>
                <w:rFonts w:hint="eastAsia" w:ascii="Calibri" w:hAnsi="Calibri" w:eastAsia="宋体" w:cs="Times New Roman"/>
                <w:color w:val="auto"/>
                <w:szCs w:val="21"/>
              </w:rPr>
              <w:t>“</w:t>
            </w:r>
            <w:r>
              <w:rPr>
                <w:rFonts w:ascii="Calibri" w:hAnsi="Calibri" w:eastAsia="宋体" w:cs="Times New Roman"/>
                <w:color w:val="auto"/>
                <w:szCs w:val="21"/>
              </w:rPr>
              <w:t>近年</w:t>
            </w:r>
            <w:r>
              <w:rPr>
                <w:rFonts w:hint="eastAsia" w:ascii="Calibri" w:hAnsi="Calibri" w:eastAsia="宋体" w:cs="Times New Roman"/>
                <w:color w:val="auto"/>
                <w:szCs w:val="21"/>
              </w:rPr>
              <w:t>”是指近</w:t>
            </w:r>
            <w:r>
              <w:rPr>
                <w:rFonts w:hint="eastAsia" w:ascii="Calibri" w:hAnsi="Calibri" w:eastAsia="宋体" w:cs="Times New Roman"/>
                <w:color w:val="auto"/>
                <w:szCs w:val="21"/>
                <w:u w:val="single"/>
              </w:rPr>
              <w:t xml:space="preserve">    </w:t>
            </w:r>
            <w:r>
              <w:rPr>
                <w:rFonts w:ascii="Calibri" w:hAnsi="Calibri" w:eastAsia="宋体" w:cs="Times New Roman"/>
                <w:color w:val="auto"/>
                <w:szCs w:val="21"/>
                <w:u w:val="single"/>
              </w:rPr>
              <w:t xml:space="preserve"> </w:t>
            </w:r>
            <w:r>
              <w:rPr>
                <w:rFonts w:ascii="Calibri" w:hAnsi="Calibri" w:eastAsia="宋体" w:cs="Times New Roman"/>
                <w:color w:val="auto"/>
                <w:szCs w:val="21"/>
              </w:rPr>
              <w:t>年</w:t>
            </w:r>
          </w:p>
        </w:tc>
      </w:tr>
      <w:tr w14:paraId="6BFD2052">
        <w:tblPrEx>
          <w:tblCellMar>
            <w:top w:w="0" w:type="dxa"/>
            <w:left w:w="108" w:type="dxa"/>
            <w:bottom w:w="0" w:type="dxa"/>
            <w:right w:w="108" w:type="dxa"/>
          </w:tblCellMar>
        </w:tblPrEx>
        <w:trPr>
          <w:trHeight w:val="90"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6E162725">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3.6</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58CADE52">
            <w:pPr>
              <w:keepNext w:val="0"/>
              <w:keepLines w:val="0"/>
              <w:suppressLineNumbers w:val="0"/>
              <w:spacing w:before="0" w:beforeAutospacing="0" w:after="0" w:afterAutospacing="0" w:line="400" w:lineRule="exact"/>
              <w:ind w:left="0" w:right="0"/>
              <w:jc w:val="left"/>
              <w:rPr>
                <w:rFonts w:hint="eastAsia" w:ascii="Calibri" w:hAnsi="Calibri" w:eastAsia="宋体" w:cs="Times New Roman"/>
                <w:color w:val="auto"/>
                <w:szCs w:val="21"/>
              </w:rPr>
            </w:pPr>
            <w:r>
              <w:rPr>
                <w:rFonts w:ascii="Calibri" w:hAnsi="Calibri" w:eastAsia="宋体" w:cs="Times New Roman"/>
                <w:color w:val="auto"/>
                <w:szCs w:val="21"/>
              </w:rPr>
              <w:t>是否允许递交</w:t>
            </w:r>
          </w:p>
          <w:p w14:paraId="5A8265B3">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备选投标方案</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0D42BD7D">
            <w:pPr>
              <w:pStyle w:val="15"/>
              <w:keepNext w:val="0"/>
              <w:keepLines w:val="0"/>
              <w:suppressLineNumbers w:val="0"/>
              <w:topLinePunct/>
              <w:spacing w:before="0" w:beforeAutospacing="0" w:after="0" w:afterAutospacing="0" w:line="400" w:lineRule="exact"/>
              <w:ind w:left="0" w:right="0"/>
              <w:rPr>
                <w:rFonts w:ascii="Times New Roman" w:hAnsi="Calibri" w:eastAsia="宋体" w:cs="Times New Roman"/>
                <w:color w:val="auto"/>
                <w:sz w:val="24"/>
                <w:szCs w:val="24"/>
              </w:rPr>
            </w:pPr>
            <w:r>
              <w:rPr>
                <w:rFonts w:hint="eastAsia" w:hAnsi="Calibri" w:eastAsia="宋体" w:cs="Times New Roman"/>
                <w:color w:val="auto"/>
                <w:sz w:val="24"/>
                <w:szCs w:val="24"/>
                <w:lang w:eastAsia="zh-CN"/>
              </w:rPr>
              <w:t>☑</w:t>
            </w:r>
            <w:r>
              <w:rPr>
                <w:rFonts w:ascii="Times New Roman" w:hAnsi="Calibri" w:eastAsia="宋体" w:cs="Times New Roman"/>
                <w:color w:val="auto"/>
                <w:sz w:val="24"/>
                <w:szCs w:val="24"/>
              </w:rPr>
              <w:t>不允许</w:t>
            </w:r>
          </w:p>
          <w:p w14:paraId="551A1DBC">
            <w:pPr>
              <w:keepNext w:val="0"/>
              <w:keepLines w:val="0"/>
              <w:suppressLineNumbers w:val="0"/>
              <w:spacing w:before="0" w:beforeAutospacing="0" w:after="0" w:afterAutospacing="0" w:line="240" w:lineRule="auto"/>
              <w:ind w:left="0" w:right="0"/>
              <w:rPr>
                <w:rFonts w:ascii="Calibri" w:hAnsi="Calibri" w:eastAsia="宋体" w:cs="Times New Roman"/>
                <w:color w:val="auto"/>
                <w:szCs w:val="21"/>
              </w:rPr>
            </w:pPr>
            <w:r>
              <w:rPr>
                <w:rFonts w:hint="eastAsia" w:ascii="Calibri" w:hAnsi="Calibri" w:eastAsia="宋体" w:cs="Times New Roman"/>
                <w:color w:val="auto"/>
                <w:szCs w:val="21"/>
              </w:rPr>
              <w:t>□</w:t>
            </w:r>
            <w:r>
              <w:rPr>
                <w:rFonts w:ascii="Calibri" w:hAnsi="Calibri" w:eastAsia="宋体" w:cs="Times New Roman"/>
                <w:color w:val="auto"/>
                <w:szCs w:val="21"/>
              </w:rPr>
              <w:t>允许</w:t>
            </w:r>
            <w:r>
              <w:rPr>
                <w:rFonts w:hint="eastAsia" w:ascii="宋体" w:hAnsi="宋体" w:eastAsia="宋体" w:cs="Times New Roman"/>
                <w:color w:val="auto"/>
                <w:szCs w:val="21"/>
              </w:rPr>
              <w:t>，</w:t>
            </w:r>
            <w:r>
              <w:rPr>
                <w:rFonts w:hint="eastAsia" w:ascii="宋体" w:hAnsi="宋体" w:eastAsia="宋体" w:cs="Times New Roman"/>
                <w:color w:val="auto"/>
                <w:szCs w:val="21"/>
                <w:u w:val="single"/>
              </w:rPr>
              <w:t>但只能提供一个备选方案并注明主选方案，且备选方案的投标价格不得高于主选方案。</w:t>
            </w:r>
          </w:p>
        </w:tc>
      </w:tr>
      <w:tr w14:paraId="56DB0C6C">
        <w:tblPrEx>
          <w:tblCellMar>
            <w:top w:w="0" w:type="dxa"/>
            <w:left w:w="108" w:type="dxa"/>
            <w:bottom w:w="0" w:type="dxa"/>
            <w:right w:w="108" w:type="dxa"/>
          </w:tblCellMar>
        </w:tblPrEx>
        <w:trPr>
          <w:trHeight w:val="516"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480F5C0D">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4.2.1</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2AC626AB">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投标截止时间</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05C85615">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ascii="Calibri" w:hAnsi="Calibri" w:eastAsia="宋体" w:cs="Times New Roman"/>
                <w:color w:val="auto"/>
                <w:kern w:val="0"/>
                <w:szCs w:val="21"/>
                <w:u w:val="single"/>
              </w:rPr>
              <w:t>　　　</w:t>
            </w:r>
            <w:r>
              <w:rPr>
                <w:rFonts w:ascii="Calibri" w:hAnsi="Calibri" w:eastAsia="宋体" w:cs="Times New Roman"/>
                <w:color w:val="auto"/>
                <w:kern w:val="0"/>
                <w:szCs w:val="21"/>
              </w:rPr>
              <w:t>年</w:t>
            </w:r>
            <w:r>
              <w:rPr>
                <w:rFonts w:ascii="Calibri" w:hAnsi="Calibri" w:eastAsia="宋体" w:cs="Times New Roman"/>
                <w:color w:val="auto"/>
                <w:kern w:val="0"/>
                <w:szCs w:val="21"/>
                <w:u w:val="single"/>
              </w:rPr>
              <w:t xml:space="preserve">　  </w:t>
            </w:r>
            <w:r>
              <w:rPr>
                <w:rFonts w:ascii="Calibri" w:hAnsi="Calibri" w:eastAsia="宋体" w:cs="Times New Roman"/>
                <w:color w:val="auto"/>
                <w:kern w:val="0"/>
                <w:szCs w:val="21"/>
              </w:rPr>
              <w:t>月</w:t>
            </w:r>
            <w:r>
              <w:rPr>
                <w:rFonts w:ascii="Calibri" w:hAnsi="Calibri" w:eastAsia="宋体" w:cs="Times New Roman"/>
                <w:color w:val="auto"/>
                <w:kern w:val="0"/>
                <w:szCs w:val="21"/>
                <w:u w:val="single"/>
              </w:rPr>
              <w:t xml:space="preserve">  　</w:t>
            </w:r>
            <w:r>
              <w:rPr>
                <w:rFonts w:ascii="Calibri" w:hAnsi="Calibri" w:eastAsia="宋体" w:cs="Times New Roman"/>
                <w:color w:val="auto"/>
                <w:kern w:val="0"/>
                <w:szCs w:val="21"/>
              </w:rPr>
              <w:t>日</w:t>
            </w:r>
            <w:r>
              <w:rPr>
                <w:rFonts w:ascii="Calibri" w:hAnsi="Calibri" w:eastAsia="宋体" w:cs="Times New Roman"/>
                <w:color w:val="auto"/>
                <w:kern w:val="0"/>
                <w:szCs w:val="21"/>
                <w:u w:val="single"/>
              </w:rPr>
              <w:t xml:space="preserve">     </w:t>
            </w:r>
            <w:r>
              <w:rPr>
                <w:rFonts w:ascii="Calibri" w:hAnsi="Calibri" w:eastAsia="宋体" w:cs="Times New Roman"/>
                <w:color w:val="auto"/>
                <w:kern w:val="0"/>
                <w:szCs w:val="21"/>
              </w:rPr>
              <w:t>时</w:t>
            </w:r>
            <w:r>
              <w:rPr>
                <w:rFonts w:ascii="Calibri" w:hAnsi="Calibri" w:eastAsia="宋体" w:cs="Times New Roman"/>
                <w:color w:val="auto"/>
                <w:kern w:val="0"/>
                <w:szCs w:val="21"/>
                <w:u w:val="single"/>
              </w:rPr>
              <w:t xml:space="preserve">    </w:t>
            </w:r>
            <w:r>
              <w:rPr>
                <w:rFonts w:ascii="Calibri" w:hAnsi="Calibri" w:eastAsia="宋体" w:cs="Times New Roman"/>
                <w:color w:val="auto"/>
                <w:kern w:val="0"/>
                <w:szCs w:val="21"/>
              </w:rPr>
              <w:t>分</w:t>
            </w:r>
          </w:p>
        </w:tc>
      </w:tr>
      <w:tr w14:paraId="784C6BF4">
        <w:tblPrEx>
          <w:tblCellMar>
            <w:top w:w="0" w:type="dxa"/>
            <w:left w:w="108" w:type="dxa"/>
            <w:bottom w:w="0" w:type="dxa"/>
            <w:right w:w="108" w:type="dxa"/>
          </w:tblCellMar>
        </w:tblPrEx>
        <w:trPr>
          <w:trHeight w:val="688" w:hRule="atLeast"/>
        </w:trPr>
        <w:tc>
          <w:tcPr>
            <w:tcW w:w="1005" w:type="dxa"/>
            <w:tcBorders>
              <w:top w:val="single" w:color="auto" w:sz="4" w:space="0"/>
              <w:left w:val="single" w:color="auto" w:sz="4" w:space="0"/>
              <w:right w:val="single" w:color="auto" w:sz="4" w:space="0"/>
            </w:tcBorders>
            <w:noWrap w:val="0"/>
            <w:vAlign w:val="center"/>
          </w:tcPr>
          <w:p w14:paraId="4C26C9C5">
            <w:pPr>
              <w:keepNext w:val="0"/>
              <w:keepLines w:val="0"/>
              <w:suppressLineNumbers w:val="0"/>
              <w:spacing w:before="0" w:beforeAutospacing="0" w:after="0" w:afterAutospacing="0" w:line="400" w:lineRule="exac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4.2.3</w:t>
            </w:r>
          </w:p>
        </w:tc>
        <w:tc>
          <w:tcPr>
            <w:tcW w:w="2550" w:type="dxa"/>
            <w:tcBorders>
              <w:top w:val="single" w:color="auto" w:sz="4" w:space="0"/>
              <w:left w:val="single" w:color="auto" w:sz="4" w:space="0"/>
              <w:right w:val="single" w:color="auto" w:sz="4" w:space="0"/>
            </w:tcBorders>
            <w:noWrap w:val="0"/>
            <w:vAlign w:val="center"/>
          </w:tcPr>
          <w:p w14:paraId="0032F465">
            <w:pPr>
              <w:keepNext w:val="0"/>
              <w:keepLines w:val="0"/>
              <w:suppressLineNumbers w:val="0"/>
              <w:spacing w:before="0" w:beforeAutospacing="0" w:after="0" w:afterAutospacing="0" w:line="40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是否退还投标文件</w:t>
            </w:r>
          </w:p>
        </w:tc>
        <w:tc>
          <w:tcPr>
            <w:tcW w:w="5625" w:type="dxa"/>
            <w:tcBorders>
              <w:top w:val="single" w:color="auto" w:sz="4" w:space="0"/>
              <w:left w:val="single" w:color="auto" w:sz="4" w:space="0"/>
              <w:right w:val="single" w:color="auto" w:sz="4" w:space="0"/>
            </w:tcBorders>
            <w:noWrap w:val="0"/>
            <w:vAlign w:val="center"/>
          </w:tcPr>
          <w:p w14:paraId="365E4489">
            <w:pPr>
              <w:keepNext w:val="0"/>
              <w:keepLines w:val="0"/>
              <w:suppressLineNumbers w:val="0"/>
              <w:spacing w:before="0" w:beforeAutospacing="0" w:after="0" w:afterAutospacing="0" w:line="400" w:lineRule="exact"/>
              <w:ind w:left="0" w:right="0"/>
              <w:rPr>
                <w:rFonts w:hint="eastAsia" w:ascii="宋体" w:hAnsi="宋体" w:eastAsia="宋体" w:cs="Times New Roman"/>
                <w:color w:val="auto"/>
                <w:sz w:val="24"/>
                <w:szCs w:val="24"/>
              </w:rPr>
            </w:pPr>
            <w:r>
              <w:rPr>
                <w:rFonts w:hint="eastAsia" w:ascii="Calibri" w:hAnsi="Calibri" w:eastAsia="宋体" w:cs="Times New Roman"/>
                <w:color w:val="auto"/>
                <w:sz w:val="24"/>
                <w:szCs w:val="24"/>
                <w:lang w:eastAsia="zh-CN"/>
              </w:rPr>
              <w:t>☑</w:t>
            </w:r>
            <w:r>
              <w:rPr>
                <w:rFonts w:hint="eastAsia" w:ascii="Calibri" w:hAnsi="Calibri" w:eastAsia="宋体" w:cs="Times New Roman"/>
                <w:color w:val="auto"/>
                <w:sz w:val="24"/>
                <w:szCs w:val="24"/>
              </w:rPr>
              <w:t xml:space="preserve"> </w:t>
            </w:r>
            <w:r>
              <w:rPr>
                <w:rFonts w:hint="eastAsia" w:ascii="宋体" w:hAnsi="宋体" w:eastAsia="宋体" w:cs="Times New Roman"/>
                <w:color w:val="auto"/>
                <w:sz w:val="24"/>
                <w:szCs w:val="24"/>
              </w:rPr>
              <w:t>否</w:t>
            </w:r>
          </w:p>
          <w:p w14:paraId="7D0EA027">
            <w:pPr>
              <w:keepNext w:val="0"/>
              <w:keepLines w:val="0"/>
              <w:suppressLineNumbers w:val="0"/>
              <w:spacing w:before="0" w:beforeAutospacing="0" w:after="0" w:afterAutospacing="0" w:line="400" w:lineRule="exact"/>
              <w:ind w:left="0" w:right="0"/>
              <w:rPr>
                <w:rFonts w:ascii="宋体" w:hAnsi="宋体" w:eastAsia="宋体" w:cs="Times New Roman"/>
                <w:color w:val="auto"/>
                <w:szCs w:val="21"/>
              </w:rPr>
            </w:pPr>
            <w:r>
              <w:rPr>
                <w:rFonts w:hint="eastAsia" w:ascii="Calibri" w:hAnsi="Calibri" w:eastAsia="宋体" w:cs="Times New Roman"/>
                <w:color w:val="auto"/>
                <w:szCs w:val="21"/>
              </w:rPr>
              <w:t xml:space="preserve">□ </w:t>
            </w:r>
            <w:r>
              <w:rPr>
                <w:rFonts w:hint="eastAsia" w:ascii="宋体" w:hAnsi="宋体" w:eastAsia="宋体" w:cs="Times New Roman"/>
                <w:color w:val="auto"/>
                <w:szCs w:val="21"/>
              </w:rPr>
              <w:t>是，退还安排：</w:t>
            </w:r>
            <w:r>
              <w:rPr>
                <w:rFonts w:ascii="Times New Roman" w:hAnsi="Calibri" w:eastAsia="宋体" w:cs="Times New Roman"/>
                <w:color w:val="auto"/>
                <w:szCs w:val="21"/>
                <w:u w:val="single"/>
              </w:rPr>
              <w:t xml:space="preserve">                </w:t>
            </w:r>
          </w:p>
        </w:tc>
      </w:tr>
      <w:tr w14:paraId="3445A228">
        <w:tblPrEx>
          <w:tblCellMar>
            <w:top w:w="0" w:type="dxa"/>
            <w:left w:w="108" w:type="dxa"/>
            <w:bottom w:w="0" w:type="dxa"/>
            <w:right w:w="108" w:type="dxa"/>
          </w:tblCellMar>
        </w:tblPrEx>
        <w:trPr>
          <w:trHeight w:val="90" w:hRule="atLeast"/>
        </w:trPr>
        <w:tc>
          <w:tcPr>
            <w:tcW w:w="1005" w:type="dxa"/>
            <w:tcBorders>
              <w:top w:val="single" w:color="auto" w:sz="4" w:space="0"/>
              <w:left w:val="single" w:color="auto" w:sz="4" w:space="0"/>
              <w:right w:val="single" w:color="auto" w:sz="4" w:space="0"/>
            </w:tcBorders>
            <w:noWrap w:val="0"/>
            <w:vAlign w:val="center"/>
          </w:tcPr>
          <w:p w14:paraId="442B313D">
            <w:pPr>
              <w:keepNext w:val="0"/>
              <w:keepLines w:val="0"/>
              <w:suppressLineNumbers w:val="0"/>
              <w:spacing w:before="0" w:beforeAutospacing="0" w:after="0" w:afterAutospacing="0" w:line="400" w:lineRule="exact"/>
              <w:ind w:left="0" w:right="0"/>
              <w:jc w:val="center"/>
              <w:rPr>
                <w:rFonts w:hint="eastAsia" w:ascii="Calibri" w:hAnsi="Calibri" w:eastAsia="宋体" w:cs="Times New Roman"/>
                <w:color w:val="auto"/>
                <w:szCs w:val="21"/>
              </w:rPr>
            </w:pPr>
            <w:r>
              <w:rPr>
                <w:rFonts w:ascii="Calibri" w:hAnsi="Calibri" w:eastAsia="宋体" w:cs="Times New Roman"/>
                <w:color w:val="auto"/>
                <w:szCs w:val="21"/>
              </w:rPr>
              <w:t>5.1.</w:t>
            </w:r>
            <w:r>
              <w:rPr>
                <w:rFonts w:hint="eastAsia" w:ascii="Calibri" w:hAnsi="Calibri" w:eastAsia="宋体" w:cs="Times New Roman"/>
                <w:color w:val="auto"/>
                <w:szCs w:val="21"/>
              </w:rPr>
              <w:t>2</w:t>
            </w:r>
          </w:p>
        </w:tc>
        <w:tc>
          <w:tcPr>
            <w:tcW w:w="2550" w:type="dxa"/>
            <w:tcBorders>
              <w:top w:val="single" w:color="auto" w:sz="4" w:space="0"/>
              <w:left w:val="single" w:color="auto" w:sz="4" w:space="0"/>
              <w:right w:val="single" w:color="auto" w:sz="4" w:space="0"/>
            </w:tcBorders>
            <w:noWrap w:val="0"/>
            <w:vAlign w:val="center"/>
          </w:tcPr>
          <w:p w14:paraId="56E28B99">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hint="eastAsia" w:ascii="Calibri" w:hAnsi="Calibri" w:eastAsia="宋体" w:cs="Times New Roman"/>
                <w:color w:val="auto"/>
                <w:szCs w:val="21"/>
              </w:rPr>
              <w:t>组织开标</w:t>
            </w:r>
            <w:r>
              <w:rPr>
                <w:rFonts w:ascii="Calibri" w:hAnsi="Calibri" w:eastAsia="宋体" w:cs="Times New Roman"/>
                <w:color w:val="auto"/>
                <w:szCs w:val="21"/>
              </w:rPr>
              <w:t>地点</w:t>
            </w:r>
          </w:p>
        </w:tc>
        <w:tc>
          <w:tcPr>
            <w:tcW w:w="5625" w:type="dxa"/>
            <w:tcBorders>
              <w:top w:val="single" w:color="auto" w:sz="4" w:space="0"/>
              <w:left w:val="single" w:color="auto" w:sz="4" w:space="0"/>
              <w:right w:val="single" w:color="auto" w:sz="4" w:space="0"/>
            </w:tcBorders>
            <w:noWrap w:val="0"/>
            <w:vAlign w:val="center"/>
          </w:tcPr>
          <w:p w14:paraId="414D3CF4">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u w:val="single"/>
              </w:rPr>
            </w:pPr>
            <w:r>
              <w:rPr>
                <w:rFonts w:hint="eastAsia" w:ascii="宋体" w:hAnsi="宋体" w:eastAsia="宋体" w:cs="宋体"/>
                <w:color w:val="auto"/>
                <w:sz w:val="24"/>
                <w:szCs w:val="24"/>
                <w:u w:val="single"/>
              </w:rPr>
              <w:t>英山县公共资源交易中心开标大厅（英山县政务服务中心B区2楼东侧）</w:t>
            </w:r>
          </w:p>
        </w:tc>
      </w:tr>
      <w:tr w14:paraId="163266F9">
        <w:tblPrEx>
          <w:tblCellMar>
            <w:top w:w="0" w:type="dxa"/>
            <w:left w:w="108" w:type="dxa"/>
            <w:bottom w:w="0" w:type="dxa"/>
            <w:right w:w="108" w:type="dxa"/>
          </w:tblCellMar>
        </w:tblPrEx>
        <w:trPr>
          <w:trHeight w:val="90"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00B0E083">
            <w:pPr>
              <w:keepNext w:val="0"/>
              <w:keepLines w:val="0"/>
              <w:suppressLineNumbers w:val="0"/>
              <w:spacing w:before="0" w:beforeAutospacing="0" w:after="0" w:afterAutospacing="0" w:line="400" w:lineRule="exac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5.2.1（5）</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0CF3E434">
            <w:pPr>
              <w:keepNext w:val="0"/>
              <w:keepLines w:val="0"/>
              <w:suppressLineNumbers w:val="0"/>
              <w:spacing w:before="0" w:beforeAutospacing="0" w:after="0" w:afterAutospacing="0" w:line="400" w:lineRule="exact"/>
              <w:ind w:left="0" w:right="0"/>
              <w:jc w:val="left"/>
              <w:rPr>
                <w:rFonts w:hint="eastAsia" w:ascii="Calibri" w:hAnsi="Calibri" w:eastAsia="宋体" w:cs="Times New Roman"/>
                <w:color w:val="auto"/>
                <w:szCs w:val="21"/>
              </w:rPr>
            </w:pPr>
            <w:r>
              <w:rPr>
                <w:rFonts w:hint="eastAsia" w:ascii="Calibri" w:hAnsi="Calibri" w:eastAsia="宋体" w:cs="Times New Roman"/>
                <w:color w:val="auto"/>
                <w:szCs w:val="21"/>
              </w:rPr>
              <w:t>抽取</w:t>
            </w:r>
            <w:r>
              <w:rPr>
                <w:rFonts w:hint="eastAsia" w:ascii="宋体" w:hAnsi="宋体" w:eastAsia="宋体" w:cs="Times New Roman"/>
                <w:color w:val="auto"/>
                <w:szCs w:val="21"/>
              </w:rPr>
              <w:t>评标</w:t>
            </w:r>
            <w:r>
              <w:rPr>
                <w:rFonts w:hint="eastAsia" w:ascii="Calibri" w:hAnsi="Calibri" w:eastAsia="宋体" w:cs="Times New Roman"/>
                <w:color w:val="auto"/>
                <w:szCs w:val="21"/>
              </w:rPr>
              <w:t>基准</w:t>
            </w:r>
            <w:r>
              <w:rPr>
                <w:rFonts w:hint="eastAsia" w:ascii="宋体" w:hAnsi="宋体" w:eastAsia="宋体" w:cs="Times New Roman"/>
                <w:color w:val="auto"/>
                <w:szCs w:val="21"/>
              </w:rPr>
              <w:t>价</w:t>
            </w:r>
            <w:r>
              <w:rPr>
                <w:rFonts w:hint="eastAsia" w:ascii="Calibri" w:hAnsi="Calibri" w:eastAsia="宋体" w:cs="Times New Roman"/>
                <w:color w:val="auto"/>
                <w:szCs w:val="21"/>
              </w:rPr>
              <w:t>下浮值</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1F2C970E">
            <w:pPr>
              <w:keepNext w:val="0"/>
              <w:keepLines w:val="0"/>
              <w:numPr>
                <w:ilvl w:val="0"/>
                <w:numId w:val="0"/>
              </w:numPr>
              <w:suppressLineNumbers w:val="0"/>
              <w:spacing w:before="0" w:beforeAutospacing="0" w:after="0" w:afterAutospacing="0" w:line="400" w:lineRule="exact"/>
              <w:ind w:left="360" w:leftChars="0" w:right="0" w:hanging="360" w:firstLineChars="0"/>
              <w:rPr>
                <w:rFonts w:hint="eastAsia" w:ascii="宋体" w:hAnsi="宋体" w:eastAsia="宋体" w:cs="Times New Roman"/>
                <w:color w:val="auto"/>
                <w:szCs w:val="21"/>
              </w:rPr>
            </w:pPr>
            <w:r>
              <w:rPr>
                <w:rFonts w:hint="eastAsia" w:ascii="宋体" w:hAnsi="宋体" w:eastAsia="宋体" w:cs="Times New Roman"/>
                <w:color w:val="auto"/>
                <w:kern w:val="2"/>
                <w:sz w:val="21"/>
                <w:szCs w:val="21"/>
                <w:lang w:val="en-US" w:eastAsia="zh-CN" w:bidi="ar-SA"/>
              </w:rPr>
              <w:t>☑</w:t>
            </w:r>
            <w:r>
              <w:rPr>
                <w:rFonts w:hint="eastAsia" w:ascii="宋体" w:hAnsi="宋体" w:eastAsia="宋体" w:cs="Times New Roman"/>
                <w:color w:val="auto"/>
                <w:szCs w:val="21"/>
              </w:rPr>
              <w:t>否，下浮值为：</w:t>
            </w:r>
            <w:r>
              <w:rPr>
                <w:rFonts w:hint="eastAsia" w:ascii="宋体" w:hAnsi="宋体" w:eastAsia="宋体" w:cs="Times New Roman"/>
                <w:color w:val="auto"/>
                <w:sz w:val="24"/>
                <w:szCs w:val="24"/>
                <w:u w:val="single"/>
                <w:lang w:val="en-US" w:eastAsia="zh-CN"/>
              </w:rPr>
              <w:t>/</w:t>
            </w:r>
            <w:r>
              <w:rPr>
                <w:rFonts w:hint="eastAsia" w:ascii="宋体" w:hAnsi="宋体" w:eastAsia="宋体" w:cs="Times New Roman"/>
                <w:color w:val="auto"/>
                <w:szCs w:val="21"/>
                <w:u w:val="single"/>
              </w:rPr>
              <w:t xml:space="preserve">  </w:t>
            </w:r>
          </w:p>
          <w:p w14:paraId="4E1CC55E">
            <w:pPr>
              <w:keepNext w:val="0"/>
              <w:keepLines w:val="0"/>
              <w:numPr>
                <w:ilvl w:val="0"/>
                <w:numId w:val="0"/>
              </w:numPr>
              <w:suppressLineNumbers w:val="0"/>
              <w:spacing w:before="0" w:beforeAutospacing="0" w:after="0" w:afterAutospacing="0" w:line="400" w:lineRule="exact"/>
              <w:ind w:left="360" w:leftChars="0" w:right="0" w:hanging="360" w:firstLineChars="0"/>
              <w:rPr>
                <w:rFonts w:hint="eastAsia" w:ascii="Calibri" w:hAnsi="Calibri" w:eastAsia="宋体" w:cs="Times New Roman"/>
                <w:color w:val="auto"/>
                <w:szCs w:val="21"/>
              </w:rPr>
            </w:pPr>
            <w:r>
              <w:rPr>
                <w:rFonts w:hint="eastAsia" w:ascii="宋体" w:hAnsi="宋体" w:eastAsia="宋体" w:cs="Times New Roman"/>
                <w:color w:val="auto"/>
                <w:kern w:val="2"/>
                <w:sz w:val="21"/>
                <w:szCs w:val="21"/>
                <w:lang w:val="en-US" w:eastAsia="zh-CN" w:bidi="ar-SA"/>
              </w:rPr>
              <w:t>□</w:t>
            </w:r>
            <w:r>
              <w:rPr>
                <w:rFonts w:hint="eastAsia" w:ascii="宋体" w:hAnsi="宋体" w:eastAsia="宋体" w:cs="Times New Roman"/>
                <w:color w:val="auto"/>
                <w:szCs w:val="21"/>
              </w:rPr>
              <w:t>是，下浮值抽取方法：</w:t>
            </w:r>
            <w:r>
              <w:rPr>
                <w:rFonts w:hint="eastAsia" w:ascii="宋体" w:hAnsi="宋体" w:eastAsia="宋体" w:cs="Times New Roman"/>
                <w:color w:val="auto"/>
                <w:szCs w:val="21"/>
                <w:u w:val="single"/>
              </w:rPr>
              <w:t xml:space="preserve">               </w:t>
            </w:r>
          </w:p>
        </w:tc>
      </w:tr>
      <w:tr w14:paraId="6EBEBB9D">
        <w:tblPrEx>
          <w:tblCellMar>
            <w:top w:w="0" w:type="dxa"/>
            <w:left w:w="108" w:type="dxa"/>
            <w:bottom w:w="0" w:type="dxa"/>
            <w:right w:w="108" w:type="dxa"/>
          </w:tblCellMar>
        </w:tblPrEx>
        <w:trPr>
          <w:trHeight w:val="1249"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134DE15F">
            <w:pPr>
              <w:keepNext w:val="0"/>
              <w:keepLines w:val="0"/>
              <w:suppressLineNumbers w:val="0"/>
              <w:spacing w:before="0" w:beforeAutospacing="0" w:after="0" w:afterAutospacing="0" w:line="400" w:lineRule="exac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5.2.1（6）</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193F8DAA">
            <w:pPr>
              <w:keepNext w:val="0"/>
              <w:keepLines w:val="0"/>
              <w:suppressLineNumbers w:val="0"/>
              <w:spacing w:before="0" w:beforeAutospacing="0" w:after="0" w:afterAutospacing="0" w:line="400" w:lineRule="exact"/>
              <w:ind w:left="0" w:right="0"/>
              <w:jc w:val="left"/>
              <w:rPr>
                <w:rFonts w:hint="eastAsia" w:ascii="Calibri" w:hAnsi="Calibri" w:eastAsia="宋体" w:cs="Times New Roman"/>
                <w:color w:val="auto"/>
                <w:szCs w:val="21"/>
              </w:rPr>
            </w:pPr>
            <w:r>
              <w:rPr>
                <w:rFonts w:hint="eastAsia" w:ascii="宋体" w:hAnsi="宋体" w:eastAsia="宋体" w:cs="Times New Roman"/>
                <w:color w:val="auto"/>
                <w:szCs w:val="21"/>
              </w:rPr>
              <w:t>解密时间</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5C832F59">
            <w:pPr>
              <w:keepNext w:val="0"/>
              <w:keepLines w:val="0"/>
              <w:suppressLineNumbers w:val="0"/>
              <w:spacing w:before="0" w:beforeAutospacing="0" w:after="0" w:afterAutospacing="0" w:line="400" w:lineRule="exact"/>
              <w:ind w:left="0" w:right="0"/>
              <w:rPr>
                <w:rFonts w:hint="eastAsia" w:ascii="宋体" w:hAnsi="宋体" w:eastAsia="宋体" w:cs="Times New Roman"/>
                <w:color w:val="auto"/>
                <w:szCs w:val="21"/>
              </w:rPr>
            </w:pPr>
            <w:r>
              <w:rPr>
                <w:rFonts w:hint="eastAsia" w:ascii="宋体" w:hAnsi="宋体" w:eastAsia="宋体" w:cs="Times New Roman"/>
                <w:color w:val="auto"/>
                <w:szCs w:val="21"/>
              </w:rPr>
              <w:t>招标人发出解密提示后</w:t>
            </w:r>
            <w:r>
              <w:rPr>
                <w:rFonts w:hint="eastAsia" w:ascii="宋体" w:hAnsi="宋体" w:eastAsia="宋体" w:cs="Times New Roman"/>
                <w:color w:val="auto"/>
                <w:szCs w:val="21"/>
                <w:u w:val="single"/>
              </w:rPr>
              <w:t xml:space="preserve">  30  </w:t>
            </w:r>
            <w:r>
              <w:rPr>
                <w:rFonts w:hint="eastAsia" w:ascii="宋体" w:hAnsi="宋体" w:eastAsia="宋体" w:cs="Times New Roman"/>
                <w:color w:val="auto"/>
                <w:szCs w:val="21"/>
              </w:rPr>
              <w:t>分钟内</w:t>
            </w:r>
          </w:p>
          <w:p w14:paraId="4306D236">
            <w:pPr>
              <w:pStyle w:val="15"/>
              <w:keepNext w:val="0"/>
              <w:keepLines w:val="0"/>
              <w:suppressLineNumbers w:val="0"/>
              <w:topLinePunct/>
              <w:spacing w:before="0" w:beforeAutospacing="0" w:after="0" w:afterAutospacing="0" w:line="400" w:lineRule="exact"/>
              <w:ind w:left="0" w:right="0"/>
              <w:rPr>
                <w:rFonts w:hAnsi="宋体" w:eastAsia="宋体" w:cs="Times New Roman"/>
                <w:color w:val="auto"/>
                <w:sz w:val="21"/>
                <w:szCs w:val="21"/>
              </w:rPr>
            </w:pPr>
            <w:r>
              <w:rPr>
                <w:rFonts w:hint="eastAsia" w:hAnsi="宋体" w:eastAsia="宋体" w:cs="Times New Roman"/>
                <w:color w:val="auto"/>
                <w:sz w:val="21"/>
                <w:szCs w:val="21"/>
              </w:rPr>
              <w:t>（招标人应充分考虑标段数和投标人数量，合理设置解密时间，该时间不应少于20分钟）</w:t>
            </w:r>
          </w:p>
        </w:tc>
      </w:tr>
      <w:tr w14:paraId="4B45D469">
        <w:tblPrEx>
          <w:tblCellMar>
            <w:top w:w="0" w:type="dxa"/>
            <w:left w:w="108" w:type="dxa"/>
            <w:bottom w:w="0" w:type="dxa"/>
            <w:right w:w="108" w:type="dxa"/>
          </w:tblCellMar>
        </w:tblPrEx>
        <w:trPr>
          <w:trHeight w:val="90"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76FEFB3B">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6.1.1</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5D51F625">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评标委员会的组建</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0E9959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ascii="Calibri" w:hAnsi="Calibri" w:eastAsia="宋体" w:cs="Times New Roman"/>
                <w:color w:val="auto"/>
                <w:szCs w:val="21"/>
              </w:rPr>
            </w:pPr>
            <w:r>
              <w:rPr>
                <w:rFonts w:ascii="Calibri" w:hAnsi="Calibri" w:eastAsia="宋体" w:cs="Times New Roman"/>
                <w:color w:val="auto"/>
                <w:szCs w:val="21"/>
              </w:rPr>
              <w:t>评标委员会构成：</w:t>
            </w:r>
            <w:r>
              <w:rPr>
                <w:rFonts w:ascii="Calibri" w:hAnsi="Calibri" w:eastAsia="宋体" w:cs="Times New Roman"/>
                <w:color w:val="auto"/>
                <w:szCs w:val="21"/>
                <w:u w:val="single"/>
              </w:rPr>
              <w:t xml:space="preserve"> </w:t>
            </w:r>
            <w:r>
              <w:rPr>
                <w:rFonts w:hint="eastAsia" w:ascii="宋体" w:hAnsi="宋体" w:eastAsia="宋体" w:cs="宋体"/>
                <w:color w:val="auto"/>
                <w:sz w:val="24"/>
                <w:szCs w:val="24"/>
                <w:u w:val="single"/>
                <w:lang w:val="en-US" w:eastAsia="zh-CN"/>
              </w:rPr>
              <w:t>5</w:t>
            </w:r>
            <w:r>
              <w:rPr>
                <w:rFonts w:ascii="Calibri" w:hAnsi="Calibri" w:eastAsia="宋体" w:cs="Times New Roman"/>
                <w:color w:val="auto"/>
                <w:szCs w:val="21"/>
                <w:u w:val="single"/>
              </w:rPr>
              <w:t xml:space="preserve"> </w:t>
            </w:r>
            <w:r>
              <w:rPr>
                <w:rFonts w:ascii="Calibri" w:hAnsi="Calibri" w:eastAsia="宋体" w:cs="Times New Roman"/>
                <w:color w:val="auto"/>
                <w:szCs w:val="21"/>
              </w:rPr>
              <w:t>人</w:t>
            </w:r>
          </w:p>
          <w:p w14:paraId="77EBEC7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ascii="Calibri" w:hAnsi="Calibri" w:eastAsia="宋体" w:cs="Times New Roman"/>
                <w:color w:val="auto"/>
                <w:szCs w:val="21"/>
              </w:rPr>
            </w:pPr>
            <w:r>
              <w:rPr>
                <w:rFonts w:ascii="Calibri" w:hAnsi="Calibri" w:eastAsia="宋体" w:cs="Times New Roman"/>
                <w:color w:val="auto"/>
                <w:szCs w:val="21"/>
              </w:rPr>
              <w:t>其中招标人代表</w:t>
            </w:r>
            <w:r>
              <w:rPr>
                <w:rFonts w:ascii="Calibri" w:hAnsi="Calibri" w:eastAsia="宋体" w:cs="Times New Roman"/>
                <w:color w:val="auto"/>
                <w:szCs w:val="21"/>
                <w:u w:val="single"/>
              </w:rPr>
              <w:t xml:space="preserve"> </w:t>
            </w:r>
            <w:r>
              <w:rPr>
                <w:rFonts w:hint="eastAsia" w:ascii="宋体" w:hAnsi="宋体" w:eastAsia="宋体" w:cs="宋体"/>
                <w:color w:val="auto"/>
                <w:sz w:val="24"/>
                <w:szCs w:val="24"/>
                <w:u w:val="single"/>
                <w:lang w:val="en-US" w:eastAsia="zh-CN"/>
              </w:rPr>
              <w:t>0</w:t>
            </w:r>
            <w:r>
              <w:rPr>
                <w:rFonts w:ascii="Calibri" w:hAnsi="Calibri" w:eastAsia="宋体" w:cs="Times New Roman"/>
                <w:color w:val="auto"/>
                <w:szCs w:val="21"/>
                <w:u w:val="single"/>
              </w:rPr>
              <w:t xml:space="preserve"> </w:t>
            </w:r>
            <w:r>
              <w:rPr>
                <w:rFonts w:ascii="Calibri" w:hAnsi="Calibri" w:eastAsia="宋体" w:cs="Times New Roman"/>
                <w:color w:val="auto"/>
                <w:szCs w:val="21"/>
              </w:rPr>
              <w:t>人，专家</w:t>
            </w:r>
            <w:r>
              <w:rPr>
                <w:rFonts w:ascii="Calibri" w:hAnsi="Calibri" w:eastAsia="宋体" w:cs="Times New Roman"/>
                <w:color w:val="auto"/>
                <w:szCs w:val="21"/>
                <w:u w:val="single"/>
              </w:rPr>
              <w:t xml:space="preserve"> </w:t>
            </w:r>
            <w:r>
              <w:rPr>
                <w:rFonts w:hint="eastAsia" w:ascii="宋体" w:hAnsi="宋体" w:eastAsia="宋体" w:cs="宋体"/>
                <w:color w:val="auto"/>
                <w:sz w:val="24"/>
                <w:szCs w:val="24"/>
                <w:u w:val="single"/>
                <w:lang w:val="en-US" w:eastAsia="zh-CN"/>
              </w:rPr>
              <w:t>5</w:t>
            </w:r>
            <w:r>
              <w:rPr>
                <w:rFonts w:ascii="Calibri" w:hAnsi="Calibri" w:eastAsia="宋体" w:cs="Times New Roman"/>
                <w:color w:val="auto"/>
                <w:szCs w:val="21"/>
                <w:u w:val="single"/>
              </w:rPr>
              <w:t xml:space="preserve"> </w:t>
            </w:r>
            <w:r>
              <w:rPr>
                <w:rFonts w:ascii="Calibri" w:hAnsi="Calibri" w:eastAsia="宋体" w:cs="Times New Roman"/>
                <w:color w:val="auto"/>
                <w:szCs w:val="21"/>
              </w:rPr>
              <w:t>人；</w:t>
            </w:r>
          </w:p>
          <w:p w14:paraId="387743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ascii="Calibri" w:hAnsi="Calibri" w:eastAsia="宋体" w:cs="Times New Roman"/>
                <w:color w:val="auto"/>
                <w:szCs w:val="21"/>
              </w:rPr>
            </w:pPr>
            <w:r>
              <w:rPr>
                <w:rFonts w:ascii="Calibri" w:hAnsi="Calibri" w:eastAsia="宋体" w:cs="Times New Roman"/>
                <w:color w:val="auto"/>
                <w:szCs w:val="21"/>
              </w:rPr>
              <w:t>评标专家确定方式：</w:t>
            </w:r>
            <w:r>
              <w:rPr>
                <w:rFonts w:ascii="Calibri" w:hAnsi="Calibri" w:eastAsia="宋体" w:cs="Times New Roman"/>
                <w:color w:val="auto"/>
                <w:szCs w:val="21"/>
                <w:u w:val="single"/>
              </w:rPr>
              <w:t>从湖北省综合评标专家总库相应专业中随机抽取产生</w:t>
            </w:r>
            <w:r>
              <w:rPr>
                <w:rFonts w:ascii="Calibri" w:hAnsi="Calibri" w:eastAsia="宋体" w:cs="Times New Roman"/>
                <w:color w:val="auto"/>
                <w:szCs w:val="21"/>
              </w:rPr>
              <w:t xml:space="preserve"> 。</w:t>
            </w:r>
          </w:p>
        </w:tc>
      </w:tr>
      <w:tr w14:paraId="017ABCAC">
        <w:tblPrEx>
          <w:tblCellMar>
            <w:top w:w="0" w:type="dxa"/>
            <w:left w:w="108" w:type="dxa"/>
            <w:bottom w:w="0" w:type="dxa"/>
            <w:right w:w="108" w:type="dxa"/>
          </w:tblCellMar>
        </w:tblPrEx>
        <w:trPr>
          <w:trHeight w:val="1725"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2CCCEDC6">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6.4</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03BC95EC">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评标结果公示媒介</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760D53D0">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u w:val="single"/>
              </w:rPr>
            </w:pPr>
            <w:r>
              <w:rPr>
                <w:rFonts w:ascii="Calibri" w:hAnsi="Calibri" w:eastAsia="宋体" w:cs="Times New Roman"/>
                <w:color w:val="auto"/>
                <w:szCs w:val="21"/>
                <w:u w:val="single"/>
              </w:rPr>
              <w:t>湖北省电子</w:t>
            </w:r>
            <w:r>
              <w:rPr>
                <w:rFonts w:hint="eastAsia" w:ascii="Calibri" w:hAnsi="Calibri" w:eastAsia="宋体" w:cs="Times New Roman"/>
                <w:color w:val="auto"/>
                <w:szCs w:val="21"/>
                <w:u w:val="single"/>
              </w:rPr>
              <w:t>招投标</w:t>
            </w:r>
            <w:r>
              <w:rPr>
                <w:rFonts w:ascii="Calibri" w:hAnsi="Calibri" w:eastAsia="宋体" w:cs="Times New Roman"/>
                <w:color w:val="auto"/>
                <w:szCs w:val="21"/>
                <w:u w:val="single"/>
              </w:rPr>
              <w:t>交易平台</w:t>
            </w:r>
          </w:p>
          <w:p w14:paraId="58A0FC02">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u w:val="single"/>
              </w:rPr>
            </w:pPr>
            <w:r>
              <w:rPr>
                <w:rFonts w:hint="eastAsia" w:ascii="Calibri" w:hAnsi="Calibri" w:eastAsia="宋体" w:cs="Times New Roman"/>
                <w:color w:val="auto"/>
                <w:szCs w:val="21"/>
                <w:u w:val="single"/>
              </w:rPr>
              <w:t>网址：</w:t>
            </w:r>
            <w:r>
              <w:rPr>
                <w:rFonts w:ascii="Calibri" w:hAnsi="Calibri" w:eastAsia="宋体" w:cs="Times New Roman"/>
                <w:color w:val="auto"/>
                <w:szCs w:val="21"/>
                <w:u w:val="single"/>
              </w:rPr>
              <w:fldChar w:fldCharType="begin"/>
            </w:r>
            <w:r>
              <w:rPr>
                <w:rFonts w:ascii="Calibri" w:hAnsi="Calibri" w:eastAsia="宋体" w:cs="Times New Roman"/>
                <w:color w:val="auto"/>
                <w:szCs w:val="21"/>
                <w:u w:val="single"/>
              </w:rPr>
              <w:instrText xml:space="preserve"> HYPERLINK "http://www.hbbidcloud.c</w:instrText>
            </w:r>
            <w:r>
              <w:rPr>
                <w:rFonts w:hint="eastAsia" w:ascii="Calibri" w:hAnsi="Calibri" w:eastAsia="宋体" w:cs="Times New Roman"/>
                <w:color w:val="auto"/>
                <w:szCs w:val="21"/>
                <w:u w:val="single"/>
              </w:rPr>
              <w:instrText xml:space="preserve">n</w:instrText>
            </w:r>
            <w:r>
              <w:rPr>
                <w:rFonts w:ascii="Calibri" w:hAnsi="Calibri" w:eastAsia="宋体" w:cs="Times New Roman"/>
                <w:color w:val="auto"/>
                <w:szCs w:val="21"/>
                <w:u w:val="single"/>
              </w:rPr>
              <w:instrText xml:space="preserve">" </w:instrText>
            </w:r>
            <w:r>
              <w:rPr>
                <w:rFonts w:ascii="Calibri" w:hAnsi="Calibri" w:eastAsia="宋体" w:cs="Times New Roman"/>
                <w:color w:val="auto"/>
                <w:szCs w:val="21"/>
                <w:u w:val="single"/>
              </w:rPr>
              <w:fldChar w:fldCharType="separate"/>
            </w:r>
            <w:r>
              <w:rPr>
                <w:rFonts w:ascii="Calibri" w:hAnsi="Calibri" w:eastAsia="宋体" w:cs="Times New Roman"/>
                <w:color w:val="auto"/>
                <w:u w:val="single"/>
              </w:rPr>
              <w:t>www.hbbidcloud.c</w:t>
            </w:r>
            <w:r>
              <w:rPr>
                <w:rFonts w:hint="eastAsia" w:ascii="Calibri" w:hAnsi="Calibri" w:eastAsia="宋体" w:cs="Times New Roman"/>
                <w:color w:val="auto"/>
                <w:u w:val="single"/>
              </w:rPr>
              <w:t>n</w:t>
            </w:r>
            <w:r>
              <w:rPr>
                <w:rFonts w:ascii="Calibri" w:hAnsi="Calibri" w:eastAsia="宋体" w:cs="Times New Roman"/>
                <w:color w:val="auto"/>
                <w:szCs w:val="21"/>
                <w:u w:val="single"/>
              </w:rPr>
              <w:fldChar w:fldCharType="end"/>
            </w:r>
          </w:p>
          <w:p w14:paraId="27E8EC7C">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u w:val="single"/>
              </w:rPr>
            </w:pPr>
            <w:r>
              <w:rPr>
                <w:rFonts w:hint="eastAsia" w:ascii="Calibri" w:hAnsi="Calibri" w:eastAsia="宋体" w:cs="Times New Roman"/>
                <w:color w:val="auto"/>
                <w:szCs w:val="21"/>
                <w:u w:val="single"/>
              </w:rPr>
              <w:t>湖北省公共资源交易电子服务系统</w:t>
            </w:r>
          </w:p>
          <w:p w14:paraId="566A633B">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hint="eastAsia" w:ascii="Calibri" w:hAnsi="Calibri" w:eastAsia="宋体" w:cs="Times New Roman"/>
                <w:color w:val="auto"/>
                <w:szCs w:val="21"/>
                <w:u w:val="single"/>
              </w:rPr>
              <w:t>网址：</w:t>
            </w:r>
            <w:r>
              <w:rPr>
                <w:rFonts w:ascii="Calibri" w:hAnsi="Calibri" w:eastAsia="宋体" w:cs="Times New Roman"/>
                <w:color w:val="auto"/>
                <w:szCs w:val="21"/>
                <w:u w:val="single"/>
              </w:rPr>
              <w:t>www.hbggzyfwpt.cn</w:t>
            </w:r>
          </w:p>
        </w:tc>
      </w:tr>
      <w:tr w14:paraId="2E0E2333">
        <w:tblPrEx>
          <w:tblCellMar>
            <w:top w:w="0" w:type="dxa"/>
            <w:left w:w="108" w:type="dxa"/>
            <w:bottom w:w="0" w:type="dxa"/>
            <w:right w:w="108" w:type="dxa"/>
          </w:tblCellMar>
        </w:tblPrEx>
        <w:trPr>
          <w:trHeight w:val="576"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540069D3">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7.1</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0201A1AE">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是否授权评标委员会确定中标人</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28C0B709">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hint="eastAsia" w:ascii="Calibri" w:hAnsi="Calibri" w:eastAsia="宋体" w:cs="Times New Roman"/>
                <w:color w:val="auto"/>
                <w:szCs w:val="21"/>
              </w:rPr>
              <w:t>□</w:t>
            </w:r>
            <w:r>
              <w:rPr>
                <w:rFonts w:ascii="Calibri" w:hAnsi="Calibri" w:eastAsia="宋体" w:cs="Times New Roman"/>
                <w:color w:val="auto"/>
                <w:szCs w:val="21"/>
              </w:rPr>
              <w:t>是</w:t>
            </w:r>
          </w:p>
          <w:p w14:paraId="1A847355">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hint="eastAsia" w:ascii="Calibri" w:hAnsi="Calibri" w:eastAsia="宋体" w:cs="Times New Roman"/>
                <w:color w:val="auto"/>
                <w:szCs w:val="21"/>
                <w:lang w:eastAsia="zh-CN"/>
              </w:rPr>
              <w:t>☑</w:t>
            </w:r>
            <w:r>
              <w:rPr>
                <w:rFonts w:ascii="Calibri" w:hAnsi="Calibri" w:eastAsia="宋体" w:cs="Times New Roman"/>
                <w:color w:val="auto"/>
                <w:szCs w:val="21"/>
              </w:rPr>
              <w:t>否，推荐的中标候选人数：</w:t>
            </w:r>
            <w:r>
              <w:rPr>
                <w:rFonts w:hint="eastAsia" w:ascii="宋体" w:hAnsi="宋体" w:eastAsia="宋体" w:cs="宋体"/>
                <w:color w:val="auto"/>
                <w:sz w:val="24"/>
                <w:szCs w:val="24"/>
                <w:u w:val="single"/>
              </w:rPr>
              <w:t>3名（不进行排序）</w:t>
            </w:r>
            <w:r>
              <w:rPr>
                <w:rFonts w:hint="eastAsia" w:ascii="Calibri" w:hAnsi="Calibri" w:eastAsia="宋体" w:cs="Times New Roman"/>
                <w:color w:val="auto"/>
                <w:szCs w:val="21"/>
                <w:u w:val="single"/>
              </w:rPr>
              <w:t xml:space="preserve"> </w:t>
            </w:r>
          </w:p>
        </w:tc>
      </w:tr>
      <w:tr w14:paraId="48688DFD">
        <w:tblPrEx>
          <w:tblCellMar>
            <w:top w:w="0" w:type="dxa"/>
            <w:left w:w="108" w:type="dxa"/>
            <w:bottom w:w="0" w:type="dxa"/>
            <w:right w:w="108" w:type="dxa"/>
          </w:tblCellMar>
        </w:tblPrEx>
        <w:trPr>
          <w:trHeight w:val="343"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3C4FAF3A">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7.3.1</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4BAB8AC7">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履约担保</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2B810E2C">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rPr>
            </w:pPr>
            <w:r>
              <w:rPr>
                <w:rFonts w:hint="eastAsia" w:ascii="Calibri" w:hAnsi="Calibri" w:eastAsia="宋体" w:cs="Times New Roman"/>
                <w:color w:val="auto"/>
                <w:szCs w:val="21"/>
                <w:lang w:eastAsia="zh-CN"/>
              </w:rPr>
              <w:t>☑</w:t>
            </w:r>
            <w:r>
              <w:rPr>
                <w:rFonts w:hint="eastAsia" w:ascii="Calibri" w:hAnsi="Calibri" w:eastAsia="宋体" w:cs="Times New Roman"/>
                <w:color w:val="auto"/>
                <w:szCs w:val="21"/>
              </w:rPr>
              <w:t>不提交</w:t>
            </w:r>
          </w:p>
          <w:p w14:paraId="3C80F0C4">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rPr>
            </w:pPr>
            <w:r>
              <w:rPr>
                <w:rFonts w:hint="eastAsia" w:ascii="Calibri" w:hAnsi="Calibri" w:eastAsia="宋体" w:cs="Times New Roman"/>
                <w:color w:val="auto"/>
                <w:szCs w:val="21"/>
              </w:rPr>
              <w:t>□提交，</w:t>
            </w:r>
            <w:r>
              <w:rPr>
                <w:rFonts w:ascii="Calibri" w:hAnsi="Calibri" w:eastAsia="宋体" w:cs="Times New Roman"/>
                <w:color w:val="auto"/>
                <w:szCs w:val="21"/>
              </w:rPr>
              <w:t>履约保证金的形式：</w:t>
            </w:r>
          </w:p>
          <w:p w14:paraId="6E750E31">
            <w:pPr>
              <w:keepNext w:val="0"/>
              <w:keepLines w:val="0"/>
              <w:suppressLineNumbers w:val="0"/>
              <w:spacing w:before="0" w:beforeAutospacing="0" w:after="0" w:afterAutospacing="0" w:line="288" w:lineRule="auto"/>
              <w:ind w:left="0" w:right="0" w:firstLine="840" w:firstLineChars="400"/>
              <w:rPr>
                <w:rFonts w:hint="eastAsia" w:ascii="Calibri" w:hAnsi="Calibri" w:eastAsia="宋体" w:cs="Times New Roman"/>
                <w:color w:val="auto"/>
              </w:rPr>
            </w:pPr>
            <w:r>
              <w:rPr>
                <w:rFonts w:hint="eastAsia" w:ascii="Calibri" w:hAnsi="Calibri" w:eastAsia="宋体" w:cs="Times New Roman"/>
                <w:color w:val="auto"/>
              </w:rPr>
              <w:t xml:space="preserve">□银行保函 </w:t>
            </w:r>
            <w:r>
              <w:rPr>
                <w:rFonts w:hint="eastAsia" w:ascii="Calibri" w:hAnsi="Calibri" w:eastAsia="宋体" w:cs="Times New Roman"/>
                <w:color w:val="auto"/>
                <w:u w:val="single"/>
              </w:rPr>
              <w:t xml:space="preserve">                        </w:t>
            </w:r>
          </w:p>
          <w:p w14:paraId="4FD8CE98">
            <w:pPr>
              <w:keepNext w:val="0"/>
              <w:keepLines w:val="0"/>
              <w:suppressLineNumbers w:val="0"/>
              <w:spacing w:before="0" w:beforeAutospacing="0" w:after="0" w:afterAutospacing="0" w:line="288" w:lineRule="auto"/>
              <w:ind w:left="0" w:right="0" w:firstLine="840" w:firstLineChars="400"/>
              <w:rPr>
                <w:rFonts w:hint="eastAsia" w:ascii="Calibri" w:hAnsi="Calibri" w:eastAsia="宋体" w:cs="Times New Roman"/>
                <w:color w:val="auto"/>
              </w:rPr>
            </w:pPr>
            <w:r>
              <w:rPr>
                <w:rFonts w:hint="eastAsia" w:ascii="Calibri" w:hAnsi="Calibri" w:eastAsia="宋体" w:cs="Times New Roman"/>
                <w:color w:val="auto"/>
              </w:rPr>
              <w:t xml:space="preserve">□保证保险 </w:t>
            </w:r>
            <w:r>
              <w:rPr>
                <w:rFonts w:hint="eastAsia" w:ascii="Calibri" w:hAnsi="Calibri" w:eastAsia="宋体" w:cs="Times New Roman"/>
                <w:color w:val="auto"/>
                <w:u w:val="single"/>
              </w:rPr>
              <w:t xml:space="preserve">                        </w:t>
            </w:r>
          </w:p>
          <w:p w14:paraId="40CCF66D">
            <w:pPr>
              <w:keepNext w:val="0"/>
              <w:keepLines w:val="0"/>
              <w:suppressLineNumbers w:val="0"/>
              <w:spacing w:before="0" w:beforeAutospacing="0" w:after="0" w:afterAutospacing="0" w:line="288" w:lineRule="auto"/>
              <w:ind w:left="0" w:right="0" w:firstLine="840" w:firstLineChars="400"/>
              <w:rPr>
                <w:rFonts w:hint="eastAsia" w:ascii="Calibri" w:hAnsi="Calibri" w:eastAsia="宋体" w:cs="Times New Roman"/>
                <w:color w:val="auto"/>
              </w:rPr>
            </w:pPr>
            <w:r>
              <w:rPr>
                <w:rFonts w:hint="eastAsia" w:ascii="Calibri" w:hAnsi="Calibri" w:eastAsia="宋体" w:cs="Times New Roman"/>
                <w:color w:val="auto"/>
              </w:rPr>
              <w:t xml:space="preserve">□其他形式 </w:t>
            </w:r>
            <w:r>
              <w:rPr>
                <w:rFonts w:hint="eastAsia" w:ascii="Calibri" w:hAnsi="Calibri" w:eastAsia="宋体" w:cs="Times New Roman"/>
                <w:color w:val="auto"/>
                <w:u w:val="single"/>
              </w:rPr>
              <w:t xml:space="preserve">                        </w:t>
            </w:r>
          </w:p>
          <w:p w14:paraId="19E7FDDF">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ascii="Calibri" w:hAnsi="Calibri" w:eastAsia="宋体" w:cs="Times New Roman"/>
                <w:color w:val="auto"/>
                <w:szCs w:val="21"/>
              </w:rPr>
              <w:t>履约保证金的金额：合同总价的</w:t>
            </w:r>
            <w:r>
              <w:rPr>
                <w:rFonts w:ascii="Calibri" w:hAnsi="Calibri" w:eastAsia="宋体" w:cs="Times New Roman"/>
                <w:color w:val="auto"/>
                <w:szCs w:val="21"/>
                <w:u w:val="single"/>
              </w:rPr>
              <w:t xml:space="preserve">      </w:t>
            </w:r>
            <w:r>
              <w:rPr>
                <w:rFonts w:ascii="Calibri" w:hAnsi="Calibri" w:eastAsia="宋体" w:cs="Times New Roman"/>
                <w:color w:val="auto"/>
                <w:szCs w:val="21"/>
              </w:rPr>
              <w:t xml:space="preserve"> %</w:t>
            </w:r>
          </w:p>
          <w:p w14:paraId="2E9818B9">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rPr>
            </w:pPr>
            <w:r>
              <w:rPr>
                <w:rFonts w:ascii="Calibri" w:hAnsi="Calibri" w:eastAsia="宋体" w:cs="Times New Roman"/>
                <w:color w:val="auto"/>
                <w:szCs w:val="21"/>
                <w:u w:val="single"/>
              </w:rPr>
              <w:t>（根据相关政策，</w:t>
            </w:r>
            <w:r>
              <w:rPr>
                <w:rFonts w:hint="eastAsia" w:ascii="Calibri" w:hAnsi="Calibri" w:eastAsia="宋体" w:cs="Times New Roman"/>
                <w:color w:val="auto"/>
                <w:szCs w:val="21"/>
                <w:u w:val="single"/>
              </w:rPr>
              <w:t>支持中小企业自主选择以保函、支票、汇票、本票等非现金形式提交履约保证金</w:t>
            </w:r>
            <w:r>
              <w:rPr>
                <w:rFonts w:ascii="Calibri" w:hAnsi="Calibri" w:eastAsia="宋体" w:cs="Times New Roman"/>
                <w:color w:val="auto"/>
                <w:szCs w:val="21"/>
                <w:u w:val="single"/>
              </w:rPr>
              <w:t>）</w:t>
            </w:r>
          </w:p>
        </w:tc>
      </w:tr>
      <w:tr w14:paraId="59789B3B">
        <w:tblPrEx>
          <w:tblCellMar>
            <w:top w:w="0" w:type="dxa"/>
            <w:left w:w="108" w:type="dxa"/>
            <w:bottom w:w="0" w:type="dxa"/>
            <w:right w:w="108" w:type="dxa"/>
          </w:tblCellMar>
        </w:tblPrEx>
        <w:trPr>
          <w:cantSplit/>
          <w:trHeight w:val="0"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541A77E6">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9.5</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1597E53B">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行政监督部门</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50E7373E">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ascii="Calibri" w:hAnsi="Calibri" w:eastAsia="宋体" w:cs="Times New Roman"/>
                <w:color w:val="auto"/>
                <w:szCs w:val="21"/>
              </w:rPr>
              <w:t>名    称：</w:t>
            </w:r>
            <w:r>
              <w:rPr>
                <w:rFonts w:hint="eastAsia" w:ascii="宋体" w:hAnsi="宋体" w:eastAsia="宋体" w:cs="宋体"/>
                <w:color w:val="auto"/>
                <w:sz w:val="24"/>
                <w:szCs w:val="24"/>
                <w:u w:val="single"/>
              </w:rPr>
              <w:t>英山县住房和城乡建设局</w:t>
            </w:r>
            <w:r>
              <w:rPr>
                <w:rFonts w:ascii="Times New Roman" w:hAnsi="Calibri" w:eastAsia="宋体" w:cs="Times New Roman"/>
                <w:color w:val="auto"/>
                <w:szCs w:val="21"/>
                <w:u w:val="single"/>
              </w:rPr>
              <w:t xml:space="preserve"> </w:t>
            </w:r>
          </w:p>
          <w:p w14:paraId="5CABEFF8">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ascii="Calibri" w:hAnsi="Calibri" w:eastAsia="宋体" w:cs="Times New Roman"/>
                <w:color w:val="auto"/>
                <w:szCs w:val="21"/>
              </w:rPr>
              <w:t>地    址：</w:t>
            </w:r>
            <w:r>
              <w:rPr>
                <w:rFonts w:hint="eastAsia" w:ascii="Times New Roman" w:hAnsi="Calibri" w:eastAsia="宋体" w:cs="Times New Roman"/>
                <w:color w:val="auto"/>
                <w:sz w:val="24"/>
                <w:szCs w:val="24"/>
                <w:u w:val="single"/>
              </w:rPr>
              <w:t>英山县温泉镇新政务服务中心</w:t>
            </w:r>
            <w:r>
              <w:rPr>
                <w:rFonts w:hint="eastAsia" w:ascii="宋体" w:hAnsi="宋体" w:eastAsia="宋体" w:cs="宋体"/>
                <w:color w:val="auto"/>
                <w:sz w:val="24"/>
                <w:szCs w:val="24"/>
                <w:u w:val="single"/>
              </w:rPr>
              <w:t>A区</w:t>
            </w:r>
            <w:r>
              <w:rPr>
                <w:rFonts w:hint="eastAsia" w:ascii="Times New Roman" w:hAnsi="Calibri" w:eastAsia="宋体" w:cs="Times New Roman"/>
                <w:color w:val="auto"/>
                <w:sz w:val="24"/>
                <w:szCs w:val="24"/>
                <w:u w:val="single"/>
              </w:rPr>
              <w:t>二楼</w:t>
            </w:r>
            <w:r>
              <w:rPr>
                <w:rFonts w:ascii="Times New Roman" w:hAnsi="Calibri" w:eastAsia="宋体" w:cs="Times New Roman"/>
                <w:color w:val="auto"/>
                <w:szCs w:val="21"/>
                <w:u w:val="single"/>
              </w:rPr>
              <w:t xml:space="preserve"> </w:t>
            </w:r>
          </w:p>
          <w:p w14:paraId="30D05189">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u w:val="single"/>
              </w:rPr>
            </w:pPr>
            <w:r>
              <w:rPr>
                <w:rFonts w:ascii="Calibri" w:hAnsi="Calibri" w:eastAsia="宋体" w:cs="Times New Roman"/>
                <w:color w:val="auto"/>
                <w:szCs w:val="21"/>
              </w:rPr>
              <w:t>电    话：</w:t>
            </w:r>
            <w:r>
              <w:rPr>
                <w:rFonts w:hint="eastAsia" w:ascii="宋体" w:hAnsi="宋体" w:eastAsia="宋体" w:cs="宋体"/>
                <w:color w:val="auto"/>
                <w:sz w:val="24"/>
                <w:szCs w:val="24"/>
                <w:u w:val="single"/>
                <w:lang w:val="en-US" w:eastAsia="zh-CN"/>
              </w:rPr>
              <w:t>0713-7013301</w:t>
            </w:r>
            <w:r>
              <w:rPr>
                <w:rFonts w:ascii="Times New Roman" w:hAnsi="Calibri" w:eastAsia="宋体" w:cs="Times New Roman"/>
                <w:color w:val="auto"/>
                <w:szCs w:val="21"/>
                <w:u w:val="single"/>
              </w:rPr>
              <w:t xml:space="preserve"> </w:t>
            </w:r>
          </w:p>
          <w:p w14:paraId="34E65BF5">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ascii="Calibri" w:hAnsi="Calibri" w:eastAsia="宋体" w:cs="Times New Roman"/>
                <w:color w:val="auto"/>
                <w:szCs w:val="21"/>
              </w:rPr>
              <w:t>传    真：</w:t>
            </w:r>
            <w:r>
              <w:rPr>
                <w:rFonts w:ascii="Times New Roman" w:hAnsi="Calibri" w:eastAsia="宋体" w:cs="Times New Roman"/>
                <w:color w:val="auto"/>
                <w:szCs w:val="21"/>
                <w:u w:val="single"/>
              </w:rPr>
              <w:t xml:space="preserve">  </w:t>
            </w:r>
            <w:r>
              <w:rPr>
                <w:rFonts w:hint="eastAsia" w:ascii="宋体" w:hAnsi="宋体" w:eastAsia="宋体" w:cs="宋体"/>
                <w:color w:val="auto"/>
                <w:sz w:val="24"/>
                <w:szCs w:val="24"/>
                <w:u w:val="single"/>
                <w:lang w:val="en-US" w:eastAsia="zh-CN"/>
              </w:rPr>
              <w:t>/</w:t>
            </w:r>
            <w:r>
              <w:rPr>
                <w:rFonts w:ascii="Times New Roman" w:hAnsi="Calibri" w:eastAsia="宋体" w:cs="Times New Roman"/>
                <w:color w:val="auto"/>
                <w:szCs w:val="21"/>
                <w:u w:val="single"/>
              </w:rPr>
              <w:t xml:space="preserve">  </w:t>
            </w:r>
          </w:p>
          <w:p w14:paraId="66695813">
            <w:pPr>
              <w:keepNext w:val="0"/>
              <w:keepLines w:val="0"/>
              <w:suppressLineNumbers w:val="0"/>
              <w:spacing w:before="0" w:beforeAutospacing="0" w:after="0" w:afterAutospacing="0" w:line="400" w:lineRule="exact"/>
              <w:ind w:left="0" w:right="0"/>
              <w:rPr>
                <w:rFonts w:hint="eastAsia" w:ascii="Calibri" w:hAnsi="Calibri" w:eastAsia="宋体" w:cs="Times New Roman"/>
                <w:color w:val="auto"/>
                <w:szCs w:val="21"/>
              </w:rPr>
            </w:pPr>
            <w:r>
              <w:rPr>
                <w:rFonts w:ascii="Calibri" w:hAnsi="Calibri" w:eastAsia="宋体" w:cs="Times New Roman"/>
                <w:color w:val="auto"/>
                <w:szCs w:val="21"/>
              </w:rPr>
              <w:t>邮政编码</w:t>
            </w:r>
            <w:r>
              <w:rPr>
                <w:rFonts w:hint="eastAsia" w:ascii="Calibri" w:hAnsi="Calibri" w:eastAsia="宋体" w:cs="Times New Roman"/>
                <w:color w:val="auto"/>
                <w:szCs w:val="21"/>
              </w:rPr>
              <w:t>：</w:t>
            </w:r>
            <w:r>
              <w:rPr>
                <w:rFonts w:hint="eastAsia" w:ascii="宋体" w:hAnsi="宋体" w:eastAsia="宋体" w:cs="宋体"/>
                <w:color w:val="auto"/>
                <w:sz w:val="24"/>
                <w:szCs w:val="24"/>
                <w:u w:val="single"/>
                <w:lang w:val="en-US" w:eastAsia="zh-CN"/>
              </w:rPr>
              <w:t>438700</w:t>
            </w:r>
            <w:r>
              <w:rPr>
                <w:rFonts w:ascii="Times New Roman" w:hAnsi="Calibri" w:eastAsia="宋体" w:cs="Times New Roman"/>
                <w:color w:val="auto"/>
                <w:szCs w:val="21"/>
                <w:u w:val="single"/>
              </w:rPr>
              <w:t xml:space="preserve"> </w:t>
            </w:r>
          </w:p>
        </w:tc>
      </w:tr>
      <w:tr w14:paraId="2A6DF4E6">
        <w:tblPrEx>
          <w:tblCellMar>
            <w:top w:w="0" w:type="dxa"/>
            <w:left w:w="108" w:type="dxa"/>
            <w:bottom w:w="0" w:type="dxa"/>
            <w:right w:w="108" w:type="dxa"/>
          </w:tblCellMar>
        </w:tblPrEx>
        <w:trPr>
          <w:trHeight w:val="0"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1BFDF00E">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10.1</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50A7AF52">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hint="eastAsia" w:ascii="宋体" w:hAnsi="Calibri" w:eastAsia="宋体" w:cs="宋体"/>
                <w:color w:val="auto"/>
                <w:spacing w:val="4"/>
                <w:kern w:val="0"/>
                <w:sz w:val="22"/>
                <w:szCs w:val="22"/>
              </w:rPr>
              <w:t>多标段投标</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027C22C3">
            <w:pPr>
              <w:keepNext w:val="0"/>
              <w:keepLines w:val="0"/>
              <w:suppressLineNumbers w:val="0"/>
              <w:spacing w:before="0" w:beforeAutospacing="0" w:after="0" w:afterAutospacing="0"/>
              <w:ind w:left="0" w:right="0"/>
              <w:rPr>
                <w:rFonts w:ascii="Calibri" w:hAnsi="Calibri" w:eastAsia="宋体" w:cs="Times New Roman"/>
                <w:color w:val="auto"/>
                <w:u w:val="single"/>
              </w:rPr>
            </w:pPr>
            <w:r>
              <w:rPr>
                <w:rFonts w:hint="eastAsia" w:ascii="Calibri" w:hAnsi="Calibri" w:eastAsia="宋体" w:cs="Times New Roman"/>
                <w:color w:val="auto"/>
                <w:u w:val="single"/>
              </w:rPr>
              <w:t>投标人可同时对本次招标标段中的</w:t>
            </w:r>
            <w:r>
              <w:rPr>
                <w:rFonts w:ascii="Calibri" w:hAnsi="Calibri" w:eastAsia="宋体" w:cs="Times New Roman"/>
                <w:color w:val="auto"/>
                <w:u w:val="single"/>
              </w:rPr>
              <w:t xml:space="preserve"> </w:t>
            </w:r>
            <w:r>
              <w:rPr>
                <w:rFonts w:hint="eastAsia" w:ascii="宋体" w:hAnsi="宋体" w:eastAsia="宋体" w:cs="宋体"/>
                <w:color w:val="auto"/>
                <w:sz w:val="24"/>
                <w:szCs w:val="32"/>
                <w:u w:val="single"/>
                <w:lang w:val="en-US" w:eastAsia="zh-CN"/>
              </w:rPr>
              <w:t>1</w:t>
            </w:r>
            <w:r>
              <w:rPr>
                <w:rFonts w:ascii="Calibri" w:hAnsi="Calibri" w:eastAsia="宋体" w:cs="Times New Roman"/>
                <w:color w:val="auto"/>
                <w:u w:val="single"/>
              </w:rPr>
              <w:t xml:space="preserve"> </w:t>
            </w:r>
            <w:r>
              <w:rPr>
                <w:rFonts w:hint="eastAsia" w:ascii="Calibri" w:hAnsi="Calibri" w:eastAsia="宋体" w:cs="Times New Roman"/>
                <w:color w:val="auto"/>
                <w:u w:val="single"/>
              </w:rPr>
              <w:t>个标段投标。招标人按下列原则选择中标人：</w:t>
            </w:r>
          </w:p>
          <w:p w14:paraId="4E4F15C3">
            <w:pPr>
              <w:keepNext w:val="0"/>
              <w:keepLines w:val="0"/>
              <w:suppressLineNumbers w:val="0"/>
              <w:spacing w:before="0" w:beforeAutospacing="0" w:after="0" w:afterAutospacing="0"/>
              <w:ind w:left="0" w:right="0"/>
              <w:rPr>
                <w:rFonts w:ascii="Calibri" w:hAnsi="Calibri" w:eastAsia="宋体" w:cs="Times New Roman"/>
                <w:color w:val="auto"/>
                <w:u w:val="single"/>
              </w:rPr>
            </w:pPr>
            <w:r>
              <w:rPr>
                <w:rFonts w:hint="eastAsia" w:ascii="Calibri" w:hAnsi="Calibri" w:eastAsia="宋体" w:cs="Times New Roman"/>
                <w:color w:val="auto"/>
                <w:u w:val="single"/>
              </w:rPr>
              <w:t>□</w:t>
            </w:r>
            <w:r>
              <w:rPr>
                <w:rFonts w:ascii="Calibri" w:hAnsi="Calibri" w:eastAsia="宋体" w:cs="Times New Roman"/>
                <w:color w:val="auto"/>
                <w:u w:val="single"/>
              </w:rPr>
              <w:t xml:space="preserve"> </w:t>
            </w:r>
            <w:r>
              <w:rPr>
                <w:rFonts w:hint="eastAsia" w:ascii="Calibri" w:hAnsi="Calibri" w:eastAsia="宋体" w:cs="Times New Roman"/>
                <w:color w:val="auto"/>
                <w:u w:val="single"/>
              </w:rPr>
              <w:t>招标人按标段择优选择中标人。</w:t>
            </w:r>
          </w:p>
          <w:p w14:paraId="762A5110">
            <w:pPr>
              <w:keepNext w:val="0"/>
              <w:keepLines w:val="0"/>
              <w:suppressLineNumbers w:val="0"/>
              <w:adjustRightInd w:val="0"/>
              <w:spacing w:before="0" w:beforeAutospacing="0" w:after="0" w:afterAutospacing="0" w:line="400" w:lineRule="exact"/>
              <w:ind w:left="0" w:right="0"/>
              <w:rPr>
                <w:rFonts w:ascii="Calibri" w:hAnsi="Calibri" w:eastAsia="宋体" w:cs="Times New Roman"/>
                <w:color w:val="auto"/>
                <w:u w:val="single"/>
              </w:rPr>
            </w:pPr>
            <w:r>
              <w:rPr>
                <w:rFonts w:hint="eastAsia" w:ascii="Calibri" w:hAnsi="Calibri" w:eastAsia="宋体" w:cs="Times New Roman"/>
                <w:color w:val="auto"/>
                <w:u w:val="single"/>
              </w:rPr>
              <w:t>□</w:t>
            </w:r>
            <w:r>
              <w:rPr>
                <w:rFonts w:ascii="Calibri" w:hAnsi="Calibri" w:eastAsia="宋体" w:cs="Times New Roman"/>
                <w:color w:val="auto"/>
                <w:u w:val="single"/>
              </w:rPr>
              <w:t xml:space="preserve"> </w:t>
            </w:r>
            <w:r>
              <w:rPr>
                <w:rFonts w:hint="eastAsia" w:ascii="Calibri" w:hAnsi="Calibri" w:eastAsia="宋体" w:cs="Times New Roman"/>
                <w:color w:val="auto"/>
                <w:u w:val="single"/>
              </w:rPr>
              <w:t>投标人最多只允许中标</w:t>
            </w:r>
            <w:r>
              <w:rPr>
                <w:rFonts w:ascii="Calibri" w:hAnsi="Calibri" w:eastAsia="宋体" w:cs="Times New Roman"/>
                <w:color w:val="auto"/>
                <w:u w:val="single"/>
              </w:rPr>
              <w:t xml:space="preserve">     </w:t>
            </w:r>
            <w:r>
              <w:rPr>
                <w:rFonts w:hint="eastAsia" w:ascii="Calibri" w:hAnsi="Calibri" w:eastAsia="宋体" w:cs="Times New Roman"/>
                <w:color w:val="auto"/>
                <w:u w:val="single"/>
              </w:rPr>
              <w:t>个标段。如果同一投标人在多个标段中均排序第一，推荐中标候选人顺序为：</w:t>
            </w:r>
          </w:p>
          <w:p w14:paraId="5A849E63">
            <w:pPr>
              <w:keepNext w:val="0"/>
              <w:keepLines w:val="0"/>
              <w:suppressLineNumbers w:val="0"/>
              <w:adjustRightInd w:val="0"/>
              <w:spacing w:before="0" w:beforeAutospacing="0" w:after="0" w:afterAutospacing="0" w:line="400" w:lineRule="exact"/>
              <w:ind w:left="0" w:right="0" w:firstLine="315" w:firstLineChars="150"/>
              <w:rPr>
                <w:rFonts w:ascii="Calibri" w:hAnsi="Calibri" w:eastAsia="宋体" w:cs="Times New Roman"/>
                <w:color w:val="auto"/>
                <w:u w:val="single"/>
              </w:rPr>
            </w:pPr>
            <w:r>
              <w:rPr>
                <w:rFonts w:hint="eastAsia" w:ascii="Calibri" w:hAnsi="Calibri" w:eastAsia="宋体" w:cs="Times New Roman"/>
                <w:color w:val="auto"/>
                <w:u w:val="single"/>
              </w:rPr>
              <w:t>□按照标段顺序，投标人在前面标段被推荐为第一中标候选人后，所投其他标段将不再被推荐为中标候选人。</w:t>
            </w:r>
          </w:p>
          <w:p w14:paraId="3DBF44AB">
            <w:pPr>
              <w:keepNext w:val="0"/>
              <w:keepLines w:val="0"/>
              <w:suppressLineNumbers w:val="0"/>
              <w:adjustRightInd w:val="0"/>
              <w:spacing w:before="0" w:beforeAutospacing="0" w:after="0" w:afterAutospacing="0" w:line="400" w:lineRule="exact"/>
              <w:ind w:left="0" w:right="0" w:firstLine="315" w:firstLineChars="150"/>
              <w:rPr>
                <w:rFonts w:ascii="Calibri" w:hAnsi="Calibri" w:eastAsia="宋体" w:cs="Times New Roman"/>
                <w:color w:val="auto"/>
                <w:u w:val="single"/>
              </w:rPr>
            </w:pPr>
            <w:r>
              <w:rPr>
                <w:rFonts w:hint="eastAsia" w:ascii="Calibri" w:hAnsi="Calibri" w:eastAsia="宋体" w:cs="Times New Roman"/>
                <w:color w:val="auto"/>
                <w:u w:val="single"/>
              </w:rPr>
              <w:t>□按照标段最高投标限价从大到小的顺序，投标人在最高投标限价大的标段被推荐为第一中标候选人后，所投其他标段将不再被推荐为中标候选人。</w:t>
            </w:r>
          </w:p>
          <w:p w14:paraId="010A1A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360" w:firstLineChars="150"/>
              <w:textAlignment w:val="auto"/>
              <w:rPr>
                <w:rFonts w:ascii="Calibri" w:hAnsi="Calibri" w:eastAsia="宋体" w:cs="Times New Roman"/>
                <w:color w:val="auto"/>
              </w:rPr>
            </w:pPr>
            <w:r>
              <w:rPr>
                <w:rFonts w:hint="eastAsia" w:ascii="Calibri" w:hAnsi="Calibri" w:eastAsia="宋体" w:cs="Times New Roman"/>
                <w:color w:val="auto"/>
                <w:sz w:val="24"/>
                <w:szCs w:val="32"/>
                <w:lang w:eastAsia="zh-CN"/>
              </w:rPr>
              <w:t>☑</w:t>
            </w:r>
            <w:r>
              <w:rPr>
                <w:rFonts w:hint="eastAsia" w:ascii="Calibri" w:hAnsi="Calibri" w:eastAsia="宋体" w:cs="Times New Roman"/>
                <w:color w:val="auto"/>
                <w:sz w:val="24"/>
                <w:szCs w:val="32"/>
                <w:u w:val="single"/>
              </w:rPr>
              <w:t>本项目采用“评定分离”</w:t>
            </w:r>
            <w:r>
              <w:rPr>
                <w:rFonts w:hint="eastAsia" w:ascii="Calibri" w:hAnsi="Calibri" w:cs="Times New Roman"/>
                <w:color w:val="auto"/>
                <w:sz w:val="24"/>
                <w:szCs w:val="32"/>
                <w:u w:val="single"/>
                <w:lang w:val="en-US" w:eastAsia="zh-CN"/>
              </w:rPr>
              <w:t>方式</w:t>
            </w:r>
            <w:r>
              <w:rPr>
                <w:rFonts w:hint="eastAsia" w:ascii="Calibri" w:hAnsi="Calibri" w:eastAsia="宋体" w:cs="Times New Roman"/>
                <w:color w:val="auto"/>
                <w:sz w:val="24"/>
                <w:szCs w:val="32"/>
                <w:u w:val="single"/>
              </w:rPr>
              <w:t>确定中标人，定标方法采用投票表决法（票决数量法）</w:t>
            </w:r>
            <w:r>
              <w:rPr>
                <w:rFonts w:ascii="Calibri" w:hAnsi="Calibri" w:eastAsia="宋体" w:cs="Times New Roman"/>
                <w:color w:val="auto"/>
                <w:u w:val="single"/>
              </w:rPr>
              <w:t xml:space="preserve"> </w:t>
            </w:r>
            <w:r>
              <w:rPr>
                <w:rFonts w:hint="eastAsia" w:ascii="Calibri" w:hAnsi="Calibri" w:eastAsia="宋体" w:cs="Times New Roman"/>
                <w:color w:val="auto"/>
              </w:rPr>
              <w:t>。</w:t>
            </w:r>
          </w:p>
        </w:tc>
      </w:tr>
      <w:tr w14:paraId="79351D59">
        <w:tblPrEx>
          <w:tblCellMar>
            <w:top w:w="0" w:type="dxa"/>
            <w:left w:w="108" w:type="dxa"/>
            <w:bottom w:w="0" w:type="dxa"/>
            <w:right w:w="108" w:type="dxa"/>
          </w:tblCellMar>
        </w:tblPrEx>
        <w:trPr>
          <w:trHeight w:val="634"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76804861">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rPr>
            </w:pPr>
            <w:r>
              <w:rPr>
                <w:rFonts w:hint="eastAsia" w:ascii="Calibri" w:hAnsi="Calibri" w:eastAsia="宋体" w:cs="Times New Roman"/>
                <w:color w:val="auto"/>
              </w:rPr>
              <w:t>10.2.1</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16FDBCF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Times New Roman"/>
                <w:color w:val="auto"/>
                <w:szCs w:val="21"/>
              </w:rPr>
            </w:pPr>
            <w:r>
              <w:rPr>
                <w:rFonts w:hint="eastAsia" w:ascii="宋体" w:hAnsi="宋体" w:eastAsia="宋体" w:cs="Times New Roman"/>
                <w:color w:val="auto"/>
                <w:szCs w:val="21"/>
              </w:rPr>
              <w:t>小微企业报价优惠（扣除）系数</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4A702A74">
            <w:pPr>
              <w:keepNext w:val="0"/>
              <w:keepLines w:val="0"/>
              <w:suppressLineNumbers w:val="0"/>
              <w:spacing w:before="0" w:beforeAutospacing="0" w:after="0" w:afterAutospacing="0" w:line="400" w:lineRule="exact"/>
              <w:ind w:left="0" w:right="0"/>
              <w:rPr>
                <w:rFonts w:hint="default" w:ascii="宋体" w:hAnsi="宋体" w:eastAsia="宋体" w:cs="Times New Roman"/>
                <w:color w:val="auto"/>
                <w:szCs w:val="21"/>
                <w:lang w:val="en-US" w:eastAsia="zh-CN"/>
              </w:rPr>
            </w:pPr>
            <w:r>
              <w:rPr>
                <w:rFonts w:hint="eastAsia" w:ascii="宋体" w:hAnsi="宋体" w:eastAsia="宋体" w:cs="Times New Roman"/>
                <w:color w:val="auto"/>
                <w:szCs w:val="21"/>
              </w:rPr>
              <w:t>P的取值：</w:t>
            </w:r>
            <w:r>
              <w:rPr>
                <w:rFonts w:hint="eastAsia" w:ascii="宋体" w:hAnsi="宋体" w:eastAsia="宋体" w:cs="Times New Roman"/>
                <w:color w:val="auto"/>
                <w:szCs w:val="21"/>
                <w:u w:val="single"/>
                <w:lang w:val="en-US" w:eastAsia="zh-CN"/>
              </w:rPr>
              <w:t xml:space="preserve">  </w:t>
            </w:r>
            <w:r>
              <w:rPr>
                <w:rFonts w:hint="eastAsia" w:ascii="宋体" w:hAnsi="宋体" w:eastAsia="宋体" w:cs="Times New Roman"/>
                <w:color w:val="auto"/>
                <w:sz w:val="24"/>
                <w:szCs w:val="24"/>
                <w:u w:val="single"/>
                <w:lang w:val="en-US" w:eastAsia="zh-CN"/>
              </w:rPr>
              <w:t>5</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u w:val="single"/>
                <w:lang w:val="en-US" w:eastAsia="zh-CN"/>
              </w:rPr>
              <w:t xml:space="preserve"> </w:t>
            </w:r>
          </w:p>
        </w:tc>
      </w:tr>
      <w:tr w14:paraId="2EC32474">
        <w:tblPrEx>
          <w:tblCellMar>
            <w:top w:w="0" w:type="dxa"/>
            <w:left w:w="108" w:type="dxa"/>
            <w:bottom w:w="0" w:type="dxa"/>
            <w:right w:w="108" w:type="dxa"/>
          </w:tblCellMar>
        </w:tblPrEx>
        <w:trPr>
          <w:trHeight w:val="635"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7AF0D46F">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rPr>
            </w:pPr>
            <w:r>
              <w:rPr>
                <w:rFonts w:hint="eastAsia" w:ascii="Calibri" w:hAnsi="Calibri" w:eastAsia="宋体" w:cs="Times New Roman"/>
                <w:color w:val="auto"/>
              </w:rPr>
              <w:t>10.2.2</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00E714A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Times New Roman"/>
                <w:color w:val="auto"/>
                <w:szCs w:val="21"/>
              </w:rPr>
            </w:pPr>
            <w:r>
              <w:rPr>
                <w:rFonts w:hint="eastAsia" w:ascii="宋体" w:hAnsi="宋体" w:eastAsia="宋体" w:cs="Times New Roman"/>
                <w:color w:val="auto"/>
                <w:szCs w:val="21"/>
              </w:rPr>
              <w:t>满足条件的联合体或者分包企业报价优惠(扣除)系数</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01BC3D00">
            <w:pPr>
              <w:keepNext w:val="0"/>
              <w:keepLines w:val="0"/>
              <w:suppressLineNumbers w:val="0"/>
              <w:spacing w:before="0" w:beforeAutospacing="0" w:after="0" w:afterAutospacing="0" w:line="400" w:lineRule="exact"/>
              <w:ind w:left="0" w:right="0"/>
              <w:rPr>
                <w:rFonts w:hint="eastAsia" w:ascii="宋体" w:hAnsi="宋体" w:eastAsia="宋体" w:cs="Times New Roman"/>
                <w:color w:val="auto"/>
                <w:szCs w:val="21"/>
                <w:lang w:val="en-US" w:eastAsia="zh-CN"/>
              </w:rPr>
            </w:pPr>
            <w:r>
              <w:rPr>
                <w:rFonts w:hint="eastAsia" w:ascii="宋体" w:hAnsi="宋体" w:eastAsia="宋体" w:cs="Times New Roman"/>
                <w:color w:val="auto"/>
                <w:szCs w:val="21"/>
              </w:rPr>
              <w:t>Q的取值：</w:t>
            </w:r>
            <w:r>
              <w:rPr>
                <w:rFonts w:hint="eastAsia" w:ascii="宋体" w:hAnsi="宋体" w:eastAsia="宋体" w:cs="Times New Roman"/>
                <w:color w:val="auto"/>
                <w:szCs w:val="21"/>
                <w:u w:val="single"/>
                <w:lang w:val="en-US" w:eastAsia="zh-CN"/>
              </w:rPr>
              <w:t xml:space="preserve"> </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 w:val="24"/>
                <w:szCs w:val="24"/>
                <w:u w:val="single"/>
                <w:lang w:val="en-US" w:eastAsia="zh-CN"/>
              </w:rPr>
              <w:t>2</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u w:val="single"/>
                <w:lang w:val="en-US" w:eastAsia="zh-CN"/>
              </w:rPr>
              <w:t xml:space="preserve"> </w:t>
            </w:r>
          </w:p>
        </w:tc>
      </w:tr>
      <w:tr w14:paraId="0B95A1C3">
        <w:tblPrEx>
          <w:tblCellMar>
            <w:top w:w="0" w:type="dxa"/>
            <w:left w:w="108" w:type="dxa"/>
            <w:bottom w:w="0" w:type="dxa"/>
            <w:right w:w="108" w:type="dxa"/>
          </w:tblCellMar>
        </w:tblPrEx>
        <w:trPr>
          <w:trHeight w:val="522"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5B312DDE">
            <w:pPr>
              <w:keepNext w:val="0"/>
              <w:keepLines w:val="0"/>
              <w:suppressLineNumbers w:val="0"/>
              <w:spacing w:before="0" w:beforeAutospacing="0" w:after="0" w:afterAutospacing="0" w:line="312" w:lineRule="auto"/>
              <w:ind w:left="0" w:right="0"/>
              <w:jc w:val="center"/>
              <w:rPr>
                <w:rFonts w:ascii="Calibri" w:hAnsi="Calibri" w:eastAsia="宋体" w:cs="Times New Roman"/>
                <w:color w:val="auto"/>
                <w:szCs w:val="21"/>
              </w:rPr>
            </w:pPr>
            <w:r>
              <w:rPr>
                <w:rFonts w:ascii="Calibri" w:hAnsi="Calibri" w:eastAsia="宋体" w:cs="Times New Roman"/>
                <w:color w:val="auto"/>
              </w:rPr>
              <w:t>10.</w:t>
            </w:r>
            <w:r>
              <w:rPr>
                <w:rFonts w:hint="eastAsia" w:ascii="Calibri" w:hAnsi="Calibri" w:eastAsia="宋体" w:cs="Times New Roman"/>
                <w:color w:val="auto"/>
              </w:rPr>
              <w:t>3</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23E9ADC0">
            <w:pPr>
              <w:keepNext w:val="0"/>
              <w:keepLines w:val="0"/>
              <w:suppressLineNumbers w:val="0"/>
              <w:spacing w:before="0" w:beforeAutospacing="0" w:after="0" w:afterAutospacing="0"/>
              <w:ind w:left="0" w:right="0"/>
              <w:rPr>
                <w:rFonts w:hint="eastAsia" w:ascii="Calibri" w:hAnsi="Calibri" w:eastAsia="宋体" w:cs="Times New Roman"/>
                <w:color w:val="auto"/>
              </w:rPr>
            </w:pPr>
            <w:r>
              <w:rPr>
                <w:rFonts w:hint="eastAsia" w:ascii="Times New Roman" w:hAnsi="Times New Roman" w:eastAsia="宋体" w:cs="宋体"/>
                <w:color w:val="auto"/>
                <w:lang w:bidi="ar"/>
              </w:rPr>
              <w:t>交易平台信息服务费</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6F2C9108">
            <w:pPr>
              <w:keepNext w:val="0"/>
              <w:keepLines w:val="0"/>
              <w:suppressLineNumbers w:val="0"/>
              <w:spacing w:before="0" w:beforeAutospacing="0" w:after="0" w:afterAutospacing="0"/>
              <w:ind w:left="0" w:right="0"/>
              <w:rPr>
                <w:rFonts w:hint="eastAsia" w:ascii="宋体" w:hAnsi="宋体" w:eastAsia="宋体" w:cs="Times New Roman"/>
                <w:color w:val="auto"/>
                <w:szCs w:val="21"/>
              </w:rPr>
            </w:pPr>
            <w:r>
              <w:rPr>
                <w:rFonts w:hint="eastAsia" w:ascii="宋体" w:hAnsi="宋体" w:eastAsia="宋体" w:cs="Times New Roman"/>
                <w:color w:val="auto"/>
                <w:szCs w:val="21"/>
              </w:rPr>
              <w:t xml:space="preserve"> </w:t>
            </w:r>
            <w:r>
              <w:rPr>
                <w:rFonts w:ascii="Calibri" w:hAnsi="Calibri" w:eastAsia="宋体" w:cs="Times New Roman"/>
                <w:color w:val="auto"/>
                <w:u w:val="single"/>
              </w:rPr>
              <w:t xml:space="preserve">      </w:t>
            </w:r>
            <w:r>
              <w:rPr>
                <w:rFonts w:hint="eastAsia" w:ascii="Calibri" w:hAnsi="Calibri" w:eastAsia="宋体" w:cs="Times New Roman"/>
                <w:color w:val="auto"/>
                <w:u w:val="single"/>
              </w:rPr>
              <w:t>∕</w:t>
            </w:r>
            <w:r>
              <w:rPr>
                <w:rFonts w:ascii="Calibri" w:hAnsi="Calibri" w:eastAsia="宋体" w:cs="Times New Roman"/>
                <w:color w:val="auto"/>
                <w:u w:val="single"/>
              </w:rPr>
              <w:t xml:space="preserve">             </w:t>
            </w:r>
            <w:r>
              <w:rPr>
                <w:rFonts w:hint="eastAsia" w:ascii="Calibri" w:hAnsi="Calibri" w:eastAsia="宋体" w:cs="Times New Roman"/>
                <w:color w:val="auto"/>
              </w:rPr>
              <w:t>。</w:t>
            </w:r>
          </w:p>
        </w:tc>
      </w:tr>
      <w:tr w14:paraId="7AC69AD7">
        <w:tblPrEx>
          <w:tblCellMar>
            <w:top w:w="0" w:type="dxa"/>
            <w:left w:w="108" w:type="dxa"/>
            <w:bottom w:w="0" w:type="dxa"/>
            <w:right w:w="108" w:type="dxa"/>
          </w:tblCellMar>
        </w:tblPrEx>
        <w:trPr>
          <w:trHeight w:val="3251"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0E0C09C8">
            <w:pPr>
              <w:keepNext w:val="0"/>
              <w:keepLines w:val="0"/>
              <w:suppressLineNumbers w:val="0"/>
              <w:spacing w:before="0" w:beforeAutospacing="0" w:after="0" w:afterAutospacing="0" w:line="312" w:lineRule="auto"/>
              <w:ind w:left="0" w:right="0"/>
              <w:jc w:val="center"/>
              <w:rPr>
                <w:rFonts w:ascii="Calibri" w:hAnsi="Calibri" w:eastAsia="宋体" w:cs="Times New Roman"/>
                <w:color w:val="auto"/>
                <w:szCs w:val="21"/>
              </w:rPr>
            </w:pPr>
            <w:r>
              <w:rPr>
                <w:rFonts w:ascii="Calibri" w:hAnsi="Calibri" w:eastAsia="宋体" w:cs="Times New Roman"/>
                <w:color w:val="auto"/>
              </w:rPr>
              <w:t>10.</w:t>
            </w:r>
            <w:r>
              <w:rPr>
                <w:rFonts w:hint="eastAsia" w:ascii="Calibri" w:hAnsi="Calibri" w:eastAsia="宋体" w:cs="Times New Roman"/>
                <w:color w:val="auto"/>
              </w:rPr>
              <w:t>4</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5DC33642">
            <w:pPr>
              <w:keepNext w:val="0"/>
              <w:keepLines w:val="0"/>
              <w:suppressLineNumbers w:val="0"/>
              <w:spacing w:before="0" w:beforeAutospacing="0" w:after="0" w:afterAutospacing="0" w:line="312" w:lineRule="auto"/>
              <w:ind w:left="0" w:right="0"/>
              <w:rPr>
                <w:rFonts w:ascii="仿宋_GB2312" w:hAnsi="宋体" w:eastAsia="仿宋_GB2312" w:cs="Times New Roman"/>
                <w:color w:val="auto"/>
                <w:szCs w:val="21"/>
                <w:bdr w:val="single" w:color="auto" w:sz="4" w:space="0"/>
              </w:rPr>
            </w:pPr>
            <w:r>
              <w:rPr>
                <w:rFonts w:hint="eastAsia" w:ascii="宋体" w:hAnsi="Times New Roman" w:eastAsia="宋体" w:cs="宋体"/>
                <w:color w:val="auto"/>
                <w:spacing w:val="4"/>
                <w:kern w:val="0"/>
                <w:sz w:val="22"/>
                <w:szCs w:val="22"/>
                <w:lang w:bidi="ar"/>
              </w:rPr>
              <w:t>招标代理服务费</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29D7D4A1">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hint="eastAsia" w:ascii="Calibri" w:hAnsi="Calibri" w:eastAsia="宋体" w:cs="Times New Roman"/>
                <w:color w:val="auto"/>
                <w:szCs w:val="21"/>
              </w:rPr>
              <w:t>□</w:t>
            </w:r>
            <w:r>
              <w:rPr>
                <w:rFonts w:hint="eastAsia" w:ascii="Times New Roman" w:hAnsi="Times New Roman" w:eastAsia="宋体" w:cs="宋体"/>
                <w:color w:val="auto"/>
                <w:szCs w:val="21"/>
                <w:lang w:bidi="ar"/>
              </w:rPr>
              <w:t>本次招标没有招标代理服务费。</w:t>
            </w:r>
          </w:p>
          <w:p w14:paraId="519841F9">
            <w:pPr>
              <w:keepNext w:val="0"/>
              <w:keepLines w:val="0"/>
              <w:suppressLineNumbers w:val="0"/>
              <w:adjustRightInd w:val="0"/>
              <w:snapToGrid w:val="0"/>
              <w:spacing w:before="0" w:beforeAutospacing="0" w:after="0" w:afterAutospacing="0" w:line="400" w:lineRule="exact"/>
              <w:ind w:left="0" w:right="0"/>
              <w:jc w:val="left"/>
              <w:rPr>
                <w:rFonts w:ascii="Calibri" w:hAnsi="Calibri" w:eastAsia="宋体" w:cs="Times New Roman"/>
                <w:color w:val="auto"/>
                <w:szCs w:val="21"/>
              </w:rPr>
            </w:pPr>
            <w:r>
              <w:rPr>
                <w:rFonts w:hint="eastAsia" w:ascii="Calibri" w:hAnsi="Calibri" w:eastAsia="宋体" w:cs="Times New Roman"/>
                <w:color w:val="auto"/>
                <w:szCs w:val="21"/>
                <w:lang w:eastAsia="zh-CN"/>
              </w:rPr>
              <w:t>☑</w:t>
            </w:r>
            <w:r>
              <w:rPr>
                <w:rFonts w:hint="eastAsia" w:ascii="Times New Roman" w:hAnsi="Times New Roman" w:eastAsia="宋体" w:cs="宋体"/>
                <w:color w:val="auto"/>
                <w:szCs w:val="21"/>
                <w:lang w:bidi="ar"/>
              </w:rPr>
              <w:t>本次招标有招标代理服务费。根据招标人和招标代理机构委托代理合同的约定，本项目招标代理服务费：</w:t>
            </w:r>
          </w:p>
          <w:p w14:paraId="42E7BA1E">
            <w:pPr>
              <w:keepNext w:val="0"/>
              <w:keepLines w:val="0"/>
              <w:suppressLineNumbers w:val="0"/>
              <w:spacing w:before="0" w:beforeAutospacing="0" w:after="0" w:afterAutospacing="0" w:line="400" w:lineRule="exact"/>
              <w:ind w:left="0" w:right="0" w:firstLine="210" w:firstLineChars="100"/>
              <w:rPr>
                <w:rFonts w:ascii="Calibri" w:hAnsi="Calibri" w:eastAsia="宋体" w:cs="Times New Roman"/>
                <w:color w:val="auto"/>
                <w:szCs w:val="21"/>
              </w:rPr>
            </w:pPr>
            <w:r>
              <w:rPr>
                <w:rFonts w:hint="eastAsia" w:ascii="Calibri" w:hAnsi="Calibri" w:eastAsia="宋体" w:cs="Times New Roman"/>
                <w:color w:val="auto"/>
                <w:szCs w:val="21"/>
              </w:rPr>
              <w:t>□</w:t>
            </w:r>
            <w:r>
              <w:rPr>
                <w:rFonts w:hint="eastAsia" w:ascii="Times New Roman" w:hAnsi="Times New Roman" w:eastAsia="宋体" w:cs="宋体"/>
                <w:color w:val="auto"/>
                <w:szCs w:val="21"/>
                <w:lang w:bidi="ar"/>
              </w:rPr>
              <w:t>由招标人支付。</w:t>
            </w:r>
          </w:p>
          <w:p w14:paraId="6149C456">
            <w:pPr>
              <w:keepNext w:val="0"/>
              <w:keepLines w:val="0"/>
              <w:suppressLineNumbers w:val="0"/>
              <w:spacing w:before="0" w:beforeAutospacing="0" w:after="0" w:afterAutospacing="0" w:line="400" w:lineRule="exact"/>
              <w:ind w:left="0" w:right="0" w:firstLine="210" w:firstLineChars="100"/>
              <w:rPr>
                <w:rFonts w:ascii="Calibri" w:hAnsi="Calibri" w:eastAsia="宋体" w:cs="Times New Roman"/>
                <w:color w:val="auto"/>
                <w:szCs w:val="21"/>
              </w:rPr>
            </w:pPr>
            <w:r>
              <w:rPr>
                <w:rFonts w:hint="eastAsia" w:ascii="Calibri" w:hAnsi="Calibri" w:eastAsia="宋体" w:cs="Times New Roman"/>
                <w:color w:val="auto"/>
                <w:szCs w:val="21"/>
                <w:lang w:eastAsia="zh-CN"/>
              </w:rPr>
              <w:t>☑</w:t>
            </w:r>
            <w:r>
              <w:rPr>
                <w:rFonts w:hint="eastAsia" w:ascii="Times New Roman" w:hAnsi="Times New Roman" w:eastAsia="宋体" w:cs="宋体"/>
                <w:color w:val="auto"/>
                <w:szCs w:val="21"/>
                <w:lang w:bidi="ar"/>
              </w:rPr>
              <w:t>由中标人支付。</w:t>
            </w:r>
          </w:p>
          <w:p w14:paraId="7CD361E8">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ascii="Times New Roman" w:hAnsi="Times New Roman" w:eastAsia="宋体" w:cs="Times New Roman"/>
                <w:color w:val="auto"/>
                <w:szCs w:val="21"/>
                <w:lang w:bidi="ar"/>
              </w:rPr>
              <w:t xml:space="preserve">     </w:t>
            </w:r>
            <w:r>
              <w:rPr>
                <w:rFonts w:hint="eastAsia" w:ascii="Times New Roman" w:hAnsi="Times New Roman" w:eastAsia="宋体" w:cs="宋体"/>
                <w:color w:val="auto"/>
                <w:szCs w:val="21"/>
                <w:lang w:bidi="ar"/>
              </w:rPr>
              <w:t>支付标准：</w:t>
            </w:r>
            <w:r>
              <w:rPr>
                <w:rFonts w:hint="eastAsia" w:ascii="宋体" w:hAnsi="宋体" w:eastAsia="宋体" w:cs="宋体"/>
                <w:color w:val="auto"/>
                <w:sz w:val="24"/>
                <w:szCs w:val="24"/>
                <w:u w:val="single"/>
                <w:lang w:bidi="ar"/>
              </w:rPr>
              <w:t>参照《湖北省招标代理服务收费参考标准（试行）》（鄂建文〔2023〕35号）的规定</w:t>
            </w:r>
            <w:r>
              <w:rPr>
                <w:rFonts w:hint="eastAsia" w:ascii="宋体" w:hAnsi="宋体" w:cs="宋体"/>
                <w:color w:val="auto"/>
                <w:sz w:val="24"/>
                <w:szCs w:val="24"/>
                <w:u w:val="single"/>
                <w:lang w:val="en-US" w:eastAsia="zh-CN" w:bidi="ar"/>
              </w:rPr>
              <w:t>及市政中心第三方管理办法</w:t>
            </w:r>
            <w:r>
              <w:rPr>
                <w:rFonts w:ascii="Times New Roman" w:hAnsi="Times New Roman" w:eastAsia="宋体" w:cs="Times New Roman"/>
                <w:color w:val="auto"/>
                <w:szCs w:val="21"/>
                <w:u w:val="single"/>
                <w:lang w:bidi="ar"/>
              </w:rPr>
              <w:t xml:space="preserve"> </w:t>
            </w:r>
            <w:r>
              <w:rPr>
                <w:rFonts w:hint="eastAsia" w:ascii="Times New Roman" w:hAnsi="Times New Roman" w:eastAsia="宋体" w:cs="宋体"/>
                <w:color w:val="auto"/>
                <w:szCs w:val="21"/>
                <w:lang w:bidi="ar"/>
              </w:rPr>
              <w:t>；</w:t>
            </w:r>
          </w:p>
          <w:p w14:paraId="485044F9">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ascii="Times New Roman" w:hAnsi="Times New Roman" w:eastAsia="宋体" w:cs="Times New Roman"/>
                <w:color w:val="auto"/>
                <w:szCs w:val="21"/>
                <w:lang w:bidi="ar"/>
              </w:rPr>
              <w:t xml:space="preserve">     </w:t>
            </w:r>
            <w:r>
              <w:rPr>
                <w:rFonts w:hint="eastAsia" w:ascii="Times New Roman" w:hAnsi="Times New Roman" w:eastAsia="宋体" w:cs="宋体"/>
                <w:color w:val="auto"/>
                <w:szCs w:val="21"/>
                <w:lang w:bidi="ar"/>
              </w:rPr>
              <w:t>支付方式：</w:t>
            </w:r>
            <w:r>
              <w:rPr>
                <w:rFonts w:hint="eastAsia" w:ascii="宋体" w:hAnsi="宋体" w:eastAsia="宋体" w:cs="宋体"/>
                <w:color w:val="auto"/>
                <w:sz w:val="24"/>
                <w:szCs w:val="24"/>
                <w:u w:val="single"/>
                <w:lang w:bidi="ar"/>
              </w:rPr>
              <w:t>现金或银行转账</w:t>
            </w:r>
            <w:r>
              <w:rPr>
                <w:rFonts w:ascii="Times New Roman" w:hAnsi="Times New Roman" w:eastAsia="宋体" w:cs="Times New Roman"/>
                <w:color w:val="auto"/>
                <w:szCs w:val="21"/>
                <w:u w:val="single"/>
                <w:lang w:bidi="ar"/>
              </w:rPr>
              <w:t xml:space="preserve"> </w:t>
            </w:r>
            <w:r>
              <w:rPr>
                <w:rFonts w:hint="eastAsia" w:ascii="Times New Roman" w:hAnsi="Times New Roman" w:eastAsia="宋体" w:cs="宋体"/>
                <w:color w:val="auto"/>
                <w:szCs w:val="21"/>
                <w:lang w:bidi="ar"/>
              </w:rPr>
              <w:t>；</w:t>
            </w:r>
          </w:p>
          <w:p w14:paraId="0B6DBBE1">
            <w:pPr>
              <w:keepNext w:val="0"/>
              <w:keepLines w:val="0"/>
              <w:suppressLineNumbers w:val="0"/>
              <w:spacing w:before="0" w:beforeAutospacing="0" w:after="0" w:afterAutospacing="0" w:line="400" w:lineRule="exact"/>
              <w:ind w:left="0" w:right="0"/>
              <w:rPr>
                <w:rFonts w:ascii="Calibri" w:hAnsi="Calibri" w:eastAsia="宋体" w:cs="Times New Roman"/>
                <w:color w:val="auto"/>
                <w:szCs w:val="21"/>
              </w:rPr>
            </w:pPr>
            <w:r>
              <w:rPr>
                <w:rFonts w:ascii="Times New Roman" w:hAnsi="Times New Roman" w:eastAsia="宋体" w:cs="Times New Roman"/>
                <w:color w:val="auto"/>
                <w:szCs w:val="21"/>
                <w:lang w:bidi="ar"/>
              </w:rPr>
              <w:t xml:space="preserve">     </w:t>
            </w:r>
            <w:r>
              <w:rPr>
                <w:rFonts w:hint="eastAsia" w:ascii="Times New Roman" w:hAnsi="Times New Roman" w:eastAsia="宋体" w:cs="宋体"/>
                <w:color w:val="auto"/>
                <w:szCs w:val="21"/>
                <w:lang w:bidi="ar"/>
              </w:rPr>
              <w:t>支付时间：</w:t>
            </w:r>
            <w:r>
              <w:rPr>
                <w:rFonts w:hint="eastAsia" w:ascii="Times New Roman" w:hAnsi="Times New Roman" w:eastAsia="宋体" w:cs="Times New Roman"/>
                <w:color w:val="auto"/>
                <w:sz w:val="24"/>
                <w:szCs w:val="24"/>
                <w:u w:val="single"/>
                <w:lang w:bidi="ar"/>
              </w:rPr>
              <w:t>领取中标通知书时一次性付清</w:t>
            </w:r>
            <w:r>
              <w:rPr>
                <w:rFonts w:ascii="Times New Roman" w:hAnsi="Times New Roman" w:eastAsia="宋体" w:cs="Times New Roman"/>
                <w:color w:val="auto"/>
                <w:szCs w:val="21"/>
                <w:u w:val="single"/>
                <w:lang w:bidi="ar"/>
              </w:rPr>
              <w:t xml:space="preserve"> </w:t>
            </w:r>
            <w:r>
              <w:rPr>
                <w:rFonts w:hint="eastAsia" w:ascii="Times New Roman" w:hAnsi="Times New Roman" w:eastAsia="宋体" w:cs="宋体"/>
                <w:color w:val="auto"/>
                <w:szCs w:val="21"/>
                <w:lang w:bidi="ar"/>
              </w:rPr>
              <w:t>。</w:t>
            </w:r>
          </w:p>
        </w:tc>
      </w:tr>
      <w:tr w14:paraId="50E3A61B">
        <w:tblPrEx>
          <w:tblCellMar>
            <w:top w:w="0" w:type="dxa"/>
            <w:left w:w="108" w:type="dxa"/>
            <w:bottom w:w="0" w:type="dxa"/>
            <w:right w:w="108" w:type="dxa"/>
          </w:tblCellMar>
        </w:tblPrEx>
        <w:tc>
          <w:tcPr>
            <w:tcW w:w="1005" w:type="dxa"/>
            <w:tcBorders>
              <w:top w:val="single" w:color="auto" w:sz="4" w:space="0"/>
              <w:left w:val="single" w:color="auto" w:sz="4" w:space="0"/>
              <w:bottom w:val="single" w:color="auto" w:sz="4" w:space="0"/>
              <w:right w:val="single" w:color="auto" w:sz="4" w:space="0"/>
            </w:tcBorders>
            <w:noWrap w:val="0"/>
            <w:vAlign w:val="center"/>
          </w:tcPr>
          <w:p w14:paraId="24B90778">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10.</w:t>
            </w:r>
            <w:r>
              <w:rPr>
                <w:rFonts w:hint="eastAsia" w:ascii="Calibri" w:hAnsi="Calibri" w:eastAsia="宋体" w:cs="Times New Roman"/>
                <w:color w:val="auto"/>
                <w:szCs w:val="21"/>
              </w:rPr>
              <w:t>5</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39858C17">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ascii="Calibri" w:hAnsi="Calibri" w:eastAsia="宋体" w:cs="Times New Roman"/>
                <w:color w:val="auto"/>
                <w:szCs w:val="21"/>
              </w:rPr>
              <w:t>中标</w:t>
            </w:r>
            <w:r>
              <w:rPr>
                <w:rFonts w:hint="eastAsia" w:ascii="Calibri" w:hAnsi="Calibri" w:eastAsia="宋体" w:cs="Times New Roman"/>
                <w:color w:val="auto"/>
                <w:szCs w:val="21"/>
              </w:rPr>
              <w:t>后须提交的</w:t>
            </w:r>
            <w:r>
              <w:rPr>
                <w:rFonts w:ascii="Calibri" w:hAnsi="Calibri" w:eastAsia="宋体" w:cs="Times New Roman"/>
                <w:color w:val="auto"/>
                <w:szCs w:val="21"/>
              </w:rPr>
              <w:t>纸质投标文件</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1929C748">
            <w:pPr>
              <w:keepNext w:val="0"/>
              <w:keepLines w:val="0"/>
              <w:suppressLineNumbers w:val="0"/>
              <w:spacing w:before="0" w:beforeAutospacing="0" w:after="0" w:afterAutospacing="0" w:line="400" w:lineRule="exact"/>
              <w:ind w:left="0" w:right="0"/>
              <w:jc w:val="left"/>
              <w:rPr>
                <w:rFonts w:hint="eastAsia" w:ascii="Calibri" w:hAnsi="Calibri" w:eastAsia="宋体" w:cs="Times New Roman"/>
                <w:color w:val="auto"/>
                <w:szCs w:val="21"/>
                <w:u w:val="single"/>
              </w:rPr>
            </w:pPr>
            <w:r>
              <w:rPr>
                <w:rFonts w:ascii="Calibri" w:hAnsi="Calibri" w:eastAsia="宋体" w:cs="Times New Roman"/>
                <w:color w:val="auto"/>
                <w:szCs w:val="21"/>
              </w:rPr>
              <w:t>份数：</w:t>
            </w:r>
            <w:r>
              <w:rPr>
                <w:rFonts w:ascii="Calibri" w:hAnsi="Calibri" w:eastAsia="宋体" w:cs="Times New Roman"/>
                <w:color w:val="auto"/>
                <w:szCs w:val="21"/>
                <w:u w:val="single"/>
              </w:rPr>
              <w:t xml:space="preserve"> </w:t>
            </w:r>
            <w:r>
              <w:rPr>
                <w:rFonts w:hint="eastAsia" w:ascii="宋体" w:hAnsi="宋体" w:cs="宋体"/>
                <w:color w:val="auto"/>
                <w:sz w:val="24"/>
                <w:szCs w:val="24"/>
                <w:u w:val="single"/>
                <w:lang w:val="en-US" w:eastAsia="zh-CN"/>
              </w:rPr>
              <w:t>叁</w:t>
            </w:r>
            <w:r>
              <w:rPr>
                <w:rFonts w:hint="eastAsia" w:ascii="宋体" w:hAnsi="宋体" w:eastAsia="宋体" w:cs="宋体"/>
                <w:color w:val="auto"/>
                <w:sz w:val="24"/>
                <w:szCs w:val="24"/>
                <w:u w:val="single"/>
              </w:rPr>
              <w:t>份（另U盘附投标文件电子档一份</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en-US" w:eastAsia="zh-CN"/>
              </w:rPr>
              <w:t>必须连续编码</w:t>
            </w:r>
            <w:r>
              <w:rPr>
                <w:rFonts w:hint="eastAsia" w:ascii="宋体" w:hAnsi="宋体" w:eastAsia="宋体" w:cs="宋体"/>
                <w:color w:val="auto"/>
                <w:sz w:val="24"/>
                <w:szCs w:val="24"/>
                <w:u w:val="single"/>
              </w:rPr>
              <w:t>）</w:t>
            </w:r>
            <w:r>
              <w:rPr>
                <w:rFonts w:hint="eastAsia" w:ascii="Calibri" w:hAnsi="Calibri" w:cs="Times New Roman"/>
                <w:color w:val="auto"/>
                <w:szCs w:val="21"/>
                <w:u w:val="single"/>
                <w:lang w:val="en-US" w:eastAsia="zh-CN"/>
              </w:rPr>
              <w:t xml:space="preserve"> </w:t>
            </w:r>
            <w:r>
              <w:rPr>
                <w:rFonts w:hint="eastAsia" w:ascii="Calibri" w:hAnsi="Calibri" w:eastAsia="宋体" w:cs="Times New Roman"/>
                <w:color w:val="auto"/>
                <w:szCs w:val="21"/>
              </w:rPr>
              <w:t>，中标人提交的纸质投标文件应当与投标时的电子投标文件内容一致。</w:t>
            </w:r>
          </w:p>
        </w:tc>
      </w:tr>
      <w:tr w14:paraId="13DC20EB">
        <w:tblPrEx>
          <w:tblCellMar>
            <w:top w:w="0" w:type="dxa"/>
            <w:left w:w="108" w:type="dxa"/>
            <w:bottom w:w="0" w:type="dxa"/>
            <w:right w:w="108" w:type="dxa"/>
          </w:tblCellMar>
        </w:tblPrEx>
        <w:trPr>
          <w:trHeight w:val="90" w:hRule="atLeast"/>
        </w:trPr>
        <w:tc>
          <w:tcPr>
            <w:tcW w:w="1005" w:type="dxa"/>
            <w:tcBorders>
              <w:top w:val="single" w:color="auto" w:sz="4" w:space="0"/>
              <w:left w:val="single" w:color="auto" w:sz="4" w:space="0"/>
              <w:bottom w:val="single" w:color="auto" w:sz="4" w:space="0"/>
              <w:right w:val="single" w:color="auto" w:sz="4" w:space="0"/>
            </w:tcBorders>
            <w:noWrap w:val="0"/>
            <w:vAlign w:val="center"/>
          </w:tcPr>
          <w:p w14:paraId="0C0B3798">
            <w:pPr>
              <w:keepNext w:val="0"/>
              <w:keepLines w:val="0"/>
              <w:suppressLineNumbers w:val="0"/>
              <w:spacing w:before="0" w:beforeAutospacing="0" w:after="0" w:afterAutospacing="0"/>
              <w:ind w:left="0" w:right="0"/>
              <w:jc w:val="center"/>
              <w:rPr>
                <w:rFonts w:hint="eastAsia" w:ascii="Calibri" w:hAnsi="Calibri" w:eastAsia="宋体" w:cs="Times New Roman"/>
                <w:color w:val="auto"/>
              </w:rPr>
            </w:pPr>
            <w:r>
              <w:rPr>
                <w:rFonts w:hint="eastAsia" w:ascii="Calibri" w:hAnsi="Calibri" w:eastAsia="宋体" w:cs="Times New Roman"/>
                <w:color w:val="auto"/>
              </w:rPr>
              <w:t>10.6</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2E656A29">
            <w:pPr>
              <w:keepNext w:val="0"/>
              <w:keepLines w:val="0"/>
              <w:suppressLineNumbers w:val="0"/>
              <w:spacing w:before="0" w:beforeAutospacing="0" w:after="0" w:afterAutospacing="0"/>
              <w:ind w:left="0" w:right="0"/>
              <w:rPr>
                <w:rFonts w:hint="eastAsia" w:ascii="Calibri" w:hAnsi="Calibri" w:eastAsia="宋体" w:cs="Times New Roman"/>
                <w:color w:val="auto"/>
              </w:rPr>
            </w:pPr>
            <w:r>
              <w:rPr>
                <w:rFonts w:hint="eastAsia" w:ascii="Calibri" w:hAnsi="Calibri" w:eastAsia="宋体" w:cs="Times New Roman"/>
                <w:color w:val="auto"/>
              </w:rPr>
              <w:t>政府采购</w:t>
            </w:r>
          </w:p>
          <w:p w14:paraId="65AC3B7F">
            <w:pPr>
              <w:keepNext w:val="0"/>
              <w:keepLines w:val="0"/>
              <w:suppressLineNumbers w:val="0"/>
              <w:spacing w:before="0" w:beforeAutospacing="0" w:after="0" w:afterAutospacing="0"/>
              <w:ind w:left="0" w:right="0"/>
              <w:rPr>
                <w:rFonts w:hint="eastAsia" w:ascii="Calibri" w:hAnsi="Calibri" w:eastAsia="宋体" w:cs="Times New Roman"/>
                <w:color w:val="auto"/>
              </w:rPr>
            </w:pPr>
            <w:r>
              <w:rPr>
                <w:rFonts w:hint="eastAsia" w:ascii="Calibri" w:hAnsi="Calibri" w:eastAsia="宋体" w:cs="Times New Roman"/>
                <w:color w:val="auto"/>
              </w:rPr>
              <w:t>合同融资政策</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7C6BB55D">
            <w:pPr>
              <w:keepNext w:val="0"/>
              <w:keepLines w:val="0"/>
              <w:suppressLineNumbers w:val="0"/>
              <w:spacing w:before="0" w:beforeAutospacing="0" w:after="0" w:afterAutospacing="0"/>
              <w:ind w:left="0" w:right="0"/>
              <w:rPr>
                <w:rFonts w:hint="eastAsia" w:ascii="Calibri" w:hAnsi="Calibri" w:eastAsia="宋体" w:cs="Times New Roman"/>
                <w:color w:val="auto"/>
              </w:rPr>
            </w:pPr>
            <w:r>
              <w:rPr>
                <w:rFonts w:hint="eastAsia" w:ascii="Calibri" w:hAnsi="Calibri" w:eastAsia="宋体" w:cs="Times New Roman"/>
                <w:color w:val="auto"/>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w:t>
            </w:r>
          </w:p>
          <w:p w14:paraId="7912EA32">
            <w:pPr>
              <w:keepNext w:val="0"/>
              <w:keepLines w:val="0"/>
              <w:suppressLineNumbers w:val="0"/>
              <w:spacing w:before="0" w:beforeAutospacing="0" w:after="0" w:afterAutospacing="0"/>
              <w:ind w:left="0" w:right="0"/>
              <w:rPr>
                <w:rFonts w:hint="eastAsia" w:ascii="Calibri" w:hAnsi="Calibri" w:eastAsia="宋体" w:cs="Times New Roman"/>
                <w:color w:val="auto"/>
                <w:u w:val="single"/>
              </w:rPr>
            </w:pPr>
            <w:r>
              <w:rPr>
                <w:rFonts w:hint="eastAsia" w:ascii="Calibri" w:hAnsi="Calibri" w:eastAsia="宋体" w:cs="Times New Roman"/>
                <w:color w:val="auto"/>
                <w:u w:val="single"/>
              </w:rPr>
              <w:t>“政采贷”业务政策：《湖北省政府采购合同融资实施方案》（鄂财采发[2020]5号）</w:t>
            </w:r>
          </w:p>
          <w:p w14:paraId="3ED7415C">
            <w:pPr>
              <w:keepNext w:val="0"/>
              <w:keepLines w:val="0"/>
              <w:suppressLineNumbers w:val="0"/>
              <w:spacing w:before="0" w:beforeAutospacing="0" w:after="0" w:afterAutospacing="0"/>
              <w:ind w:left="0" w:right="0"/>
              <w:rPr>
                <w:rFonts w:ascii="Calibri" w:hAnsi="Calibri" w:eastAsia="宋体" w:cs="Times New Roman"/>
                <w:color w:val="auto"/>
              </w:rPr>
            </w:pPr>
            <w:r>
              <w:rPr>
                <w:rFonts w:hint="eastAsia" w:ascii="Calibri" w:hAnsi="Calibri" w:eastAsia="宋体" w:cs="Times New Roman"/>
                <w:color w:val="auto"/>
                <w:u w:val="single"/>
              </w:rPr>
              <w:t>“政采贷”业务申请：湖北省政府采购合同融资平台（https://czt.hubei.gov.cn/zcd/homepage）</w:t>
            </w:r>
          </w:p>
        </w:tc>
      </w:tr>
      <w:tr w14:paraId="35646EA7">
        <w:tblPrEx>
          <w:tblCellMar>
            <w:top w:w="0" w:type="dxa"/>
            <w:left w:w="108" w:type="dxa"/>
            <w:bottom w:w="0" w:type="dxa"/>
            <w:right w:w="108" w:type="dxa"/>
          </w:tblCellMar>
        </w:tblPrEx>
        <w:tc>
          <w:tcPr>
            <w:tcW w:w="1005" w:type="dxa"/>
            <w:tcBorders>
              <w:top w:val="single" w:color="auto" w:sz="4" w:space="0"/>
              <w:left w:val="single" w:color="auto" w:sz="4" w:space="0"/>
              <w:bottom w:val="single" w:color="auto" w:sz="4" w:space="0"/>
              <w:right w:val="single" w:color="auto" w:sz="4" w:space="0"/>
            </w:tcBorders>
            <w:noWrap w:val="0"/>
            <w:vAlign w:val="center"/>
          </w:tcPr>
          <w:p w14:paraId="2575C853">
            <w:pPr>
              <w:keepNext w:val="0"/>
              <w:keepLines w:val="0"/>
              <w:suppressLineNumbers w:val="0"/>
              <w:spacing w:before="0" w:beforeAutospacing="0" w:after="0" w:afterAutospacing="0" w:line="40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10.</w:t>
            </w:r>
            <w:r>
              <w:rPr>
                <w:rFonts w:hint="eastAsia" w:ascii="Calibri" w:hAnsi="Calibri" w:eastAsia="宋体" w:cs="Times New Roman"/>
                <w:color w:val="auto"/>
                <w:szCs w:val="21"/>
              </w:rPr>
              <w:t>7</w:t>
            </w:r>
          </w:p>
        </w:tc>
        <w:tc>
          <w:tcPr>
            <w:tcW w:w="2550" w:type="dxa"/>
            <w:tcBorders>
              <w:top w:val="single" w:color="auto" w:sz="4" w:space="0"/>
              <w:left w:val="single" w:color="auto" w:sz="4" w:space="0"/>
              <w:bottom w:val="single" w:color="auto" w:sz="4" w:space="0"/>
              <w:right w:val="single" w:color="auto" w:sz="4" w:space="0"/>
            </w:tcBorders>
            <w:noWrap w:val="0"/>
            <w:vAlign w:val="center"/>
          </w:tcPr>
          <w:p w14:paraId="70F94AA1">
            <w:pPr>
              <w:keepNext w:val="0"/>
              <w:keepLines w:val="0"/>
              <w:suppressLineNumbers w:val="0"/>
              <w:spacing w:before="0" w:beforeAutospacing="0" w:after="0" w:afterAutospacing="0" w:line="400" w:lineRule="exact"/>
              <w:ind w:left="0" w:right="0"/>
              <w:jc w:val="left"/>
              <w:rPr>
                <w:rFonts w:ascii="Calibri" w:hAnsi="Calibri" w:eastAsia="宋体" w:cs="Times New Roman"/>
                <w:color w:val="auto"/>
                <w:szCs w:val="21"/>
              </w:rPr>
            </w:pPr>
            <w:r>
              <w:rPr>
                <w:rFonts w:hint="eastAsia" w:ascii="宋体" w:hAnsi="Calibri" w:eastAsia="宋体" w:cs="宋体"/>
                <w:color w:val="auto"/>
                <w:spacing w:val="4"/>
                <w:kern w:val="0"/>
                <w:szCs w:val="21"/>
              </w:rPr>
              <w:t>需要</w:t>
            </w:r>
            <w:r>
              <w:rPr>
                <w:rFonts w:ascii="宋体" w:hAnsi="Calibri" w:eastAsia="宋体" w:cs="宋体"/>
                <w:color w:val="auto"/>
                <w:spacing w:val="4"/>
                <w:kern w:val="0"/>
                <w:szCs w:val="21"/>
              </w:rPr>
              <w:t>补充</w:t>
            </w:r>
            <w:r>
              <w:rPr>
                <w:rFonts w:hint="eastAsia" w:ascii="宋体" w:hAnsi="Calibri" w:eastAsia="宋体" w:cs="宋体"/>
                <w:color w:val="auto"/>
                <w:spacing w:val="4"/>
                <w:kern w:val="0"/>
                <w:szCs w:val="21"/>
              </w:rPr>
              <w:t>的其他</w:t>
            </w:r>
            <w:r>
              <w:rPr>
                <w:rFonts w:ascii="宋体" w:hAnsi="Calibri" w:eastAsia="宋体" w:cs="宋体"/>
                <w:color w:val="auto"/>
                <w:spacing w:val="4"/>
                <w:kern w:val="0"/>
                <w:szCs w:val="21"/>
              </w:rPr>
              <w:t>内容</w:t>
            </w:r>
          </w:p>
        </w:tc>
        <w:tc>
          <w:tcPr>
            <w:tcW w:w="5625" w:type="dxa"/>
            <w:tcBorders>
              <w:top w:val="single" w:color="auto" w:sz="4" w:space="0"/>
              <w:left w:val="single" w:color="auto" w:sz="4" w:space="0"/>
              <w:bottom w:val="single" w:color="auto" w:sz="4" w:space="0"/>
              <w:right w:val="single" w:color="auto" w:sz="4" w:space="0"/>
            </w:tcBorders>
            <w:noWrap w:val="0"/>
            <w:vAlign w:val="center"/>
          </w:tcPr>
          <w:p w14:paraId="320D7AE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cs="Times New Roman"/>
                <w:b w:val="0"/>
                <w:bCs w:val="0"/>
                <w:color w:val="auto"/>
                <w:sz w:val="22"/>
                <w:szCs w:val="22"/>
                <w:highlight w:val="none"/>
                <w:lang w:val="en-US" w:eastAsia="zh-CN"/>
              </w:rPr>
            </w:pPr>
            <w:r>
              <w:rPr>
                <w:rFonts w:hint="eastAsia" w:ascii="宋体" w:hAnsi="宋体" w:cs="Times New Roman"/>
                <w:b w:val="0"/>
                <w:bCs w:val="0"/>
                <w:color w:val="auto"/>
                <w:sz w:val="22"/>
                <w:szCs w:val="22"/>
                <w:highlight w:val="none"/>
                <w:lang w:val="en-US" w:eastAsia="zh-CN"/>
              </w:rPr>
              <w:t>一、设计单位必须在1个月内出具施工图并提交招标人，若未如期提交施工图的则扣除设计费总额的15%作为赔偿费；若再过半个月仍未提交施工图则再扣设计费总额的5%，误期赔偿费的最高限额为设计费总额的20%。</w:t>
            </w:r>
          </w:p>
          <w:p w14:paraId="0DBB8E5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cs="Times New Roman"/>
                <w:color w:val="auto"/>
                <w:szCs w:val="21"/>
                <w:highlight w:val="none"/>
                <w:lang w:val="en-US" w:eastAsia="zh-CN"/>
              </w:rPr>
            </w:pPr>
            <w:r>
              <w:rPr>
                <w:rFonts w:hint="eastAsia" w:ascii="宋体" w:hAnsi="宋体" w:cs="Times New Roman"/>
                <w:b/>
                <w:bCs/>
                <w:color w:val="auto"/>
                <w:szCs w:val="21"/>
                <w:highlight w:val="none"/>
                <w:lang w:val="en-US" w:eastAsia="zh-CN"/>
              </w:rPr>
              <w:t>二、计价</w:t>
            </w:r>
          </w:p>
          <w:p w14:paraId="45FD2CD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1、总价控制，依据英山县县级政府投资管理办法英正规〔2023〕1号，审计结算价不可超过发改部门项目初步设计批复的总概算价，若超概算的10%需报县政府常务会议通过后，再报发改部门调整概算批复。</w:t>
            </w:r>
          </w:p>
          <w:p w14:paraId="04E8257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2、中标单位严格按照施工图及财政评审的工程量清单进行施工。</w:t>
            </w:r>
          </w:p>
          <w:p w14:paraId="5655721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3、</w:t>
            </w:r>
            <w:r>
              <w:rPr>
                <w:rFonts w:hint="eastAsia" w:ascii="宋体" w:hAnsi="宋体" w:cs="Times New Roman"/>
                <w:b/>
                <w:bCs/>
                <w:color w:val="auto"/>
                <w:szCs w:val="21"/>
                <w:highlight w:val="none"/>
                <w:lang w:val="en-US" w:eastAsia="zh-CN"/>
              </w:rPr>
              <w:t>施工图预算编制原则</w:t>
            </w:r>
            <w:r>
              <w:rPr>
                <w:rFonts w:hint="eastAsia" w:ascii="宋体" w:hAnsi="宋体" w:cs="Times New Roman"/>
                <w:color w:val="auto"/>
                <w:szCs w:val="21"/>
                <w:highlight w:val="none"/>
                <w:lang w:val="en-US" w:eastAsia="zh-CN"/>
              </w:rPr>
              <w:t>：依据国家现行标准、规范、审查后的施工图设计文件、施工总承包合同、经监理人和发包人批准的《施工组织设计》（含专项施工方案）、按建设工程工程量清单计价规范（GB 50500-2013）、通用安装工程工程量计算规范（GB 50586-2013）、市政工程工程量计算规范（GB 50857-2013），2024版《湖北省房屋建筑与装饰工程消耗量定额及全费用基价表》、《湖北省通用安装工程消耗量定额及全费用基价表》、《湖北省建设工程公共专业消耗量定额及全费用基价表》、《湖北省市政工程消耗量定额及全费用基价表》、《湖北省建筑安装工程费用定额》等国家、项目所在地的现行规范标准，以工程量清单计价方式编制施工图预算。①主材价格按照黄冈市造价站信息价计价；②其他无信息价的单项按照询价程序确定价格。</w:t>
            </w:r>
          </w:p>
          <w:p w14:paraId="2AC01B2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4、</w:t>
            </w:r>
            <w:r>
              <w:rPr>
                <w:rFonts w:hint="eastAsia" w:ascii="宋体" w:hAnsi="宋体" w:cs="Times New Roman"/>
                <w:b/>
                <w:bCs/>
                <w:color w:val="auto"/>
                <w:szCs w:val="21"/>
                <w:highlight w:val="none"/>
                <w:lang w:val="en-US" w:eastAsia="zh-CN"/>
              </w:rPr>
              <w:t>财评送审流程：</w:t>
            </w:r>
            <w:r>
              <w:rPr>
                <w:rFonts w:hint="eastAsia" w:ascii="宋体" w:hAnsi="宋体" w:cs="Times New Roman"/>
                <w:color w:val="auto"/>
                <w:szCs w:val="21"/>
                <w:highlight w:val="none"/>
                <w:lang w:val="en-US" w:eastAsia="zh-CN"/>
              </w:rPr>
              <w:t>该项目的施工图预算由中标单位编制，跟踪审计单位审核，出具送审版施工图预算并盖章，送财政评审中心评审，出具该项目的财政评审报告。</w:t>
            </w:r>
          </w:p>
          <w:p w14:paraId="0A09CB0E">
            <w:pPr>
              <w:pStyle w:val="49"/>
              <w:keepNext w:val="0"/>
              <w:keepLines w:val="0"/>
              <w:suppressLineNumbers w:val="0"/>
              <w:spacing w:before="0" w:beforeAutospacing="0" w:after="0" w:afterAutospacing="0"/>
              <w:ind w:left="0" w:leftChars="0" w:right="0" w:firstLine="0" w:firstLineChars="0"/>
              <w:rPr>
                <w:rFonts w:hint="default" w:ascii="宋体" w:hAnsi="宋体" w:eastAsia="宋体" w:cs="Times New Roman"/>
                <w:color w:val="auto"/>
                <w:kern w:val="2"/>
                <w:sz w:val="21"/>
                <w:szCs w:val="21"/>
                <w:highlight w:val="none"/>
                <w:u w:val="none"/>
                <w:lang w:val="en-US" w:eastAsia="zh-CN" w:bidi="ar-SA"/>
              </w:rPr>
            </w:pPr>
            <w:r>
              <w:rPr>
                <w:rFonts w:hint="eastAsia" w:ascii="宋体" w:hAnsi="宋体" w:eastAsia="宋体" w:cs="Times New Roman"/>
                <w:color w:val="auto"/>
                <w:kern w:val="2"/>
                <w:sz w:val="21"/>
                <w:szCs w:val="21"/>
                <w:highlight w:val="none"/>
                <w:u w:val="none"/>
                <w:lang w:val="en-US" w:eastAsia="zh-CN" w:bidi="ar-SA"/>
              </w:rPr>
              <w:t>5、</w:t>
            </w:r>
            <w:r>
              <w:rPr>
                <w:rFonts w:hint="eastAsia" w:ascii="宋体" w:hAnsi="宋体" w:eastAsia="宋体" w:cs="Times New Roman"/>
                <w:b/>
                <w:bCs/>
                <w:color w:val="auto"/>
                <w:kern w:val="2"/>
                <w:sz w:val="21"/>
                <w:szCs w:val="21"/>
                <w:highlight w:val="none"/>
                <w:u w:val="none"/>
                <w:lang w:val="en-US" w:eastAsia="zh-CN" w:bidi="ar-SA"/>
              </w:rPr>
              <w:t>结算原则</w:t>
            </w:r>
            <w:r>
              <w:rPr>
                <w:rFonts w:hint="eastAsia" w:ascii="宋体" w:hAnsi="宋体" w:eastAsia="宋体" w:cs="Times New Roman"/>
                <w:color w:val="auto"/>
                <w:kern w:val="2"/>
                <w:sz w:val="21"/>
                <w:szCs w:val="21"/>
                <w:highlight w:val="none"/>
                <w:u w:val="none"/>
                <w:lang w:val="en-US" w:eastAsia="zh-CN" w:bidi="ar-SA"/>
              </w:rPr>
              <w:t>：按财政评审清单单价＋投标下浮结算。</w:t>
            </w:r>
          </w:p>
          <w:p w14:paraId="22CFB305">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三</w:t>
            </w:r>
            <w:r>
              <w:rPr>
                <w:rFonts w:hint="eastAsia" w:ascii="宋体" w:hAnsi="宋体" w:eastAsia="宋体" w:cs="宋体"/>
                <w:b/>
                <w:bCs/>
                <w:color w:val="auto"/>
                <w:sz w:val="24"/>
                <w:szCs w:val="24"/>
                <w:u w:val="none"/>
                <w:lang w:val="en-US" w:eastAsia="zh-CN"/>
              </w:rPr>
              <w:t>、评定分离</w:t>
            </w:r>
          </w:p>
          <w:p w14:paraId="51624F88">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bCs/>
                <w:color w:val="auto"/>
                <w:szCs w:val="21"/>
                <w:u w:val="none"/>
                <w:lang w:val="en-US" w:eastAsia="zh-CN"/>
              </w:rPr>
              <w:t>1、关于“评定分离”</w:t>
            </w:r>
          </w:p>
          <w:p w14:paraId="166B82D2">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1）评标完成后，评标委员会应向招标人提交书面评标报告，按照详细评审最终得分由高到低的顺序向招标人推荐3家不标明顺序的定标候选人，并对推荐的各定标候选人投标文件中的优点和存在的缺陷、签订合同前应当注意的事项等提出意见；</w:t>
            </w:r>
          </w:p>
          <w:p w14:paraId="5D495192">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（2）若符合招标文件要求的定标候选人数量不足3家时，由评标委员会作出是否具备竞争性判定，如具备竞争性，可继续推荐定标候选人。否则，招标人应重新招标；</w:t>
            </w:r>
          </w:p>
          <w:p w14:paraId="39FFD348">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3）招标人在收到评标报告之日起3日内在湖北省电子招投标交易平台公示评标结果（定标候选人），公示期不少于3日。投标人或者其他利害关系人对评标结果（定标候选人）有异议的，应当在评标结果公示期间提出。招标人应当自收到异议之日起3日内作出答复；</w:t>
            </w:r>
          </w:p>
          <w:p w14:paraId="0DE18324">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4）在评标结果（定标候选人）公示期间，定标候选人放弃中标或被查实存在违法违规行为被取消定标候选人资格的，若剩余中标候选人大于或等于3家时，招标人应继续定标；若小于3家时，招标人可以继续定标，也可以重新招标；</w:t>
            </w:r>
          </w:p>
          <w:p w14:paraId="6B51228C">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（5）公示期结束后无异议的，招标人在5个工作日内召开定标会确定中标人，定标会在英山县公共资源交易中心进行，定标会全过程录音录像，录音录像应当清晰可见，建立全过程档案存档备查。</w:t>
            </w:r>
          </w:p>
          <w:p w14:paraId="3BE702D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bCs/>
                <w:color w:val="auto"/>
                <w:szCs w:val="21"/>
                <w:u w:val="none"/>
                <w:lang w:val="en-US" w:eastAsia="zh-CN"/>
              </w:rPr>
              <w:t>2、定标准备：</w:t>
            </w:r>
          </w:p>
          <w:p w14:paraId="3B5A95CA">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1）清标及有关情况核查。招标人在定标前对评标委员会评标情况（客观评审部分）进行审查核实，对定标候选人实力、信誉、过往项目履约评价、履约能力，定标候选人和拟派项目负责人业绩、奖项真实性、准确性、一致性，以及拟派项目负责人是否有在建项目等直接关系到标后能否良好履约的因素进行审查核实。</w:t>
            </w:r>
          </w:p>
          <w:p w14:paraId="29C846A9">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（2）建立定标成员库和组建定标委员会。按照《英山县房屋建筑和市政基础设施工程招标投标“评定分离”改革实施办法（试行）》规定建立定标成员库、确定定标成员。</w:t>
            </w:r>
          </w:p>
          <w:p w14:paraId="6DA7458C">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3）成立定标监督小组。组建不少于3人的定标监督小组，对定标委员会的组建、定标过程及招标人在定标前对投标人的考察等进行全程监督，发现异常情况及时提醒并纠正，但不得就评标、定标涉及的实质内容发表意见或者参与评标、定标讨论。</w:t>
            </w:r>
          </w:p>
          <w:p w14:paraId="51987E2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bCs/>
                <w:color w:val="auto"/>
                <w:szCs w:val="21"/>
                <w:u w:val="none"/>
                <w:lang w:val="en-US" w:eastAsia="zh-CN"/>
              </w:rPr>
              <w:t>3、定标会程序</w:t>
            </w:r>
          </w:p>
          <w:p w14:paraId="681E52B3">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（1）宣读定标会议会场纪律；</w:t>
            </w:r>
          </w:p>
          <w:p w14:paraId="276E5F53">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（2）定标成员和监督小组成员签订保密协议；</w:t>
            </w:r>
          </w:p>
          <w:p w14:paraId="30961020">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（3）代理机构工作人员介绍定标项目的基本情况；</w:t>
            </w:r>
          </w:p>
          <w:p w14:paraId="1B8CED0E">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（4）定标成员按照定标标准进行定标；</w:t>
            </w:r>
          </w:p>
          <w:p w14:paraId="64E48939">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（5）定标组长完成定标报告；</w:t>
            </w:r>
          </w:p>
          <w:p w14:paraId="54193544">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（6）定标组长宣布定标结果。</w:t>
            </w:r>
          </w:p>
          <w:p w14:paraId="2B2EEAE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bCs/>
                <w:color w:val="auto"/>
                <w:szCs w:val="21"/>
                <w:u w:val="none"/>
                <w:lang w:val="en-US" w:eastAsia="zh-CN"/>
              </w:rPr>
              <w:t>4、定标因素主要内容</w:t>
            </w:r>
          </w:p>
          <w:p w14:paraId="34E72D02">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定标委员会在定标时优先进行“择优”，无法“择优”情况下可进行“比劣”。</w:t>
            </w:r>
          </w:p>
          <w:p w14:paraId="315487AB">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（1）择优标准</w:t>
            </w:r>
          </w:p>
          <w:p w14:paraId="54DE9AD2">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①投标报价：按照招标文件规定的报价竞争方法，重点关注报价合理性分析。</w:t>
            </w:r>
          </w:p>
          <w:p w14:paraId="1E693FDF">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②企业实力：企业综合情况(资质等级、科技创新)、业绩和奖项(业绩、市级以上优质工程奖、安全文明工地)、财务状况(企业营业额、流动比率、资产负债率、净资产、流动资金、纳税、项目资金保障)等。</w:t>
            </w:r>
          </w:p>
          <w:p w14:paraId="0B972972">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③企业信誉：企业获得的荣誉和表彰表扬(县级以上政府、相关行政主管部门、行业协会颁发)、履约情况(过往履约记录、建设单位履约评价)等。</w:t>
            </w:r>
          </w:p>
          <w:p w14:paraId="283472AC">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④项目机构：项目负责人履历(项目负责人业绩、荣誉、从业年限、职称以及在企业任职情况)、项目机构成员配置(专业配置齐全程度及合理性，技术负责人职称、从业年限，项目管理人员的证书、职称)、质量安全管理措施等。</w:t>
            </w:r>
          </w:p>
          <w:p w14:paraId="7CBA73B2">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⑤信用情况。</w:t>
            </w:r>
          </w:p>
          <w:p w14:paraId="5AD1EEB5">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⑥其他：招标人认为必要的其他定标要素。</w:t>
            </w:r>
          </w:p>
          <w:p w14:paraId="62D36643">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（2）比劣标准</w:t>
            </w:r>
          </w:p>
          <w:p w14:paraId="2665625B">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①质量安全事故(近1年)：企业发生过一般及以上工程质量、安全事故。</w:t>
            </w:r>
          </w:p>
          <w:p w14:paraId="3F42B79C">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②不良行为记录(近1年)：企业或其法定代表人、企业主要负责人、拟派的项目负责人受到县级及以上建设行业主管部门或公共资源交易监督管理部门通报批评、失信记录、行政处罚；企业受到建设单位履约负面评价或被其纳入履约黑名单；在“信用中国”“国家企业信用信息公示系统”“湖北省公共资源交易信用信息平台”等平台查询到企业失信行为或不良记录。</w:t>
            </w:r>
          </w:p>
          <w:p w14:paraId="239367A8">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③违法违规行为(近1年)：企业存在围标串标、转包挂靠、违法分包、弄虚作假、以他人名义投标、出借资质等违法违规行为。</w:t>
            </w:r>
          </w:p>
          <w:p w14:paraId="63EAE2BD">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④其他：招标人认为必要的其他定标要素。</w:t>
            </w:r>
          </w:p>
          <w:p w14:paraId="752D18E3">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bCs/>
                <w:color w:val="auto"/>
                <w:szCs w:val="21"/>
                <w:u w:val="none"/>
                <w:lang w:val="en-US" w:eastAsia="zh-CN"/>
              </w:rPr>
              <w:t>5、定标方法</w:t>
            </w:r>
          </w:p>
          <w:p w14:paraId="089566A9">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exact"/>
              <w:ind w:left="0" w:right="0"/>
              <w:jc w:val="left"/>
              <w:textAlignment w:val="auto"/>
              <w:rPr>
                <w:rFonts w:hint="eastAsia" w:ascii="宋体" w:hAnsi="宋体" w:eastAsia="宋体" w:cs="宋体"/>
                <w:b w:val="0"/>
                <w:bCs w:val="0"/>
                <w:color w:val="auto"/>
                <w:szCs w:val="21"/>
                <w:u w:val="none"/>
                <w:lang w:val="en-US" w:eastAsia="zh-CN"/>
              </w:rPr>
            </w:pPr>
            <w:r>
              <w:rPr>
                <w:rFonts w:hint="eastAsia" w:ascii="宋体" w:hAnsi="宋体" w:eastAsia="宋体" w:cs="宋体"/>
                <w:b w:val="0"/>
                <w:bCs w:val="0"/>
                <w:color w:val="auto"/>
                <w:szCs w:val="21"/>
                <w:u w:val="none"/>
                <w:lang w:val="en-US" w:eastAsia="zh-CN"/>
              </w:rPr>
              <w:t>定标方法：投票表决法（票决数量法）。</w:t>
            </w:r>
          </w:p>
          <w:p w14:paraId="5C4A19CA">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400" w:lineRule="exact"/>
              <w:ind w:left="0" w:right="0"/>
              <w:jc w:val="left"/>
              <w:textAlignment w:val="auto"/>
              <w:rPr>
                <w:rFonts w:hint="default" w:ascii="Calibri" w:hAnsi="Calibri" w:eastAsia="宋体" w:cs="Times New Roman"/>
                <w:color w:val="auto"/>
                <w:szCs w:val="21"/>
                <w:u w:val="single"/>
                <w:lang w:val="en-US"/>
              </w:rPr>
            </w:pPr>
            <w:r>
              <w:rPr>
                <w:rFonts w:hint="eastAsia" w:ascii="宋体" w:hAnsi="宋体" w:eastAsia="宋体" w:cs="宋体"/>
                <w:b w:val="0"/>
                <w:bCs w:val="0"/>
                <w:color w:val="auto"/>
                <w:szCs w:val="21"/>
                <w:u w:val="none"/>
                <w:lang w:val="en-US" w:eastAsia="zh-CN"/>
              </w:rPr>
              <w:t>定标委员会成员对定标候选人进行记名投票，得票最高的即为中标人。当最高得票相同时，对得票最高的中标候选人再次进行记名投票，直至选出中标人。</w:t>
            </w:r>
          </w:p>
        </w:tc>
      </w:tr>
    </w:tbl>
    <w:p w14:paraId="0451425A">
      <w:pPr>
        <w:spacing w:line="360" w:lineRule="exact"/>
        <w:ind w:left="945" w:hanging="945" w:hangingChars="450"/>
        <w:rPr>
          <w:rFonts w:ascii="宋体" w:hAnsi="宋体"/>
          <w:color w:val="auto"/>
          <w:szCs w:val="21"/>
        </w:rPr>
      </w:pPr>
      <w:r>
        <w:rPr>
          <w:rFonts w:hint="eastAsia" w:ascii="宋体" w:hAnsi="宋体"/>
          <w:color w:val="auto"/>
          <w:szCs w:val="21"/>
        </w:rPr>
        <w:t>备注：1. 采用资格后审方式的项目。对“近年完成类似项目情况的年份要求”：如要求提供近5年的类似项目情况，则近5年是指从投标截止日往前推算5年，例如投标截止日为2014年2月1日，则近5年是指2009年2月1日至2014年1月31日。</w:t>
      </w:r>
    </w:p>
    <w:p w14:paraId="71E99455">
      <w:pPr>
        <w:spacing w:line="360" w:lineRule="exact"/>
        <w:ind w:left="945" w:hanging="945" w:hangingChars="450"/>
        <w:rPr>
          <w:rFonts w:hint="eastAsia" w:ascii="宋体" w:hAnsi="宋体"/>
          <w:color w:val="auto"/>
          <w:szCs w:val="21"/>
        </w:rPr>
      </w:pPr>
      <w:r>
        <w:rPr>
          <w:rFonts w:hint="eastAsia" w:ascii="宋体" w:hAnsi="宋体"/>
          <w:color w:val="auto"/>
          <w:szCs w:val="21"/>
        </w:rPr>
        <w:t xml:space="preserve">         采用资格预审方式的项目。对“近年完成类似项目情况的年份要求”：如要求提供近5年的类似项目情况，近5年是指从申请截止日往前推算5年至投标截止日的前一日，例如申请截止日为2014年2月1日，投标截止日为2014年3月5日，则近5年是指2009年2月1日至2014年3月4日。</w:t>
      </w:r>
    </w:p>
    <w:p w14:paraId="2726D701">
      <w:pPr>
        <w:spacing w:line="360" w:lineRule="exact"/>
        <w:ind w:left="840" w:leftChars="400"/>
        <w:rPr>
          <w:rFonts w:ascii="宋体" w:hAnsi="宋体"/>
          <w:color w:val="auto"/>
          <w:szCs w:val="21"/>
        </w:rPr>
      </w:pPr>
      <w:bookmarkStart w:id="121" w:name="_Hlk165313583"/>
      <w:r>
        <w:rPr>
          <w:rFonts w:hint="eastAsia" w:ascii="宋体" w:hAnsi="宋体"/>
          <w:color w:val="auto"/>
          <w:szCs w:val="21"/>
        </w:rPr>
        <w:t>近三年发生重大工程质量问题、近三年被人民法院判决为行贿罪、近年完成类似设计项目情况、近年完成类似施工项目情况、近年发生的诉讼及仲裁情况、近年工程获工程（设计）质量奖项和获表彰情况等，如有年份要求的均按上述示例规则推算。</w:t>
      </w:r>
    </w:p>
    <w:bookmarkEnd w:id="121"/>
    <w:p w14:paraId="7B66C432">
      <w:pPr>
        <w:spacing w:line="360" w:lineRule="exact"/>
        <w:ind w:left="945" w:leftChars="300" w:hanging="315" w:hangingChars="150"/>
        <w:rPr>
          <w:rFonts w:hint="eastAsia" w:ascii="宋体" w:hAnsi="宋体"/>
          <w:color w:val="auto"/>
          <w:szCs w:val="21"/>
        </w:rPr>
      </w:pPr>
      <w:r>
        <w:rPr>
          <w:rFonts w:hint="eastAsia" w:ascii="宋体" w:hAnsi="宋体"/>
          <w:color w:val="auto"/>
          <w:szCs w:val="21"/>
        </w:rPr>
        <w:t>2．近年财务状况的年份要求：如要求提供近3年的财务状况，投标截止日如在6月30日以前，则近3年是指上上个年度往前推算3年，例如投标截止日为2015年2月1日，近3年是指2011年度、2012年度、2013年度。投标截止日如在6月30日以后，则近3年是指上个年度往前推算的3年，例如投标截止日为2015年7月1日，近3年是指2012年度、2013年度、2014年度。</w:t>
      </w:r>
    </w:p>
    <w:p w14:paraId="3E22A40B">
      <w:pPr>
        <w:pStyle w:val="3"/>
        <w:spacing w:before="62"/>
        <w:rPr>
          <w:color w:val="auto"/>
          <w:sz w:val="28"/>
          <w:szCs w:val="28"/>
        </w:rPr>
        <w:sectPr>
          <w:pgSz w:w="11906" w:h="16838"/>
          <w:pgMar w:top="1440" w:right="1633" w:bottom="1440" w:left="1633" w:header="851" w:footer="850" w:gutter="0"/>
          <w:cols w:space="720" w:num="1"/>
          <w:docGrid w:type="linesAndChars" w:linePitch="312" w:charSpace="0"/>
        </w:sectPr>
      </w:pPr>
      <w:bookmarkStart w:id="122" w:name="_Toc27627"/>
      <w:bookmarkStart w:id="123" w:name="_Toc154063376"/>
      <w:bookmarkStart w:id="124" w:name="_Toc28140"/>
      <w:bookmarkStart w:id="125" w:name="_Toc13967"/>
      <w:bookmarkStart w:id="126" w:name="_Toc30718"/>
      <w:bookmarkStart w:id="127" w:name="_Toc467939762"/>
      <w:bookmarkStart w:id="128" w:name="_Toc519085269"/>
    </w:p>
    <w:p w14:paraId="1CFC4E0C">
      <w:pPr>
        <w:pStyle w:val="3"/>
        <w:spacing w:before="62"/>
        <w:rPr>
          <w:color w:val="auto"/>
          <w:sz w:val="28"/>
          <w:szCs w:val="28"/>
        </w:rPr>
      </w:pPr>
      <w:r>
        <w:rPr>
          <w:color w:val="auto"/>
          <w:sz w:val="28"/>
          <w:szCs w:val="28"/>
        </w:rPr>
        <w:t>投标人须知正文部分</w:t>
      </w:r>
      <w:bookmarkEnd w:id="122"/>
      <w:bookmarkEnd w:id="123"/>
      <w:bookmarkEnd w:id="124"/>
      <w:bookmarkEnd w:id="125"/>
      <w:bookmarkEnd w:id="126"/>
      <w:bookmarkEnd w:id="127"/>
      <w:bookmarkEnd w:id="128"/>
    </w:p>
    <w:p w14:paraId="6C83F68D">
      <w:pPr>
        <w:pStyle w:val="3"/>
        <w:spacing w:before="62"/>
        <w:rPr>
          <w:rFonts w:ascii="黑体" w:hAnsi="黑体"/>
          <w:color w:val="auto"/>
          <w:sz w:val="28"/>
          <w:szCs w:val="28"/>
        </w:rPr>
      </w:pPr>
      <w:bookmarkStart w:id="129" w:name="_Toc247527553"/>
      <w:bookmarkStart w:id="130" w:name="_Toc152042305"/>
      <w:bookmarkStart w:id="131" w:name="_Toc10926"/>
      <w:bookmarkStart w:id="132" w:name="_Toc9700"/>
      <w:bookmarkStart w:id="133" w:name="_Toc154063377"/>
      <w:bookmarkStart w:id="134" w:name="_Toc152045529"/>
      <w:bookmarkStart w:id="135" w:name="_Toc144974497"/>
      <w:bookmarkStart w:id="136" w:name="_Toc10432"/>
      <w:bookmarkStart w:id="137" w:name="_Toc247513952"/>
      <w:bookmarkStart w:id="138" w:name="_Toc519085270"/>
      <w:r>
        <w:rPr>
          <w:rFonts w:ascii="黑体" w:hAnsi="黑体"/>
          <w:color w:val="auto"/>
          <w:sz w:val="28"/>
          <w:szCs w:val="28"/>
        </w:rPr>
        <w:t>1. 总则</w:t>
      </w:r>
      <w:bookmarkEnd w:id="129"/>
      <w:bookmarkEnd w:id="130"/>
      <w:bookmarkEnd w:id="131"/>
      <w:bookmarkEnd w:id="132"/>
      <w:bookmarkEnd w:id="133"/>
      <w:bookmarkEnd w:id="134"/>
      <w:bookmarkEnd w:id="135"/>
      <w:bookmarkEnd w:id="136"/>
      <w:bookmarkEnd w:id="137"/>
      <w:bookmarkEnd w:id="138"/>
    </w:p>
    <w:p w14:paraId="7487A708">
      <w:pPr>
        <w:pStyle w:val="113"/>
        <w:outlineLvl w:val="0"/>
        <w:rPr>
          <w:rFonts w:ascii="黑体" w:hAnsi="黑体"/>
          <w:color w:val="auto"/>
        </w:rPr>
      </w:pPr>
      <w:bookmarkStart w:id="139" w:name="_Toc152042306"/>
      <w:bookmarkStart w:id="140" w:name="_Toc144974498"/>
      <w:bookmarkStart w:id="141" w:name="_Toc28484"/>
      <w:bookmarkStart w:id="142" w:name="_Toc247513953"/>
      <w:bookmarkStart w:id="143" w:name="_Toc519085271"/>
      <w:bookmarkStart w:id="144" w:name="_Toc154063378"/>
      <w:bookmarkStart w:id="145" w:name="_Toc7530"/>
      <w:bookmarkStart w:id="146" w:name="_Toc152045530"/>
      <w:bookmarkStart w:id="147" w:name="_Toc247527554"/>
      <w:bookmarkStart w:id="148" w:name="_Toc21738"/>
      <w:r>
        <w:rPr>
          <w:rFonts w:ascii="黑体" w:hAnsi="黑体"/>
          <w:color w:val="auto"/>
        </w:rPr>
        <w:t>1.1 项目概况</w:t>
      </w:r>
      <w:bookmarkEnd w:id="139"/>
      <w:bookmarkEnd w:id="140"/>
      <w:bookmarkEnd w:id="141"/>
      <w:bookmarkEnd w:id="142"/>
      <w:bookmarkEnd w:id="143"/>
      <w:bookmarkEnd w:id="144"/>
      <w:bookmarkEnd w:id="145"/>
      <w:bookmarkEnd w:id="146"/>
      <w:bookmarkEnd w:id="147"/>
      <w:bookmarkEnd w:id="148"/>
    </w:p>
    <w:p w14:paraId="603EE8BA">
      <w:pPr>
        <w:spacing w:line="400" w:lineRule="exact"/>
        <w:ind w:firstLine="420" w:firstLineChars="200"/>
        <w:rPr>
          <w:color w:val="auto"/>
        </w:rPr>
      </w:pPr>
      <w:r>
        <w:rPr>
          <w:color w:val="auto"/>
        </w:rPr>
        <w:t>1.1.1根据《中华人民共和国招标投标法》等有关法律、法规和规章的规定，本项目已具备招标条件，现对</w:t>
      </w:r>
      <w:r>
        <w:rPr>
          <w:rFonts w:hint="eastAsia"/>
          <w:color w:val="auto"/>
        </w:rPr>
        <w:t>本</w:t>
      </w:r>
      <w:r>
        <w:rPr>
          <w:color w:val="auto"/>
        </w:rPr>
        <w:t>项目进行</w:t>
      </w:r>
      <w:r>
        <w:rPr>
          <w:rFonts w:hint="eastAsia"/>
          <w:color w:val="auto"/>
        </w:rPr>
        <w:t>工程</w:t>
      </w:r>
      <w:r>
        <w:rPr>
          <w:color w:val="auto"/>
        </w:rPr>
        <w:t>总承包招标。</w:t>
      </w:r>
    </w:p>
    <w:p w14:paraId="3F7A297B">
      <w:pPr>
        <w:spacing w:line="400" w:lineRule="exact"/>
        <w:ind w:firstLine="420" w:firstLineChars="200"/>
        <w:rPr>
          <w:color w:val="auto"/>
        </w:rPr>
      </w:pPr>
      <w:r>
        <w:rPr>
          <w:color w:val="auto"/>
        </w:rPr>
        <w:t>1.1.2 招标人：见投标人须知前附表。</w:t>
      </w:r>
    </w:p>
    <w:p w14:paraId="3F706C7B">
      <w:pPr>
        <w:spacing w:line="400" w:lineRule="exact"/>
        <w:ind w:firstLine="420" w:firstLineChars="200"/>
        <w:rPr>
          <w:rFonts w:hint="eastAsia"/>
          <w:color w:val="auto"/>
        </w:rPr>
      </w:pPr>
      <w:r>
        <w:rPr>
          <w:color w:val="auto"/>
        </w:rPr>
        <w:t>1.1.3 招标代理机构</w:t>
      </w:r>
      <w:r>
        <w:rPr>
          <w:rFonts w:hint="eastAsia"/>
          <w:color w:val="auto"/>
        </w:rPr>
        <w:t>（造价咨询人）</w:t>
      </w:r>
      <w:r>
        <w:rPr>
          <w:color w:val="auto"/>
        </w:rPr>
        <w:t>：见投标人须知前附表。</w:t>
      </w:r>
    </w:p>
    <w:p w14:paraId="184D343D">
      <w:pPr>
        <w:spacing w:line="400" w:lineRule="exact"/>
        <w:ind w:firstLine="420" w:firstLineChars="200"/>
        <w:rPr>
          <w:rFonts w:hint="eastAsia"/>
          <w:color w:val="auto"/>
        </w:rPr>
      </w:pPr>
      <w:r>
        <w:rPr>
          <w:color w:val="auto"/>
        </w:rPr>
        <w:t>1.1.</w:t>
      </w:r>
      <w:r>
        <w:rPr>
          <w:rFonts w:hint="eastAsia"/>
          <w:color w:val="auto"/>
        </w:rPr>
        <w:t>4监理人（项目管理单位）：</w:t>
      </w:r>
      <w:r>
        <w:rPr>
          <w:color w:val="auto"/>
        </w:rPr>
        <w:t>见投标人须知前附表。</w:t>
      </w:r>
    </w:p>
    <w:p w14:paraId="3D17AA40">
      <w:pPr>
        <w:spacing w:line="400" w:lineRule="exact"/>
        <w:ind w:firstLine="420" w:firstLineChars="200"/>
        <w:rPr>
          <w:color w:val="auto"/>
        </w:rPr>
      </w:pPr>
      <w:r>
        <w:rPr>
          <w:color w:val="auto"/>
        </w:rPr>
        <w:t>1.1.</w:t>
      </w:r>
      <w:r>
        <w:rPr>
          <w:rFonts w:hint="eastAsia"/>
          <w:color w:val="auto"/>
        </w:rPr>
        <w:t>5代建人：</w:t>
      </w:r>
      <w:r>
        <w:rPr>
          <w:color w:val="auto"/>
        </w:rPr>
        <w:t>见投标人须知前附表。</w:t>
      </w:r>
    </w:p>
    <w:p w14:paraId="1874F7AE">
      <w:pPr>
        <w:spacing w:line="400" w:lineRule="exact"/>
        <w:ind w:firstLine="420" w:firstLineChars="200"/>
        <w:rPr>
          <w:color w:val="auto"/>
        </w:rPr>
      </w:pPr>
      <w:r>
        <w:rPr>
          <w:color w:val="auto"/>
        </w:rPr>
        <w:t>1.1.</w:t>
      </w:r>
      <w:r>
        <w:rPr>
          <w:rFonts w:hint="eastAsia"/>
          <w:color w:val="auto"/>
        </w:rPr>
        <w:t>6</w:t>
      </w:r>
      <w:r>
        <w:rPr>
          <w:color w:val="auto"/>
        </w:rPr>
        <w:t xml:space="preserve"> 招标项目名称、招标编号：见投标人须知前附表。</w:t>
      </w:r>
    </w:p>
    <w:p w14:paraId="1A7A18B2">
      <w:pPr>
        <w:spacing w:line="400" w:lineRule="exact"/>
        <w:ind w:firstLine="420" w:firstLineChars="200"/>
        <w:rPr>
          <w:color w:val="auto"/>
        </w:rPr>
      </w:pPr>
      <w:r>
        <w:rPr>
          <w:color w:val="auto"/>
        </w:rPr>
        <w:t>1.1.</w:t>
      </w:r>
      <w:r>
        <w:rPr>
          <w:rFonts w:hint="eastAsia"/>
          <w:color w:val="auto"/>
        </w:rPr>
        <w:t>7</w:t>
      </w:r>
      <w:r>
        <w:rPr>
          <w:color w:val="auto"/>
        </w:rPr>
        <w:t>项目建设地点：见投标人须知前附表。</w:t>
      </w:r>
    </w:p>
    <w:p w14:paraId="616B8D82">
      <w:pPr>
        <w:pStyle w:val="113"/>
        <w:outlineLvl w:val="0"/>
        <w:rPr>
          <w:rFonts w:ascii="黑体" w:hAnsi="黑体"/>
          <w:color w:val="auto"/>
        </w:rPr>
      </w:pPr>
      <w:bookmarkStart w:id="149" w:name="_Toc247527555"/>
      <w:bookmarkStart w:id="150" w:name="_Toc152045531"/>
      <w:bookmarkStart w:id="151" w:name="_Toc152042307"/>
      <w:bookmarkStart w:id="152" w:name="_Toc154063379"/>
      <w:bookmarkStart w:id="153" w:name="_Toc7547"/>
      <w:bookmarkStart w:id="154" w:name="_Toc519085272"/>
      <w:bookmarkStart w:id="155" w:name="_Toc144974499"/>
      <w:bookmarkStart w:id="156" w:name="_Toc247513954"/>
      <w:bookmarkStart w:id="157" w:name="_Toc16896"/>
      <w:bookmarkStart w:id="158" w:name="_Toc22697"/>
      <w:r>
        <w:rPr>
          <w:rFonts w:ascii="黑体" w:hAnsi="黑体"/>
          <w:color w:val="auto"/>
        </w:rPr>
        <w:t>1.2 项目的资金来源和落实情况</w:t>
      </w:r>
      <w:bookmarkEnd w:id="149"/>
      <w:bookmarkEnd w:id="150"/>
      <w:bookmarkEnd w:id="151"/>
      <w:bookmarkEnd w:id="152"/>
      <w:bookmarkEnd w:id="153"/>
      <w:bookmarkEnd w:id="154"/>
      <w:bookmarkEnd w:id="155"/>
      <w:bookmarkEnd w:id="156"/>
      <w:bookmarkEnd w:id="157"/>
      <w:bookmarkEnd w:id="158"/>
    </w:p>
    <w:p w14:paraId="5936232E">
      <w:pPr>
        <w:spacing w:line="400" w:lineRule="exact"/>
        <w:ind w:firstLine="420" w:firstLineChars="200"/>
        <w:rPr>
          <w:color w:val="auto"/>
        </w:rPr>
      </w:pPr>
      <w:r>
        <w:rPr>
          <w:color w:val="auto"/>
        </w:rPr>
        <w:t>1.2.1 本招标项目的资金来源：见投标人须知前附表。</w:t>
      </w:r>
    </w:p>
    <w:p w14:paraId="0893512A">
      <w:pPr>
        <w:spacing w:line="400" w:lineRule="exact"/>
        <w:ind w:firstLine="420" w:firstLineChars="200"/>
        <w:rPr>
          <w:rFonts w:hint="eastAsia"/>
          <w:color w:val="auto"/>
        </w:rPr>
      </w:pPr>
      <w:r>
        <w:rPr>
          <w:rFonts w:hint="eastAsia"/>
          <w:color w:val="auto"/>
        </w:rPr>
        <w:t>1.2.2 本招标项目的出资比例：见投标人须知前附表。</w:t>
      </w:r>
    </w:p>
    <w:p w14:paraId="309B309D">
      <w:pPr>
        <w:spacing w:line="400" w:lineRule="exact"/>
        <w:ind w:firstLine="420" w:firstLineChars="200"/>
        <w:rPr>
          <w:color w:val="auto"/>
        </w:rPr>
      </w:pPr>
      <w:r>
        <w:rPr>
          <w:color w:val="auto"/>
        </w:rPr>
        <w:t>1.2.3 本招标项目的资金落实情况：见投标人须知前附表。</w:t>
      </w:r>
    </w:p>
    <w:p w14:paraId="73AE50B2">
      <w:pPr>
        <w:spacing w:line="400" w:lineRule="exact"/>
        <w:ind w:firstLine="420" w:firstLineChars="200"/>
        <w:rPr>
          <w:color w:val="auto"/>
        </w:rPr>
      </w:pPr>
      <w:r>
        <w:rPr>
          <w:rFonts w:hint="eastAsia"/>
          <w:color w:val="auto"/>
        </w:rPr>
        <w:t>1.2.</w:t>
      </w:r>
      <w:r>
        <w:rPr>
          <w:color w:val="auto"/>
        </w:rPr>
        <w:t>4</w:t>
      </w:r>
      <w:r>
        <w:rPr>
          <w:rFonts w:hint="eastAsia"/>
          <w:color w:val="auto"/>
        </w:rPr>
        <w:t xml:space="preserve"> 本招标项目性质：见投标人须知前附表。</w:t>
      </w:r>
    </w:p>
    <w:p w14:paraId="740B3942">
      <w:pPr>
        <w:pStyle w:val="113"/>
        <w:outlineLvl w:val="0"/>
        <w:rPr>
          <w:rFonts w:ascii="黑体" w:hAnsi="黑体"/>
          <w:color w:val="auto"/>
        </w:rPr>
      </w:pPr>
      <w:bookmarkStart w:id="159" w:name="_Toc152042308"/>
      <w:bookmarkStart w:id="160" w:name="_Toc247513955"/>
      <w:bookmarkStart w:id="161" w:name="_Toc247527556"/>
      <w:bookmarkStart w:id="162" w:name="_Toc144974500"/>
      <w:bookmarkStart w:id="163" w:name="_Toc152045532"/>
      <w:bookmarkStart w:id="164" w:name="_Toc16345"/>
      <w:bookmarkStart w:id="165" w:name="_Toc519085273"/>
      <w:bookmarkStart w:id="166" w:name="_Toc154063380"/>
      <w:bookmarkStart w:id="167" w:name="_Toc24401"/>
      <w:bookmarkStart w:id="168" w:name="_Toc972"/>
      <w:r>
        <w:rPr>
          <w:rFonts w:ascii="黑体" w:hAnsi="黑体"/>
          <w:color w:val="auto"/>
        </w:rPr>
        <w:t>1.3 招标范围、计划工期和</w:t>
      </w:r>
      <w:bookmarkEnd w:id="159"/>
      <w:bookmarkEnd w:id="160"/>
      <w:bookmarkEnd w:id="161"/>
      <w:bookmarkEnd w:id="162"/>
      <w:bookmarkEnd w:id="163"/>
      <w:r>
        <w:rPr>
          <w:rFonts w:ascii="黑体" w:hAnsi="黑体"/>
          <w:color w:val="auto"/>
        </w:rPr>
        <w:t>质量标准</w:t>
      </w:r>
      <w:bookmarkEnd w:id="164"/>
      <w:bookmarkEnd w:id="165"/>
      <w:bookmarkEnd w:id="166"/>
      <w:bookmarkEnd w:id="167"/>
      <w:bookmarkEnd w:id="168"/>
    </w:p>
    <w:p w14:paraId="56991C60">
      <w:pPr>
        <w:spacing w:line="400" w:lineRule="exact"/>
        <w:ind w:firstLine="420" w:firstLineChars="200"/>
        <w:rPr>
          <w:color w:val="auto"/>
        </w:rPr>
      </w:pPr>
      <w:r>
        <w:rPr>
          <w:color w:val="auto"/>
        </w:rPr>
        <w:t>1.3.1 招标范围：见投标人须知前附表。</w:t>
      </w:r>
    </w:p>
    <w:p w14:paraId="52135899">
      <w:pPr>
        <w:spacing w:line="400" w:lineRule="exact"/>
        <w:ind w:firstLine="420" w:firstLineChars="200"/>
        <w:rPr>
          <w:color w:val="auto"/>
        </w:rPr>
      </w:pPr>
      <w:r>
        <w:rPr>
          <w:color w:val="auto"/>
        </w:rPr>
        <w:t>1.3.2 计划工期：见投标人须知前附表。</w:t>
      </w:r>
    </w:p>
    <w:p w14:paraId="4A1205D1">
      <w:pPr>
        <w:spacing w:line="400" w:lineRule="exact"/>
        <w:ind w:firstLine="420" w:firstLineChars="200"/>
        <w:rPr>
          <w:rFonts w:hint="eastAsia"/>
          <w:color w:val="auto"/>
        </w:rPr>
      </w:pPr>
      <w:r>
        <w:rPr>
          <w:color w:val="auto"/>
        </w:rPr>
        <w:t>1.3.3 质量要求：见投标人须知前附表。</w:t>
      </w:r>
    </w:p>
    <w:p w14:paraId="2F274FB1">
      <w:pPr>
        <w:spacing w:line="400" w:lineRule="exact"/>
        <w:ind w:firstLine="420" w:firstLineChars="200"/>
        <w:rPr>
          <w:color w:val="auto"/>
        </w:rPr>
      </w:pPr>
      <w:r>
        <w:rPr>
          <w:rFonts w:hint="eastAsia"/>
          <w:color w:val="auto"/>
        </w:rPr>
        <w:t>1.3.4 本标段执行的政府采购政策：见投标人须知前附表。</w:t>
      </w:r>
    </w:p>
    <w:p w14:paraId="383562F6">
      <w:pPr>
        <w:pStyle w:val="113"/>
        <w:outlineLvl w:val="0"/>
        <w:rPr>
          <w:rFonts w:ascii="黑体" w:hAnsi="黑体"/>
          <w:color w:val="auto"/>
        </w:rPr>
      </w:pPr>
      <w:bookmarkStart w:id="169" w:name="_Toc152045533"/>
      <w:bookmarkStart w:id="170" w:name="_Toc247527557"/>
      <w:bookmarkStart w:id="171" w:name="_Toc247513956"/>
      <w:bookmarkStart w:id="172" w:name="_Toc8658"/>
      <w:bookmarkStart w:id="173" w:name="_Toc519085274"/>
      <w:bookmarkStart w:id="174" w:name="_Toc3580"/>
      <w:bookmarkStart w:id="175" w:name="_Toc144974501"/>
      <w:bookmarkStart w:id="176" w:name="_Toc152042309"/>
      <w:bookmarkStart w:id="177" w:name="_Toc20897"/>
      <w:bookmarkStart w:id="178" w:name="_Toc154063381"/>
      <w:r>
        <w:rPr>
          <w:rFonts w:ascii="黑体" w:hAnsi="黑体"/>
          <w:color w:val="auto"/>
        </w:rPr>
        <w:t>1.4 投标人资格要求（适用于已进行资格预审的）</w:t>
      </w:r>
      <w:bookmarkEnd w:id="169"/>
      <w:bookmarkEnd w:id="170"/>
      <w:bookmarkEnd w:id="171"/>
      <w:bookmarkEnd w:id="172"/>
      <w:bookmarkEnd w:id="173"/>
      <w:bookmarkEnd w:id="174"/>
      <w:bookmarkEnd w:id="175"/>
      <w:bookmarkEnd w:id="176"/>
      <w:bookmarkEnd w:id="177"/>
      <w:bookmarkEnd w:id="178"/>
    </w:p>
    <w:p w14:paraId="14B0CA91">
      <w:pPr>
        <w:spacing w:line="400" w:lineRule="exact"/>
        <w:ind w:firstLine="420" w:firstLineChars="200"/>
        <w:rPr>
          <w:color w:val="auto"/>
        </w:rPr>
      </w:pPr>
      <w:r>
        <w:rPr>
          <w:color w:val="auto"/>
        </w:rPr>
        <w:t>投标人应是收到招标人发出投标邀请书的单位。</w:t>
      </w:r>
    </w:p>
    <w:p w14:paraId="434F2A10">
      <w:pPr>
        <w:pStyle w:val="113"/>
        <w:outlineLvl w:val="0"/>
        <w:rPr>
          <w:rFonts w:ascii="黑体" w:hAnsi="黑体"/>
          <w:color w:val="auto"/>
        </w:rPr>
      </w:pPr>
      <w:bookmarkStart w:id="179" w:name="_Toc144974502"/>
      <w:bookmarkStart w:id="180" w:name="_Toc152045534"/>
      <w:bookmarkStart w:id="181" w:name="_Toc29284"/>
      <w:bookmarkStart w:id="182" w:name="_Toc247513957"/>
      <w:bookmarkStart w:id="183" w:name="_Toc9717"/>
      <w:bookmarkStart w:id="184" w:name="_Toc154063382"/>
      <w:bookmarkStart w:id="185" w:name="_Toc152042310"/>
      <w:bookmarkStart w:id="186" w:name="_Toc247527558"/>
      <w:bookmarkStart w:id="187" w:name="_Toc519085275"/>
      <w:bookmarkStart w:id="188" w:name="_Toc19693"/>
      <w:r>
        <w:rPr>
          <w:rFonts w:ascii="黑体" w:hAnsi="黑体"/>
          <w:color w:val="auto"/>
        </w:rPr>
        <w:t>1.4 投标人资格要求（适用于未进行资格预审的）</w:t>
      </w:r>
      <w:bookmarkEnd w:id="179"/>
      <w:bookmarkEnd w:id="180"/>
      <w:bookmarkEnd w:id="181"/>
      <w:bookmarkEnd w:id="182"/>
      <w:bookmarkEnd w:id="183"/>
      <w:bookmarkEnd w:id="184"/>
      <w:bookmarkEnd w:id="185"/>
      <w:bookmarkEnd w:id="186"/>
      <w:bookmarkEnd w:id="187"/>
      <w:bookmarkEnd w:id="188"/>
    </w:p>
    <w:p w14:paraId="7551C1D7">
      <w:pPr>
        <w:spacing w:line="400" w:lineRule="exact"/>
        <w:ind w:firstLine="420" w:firstLineChars="200"/>
        <w:rPr>
          <w:color w:val="auto"/>
        </w:rPr>
      </w:pPr>
      <w:r>
        <w:rPr>
          <w:color w:val="auto"/>
        </w:rPr>
        <w:t>1.4.1 投标人应具备承担本招标项目资质条件、能力和信誉。</w:t>
      </w:r>
    </w:p>
    <w:p w14:paraId="6B6019BC">
      <w:pPr>
        <w:spacing w:line="400" w:lineRule="exact"/>
        <w:ind w:firstLine="420" w:firstLineChars="200"/>
        <w:rPr>
          <w:color w:val="auto"/>
        </w:rPr>
      </w:pPr>
      <w:r>
        <w:rPr>
          <w:color w:val="auto"/>
        </w:rPr>
        <w:t>（1）资质条件：见投标人须知前附表；</w:t>
      </w:r>
    </w:p>
    <w:p w14:paraId="225E5A0E">
      <w:pPr>
        <w:spacing w:line="400" w:lineRule="exact"/>
        <w:ind w:firstLine="420" w:firstLineChars="200"/>
        <w:rPr>
          <w:color w:val="auto"/>
        </w:rPr>
      </w:pPr>
      <w:r>
        <w:rPr>
          <w:color w:val="auto"/>
        </w:rPr>
        <w:t>（2）财务要求：见投标人须知前附表；</w:t>
      </w:r>
    </w:p>
    <w:p w14:paraId="6531D2FF">
      <w:pPr>
        <w:spacing w:line="400" w:lineRule="exact"/>
        <w:ind w:firstLine="420" w:firstLineChars="200"/>
        <w:rPr>
          <w:color w:val="auto"/>
        </w:rPr>
      </w:pPr>
      <w:r>
        <w:rPr>
          <w:color w:val="auto"/>
        </w:rPr>
        <w:t>（3）业绩要求：见投标人须知前附表；</w:t>
      </w:r>
    </w:p>
    <w:p w14:paraId="54A54021">
      <w:pPr>
        <w:spacing w:line="400" w:lineRule="exact"/>
        <w:ind w:firstLine="420" w:firstLineChars="200"/>
        <w:rPr>
          <w:color w:val="auto"/>
        </w:rPr>
      </w:pPr>
      <w:r>
        <w:rPr>
          <w:color w:val="auto"/>
        </w:rPr>
        <w:t>（4）信誉要求：见投标人须知前附表；</w:t>
      </w:r>
    </w:p>
    <w:p w14:paraId="7FE8DE13">
      <w:pPr>
        <w:spacing w:line="400" w:lineRule="exact"/>
        <w:ind w:firstLine="420" w:firstLineChars="200"/>
        <w:rPr>
          <w:color w:val="auto"/>
        </w:rPr>
      </w:pPr>
      <w:r>
        <w:rPr>
          <w:color w:val="auto"/>
        </w:rPr>
        <w:t>（5）项目经理的资格要求：见投标人须知前附表；</w:t>
      </w:r>
    </w:p>
    <w:p w14:paraId="2A2F8BA6">
      <w:pPr>
        <w:spacing w:line="400" w:lineRule="exact"/>
        <w:ind w:firstLine="420" w:firstLineChars="200"/>
        <w:rPr>
          <w:color w:val="auto"/>
        </w:rPr>
      </w:pPr>
      <w:r>
        <w:rPr>
          <w:color w:val="auto"/>
        </w:rPr>
        <w:t>（6）设计负责人的资格要求：见投标人须知前附表；</w:t>
      </w:r>
    </w:p>
    <w:p w14:paraId="5C5EC294">
      <w:pPr>
        <w:spacing w:line="400" w:lineRule="exact"/>
        <w:ind w:firstLine="420" w:firstLineChars="200"/>
        <w:rPr>
          <w:color w:val="auto"/>
        </w:rPr>
      </w:pPr>
      <w:r>
        <w:rPr>
          <w:color w:val="auto"/>
        </w:rPr>
        <w:t>（7）施工负责人的资格要求：见投标人须知前附表；</w:t>
      </w:r>
    </w:p>
    <w:p w14:paraId="0F5483DA">
      <w:pPr>
        <w:spacing w:line="400" w:lineRule="exact"/>
        <w:ind w:firstLine="420" w:firstLineChars="200"/>
        <w:rPr>
          <w:color w:val="auto"/>
        </w:rPr>
      </w:pPr>
      <w:r>
        <w:rPr>
          <w:color w:val="auto"/>
        </w:rPr>
        <w:t>（8）施工机械设备：见投标人须知前附表；</w:t>
      </w:r>
    </w:p>
    <w:p w14:paraId="513E1900">
      <w:pPr>
        <w:spacing w:line="400" w:lineRule="exact"/>
        <w:ind w:firstLine="420" w:firstLineChars="200"/>
        <w:rPr>
          <w:color w:val="auto"/>
        </w:rPr>
      </w:pPr>
      <w:r>
        <w:rPr>
          <w:color w:val="auto"/>
        </w:rPr>
        <w:t>（9）项目管理机构及人员：见投标人须知前附表；</w:t>
      </w:r>
    </w:p>
    <w:p w14:paraId="637D8955">
      <w:pPr>
        <w:spacing w:line="400" w:lineRule="exact"/>
        <w:ind w:firstLine="420" w:firstLineChars="200"/>
        <w:rPr>
          <w:rFonts w:hint="eastAsia"/>
          <w:color w:val="auto"/>
        </w:rPr>
      </w:pPr>
      <w:r>
        <w:rPr>
          <w:rFonts w:hint="eastAsia"/>
          <w:color w:val="auto"/>
        </w:rPr>
        <w:t>（10）</w:t>
      </w:r>
      <w:r>
        <w:rPr>
          <w:color w:val="auto"/>
        </w:rPr>
        <w:t>其他要求：见投标人须知前附表。</w:t>
      </w:r>
    </w:p>
    <w:p w14:paraId="14014A8F">
      <w:pPr>
        <w:spacing w:line="400" w:lineRule="exact"/>
        <w:ind w:firstLine="420" w:firstLineChars="200"/>
        <w:rPr>
          <w:color w:val="auto"/>
        </w:rPr>
      </w:pPr>
      <w:r>
        <w:rPr>
          <w:color w:val="auto"/>
        </w:rPr>
        <w:t xml:space="preserve">1.4.2投标人须知前附表规定接受联合体投标的，除应符合本章第1.4.1项和投标人须知前附表的要求外，还应遵守以下规定： </w:t>
      </w:r>
    </w:p>
    <w:p w14:paraId="02AD1A46">
      <w:pPr>
        <w:spacing w:line="400" w:lineRule="exact"/>
        <w:ind w:firstLine="420" w:firstLineChars="200"/>
        <w:rPr>
          <w:color w:val="auto"/>
        </w:rPr>
      </w:pPr>
      <w:r>
        <w:rPr>
          <w:color w:val="auto"/>
        </w:rPr>
        <w:t>（1）联合体各方应按招标文件提供的格式签订联合体协议书，明确联合体牵头人和各方权利义务；</w:t>
      </w:r>
    </w:p>
    <w:p w14:paraId="18D88112">
      <w:pPr>
        <w:spacing w:line="400" w:lineRule="exact"/>
        <w:ind w:firstLine="420" w:firstLineChars="200"/>
        <w:rPr>
          <w:color w:val="auto"/>
        </w:rPr>
      </w:pPr>
      <w:r>
        <w:rPr>
          <w:color w:val="auto"/>
        </w:rPr>
        <w:t>（2）由同一专业的单位组成的联合体，按照资质等级较低的单位确定资质等级；</w:t>
      </w:r>
    </w:p>
    <w:p w14:paraId="019CB1E3">
      <w:pPr>
        <w:spacing w:line="400" w:lineRule="exact"/>
        <w:ind w:firstLine="420" w:firstLineChars="200"/>
        <w:rPr>
          <w:color w:val="auto"/>
        </w:rPr>
      </w:pPr>
      <w:r>
        <w:rPr>
          <w:color w:val="auto"/>
        </w:rPr>
        <w:t>（3）联合体各方不得再以自己名义单独或参加其他联合体在本招标项目中投标。</w:t>
      </w:r>
    </w:p>
    <w:p w14:paraId="478FDE2A">
      <w:pPr>
        <w:spacing w:line="400" w:lineRule="exact"/>
        <w:ind w:firstLine="420" w:firstLineChars="200"/>
        <w:rPr>
          <w:color w:val="auto"/>
        </w:rPr>
      </w:pPr>
      <w:r>
        <w:rPr>
          <w:color w:val="auto"/>
        </w:rPr>
        <w:t>1.4.3 投标人不得存在下列情形之一：</w:t>
      </w:r>
    </w:p>
    <w:p w14:paraId="6C38BC20">
      <w:pPr>
        <w:spacing w:line="400" w:lineRule="exact"/>
        <w:ind w:firstLine="718" w:firstLineChars="342"/>
        <w:rPr>
          <w:rFonts w:hint="eastAsia"/>
          <w:color w:val="auto"/>
        </w:rPr>
      </w:pPr>
      <w:r>
        <w:rPr>
          <w:rFonts w:hint="eastAsia"/>
          <w:color w:val="auto"/>
        </w:rPr>
        <w:t xml:space="preserve">（1）为招标人不具有独立法人资格的附属机构（单位）； </w:t>
      </w:r>
    </w:p>
    <w:p w14:paraId="20BDF36D">
      <w:pPr>
        <w:spacing w:line="400" w:lineRule="exact"/>
        <w:ind w:firstLine="735" w:firstLineChars="350"/>
        <w:rPr>
          <w:rFonts w:hint="eastAsia"/>
          <w:color w:val="auto"/>
        </w:rPr>
      </w:pPr>
      <w:r>
        <w:rPr>
          <w:rFonts w:hint="eastAsia"/>
          <w:color w:val="auto"/>
        </w:rPr>
        <w:t>（</w:t>
      </w:r>
      <w:r>
        <w:rPr>
          <w:color w:val="auto"/>
        </w:rPr>
        <w:t>2</w:t>
      </w:r>
      <w:r>
        <w:rPr>
          <w:rFonts w:hint="eastAsia"/>
          <w:color w:val="auto"/>
        </w:rPr>
        <w:t>）与招标人存在利害关系且可能影响招标公正性；</w:t>
      </w:r>
    </w:p>
    <w:p w14:paraId="15D61D0C">
      <w:pPr>
        <w:spacing w:line="400" w:lineRule="exact"/>
        <w:ind w:firstLine="735" w:firstLineChars="350"/>
        <w:rPr>
          <w:color w:val="auto"/>
        </w:rPr>
      </w:pPr>
      <w:r>
        <w:rPr>
          <w:rFonts w:hint="eastAsia"/>
          <w:color w:val="auto"/>
        </w:rPr>
        <w:t>（</w:t>
      </w:r>
      <w:r>
        <w:rPr>
          <w:color w:val="auto"/>
        </w:rPr>
        <w:t>3</w:t>
      </w:r>
      <w:r>
        <w:rPr>
          <w:rFonts w:hint="eastAsia"/>
          <w:color w:val="auto"/>
        </w:rPr>
        <w:t>）与本标段的其他投标人为同一个单位负责人；</w:t>
      </w:r>
    </w:p>
    <w:p w14:paraId="4354481C">
      <w:pPr>
        <w:spacing w:line="400" w:lineRule="exact"/>
        <w:ind w:firstLine="735" w:firstLineChars="350"/>
        <w:rPr>
          <w:rFonts w:hint="eastAsia"/>
          <w:color w:val="auto"/>
        </w:rPr>
      </w:pPr>
      <w:r>
        <w:rPr>
          <w:rFonts w:hint="eastAsia"/>
          <w:color w:val="auto"/>
        </w:rPr>
        <w:t>（</w:t>
      </w:r>
      <w:r>
        <w:rPr>
          <w:color w:val="auto"/>
        </w:rPr>
        <w:t>4</w:t>
      </w:r>
      <w:r>
        <w:rPr>
          <w:rFonts w:hint="eastAsia"/>
          <w:color w:val="auto"/>
        </w:rPr>
        <w:t>）与本标段的其他投标人存在控股、管理关系；</w:t>
      </w:r>
    </w:p>
    <w:p w14:paraId="0FD90C7F">
      <w:pPr>
        <w:spacing w:line="400" w:lineRule="exact"/>
        <w:ind w:firstLine="735" w:firstLineChars="350"/>
        <w:rPr>
          <w:rFonts w:hint="eastAsia"/>
          <w:color w:val="auto"/>
        </w:rPr>
      </w:pPr>
      <w:r>
        <w:rPr>
          <w:rFonts w:hint="eastAsia"/>
          <w:color w:val="auto"/>
        </w:rPr>
        <w:t>（5）为本标段前期工作提供咨询服务的（招标人公开已完成的</w:t>
      </w:r>
      <w:r>
        <w:rPr>
          <w:rFonts w:hint="eastAsia" w:ascii="宋体" w:hAnsi="宋体" w:cs="宋体"/>
          <w:color w:val="auto"/>
          <w:kern w:val="0"/>
          <w:szCs w:val="21"/>
        </w:rPr>
        <w:t>项目建议书、</w:t>
      </w:r>
      <w:r>
        <w:rPr>
          <w:rFonts w:hint="eastAsia"/>
          <w:color w:val="auto"/>
        </w:rPr>
        <w:t xml:space="preserve">可行性研究报告、勘察设计文件等咨询成果的除外）； </w:t>
      </w:r>
    </w:p>
    <w:p w14:paraId="63D04701">
      <w:pPr>
        <w:spacing w:line="400" w:lineRule="exact"/>
        <w:ind w:firstLine="735" w:firstLineChars="350"/>
        <w:rPr>
          <w:rFonts w:hint="eastAsia"/>
          <w:color w:val="auto"/>
        </w:rPr>
      </w:pPr>
      <w:r>
        <w:rPr>
          <w:rFonts w:hint="eastAsia"/>
          <w:color w:val="auto"/>
        </w:rPr>
        <w:t>（6）为本标段的监理人（项目管理单位）；</w:t>
      </w:r>
    </w:p>
    <w:p w14:paraId="62CBD5E2">
      <w:pPr>
        <w:spacing w:line="400" w:lineRule="exact"/>
        <w:ind w:firstLine="735" w:firstLineChars="350"/>
        <w:rPr>
          <w:rFonts w:hint="eastAsia"/>
          <w:color w:val="auto"/>
        </w:rPr>
      </w:pPr>
      <w:r>
        <w:rPr>
          <w:rFonts w:hint="eastAsia"/>
          <w:color w:val="auto"/>
        </w:rPr>
        <w:t xml:space="preserve">（7）为本标段的代建人； </w:t>
      </w:r>
    </w:p>
    <w:p w14:paraId="4959F376">
      <w:pPr>
        <w:spacing w:line="400" w:lineRule="exact"/>
        <w:ind w:firstLine="735" w:firstLineChars="350"/>
        <w:rPr>
          <w:rFonts w:hint="eastAsia"/>
          <w:color w:val="auto"/>
        </w:rPr>
      </w:pPr>
      <w:r>
        <w:rPr>
          <w:rFonts w:hint="eastAsia"/>
          <w:color w:val="auto"/>
        </w:rPr>
        <w:t xml:space="preserve">（8）为本标段提供招标代理（造价咨询人）服务； </w:t>
      </w:r>
    </w:p>
    <w:p w14:paraId="1834923C">
      <w:pPr>
        <w:spacing w:line="400" w:lineRule="exact"/>
        <w:ind w:firstLine="735" w:firstLineChars="350"/>
        <w:rPr>
          <w:rFonts w:hint="eastAsia"/>
          <w:color w:val="auto"/>
        </w:rPr>
      </w:pPr>
      <w:r>
        <w:rPr>
          <w:rFonts w:hint="eastAsia"/>
          <w:color w:val="auto"/>
        </w:rPr>
        <w:t>（9）与本标段的监理人（项目管理单位）或代建人或招标代理机构（造价咨询人）同为一个法定代表人；</w:t>
      </w:r>
    </w:p>
    <w:p w14:paraId="0C62E62B">
      <w:pPr>
        <w:spacing w:line="400" w:lineRule="exact"/>
        <w:ind w:firstLine="735" w:firstLineChars="350"/>
        <w:rPr>
          <w:rFonts w:hint="eastAsia"/>
          <w:color w:val="auto"/>
        </w:rPr>
      </w:pPr>
      <w:r>
        <w:rPr>
          <w:rFonts w:hint="eastAsia"/>
          <w:color w:val="auto"/>
        </w:rPr>
        <w:t>（10）与本标段的监理人（项目管理单位）或代建人或招标代理机构（造价咨询人）相互控股或参股；</w:t>
      </w:r>
    </w:p>
    <w:p w14:paraId="21525F96">
      <w:pPr>
        <w:spacing w:line="400" w:lineRule="exact"/>
        <w:ind w:firstLine="735" w:firstLineChars="350"/>
        <w:rPr>
          <w:rFonts w:hint="eastAsia"/>
          <w:color w:val="auto"/>
        </w:rPr>
      </w:pPr>
      <w:r>
        <w:rPr>
          <w:rFonts w:hint="eastAsia"/>
          <w:color w:val="auto"/>
        </w:rPr>
        <w:t>（11）与本标段的监理人（项目管理单位）或代建人或招标代理机构（造价咨询人）相互任职或工作；</w:t>
      </w:r>
    </w:p>
    <w:p w14:paraId="68F78644">
      <w:pPr>
        <w:spacing w:line="400" w:lineRule="exact"/>
        <w:ind w:firstLine="735" w:firstLineChars="350"/>
        <w:rPr>
          <w:rFonts w:hint="eastAsia"/>
          <w:color w:val="auto"/>
        </w:rPr>
      </w:pPr>
      <w:r>
        <w:rPr>
          <w:rFonts w:hint="eastAsia"/>
          <w:color w:val="auto"/>
        </w:rPr>
        <w:t>（</w:t>
      </w:r>
      <w:r>
        <w:rPr>
          <w:color w:val="auto"/>
        </w:rPr>
        <w:t>1</w:t>
      </w:r>
      <w:r>
        <w:rPr>
          <w:rFonts w:hint="eastAsia"/>
          <w:color w:val="auto"/>
        </w:rPr>
        <w:t>2）被依法暂停或取消投标资格（指被本招标项目所在地县级及以上</w:t>
      </w:r>
      <w:r>
        <w:rPr>
          <w:rFonts w:hint="eastAsia"/>
          <w:color w:val="auto"/>
          <w:szCs w:val="21"/>
        </w:rPr>
        <w:t>住房城乡建设</w:t>
      </w:r>
      <w:r>
        <w:rPr>
          <w:rFonts w:hint="eastAsia"/>
          <w:color w:val="auto"/>
        </w:rPr>
        <w:t>主管部门或其他行政主管部门暂停或取消投标资格或禁止进入该区域建设市场且处于有效期内）；</w:t>
      </w:r>
    </w:p>
    <w:p w14:paraId="7BD1A271">
      <w:pPr>
        <w:spacing w:line="400" w:lineRule="exact"/>
        <w:ind w:firstLine="735" w:firstLineChars="350"/>
        <w:rPr>
          <w:rFonts w:hint="eastAsia"/>
          <w:color w:val="auto"/>
        </w:rPr>
      </w:pPr>
      <w:r>
        <w:rPr>
          <w:rFonts w:hint="eastAsia"/>
          <w:color w:val="auto"/>
        </w:rPr>
        <w:t xml:space="preserve">（13）被责令停产停业、暂扣或者吊销许可证、暂扣或者吊销执照； </w:t>
      </w:r>
    </w:p>
    <w:p w14:paraId="6B47C97E">
      <w:pPr>
        <w:spacing w:line="400" w:lineRule="exact"/>
        <w:ind w:firstLine="735" w:firstLineChars="350"/>
        <w:rPr>
          <w:rFonts w:hint="eastAsia"/>
          <w:color w:val="auto"/>
        </w:rPr>
      </w:pPr>
      <w:r>
        <w:rPr>
          <w:rFonts w:hint="eastAsia"/>
          <w:color w:val="auto"/>
        </w:rPr>
        <w:t>（14）进入清算程序，或被宣告破产，或其他丧失履约能力的情形；</w:t>
      </w:r>
    </w:p>
    <w:p w14:paraId="75B305F2">
      <w:pPr>
        <w:spacing w:line="400" w:lineRule="exact"/>
        <w:ind w:firstLine="735" w:firstLineChars="350"/>
        <w:rPr>
          <w:rFonts w:hint="eastAsia"/>
          <w:color w:val="auto"/>
        </w:rPr>
      </w:pPr>
      <w:r>
        <w:rPr>
          <w:rFonts w:hint="eastAsia"/>
          <w:color w:val="auto"/>
        </w:rPr>
        <w:t>（15）在最近三年内发生重大工程质量问题（以相关行业主管部门的行政处罚决定或司法机关出具的有关法律文书为准）；</w:t>
      </w:r>
    </w:p>
    <w:p w14:paraId="34E66FFE">
      <w:pPr>
        <w:spacing w:line="400" w:lineRule="exact"/>
        <w:ind w:firstLine="735" w:firstLineChars="350"/>
        <w:rPr>
          <w:color w:val="auto"/>
        </w:rPr>
      </w:pPr>
      <w:r>
        <w:rPr>
          <w:rFonts w:hint="eastAsia"/>
          <w:color w:val="auto"/>
        </w:rPr>
        <w:t>（</w:t>
      </w:r>
      <w:r>
        <w:rPr>
          <w:color w:val="auto"/>
        </w:rPr>
        <w:t>1</w:t>
      </w:r>
      <w:r>
        <w:rPr>
          <w:rFonts w:hint="eastAsia"/>
          <w:color w:val="auto"/>
        </w:rPr>
        <w:t>6）在“国家企业信用信息公示系统”（</w:t>
      </w:r>
      <w:r>
        <w:rPr>
          <w:color w:val="auto"/>
        </w:rPr>
        <w:t xml:space="preserve"> www.gsxt.gov.cn</w:t>
      </w:r>
      <w:r>
        <w:rPr>
          <w:rFonts w:hint="eastAsia"/>
          <w:color w:val="auto"/>
        </w:rPr>
        <w:t>）中被列入严重违法失信企业名单；</w:t>
      </w:r>
    </w:p>
    <w:p w14:paraId="0BA1E265">
      <w:pPr>
        <w:spacing w:line="400" w:lineRule="exact"/>
        <w:ind w:firstLine="735" w:firstLineChars="350"/>
        <w:rPr>
          <w:color w:val="auto"/>
        </w:rPr>
      </w:pPr>
      <w:r>
        <w:rPr>
          <w:rFonts w:hint="eastAsia"/>
          <w:color w:val="auto"/>
        </w:rPr>
        <w:t>（</w:t>
      </w:r>
      <w:r>
        <w:rPr>
          <w:color w:val="auto"/>
        </w:rPr>
        <w:t>1</w:t>
      </w:r>
      <w:r>
        <w:rPr>
          <w:rFonts w:hint="eastAsia"/>
          <w:color w:val="auto"/>
        </w:rPr>
        <w:t>7）</w:t>
      </w:r>
      <w:r>
        <w:rPr>
          <w:rFonts w:hint="eastAsia" w:ascii="宋体" w:hAnsi="宋体" w:eastAsia="宋体" w:cs="宋体"/>
          <w:color w:val="auto"/>
        </w:rPr>
        <w:t>在“信用中国”网</w:t>
      </w:r>
      <w:r>
        <w:rPr>
          <w:rFonts w:hint="eastAsia"/>
          <w:color w:val="auto"/>
        </w:rPr>
        <w:t>站（</w:t>
      </w:r>
      <w:r>
        <w:rPr>
          <w:color w:val="auto"/>
        </w:rPr>
        <w:fldChar w:fldCharType="begin"/>
      </w:r>
      <w:r>
        <w:rPr>
          <w:color w:val="auto"/>
        </w:rPr>
        <w:instrText xml:space="preserve"> HYPERLINK http://www.creditchina.gov.cn/ </w:instrText>
      </w:r>
      <w:r>
        <w:rPr>
          <w:color w:val="auto"/>
        </w:rPr>
        <w:fldChar w:fldCharType="separate"/>
      </w:r>
      <w:r>
        <w:rPr>
          <w:color w:val="auto"/>
        </w:rPr>
        <w:t>www.creditchina.gov.cn</w:t>
      </w:r>
      <w:r>
        <w:rPr>
          <w:color w:val="auto"/>
        </w:rPr>
        <w:fldChar w:fldCharType="end"/>
      </w:r>
      <w:r>
        <w:rPr>
          <w:rFonts w:hint="eastAsia"/>
          <w:color w:val="auto"/>
        </w:rPr>
        <w:t>）或中国执行信息公开网（</w:t>
      </w:r>
      <w:r>
        <w:rPr>
          <w:color w:val="auto"/>
        </w:rPr>
        <w:t>http://zxgk.court.gov.cn/</w:t>
      </w:r>
      <w:r>
        <w:rPr>
          <w:rFonts w:hint="eastAsia"/>
          <w:color w:val="auto"/>
        </w:rPr>
        <w:t>）</w:t>
      </w:r>
      <w:r>
        <w:rPr>
          <w:rFonts w:hint="eastAsia" w:ascii="宋体" w:hAnsi="宋体"/>
          <w:color w:val="auto"/>
        </w:rPr>
        <w:t>或各级信用信息共享平</w:t>
      </w:r>
      <w:r>
        <w:rPr>
          <w:rFonts w:hint="eastAsia" w:ascii="宋体" w:hAnsi="宋体"/>
          <w:color w:val="auto"/>
          <w:szCs w:val="21"/>
        </w:rPr>
        <w:t>台中</w:t>
      </w:r>
      <w:r>
        <w:rPr>
          <w:rFonts w:hint="eastAsia"/>
          <w:color w:val="auto"/>
        </w:rPr>
        <w:t>被列入失信被执行人名单；</w:t>
      </w:r>
    </w:p>
    <w:p w14:paraId="4EC4578E">
      <w:pPr>
        <w:spacing w:line="400" w:lineRule="exact"/>
        <w:ind w:firstLine="735" w:firstLineChars="350"/>
        <w:rPr>
          <w:color w:val="auto"/>
        </w:rPr>
      </w:pPr>
      <w:r>
        <w:rPr>
          <w:rFonts w:hint="eastAsia"/>
          <w:color w:val="auto"/>
        </w:rPr>
        <w:t>（</w:t>
      </w:r>
      <w:r>
        <w:rPr>
          <w:color w:val="auto"/>
        </w:rPr>
        <w:t>1</w:t>
      </w:r>
      <w:r>
        <w:rPr>
          <w:rFonts w:hint="eastAsia"/>
          <w:color w:val="auto"/>
        </w:rPr>
        <w:t>8）在近三年内投标人或其法定代表人、拟委任的项目经理被人民法院判决为行贿罪的；</w:t>
      </w:r>
    </w:p>
    <w:p w14:paraId="0DC15CE3">
      <w:pPr>
        <w:spacing w:line="400" w:lineRule="exact"/>
        <w:ind w:firstLine="718" w:firstLineChars="342"/>
        <w:rPr>
          <w:rFonts w:hint="eastAsia"/>
          <w:color w:val="auto"/>
        </w:rPr>
      </w:pPr>
      <w:r>
        <w:rPr>
          <w:rFonts w:hint="eastAsia"/>
          <w:color w:val="auto"/>
        </w:rPr>
        <w:t>（</w:t>
      </w:r>
      <w:r>
        <w:rPr>
          <w:color w:val="auto"/>
        </w:rPr>
        <w:t>1</w:t>
      </w:r>
      <w:r>
        <w:rPr>
          <w:rFonts w:hint="eastAsia"/>
          <w:color w:val="auto"/>
        </w:rPr>
        <w:t>9）法律法规或投标人须知前附表规定的其他情形。</w:t>
      </w:r>
    </w:p>
    <w:p w14:paraId="32518C2C">
      <w:pPr>
        <w:pStyle w:val="113"/>
        <w:outlineLvl w:val="0"/>
        <w:rPr>
          <w:rFonts w:ascii="黑体" w:hAnsi="黑体"/>
          <w:color w:val="auto"/>
        </w:rPr>
      </w:pPr>
      <w:bookmarkStart w:id="189" w:name="_Toc144974503"/>
      <w:bookmarkStart w:id="190" w:name="_Toc152045535"/>
      <w:bookmarkStart w:id="191" w:name="_Toc247527559"/>
      <w:bookmarkStart w:id="192" w:name="_Toc152042311"/>
      <w:bookmarkStart w:id="193" w:name="_Toc247513958"/>
      <w:bookmarkStart w:id="194" w:name="_Toc519085276"/>
      <w:bookmarkStart w:id="195" w:name="_Toc12450"/>
      <w:bookmarkStart w:id="196" w:name="_Toc4446"/>
      <w:bookmarkStart w:id="197" w:name="_Toc154063383"/>
      <w:bookmarkStart w:id="198" w:name="_Toc16924"/>
      <w:r>
        <w:rPr>
          <w:rFonts w:ascii="黑体" w:hAnsi="黑体"/>
          <w:color w:val="auto"/>
        </w:rPr>
        <w:t>1.5 费用承担</w:t>
      </w:r>
      <w:bookmarkEnd w:id="189"/>
      <w:bookmarkEnd w:id="190"/>
      <w:bookmarkEnd w:id="191"/>
      <w:bookmarkEnd w:id="192"/>
      <w:bookmarkEnd w:id="193"/>
      <w:r>
        <w:rPr>
          <w:rFonts w:ascii="黑体" w:hAnsi="黑体"/>
          <w:color w:val="auto"/>
        </w:rPr>
        <w:t>和设计成果补偿</w:t>
      </w:r>
      <w:bookmarkEnd w:id="194"/>
      <w:bookmarkEnd w:id="195"/>
      <w:bookmarkEnd w:id="196"/>
      <w:bookmarkEnd w:id="197"/>
      <w:bookmarkEnd w:id="198"/>
    </w:p>
    <w:p w14:paraId="16A059E1">
      <w:pPr>
        <w:spacing w:line="400" w:lineRule="exact"/>
        <w:ind w:firstLine="420" w:firstLineChars="200"/>
        <w:rPr>
          <w:color w:val="auto"/>
        </w:rPr>
      </w:pPr>
      <w:r>
        <w:rPr>
          <w:color w:val="auto"/>
        </w:rPr>
        <w:t>1.5.1 投标人准备和参加投标活动发生的费用自理。</w:t>
      </w:r>
    </w:p>
    <w:p w14:paraId="3C701B98">
      <w:pPr>
        <w:spacing w:line="400" w:lineRule="exact"/>
        <w:ind w:firstLine="420" w:firstLineChars="200"/>
        <w:rPr>
          <w:color w:val="auto"/>
        </w:rPr>
      </w:pPr>
      <w:r>
        <w:rPr>
          <w:color w:val="auto"/>
        </w:rPr>
        <w:t>1.5.2 招标人对符合招标文件规定的未中标人的设计成果进行补偿的，按投标人须知前附表规定给予补偿，并有权免费使用未中标人设计成果。</w:t>
      </w:r>
    </w:p>
    <w:p w14:paraId="6C0C2ED6">
      <w:pPr>
        <w:pStyle w:val="113"/>
        <w:outlineLvl w:val="0"/>
        <w:rPr>
          <w:rFonts w:ascii="黑体" w:hAnsi="黑体"/>
          <w:color w:val="auto"/>
        </w:rPr>
      </w:pPr>
      <w:bookmarkStart w:id="199" w:name="_Toc30273"/>
      <w:bookmarkStart w:id="200" w:name="_Toc247513959"/>
      <w:bookmarkStart w:id="201" w:name="_Toc12702"/>
      <w:bookmarkStart w:id="202" w:name="_Toc152042312"/>
      <w:bookmarkStart w:id="203" w:name="_Toc152045536"/>
      <w:bookmarkStart w:id="204" w:name="_Toc18702"/>
      <w:bookmarkStart w:id="205" w:name="_Toc154063384"/>
      <w:bookmarkStart w:id="206" w:name="_Toc519085277"/>
      <w:bookmarkStart w:id="207" w:name="_Toc144974504"/>
      <w:bookmarkStart w:id="208" w:name="_Toc247527560"/>
      <w:r>
        <w:rPr>
          <w:rFonts w:ascii="黑体" w:hAnsi="黑体"/>
          <w:color w:val="auto"/>
        </w:rPr>
        <w:t>1.6 保密</w:t>
      </w:r>
      <w:bookmarkEnd w:id="199"/>
      <w:bookmarkEnd w:id="200"/>
      <w:bookmarkEnd w:id="201"/>
      <w:bookmarkEnd w:id="202"/>
      <w:bookmarkEnd w:id="203"/>
      <w:bookmarkEnd w:id="204"/>
      <w:bookmarkEnd w:id="205"/>
      <w:bookmarkEnd w:id="206"/>
      <w:bookmarkEnd w:id="207"/>
      <w:bookmarkEnd w:id="208"/>
    </w:p>
    <w:p w14:paraId="2ACA8D4B">
      <w:pPr>
        <w:spacing w:line="400" w:lineRule="exact"/>
        <w:ind w:firstLine="420" w:firstLineChars="200"/>
        <w:rPr>
          <w:color w:val="auto"/>
        </w:rPr>
      </w:pPr>
      <w:r>
        <w:rPr>
          <w:color w:val="auto"/>
        </w:rPr>
        <w:t>参与招标投标活动的各方应对招标文件和投标文件中的商业和技术等秘密保密，违者应对由此造成的后果承担法律责任。</w:t>
      </w:r>
    </w:p>
    <w:p w14:paraId="181230FC">
      <w:pPr>
        <w:pStyle w:val="113"/>
        <w:outlineLvl w:val="0"/>
        <w:rPr>
          <w:color w:val="auto"/>
        </w:rPr>
      </w:pPr>
      <w:bookmarkStart w:id="209" w:name="_Toc144974505"/>
      <w:bookmarkStart w:id="210" w:name="_Toc247513960"/>
      <w:bookmarkStart w:id="211" w:name="_Toc152042313"/>
      <w:bookmarkStart w:id="212" w:name="_Toc154063385"/>
      <w:bookmarkStart w:id="213" w:name="_Toc247527561"/>
      <w:bookmarkStart w:id="214" w:name="_Toc7749"/>
      <w:bookmarkStart w:id="215" w:name="_Toc15838"/>
      <w:bookmarkStart w:id="216" w:name="_Toc519085278"/>
      <w:bookmarkStart w:id="217" w:name="_Toc7201"/>
      <w:bookmarkStart w:id="218" w:name="_Toc152045537"/>
      <w:r>
        <w:rPr>
          <w:rFonts w:ascii="黑体" w:hAnsi="黑体"/>
          <w:color w:val="auto"/>
        </w:rPr>
        <w:t>1.7 语言</w:t>
      </w:r>
      <w:bookmarkEnd w:id="209"/>
      <w:r>
        <w:rPr>
          <w:rFonts w:ascii="黑体" w:hAnsi="黑体"/>
          <w:color w:val="auto"/>
        </w:rPr>
        <w:t>文字</w:t>
      </w:r>
      <w:bookmarkEnd w:id="210"/>
      <w:bookmarkEnd w:id="211"/>
      <w:bookmarkEnd w:id="212"/>
      <w:bookmarkEnd w:id="213"/>
      <w:bookmarkEnd w:id="214"/>
      <w:bookmarkEnd w:id="215"/>
      <w:bookmarkEnd w:id="216"/>
      <w:bookmarkEnd w:id="217"/>
      <w:bookmarkEnd w:id="218"/>
    </w:p>
    <w:p w14:paraId="36E70AE0">
      <w:pPr>
        <w:spacing w:line="400" w:lineRule="exact"/>
        <w:ind w:firstLine="420" w:firstLineChars="200"/>
        <w:rPr>
          <w:color w:val="auto"/>
        </w:rPr>
      </w:pPr>
      <w:r>
        <w:rPr>
          <w:color w:val="auto"/>
        </w:rPr>
        <w:t>除专用术语外，与招标投标有关的语言均使用中文。必要时专用术语应附有中文注释。</w:t>
      </w:r>
    </w:p>
    <w:p w14:paraId="7F5375AA">
      <w:pPr>
        <w:pStyle w:val="113"/>
        <w:outlineLvl w:val="0"/>
        <w:rPr>
          <w:rFonts w:ascii="黑体" w:hAnsi="黑体"/>
          <w:color w:val="auto"/>
        </w:rPr>
      </w:pPr>
      <w:bookmarkStart w:id="219" w:name="_Toc776"/>
      <w:bookmarkStart w:id="220" w:name="_Toc154063386"/>
      <w:bookmarkStart w:id="221" w:name="_Toc152045538"/>
      <w:bookmarkStart w:id="222" w:name="_Toc247527562"/>
      <w:bookmarkStart w:id="223" w:name="_Toc3897"/>
      <w:bookmarkStart w:id="224" w:name="_Toc519085279"/>
      <w:bookmarkStart w:id="225" w:name="_Toc152042314"/>
      <w:bookmarkStart w:id="226" w:name="_Toc24893"/>
      <w:bookmarkStart w:id="227" w:name="_Toc144974506"/>
      <w:bookmarkStart w:id="228" w:name="_Toc247513961"/>
      <w:r>
        <w:rPr>
          <w:rFonts w:ascii="黑体" w:hAnsi="黑体"/>
          <w:color w:val="auto"/>
        </w:rPr>
        <w:t>1.8 计量单位</w:t>
      </w:r>
      <w:bookmarkEnd w:id="219"/>
      <w:bookmarkEnd w:id="220"/>
      <w:bookmarkEnd w:id="221"/>
      <w:bookmarkEnd w:id="222"/>
      <w:bookmarkEnd w:id="223"/>
      <w:bookmarkEnd w:id="224"/>
      <w:bookmarkEnd w:id="225"/>
      <w:bookmarkEnd w:id="226"/>
      <w:bookmarkEnd w:id="227"/>
      <w:bookmarkEnd w:id="228"/>
    </w:p>
    <w:p w14:paraId="680675A3">
      <w:pPr>
        <w:spacing w:line="400" w:lineRule="exact"/>
        <w:ind w:firstLine="420" w:firstLineChars="200"/>
        <w:rPr>
          <w:color w:val="auto"/>
        </w:rPr>
      </w:pPr>
      <w:r>
        <w:rPr>
          <w:color w:val="auto"/>
        </w:rPr>
        <w:t>所有计量均采用中华人民共和国法定计量单位。</w:t>
      </w:r>
    </w:p>
    <w:p w14:paraId="2297C4E4">
      <w:pPr>
        <w:pStyle w:val="113"/>
        <w:outlineLvl w:val="0"/>
        <w:rPr>
          <w:rFonts w:ascii="黑体" w:hAnsi="黑体"/>
          <w:color w:val="auto"/>
        </w:rPr>
      </w:pPr>
      <w:bookmarkStart w:id="229" w:name="_Toc15510"/>
      <w:bookmarkStart w:id="230" w:name="_Toc154063387"/>
      <w:bookmarkStart w:id="231" w:name="_Toc152045539"/>
      <w:bookmarkStart w:id="232" w:name="_Toc247513962"/>
      <w:bookmarkStart w:id="233" w:name="_Toc247527563"/>
      <w:bookmarkStart w:id="234" w:name="_Toc3646"/>
      <w:bookmarkStart w:id="235" w:name="_Toc519085280"/>
      <w:bookmarkStart w:id="236" w:name="_Toc27898"/>
      <w:bookmarkStart w:id="237" w:name="_Toc144974507"/>
      <w:bookmarkStart w:id="238" w:name="_Toc152042315"/>
      <w:r>
        <w:rPr>
          <w:rFonts w:ascii="黑体" w:hAnsi="黑体"/>
          <w:color w:val="auto"/>
        </w:rPr>
        <w:t>1.9 踏勘现场</w:t>
      </w:r>
      <w:bookmarkEnd w:id="229"/>
      <w:bookmarkEnd w:id="230"/>
      <w:bookmarkEnd w:id="231"/>
      <w:bookmarkEnd w:id="232"/>
      <w:bookmarkEnd w:id="233"/>
      <w:bookmarkEnd w:id="234"/>
      <w:bookmarkEnd w:id="235"/>
      <w:bookmarkEnd w:id="236"/>
      <w:bookmarkEnd w:id="237"/>
      <w:bookmarkEnd w:id="238"/>
    </w:p>
    <w:p w14:paraId="654B75EF">
      <w:pPr>
        <w:spacing w:line="400" w:lineRule="exact"/>
        <w:ind w:firstLine="420" w:firstLineChars="200"/>
        <w:rPr>
          <w:color w:val="auto"/>
        </w:rPr>
      </w:pPr>
      <w:r>
        <w:rPr>
          <w:color w:val="auto"/>
        </w:rPr>
        <w:t xml:space="preserve">1.9.1 投标人须知前附表规定组织踏勘现场的，招标人按投标人须知前附表规定的时间、地点组织投标人踏勘项目现场。 </w:t>
      </w:r>
    </w:p>
    <w:p w14:paraId="695BF4DE">
      <w:pPr>
        <w:spacing w:line="400" w:lineRule="exact"/>
        <w:ind w:firstLine="420" w:firstLineChars="200"/>
        <w:rPr>
          <w:color w:val="auto"/>
        </w:rPr>
      </w:pPr>
      <w:r>
        <w:rPr>
          <w:color w:val="auto"/>
        </w:rPr>
        <w:t>1.9.2 投标人踏勘现场发生的费用自理。</w:t>
      </w:r>
    </w:p>
    <w:p w14:paraId="66216FEF">
      <w:pPr>
        <w:spacing w:line="400" w:lineRule="exact"/>
        <w:ind w:firstLine="420" w:firstLineChars="200"/>
        <w:rPr>
          <w:color w:val="auto"/>
        </w:rPr>
      </w:pPr>
      <w:r>
        <w:rPr>
          <w:color w:val="auto"/>
        </w:rPr>
        <w:t>1.9.3 除招标人的原因外，投标人自行负责在踏勘现场中所发生的人员伤亡和财产损失。</w:t>
      </w:r>
    </w:p>
    <w:p w14:paraId="28BF429C">
      <w:pPr>
        <w:spacing w:line="400" w:lineRule="exact"/>
        <w:ind w:firstLine="420" w:firstLineChars="200"/>
        <w:rPr>
          <w:color w:val="auto"/>
        </w:rPr>
      </w:pPr>
      <w:r>
        <w:rPr>
          <w:color w:val="auto"/>
        </w:rPr>
        <w:t>1.9.4 招标人在踏勘现场中介绍的工程场地和相关的周边环境情况，供投标人在编制投标文件时参考，招标人不对投标人据此作出的判断和决策负责。</w:t>
      </w:r>
    </w:p>
    <w:p w14:paraId="1AF668FC">
      <w:pPr>
        <w:pStyle w:val="113"/>
        <w:outlineLvl w:val="0"/>
        <w:rPr>
          <w:rFonts w:ascii="黑体" w:hAnsi="黑体"/>
          <w:color w:val="auto"/>
        </w:rPr>
      </w:pPr>
      <w:bookmarkStart w:id="239" w:name="_Toc247513963"/>
      <w:bookmarkStart w:id="240" w:name="_Toc519085281"/>
      <w:bookmarkStart w:id="241" w:name="_Toc247527564"/>
      <w:bookmarkStart w:id="242" w:name="_Toc16139"/>
      <w:bookmarkStart w:id="243" w:name="_Toc154063388"/>
      <w:bookmarkStart w:id="244" w:name="_Toc152042316"/>
      <w:bookmarkStart w:id="245" w:name="_Toc144974508"/>
      <w:bookmarkStart w:id="246" w:name="_Toc13163"/>
      <w:bookmarkStart w:id="247" w:name="_Toc152045540"/>
      <w:bookmarkStart w:id="248" w:name="_Toc16069"/>
      <w:r>
        <w:rPr>
          <w:rFonts w:ascii="黑体" w:hAnsi="黑体"/>
          <w:color w:val="auto"/>
        </w:rPr>
        <w:t>1.10 投标预备会</w:t>
      </w:r>
      <w:bookmarkEnd w:id="239"/>
      <w:bookmarkEnd w:id="240"/>
      <w:bookmarkEnd w:id="241"/>
      <w:bookmarkEnd w:id="242"/>
      <w:bookmarkEnd w:id="243"/>
      <w:bookmarkEnd w:id="244"/>
      <w:bookmarkEnd w:id="245"/>
      <w:bookmarkEnd w:id="246"/>
      <w:bookmarkEnd w:id="247"/>
      <w:bookmarkEnd w:id="248"/>
    </w:p>
    <w:p w14:paraId="334C3675">
      <w:pPr>
        <w:spacing w:line="400" w:lineRule="exact"/>
        <w:ind w:firstLine="420" w:firstLineChars="200"/>
        <w:rPr>
          <w:rFonts w:hint="eastAsia"/>
          <w:color w:val="auto"/>
        </w:rPr>
      </w:pPr>
      <w:r>
        <w:rPr>
          <w:rFonts w:hint="eastAsia"/>
          <w:color w:val="auto"/>
        </w:rPr>
        <w:t>1.10.1 投标人须知前附表规定召开投标预备会的，招标人按投标人须知前附表规定的时间和地点召开投标预备会，澄清投标人提出的问题。</w:t>
      </w:r>
    </w:p>
    <w:p w14:paraId="115BBBAC">
      <w:pPr>
        <w:spacing w:line="400" w:lineRule="exact"/>
        <w:ind w:firstLine="420" w:firstLineChars="200"/>
        <w:rPr>
          <w:rFonts w:hint="eastAsia"/>
          <w:color w:val="auto"/>
        </w:rPr>
      </w:pPr>
      <w:r>
        <w:rPr>
          <w:rFonts w:hint="eastAsia"/>
          <w:color w:val="auto"/>
        </w:rPr>
        <w:t>1.10.2 在投标人须知前附表规定的时间前，投标人应使用CA数字证书</w:t>
      </w:r>
      <w:r>
        <w:rPr>
          <w:color w:val="auto"/>
        </w:rPr>
        <w:t>登录</w:t>
      </w:r>
      <w:r>
        <w:rPr>
          <w:rFonts w:hint="eastAsia"/>
          <w:color w:val="auto"/>
        </w:rPr>
        <w:t>“电子交易平台”，在“投标答疑”菜单以书面形式将提出的问题送达招标人，以便招标人在会议期间澄清。</w:t>
      </w:r>
    </w:p>
    <w:p w14:paraId="3D0C1CEF">
      <w:pPr>
        <w:spacing w:line="400" w:lineRule="exact"/>
        <w:ind w:firstLine="420" w:firstLineChars="200"/>
        <w:rPr>
          <w:rFonts w:hint="eastAsia"/>
          <w:color w:val="auto"/>
        </w:rPr>
      </w:pPr>
      <w:r>
        <w:rPr>
          <w:rFonts w:hint="eastAsia"/>
          <w:color w:val="auto"/>
        </w:rPr>
        <w:t>1.10.3 投标预备会后，招标人在本章第2.2.2项规定的时间内，将对投标人所提问题的澄清，以书面形式通过“电子交易平台”通知所有下载招标文件的投标人。该澄清内容为招标文件的组成部分。</w:t>
      </w:r>
    </w:p>
    <w:p w14:paraId="685A9868">
      <w:pPr>
        <w:pStyle w:val="113"/>
        <w:outlineLvl w:val="0"/>
        <w:rPr>
          <w:rFonts w:ascii="黑体" w:hAnsi="黑体"/>
          <w:color w:val="auto"/>
        </w:rPr>
      </w:pPr>
      <w:bookmarkStart w:id="249" w:name="_Toc21892"/>
      <w:bookmarkStart w:id="250" w:name="_Toc154063389"/>
      <w:bookmarkStart w:id="251" w:name="_Toc22796"/>
      <w:bookmarkStart w:id="252" w:name="_Toc152042317"/>
      <w:bookmarkStart w:id="253" w:name="_Toc247513964"/>
      <w:bookmarkStart w:id="254" w:name="_Toc152045541"/>
      <w:bookmarkStart w:id="255" w:name="_Toc5517"/>
      <w:bookmarkStart w:id="256" w:name="_Toc247527565"/>
      <w:bookmarkStart w:id="257" w:name="_Toc519085282"/>
      <w:bookmarkStart w:id="258" w:name="_Toc144974509"/>
      <w:r>
        <w:rPr>
          <w:rFonts w:ascii="黑体" w:hAnsi="黑体"/>
          <w:color w:val="auto"/>
        </w:rPr>
        <w:t>1.11 分包</w:t>
      </w:r>
      <w:bookmarkEnd w:id="249"/>
      <w:bookmarkEnd w:id="250"/>
      <w:bookmarkEnd w:id="251"/>
      <w:bookmarkEnd w:id="252"/>
      <w:bookmarkEnd w:id="253"/>
      <w:bookmarkEnd w:id="254"/>
      <w:bookmarkEnd w:id="255"/>
      <w:bookmarkEnd w:id="256"/>
      <w:bookmarkEnd w:id="257"/>
      <w:bookmarkEnd w:id="258"/>
    </w:p>
    <w:p w14:paraId="1D6635B1">
      <w:pPr>
        <w:spacing w:line="400" w:lineRule="exact"/>
        <w:ind w:firstLine="420" w:firstLineChars="200"/>
        <w:rPr>
          <w:color w:val="auto"/>
        </w:rPr>
      </w:pPr>
      <w:r>
        <w:rPr>
          <w:color w:val="auto"/>
        </w:rPr>
        <w:t xml:space="preserve">1.11.1 </w:t>
      </w:r>
      <w:r>
        <w:rPr>
          <w:rFonts w:hint="eastAsia"/>
          <w:color w:val="auto"/>
        </w:rPr>
        <w:t>投标人须知前附表规定应当由分包人实施的非主体、非关键性工作，投标人应当按照第五章“发包人要求”的规定提供分包人侯选名单及其相应资料。</w:t>
      </w:r>
    </w:p>
    <w:p w14:paraId="51987404">
      <w:pPr>
        <w:spacing w:line="400" w:lineRule="exact"/>
        <w:ind w:firstLine="420" w:firstLineChars="200"/>
        <w:rPr>
          <w:color w:val="auto"/>
        </w:rPr>
      </w:pPr>
      <w:r>
        <w:rPr>
          <w:color w:val="auto"/>
        </w:rPr>
        <w:t xml:space="preserve">1.11.2 </w:t>
      </w:r>
      <w:r>
        <w:rPr>
          <w:rFonts w:hint="eastAsia"/>
          <w:color w:val="auto"/>
        </w:rPr>
        <w:t>投标人拟在中标后将中标项目的部分非主体、非关键性工作进行分包的，应符合投标人须知前附表规定的分包内容、分包金额和资质要求等限制性条件。</w:t>
      </w:r>
    </w:p>
    <w:p w14:paraId="418D10E8">
      <w:pPr>
        <w:pStyle w:val="113"/>
        <w:outlineLvl w:val="0"/>
        <w:rPr>
          <w:rFonts w:ascii="黑体" w:hAnsi="黑体"/>
          <w:color w:val="auto"/>
        </w:rPr>
      </w:pPr>
      <w:bookmarkStart w:id="259" w:name="_Toc14280"/>
      <w:bookmarkStart w:id="260" w:name="_Toc16346"/>
      <w:bookmarkStart w:id="261" w:name="_Toc247513965"/>
      <w:bookmarkStart w:id="262" w:name="_Toc247527566"/>
      <w:bookmarkStart w:id="263" w:name="_Toc154063390"/>
      <w:bookmarkStart w:id="264" w:name="_Toc556"/>
      <w:bookmarkStart w:id="265" w:name="_Toc519085283"/>
      <w:r>
        <w:rPr>
          <w:rFonts w:ascii="黑体" w:hAnsi="黑体"/>
          <w:color w:val="auto"/>
        </w:rPr>
        <w:t>1.12 偏离</w:t>
      </w:r>
      <w:bookmarkEnd w:id="259"/>
      <w:bookmarkEnd w:id="260"/>
      <w:bookmarkEnd w:id="261"/>
      <w:bookmarkEnd w:id="262"/>
      <w:bookmarkEnd w:id="263"/>
      <w:bookmarkEnd w:id="264"/>
      <w:bookmarkEnd w:id="265"/>
    </w:p>
    <w:p w14:paraId="5E1AAC52">
      <w:pPr>
        <w:spacing w:line="400" w:lineRule="exact"/>
        <w:ind w:firstLine="359" w:firstLineChars="171"/>
        <w:rPr>
          <w:rFonts w:hint="eastAsia"/>
          <w:color w:val="auto"/>
        </w:rPr>
      </w:pPr>
      <w:bookmarkStart w:id="266" w:name="_Toc221950135"/>
      <w:r>
        <w:rPr>
          <w:color w:val="auto"/>
        </w:rPr>
        <w:t>投标文件不允许偏离招标文件的实质性要求和条件</w:t>
      </w:r>
      <w:bookmarkEnd w:id="266"/>
      <w:r>
        <w:rPr>
          <w:color w:val="auto"/>
        </w:rPr>
        <w:t>。</w:t>
      </w:r>
      <w:r>
        <w:rPr>
          <w:rFonts w:hint="eastAsia"/>
          <w:color w:val="auto"/>
        </w:rPr>
        <w:t>投标人须知前附表允许投标文件偏离招标文件某些要求的，偏离应当符合招标文件规定的偏离范围和幅度。</w:t>
      </w:r>
    </w:p>
    <w:p w14:paraId="30DCD7A2">
      <w:pPr>
        <w:pStyle w:val="3"/>
        <w:spacing w:before="62"/>
        <w:rPr>
          <w:color w:val="auto"/>
          <w:sz w:val="28"/>
          <w:szCs w:val="28"/>
        </w:rPr>
      </w:pPr>
      <w:bookmarkStart w:id="267" w:name="_Toc32513"/>
      <w:bookmarkStart w:id="268" w:name="_Toc20382"/>
      <w:bookmarkStart w:id="269" w:name="_Toc154063391"/>
      <w:bookmarkStart w:id="270" w:name="_Toc15272"/>
      <w:bookmarkStart w:id="271" w:name="_Toc152045542"/>
      <w:bookmarkStart w:id="272" w:name="_Toc247513966"/>
      <w:bookmarkStart w:id="273" w:name="_Toc152042318"/>
      <w:bookmarkStart w:id="274" w:name="_Toc247527567"/>
      <w:bookmarkStart w:id="275" w:name="_Toc144974510"/>
      <w:bookmarkStart w:id="276" w:name="_Toc519085284"/>
      <w:r>
        <w:rPr>
          <w:color w:val="auto"/>
          <w:sz w:val="28"/>
          <w:szCs w:val="28"/>
        </w:rPr>
        <w:t>2. 招标文件</w:t>
      </w:r>
      <w:bookmarkEnd w:id="267"/>
      <w:bookmarkEnd w:id="268"/>
      <w:bookmarkEnd w:id="269"/>
      <w:bookmarkEnd w:id="270"/>
      <w:bookmarkEnd w:id="271"/>
      <w:bookmarkEnd w:id="272"/>
      <w:bookmarkEnd w:id="273"/>
      <w:bookmarkEnd w:id="274"/>
      <w:bookmarkEnd w:id="275"/>
      <w:bookmarkEnd w:id="276"/>
    </w:p>
    <w:p w14:paraId="0AF186C3">
      <w:pPr>
        <w:pStyle w:val="113"/>
        <w:outlineLvl w:val="0"/>
        <w:rPr>
          <w:rFonts w:ascii="黑体" w:hAnsi="黑体"/>
          <w:color w:val="auto"/>
        </w:rPr>
      </w:pPr>
      <w:bookmarkStart w:id="277" w:name="_Toc15040"/>
      <w:bookmarkStart w:id="278" w:name="_Toc247527568"/>
      <w:bookmarkStart w:id="279" w:name="_Toc144974511"/>
      <w:bookmarkStart w:id="280" w:name="_Toc247513967"/>
      <w:bookmarkStart w:id="281" w:name="_Toc154063392"/>
      <w:bookmarkStart w:id="282" w:name="_Toc152045543"/>
      <w:bookmarkStart w:id="283" w:name="_Toc519085285"/>
      <w:bookmarkStart w:id="284" w:name="_Toc18488"/>
      <w:bookmarkStart w:id="285" w:name="_Toc152042319"/>
      <w:bookmarkStart w:id="286" w:name="_Toc2957"/>
      <w:r>
        <w:rPr>
          <w:rFonts w:ascii="黑体" w:hAnsi="黑体"/>
          <w:color w:val="auto"/>
        </w:rPr>
        <w:t>2.1 招标文件的组成</w:t>
      </w:r>
      <w:bookmarkEnd w:id="277"/>
      <w:bookmarkEnd w:id="278"/>
      <w:bookmarkEnd w:id="279"/>
      <w:bookmarkEnd w:id="280"/>
      <w:bookmarkEnd w:id="281"/>
      <w:bookmarkEnd w:id="282"/>
      <w:bookmarkEnd w:id="283"/>
      <w:bookmarkEnd w:id="284"/>
      <w:bookmarkEnd w:id="285"/>
      <w:bookmarkEnd w:id="286"/>
    </w:p>
    <w:p w14:paraId="414AC162">
      <w:pPr>
        <w:spacing w:line="400" w:lineRule="exact"/>
        <w:ind w:firstLine="420" w:firstLineChars="200"/>
        <w:rPr>
          <w:color w:val="auto"/>
        </w:rPr>
      </w:pPr>
      <w:r>
        <w:rPr>
          <w:color w:val="auto"/>
        </w:rPr>
        <w:t>本招标文件包括：</w:t>
      </w:r>
    </w:p>
    <w:p w14:paraId="1A175699">
      <w:pPr>
        <w:spacing w:line="400" w:lineRule="exact"/>
        <w:ind w:firstLine="420" w:firstLineChars="200"/>
        <w:rPr>
          <w:color w:val="auto"/>
        </w:rPr>
      </w:pPr>
      <w:r>
        <w:rPr>
          <w:color w:val="auto"/>
        </w:rPr>
        <w:t>（1）招标公告（或投标邀请书）；</w:t>
      </w:r>
    </w:p>
    <w:p w14:paraId="72C6099A">
      <w:pPr>
        <w:spacing w:line="400" w:lineRule="exact"/>
        <w:ind w:firstLine="420" w:firstLineChars="200"/>
        <w:rPr>
          <w:color w:val="auto"/>
        </w:rPr>
      </w:pPr>
      <w:r>
        <w:rPr>
          <w:color w:val="auto"/>
        </w:rPr>
        <w:t>（2）投标人须知；</w:t>
      </w:r>
    </w:p>
    <w:p w14:paraId="18D6BB4D">
      <w:pPr>
        <w:spacing w:line="400" w:lineRule="exact"/>
        <w:ind w:firstLine="420" w:firstLineChars="200"/>
        <w:rPr>
          <w:color w:val="auto"/>
        </w:rPr>
      </w:pPr>
      <w:r>
        <w:rPr>
          <w:color w:val="auto"/>
        </w:rPr>
        <w:t>（3）评标办法；</w:t>
      </w:r>
    </w:p>
    <w:p w14:paraId="0E9EEB02">
      <w:pPr>
        <w:spacing w:line="400" w:lineRule="exact"/>
        <w:ind w:firstLine="420" w:firstLineChars="200"/>
        <w:rPr>
          <w:color w:val="auto"/>
        </w:rPr>
      </w:pPr>
      <w:r>
        <w:rPr>
          <w:color w:val="auto"/>
        </w:rPr>
        <w:t>（4）合同条款及格式；</w:t>
      </w:r>
    </w:p>
    <w:p w14:paraId="055359D0">
      <w:pPr>
        <w:spacing w:line="400" w:lineRule="exact"/>
        <w:ind w:firstLine="420" w:firstLineChars="200"/>
        <w:rPr>
          <w:color w:val="auto"/>
        </w:rPr>
      </w:pPr>
      <w:r>
        <w:rPr>
          <w:color w:val="auto"/>
        </w:rPr>
        <w:t>（5）发包人要求；</w:t>
      </w:r>
    </w:p>
    <w:p w14:paraId="697EA28D">
      <w:pPr>
        <w:spacing w:line="400" w:lineRule="exact"/>
        <w:ind w:firstLine="420" w:firstLineChars="200"/>
        <w:rPr>
          <w:color w:val="auto"/>
        </w:rPr>
      </w:pPr>
      <w:r>
        <w:rPr>
          <w:color w:val="auto"/>
        </w:rPr>
        <w:t>（6）发包人提供的资料和条件；</w:t>
      </w:r>
    </w:p>
    <w:p w14:paraId="5114E342">
      <w:pPr>
        <w:spacing w:line="400" w:lineRule="exact"/>
        <w:ind w:firstLine="420" w:firstLineChars="200"/>
        <w:rPr>
          <w:color w:val="auto"/>
        </w:rPr>
      </w:pPr>
      <w:r>
        <w:rPr>
          <w:color w:val="auto"/>
        </w:rPr>
        <w:t>（7）投标文件格式；</w:t>
      </w:r>
    </w:p>
    <w:p w14:paraId="327FAB40">
      <w:pPr>
        <w:spacing w:line="400" w:lineRule="exact"/>
        <w:ind w:firstLine="420" w:firstLineChars="200"/>
        <w:rPr>
          <w:color w:val="auto"/>
        </w:rPr>
      </w:pPr>
      <w:r>
        <w:rPr>
          <w:color w:val="auto"/>
        </w:rPr>
        <w:t>（8）投标人须知前附表规定的其他资料。</w:t>
      </w:r>
    </w:p>
    <w:p w14:paraId="1F531F1E">
      <w:pPr>
        <w:spacing w:line="400" w:lineRule="exact"/>
        <w:ind w:firstLine="420" w:firstLineChars="200"/>
        <w:rPr>
          <w:color w:val="auto"/>
        </w:rPr>
      </w:pPr>
      <w:r>
        <w:rPr>
          <w:color w:val="auto"/>
        </w:rPr>
        <w:t>根据本章第1.10款、第2.2款和第2.3款对招标文件所作的澄清、修改，构成招标文件的组成部分。</w:t>
      </w:r>
    </w:p>
    <w:p w14:paraId="01FC4E98">
      <w:pPr>
        <w:pStyle w:val="113"/>
        <w:outlineLvl w:val="0"/>
        <w:rPr>
          <w:rFonts w:ascii="黑体" w:hAnsi="黑体"/>
          <w:color w:val="auto"/>
        </w:rPr>
      </w:pPr>
      <w:bookmarkStart w:id="287" w:name="_Toc13604"/>
      <w:bookmarkStart w:id="288" w:name="_Toc154063393"/>
      <w:bookmarkStart w:id="289" w:name="_Toc152042320"/>
      <w:bookmarkStart w:id="290" w:name="_Toc5412"/>
      <w:bookmarkStart w:id="291" w:name="_Toc152045544"/>
      <w:bookmarkStart w:id="292" w:name="_Toc144974512"/>
      <w:bookmarkStart w:id="293" w:name="_Toc30627"/>
      <w:bookmarkStart w:id="294" w:name="_Toc247527569"/>
      <w:bookmarkStart w:id="295" w:name="_Toc519085286"/>
      <w:bookmarkStart w:id="296" w:name="_Toc247513968"/>
      <w:r>
        <w:rPr>
          <w:rFonts w:ascii="黑体" w:hAnsi="黑体"/>
          <w:color w:val="auto"/>
        </w:rPr>
        <w:t>2.2 招标文件的澄清</w:t>
      </w:r>
      <w:bookmarkEnd w:id="287"/>
      <w:bookmarkEnd w:id="288"/>
      <w:bookmarkEnd w:id="289"/>
      <w:bookmarkEnd w:id="290"/>
      <w:bookmarkEnd w:id="291"/>
      <w:bookmarkEnd w:id="292"/>
      <w:bookmarkEnd w:id="293"/>
      <w:bookmarkEnd w:id="294"/>
      <w:bookmarkEnd w:id="295"/>
      <w:bookmarkEnd w:id="296"/>
    </w:p>
    <w:p w14:paraId="397F40DE">
      <w:pPr>
        <w:spacing w:line="400" w:lineRule="exact"/>
        <w:ind w:firstLine="420" w:firstLineChars="200"/>
        <w:rPr>
          <w:rFonts w:hint="eastAsia"/>
          <w:color w:val="auto"/>
        </w:rPr>
      </w:pPr>
      <w:bookmarkStart w:id="297" w:name="_Toc144974513"/>
      <w:bookmarkStart w:id="298" w:name="_Toc152045545"/>
      <w:bookmarkStart w:id="299" w:name="_Toc247513969"/>
      <w:bookmarkStart w:id="300" w:name="_Toc152042321"/>
      <w:bookmarkStart w:id="301" w:name="_Toc247527570"/>
      <w:r>
        <w:rPr>
          <w:rFonts w:hint="eastAsia"/>
          <w:color w:val="auto"/>
        </w:rPr>
        <w:t>2.2.1投标人应仔细阅读和检查招标文件的全部内容。如发现缺页或附件不全，应及时向招标人提出，以便补齐。如有疑问，应在投标人须知前附表规定的时间前，使用CA数字证书</w:t>
      </w:r>
      <w:r>
        <w:rPr>
          <w:color w:val="auto"/>
        </w:rPr>
        <w:t>登录</w:t>
      </w:r>
      <w:r>
        <w:rPr>
          <w:rFonts w:hint="eastAsia"/>
          <w:color w:val="auto"/>
        </w:rPr>
        <w:t>“电子交易平台”，在“投标答疑”菜单以书面形式要求招标人对招标文件予以澄清。</w:t>
      </w:r>
    </w:p>
    <w:p w14:paraId="6B022732">
      <w:pPr>
        <w:spacing w:line="400" w:lineRule="exact"/>
        <w:ind w:firstLine="420" w:firstLineChars="200"/>
        <w:rPr>
          <w:rFonts w:hint="eastAsia"/>
          <w:color w:val="auto"/>
        </w:rPr>
      </w:pPr>
      <w:r>
        <w:rPr>
          <w:rFonts w:hint="eastAsia"/>
          <w:color w:val="auto"/>
        </w:rPr>
        <w:t xml:space="preserve">2.2.2 </w:t>
      </w:r>
      <w:r>
        <w:rPr>
          <w:color w:val="auto"/>
        </w:rPr>
        <w:t>招标人</w:t>
      </w:r>
      <w:r>
        <w:rPr>
          <w:rFonts w:hint="eastAsia"/>
          <w:color w:val="auto"/>
        </w:rPr>
        <w:t>对招标文件的澄清通过“电子交易平台”以书面形式发给所有下载招标文件的投标人，但不指明澄清问题的来源。如果澄清通知发出的时间距投标人须知前附表第4.2.1项规定的投标截止时间不足15日，并且澄清的内容影响投标文件编制的，相应延长投标截止时间。</w:t>
      </w:r>
    </w:p>
    <w:p w14:paraId="4617F6F3">
      <w:pPr>
        <w:spacing w:line="400" w:lineRule="exact"/>
        <w:ind w:firstLine="420" w:firstLineChars="200"/>
        <w:rPr>
          <w:rFonts w:hint="eastAsia"/>
          <w:color w:val="auto"/>
        </w:rPr>
      </w:pPr>
      <w:r>
        <w:rPr>
          <w:rFonts w:hint="eastAsia"/>
          <w:color w:val="auto"/>
        </w:rPr>
        <w:t>2.2.3</w:t>
      </w:r>
      <w:r>
        <w:rPr>
          <w:color w:val="auto"/>
        </w:rPr>
        <w:t>投标人应</w:t>
      </w:r>
      <w:r>
        <w:rPr>
          <w:rFonts w:hint="eastAsia"/>
          <w:color w:val="auto"/>
        </w:rPr>
        <w:t>实时关注“电子交易平台”</w:t>
      </w:r>
      <w:r>
        <w:rPr>
          <w:color w:val="auto"/>
        </w:rPr>
        <w:t>上</w:t>
      </w:r>
      <w:r>
        <w:rPr>
          <w:rFonts w:hint="eastAsia"/>
          <w:color w:val="auto"/>
        </w:rPr>
        <w:t>发出</w:t>
      </w:r>
      <w:r>
        <w:rPr>
          <w:color w:val="auto"/>
        </w:rPr>
        <w:t>的澄清通知，因投标人</w:t>
      </w:r>
      <w:r>
        <w:rPr>
          <w:rFonts w:hint="eastAsia"/>
          <w:color w:val="auto"/>
        </w:rPr>
        <w:t>自身</w:t>
      </w:r>
      <w:r>
        <w:rPr>
          <w:color w:val="auto"/>
        </w:rPr>
        <w:t>原因未及时获知澄清内容而导致的任何后果将由投标人自行承担。</w:t>
      </w:r>
    </w:p>
    <w:p w14:paraId="6629E3D9">
      <w:pPr>
        <w:pStyle w:val="113"/>
        <w:outlineLvl w:val="0"/>
        <w:rPr>
          <w:rFonts w:ascii="黑体" w:hAnsi="黑体"/>
          <w:color w:val="auto"/>
        </w:rPr>
      </w:pPr>
      <w:bookmarkStart w:id="302" w:name="_Toc12304"/>
      <w:bookmarkStart w:id="303" w:name="_Toc25882"/>
      <w:bookmarkStart w:id="304" w:name="_Toc154063394"/>
      <w:bookmarkStart w:id="305" w:name="_Toc519085287"/>
      <w:bookmarkStart w:id="306" w:name="_Toc28414"/>
      <w:r>
        <w:rPr>
          <w:rFonts w:ascii="黑体" w:hAnsi="黑体"/>
          <w:color w:val="auto"/>
        </w:rPr>
        <w:t>2.3 招标文件的修改</w:t>
      </w:r>
      <w:bookmarkEnd w:id="297"/>
      <w:bookmarkEnd w:id="298"/>
      <w:bookmarkEnd w:id="299"/>
      <w:bookmarkEnd w:id="300"/>
      <w:bookmarkEnd w:id="301"/>
      <w:bookmarkEnd w:id="302"/>
      <w:bookmarkEnd w:id="303"/>
      <w:bookmarkEnd w:id="304"/>
      <w:bookmarkEnd w:id="305"/>
      <w:bookmarkEnd w:id="306"/>
    </w:p>
    <w:p w14:paraId="3F519074">
      <w:pPr>
        <w:spacing w:line="400" w:lineRule="exact"/>
        <w:ind w:firstLine="420" w:firstLineChars="200"/>
        <w:rPr>
          <w:rFonts w:hint="eastAsia"/>
          <w:color w:val="auto"/>
        </w:rPr>
      </w:pPr>
      <w:bookmarkStart w:id="307" w:name="_Toc247527571"/>
      <w:bookmarkStart w:id="308" w:name="_Toc247513970"/>
      <w:bookmarkStart w:id="309" w:name="_Toc152042322"/>
      <w:bookmarkStart w:id="310" w:name="_Toc152045546"/>
      <w:bookmarkStart w:id="311" w:name="_Toc144974514"/>
      <w:r>
        <w:rPr>
          <w:rFonts w:hint="eastAsia"/>
          <w:color w:val="auto"/>
        </w:rPr>
        <w:t>2.3.1 招标人可以书面形式修改招标文件，并通过“电子交易平台”通知所有已下载招标文件的投标人。如果修改通知发出的时间距投标人须知前附表第4.2.1项规定的投标截止时间不足15日，并且修改的内容影响投标文件编制的，相应延长投标截止时间。</w:t>
      </w:r>
    </w:p>
    <w:p w14:paraId="792F8338">
      <w:pPr>
        <w:spacing w:line="400" w:lineRule="exact"/>
        <w:ind w:firstLine="420" w:firstLineChars="200"/>
        <w:rPr>
          <w:rFonts w:hint="eastAsia"/>
          <w:color w:val="auto"/>
        </w:rPr>
      </w:pPr>
      <w:r>
        <w:rPr>
          <w:rFonts w:hint="eastAsia"/>
          <w:color w:val="auto"/>
        </w:rPr>
        <w:t>2.3.2</w:t>
      </w:r>
      <w:r>
        <w:rPr>
          <w:color w:val="auto"/>
        </w:rPr>
        <w:t>投标人应</w:t>
      </w:r>
      <w:r>
        <w:rPr>
          <w:rFonts w:hint="eastAsia"/>
          <w:color w:val="auto"/>
        </w:rPr>
        <w:t>实时关注“电子交易平台”</w:t>
      </w:r>
      <w:r>
        <w:rPr>
          <w:color w:val="auto"/>
        </w:rPr>
        <w:t>上</w:t>
      </w:r>
      <w:r>
        <w:rPr>
          <w:rFonts w:hint="eastAsia"/>
          <w:color w:val="auto"/>
        </w:rPr>
        <w:t>发出</w:t>
      </w:r>
      <w:r>
        <w:rPr>
          <w:color w:val="auto"/>
        </w:rPr>
        <w:t>的</w:t>
      </w:r>
      <w:r>
        <w:rPr>
          <w:rFonts w:hint="eastAsia"/>
          <w:color w:val="auto"/>
        </w:rPr>
        <w:t>修改</w:t>
      </w:r>
      <w:r>
        <w:rPr>
          <w:color w:val="auto"/>
        </w:rPr>
        <w:t>通知，因投标人</w:t>
      </w:r>
      <w:r>
        <w:rPr>
          <w:rFonts w:hint="eastAsia"/>
          <w:color w:val="auto"/>
        </w:rPr>
        <w:t>自身</w:t>
      </w:r>
      <w:r>
        <w:rPr>
          <w:color w:val="auto"/>
        </w:rPr>
        <w:t>原因未及时获知</w:t>
      </w:r>
      <w:r>
        <w:rPr>
          <w:rFonts w:hint="eastAsia"/>
          <w:color w:val="auto"/>
        </w:rPr>
        <w:t>修改</w:t>
      </w:r>
      <w:r>
        <w:rPr>
          <w:color w:val="auto"/>
        </w:rPr>
        <w:t>内容而导致的任何后果将由投标人自行承担。</w:t>
      </w:r>
    </w:p>
    <w:p w14:paraId="6BB2591C">
      <w:pPr>
        <w:pStyle w:val="113"/>
        <w:outlineLvl w:val="0"/>
        <w:rPr>
          <w:rFonts w:ascii="黑体" w:hAnsi="黑体"/>
          <w:color w:val="auto"/>
        </w:rPr>
      </w:pPr>
      <w:bookmarkStart w:id="312" w:name="_Toc26809"/>
      <w:bookmarkStart w:id="313" w:name="_Toc154063395"/>
      <w:bookmarkStart w:id="314" w:name="_Toc10571"/>
      <w:bookmarkStart w:id="315" w:name="_Toc519085288"/>
      <w:bookmarkStart w:id="316" w:name="_Toc32693"/>
      <w:bookmarkStart w:id="317" w:name="_Toc456173210"/>
      <w:r>
        <w:rPr>
          <w:rFonts w:ascii="黑体" w:hAnsi="黑体"/>
          <w:color w:val="auto"/>
        </w:rPr>
        <w:t>2.4 招标文件的异议</w:t>
      </w:r>
      <w:bookmarkEnd w:id="312"/>
      <w:bookmarkEnd w:id="313"/>
      <w:bookmarkEnd w:id="314"/>
      <w:bookmarkEnd w:id="315"/>
      <w:bookmarkEnd w:id="316"/>
      <w:bookmarkEnd w:id="317"/>
    </w:p>
    <w:p w14:paraId="4E453CC3">
      <w:pPr>
        <w:spacing w:line="400" w:lineRule="exact"/>
        <w:ind w:firstLine="420" w:firstLineChars="200"/>
        <w:rPr>
          <w:color w:val="auto"/>
        </w:rPr>
      </w:pPr>
      <w:r>
        <w:rPr>
          <w:color w:val="auto"/>
        </w:rPr>
        <w:t>2.4.1投标人或者其他利害关系人对招标文件（包括对招标文件澄清和修改的内容）有异议的，应当在投标人须知前附表4.2.1项规定的投标截止时间10日前提出。招标人自收到异议之日起3日内作出答复；作出答复前，招标人将暂停招标投标活动。逾期提出的，招标人可不予受理。异议与答复应通过“电子交易平台”在“异议与答复”菜单以书面形式</w:t>
      </w:r>
      <w:r>
        <w:rPr>
          <w:rFonts w:hint="eastAsia"/>
          <w:color w:val="auto"/>
        </w:rPr>
        <w:t>进行</w:t>
      </w:r>
      <w:r>
        <w:rPr>
          <w:color w:val="auto"/>
        </w:rPr>
        <w:t>。</w:t>
      </w:r>
    </w:p>
    <w:p w14:paraId="64BA8195">
      <w:pPr>
        <w:spacing w:line="400" w:lineRule="exact"/>
        <w:ind w:firstLine="420" w:firstLineChars="200"/>
        <w:rPr>
          <w:color w:val="auto"/>
        </w:rPr>
      </w:pPr>
      <w:r>
        <w:rPr>
          <w:color w:val="auto"/>
        </w:rPr>
        <w:t>本处所称异议是指投标人或者其他利害关系人认为招标文件的内容违反法律、法规、规章的强制性规定，违反公开、公平、公正和诚实信用原则，影响投标人投标而向招标人提出的质疑。</w:t>
      </w:r>
    </w:p>
    <w:p w14:paraId="5C83DC4E">
      <w:pPr>
        <w:spacing w:line="400" w:lineRule="exact"/>
        <w:ind w:firstLine="420" w:firstLineChars="200"/>
        <w:rPr>
          <w:color w:val="auto"/>
        </w:rPr>
      </w:pPr>
      <w:r>
        <w:rPr>
          <w:color w:val="auto"/>
        </w:rPr>
        <w:t>2.4.2招标人对异议的答复构成对招标文件澄清或者修改的，招标人将按照本章第2.2款、第2.3款规定办理。</w:t>
      </w:r>
    </w:p>
    <w:p w14:paraId="7E28A223">
      <w:pPr>
        <w:pStyle w:val="3"/>
        <w:spacing w:before="62"/>
        <w:rPr>
          <w:color w:val="auto"/>
          <w:sz w:val="28"/>
          <w:szCs w:val="28"/>
        </w:rPr>
      </w:pPr>
      <w:bookmarkStart w:id="318" w:name="_Toc24504"/>
      <w:bookmarkStart w:id="319" w:name="_Toc519085289"/>
      <w:bookmarkStart w:id="320" w:name="_Toc19301"/>
      <w:bookmarkStart w:id="321" w:name="_Toc17502"/>
      <w:bookmarkStart w:id="322" w:name="_Toc154063396"/>
      <w:r>
        <w:rPr>
          <w:color w:val="auto"/>
          <w:sz w:val="28"/>
          <w:szCs w:val="28"/>
        </w:rPr>
        <w:t>3. 投标文件</w:t>
      </w:r>
      <w:bookmarkEnd w:id="307"/>
      <w:bookmarkEnd w:id="308"/>
      <w:bookmarkEnd w:id="309"/>
      <w:bookmarkEnd w:id="310"/>
      <w:bookmarkEnd w:id="311"/>
      <w:bookmarkEnd w:id="318"/>
      <w:bookmarkEnd w:id="319"/>
      <w:bookmarkEnd w:id="320"/>
      <w:bookmarkEnd w:id="321"/>
      <w:bookmarkEnd w:id="322"/>
    </w:p>
    <w:p w14:paraId="50632B11">
      <w:pPr>
        <w:pStyle w:val="113"/>
        <w:outlineLvl w:val="0"/>
        <w:rPr>
          <w:rFonts w:ascii="黑体" w:hAnsi="黑体"/>
          <w:color w:val="auto"/>
        </w:rPr>
      </w:pPr>
      <w:bookmarkStart w:id="323" w:name="_Toc247513971"/>
      <w:bookmarkStart w:id="324" w:name="_Toc154063397"/>
      <w:bookmarkStart w:id="325" w:name="_Toc152042323"/>
      <w:bookmarkStart w:id="326" w:name="_Toc144974515"/>
      <w:bookmarkStart w:id="327" w:name="_Toc247527572"/>
      <w:bookmarkStart w:id="328" w:name="_Toc152045547"/>
      <w:bookmarkStart w:id="329" w:name="_Toc31013"/>
      <w:bookmarkStart w:id="330" w:name="_Toc519085290"/>
      <w:bookmarkStart w:id="331" w:name="_Toc23841"/>
      <w:bookmarkStart w:id="332" w:name="_Toc8857"/>
      <w:r>
        <w:rPr>
          <w:rFonts w:ascii="黑体" w:hAnsi="黑体"/>
          <w:color w:val="auto"/>
        </w:rPr>
        <w:t>3.1 投标文件的组成</w:t>
      </w:r>
      <w:bookmarkEnd w:id="323"/>
      <w:bookmarkEnd w:id="324"/>
      <w:bookmarkEnd w:id="325"/>
      <w:bookmarkEnd w:id="326"/>
      <w:bookmarkEnd w:id="327"/>
      <w:bookmarkEnd w:id="328"/>
      <w:bookmarkEnd w:id="329"/>
      <w:bookmarkEnd w:id="330"/>
      <w:bookmarkEnd w:id="331"/>
      <w:bookmarkEnd w:id="332"/>
    </w:p>
    <w:p w14:paraId="4636D18B">
      <w:pPr>
        <w:spacing w:line="400" w:lineRule="exact"/>
        <w:ind w:firstLine="420" w:firstLineChars="200"/>
        <w:rPr>
          <w:color w:val="auto"/>
        </w:rPr>
      </w:pPr>
      <w:r>
        <w:rPr>
          <w:color w:val="auto"/>
        </w:rPr>
        <w:t>3.1.1 投标文件应包括下列内容：</w:t>
      </w:r>
    </w:p>
    <w:p w14:paraId="22D886A7">
      <w:pPr>
        <w:spacing w:line="400" w:lineRule="exact"/>
        <w:ind w:firstLine="420" w:firstLineChars="200"/>
        <w:rPr>
          <w:color w:val="auto"/>
        </w:rPr>
      </w:pPr>
      <w:r>
        <w:rPr>
          <w:color w:val="auto"/>
        </w:rPr>
        <w:t>（1）投标函及投标函附录；</w:t>
      </w:r>
    </w:p>
    <w:p w14:paraId="03C24355">
      <w:pPr>
        <w:spacing w:line="400" w:lineRule="exact"/>
        <w:ind w:firstLine="420" w:firstLineChars="200"/>
        <w:rPr>
          <w:color w:val="auto"/>
        </w:rPr>
      </w:pPr>
      <w:r>
        <w:rPr>
          <w:color w:val="auto"/>
        </w:rPr>
        <w:t>（2）法定代表人身份证明；</w:t>
      </w:r>
    </w:p>
    <w:p w14:paraId="49194DE1">
      <w:pPr>
        <w:spacing w:line="400" w:lineRule="exact"/>
        <w:ind w:firstLine="420" w:firstLineChars="200"/>
        <w:rPr>
          <w:color w:val="auto"/>
        </w:rPr>
      </w:pPr>
      <w:r>
        <w:rPr>
          <w:color w:val="auto"/>
        </w:rPr>
        <w:t xml:space="preserve">（3）投标保证金； </w:t>
      </w:r>
    </w:p>
    <w:p w14:paraId="79303FFF">
      <w:pPr>
        <w:spacing w:line="400" w:lineRule="exact"/>
        <w:ind w:firstLine="420" w:firstLineChars="200"/>
        <w:rPr>
          <w:color w:val="auto"/>
        </w:rPr>
      </w:pPr>
      <w:r>
        <w:rPr>
          <w:color w:val="auto"/>
        </w:rPr>
        <w:t>（4）联合体协议书；</w:t>
      </w:r>
    </w:p>
    <w:p w14:paraId="059E204C">
      <w:pPr>
        <w:spacing w:line="400" w:lineRule="exact"/>
        <w:ind w:firstLine="420" w:firstLineChars="200"/>
        <w:rPr>
          <w:color w:val="auto"/>
        </w:rPr>
      </w:pPr>
      <w:r>
        <w:rPr>
          <w:color w:val="auto"/>
        </w:rPr>
        <w:t>（5）拟分包项目情况表</w:t>
      </w:r>
      <w:r>
        <w:rPr>
          <w:rFonts w:hint="eastAsia"/>
          <w:color w:val="auto"/>
        </w:rPr>
        <w:t>（适用于非政府采购工程）；</w:t>
      </w:r>
      <w:r>
        <w:rPr>
          <w:color w:val="auto"/>
        </w:rPr>
        <w:t xml:space="preserve"> </w:t>
      </w:r>
    </w:p>
    <w:p w14:paraId="31D2A8BD">
      <w:pPr>
        <w:spacing w:line="400" w:lineRule="exact"/>
        <w:ind w:firstLine="420" w:firstLineChars="200"/>
        <w:rPr>
          <w:rFonts w:hint="eastAsia"/>
          <w:color w:val="auto"/>
        </w:rPr>
      </w:pPr>
      <w:r>
        <w:rPr>
          <w:rFonts w:hint="eastAsia"/>
          <w:color w:val="auto"/>
        </w:rPr>
        <w:t xml:space="preserve">（5）分包意向协议书（适用于政府采购工程）； </w:t>
      </w:r>
    </w:p>
    <w:p w14:paraId="282F4FCF">
      <w:pPr>
        <w:spacing w:line="400" w:lineRule="exact"/>
        <w:ind w:firstLine="420" w:firstLineChars="200"/>
        <w:rPr>
          <w:rFonts w:hint="eastAsia"/>
          <w:color w:val="auto"/>
        </w:rPr>
      </w:pPr>
      <w:r>
        <w:rPr>
          <w:rFonts w:hint="eastAsia"/>
          <w:color w:val="auto"/>
        </w:rPr>
        <w:t>（6）中小企业声明函（适用于政府采购工程）；</w:t>
      </w:r>
    </w:p>
    <w:p w14:paraId="2E055A6A">
      <w:pPr>
        <w:spacing w:line="400" w:lineRule="exact"/>
        <w:ind w:firstLine="420" w:firstLineChars="200"/>
        <w:rPr>
          <w:color w:val="auto"/>
        </w:rPr>
      </w:pPr>
      <w:r>
        <w:rPr>
          <w:color w:val="auto"/>
        </w:rPr>
        <w:t>（7）</w:t>
      </w:r>
      <w:r>
        <w:rPr>
          <w:rFonts w:hint="eastAsia"/>
          <w:color w:val="auto"/>
        </w:rPr>
        <w:t>项目管理机构</w:t>
      </w:r>
      <w:r>
        <w:rPr>
          <w:color w:val="auto"/>
        </w:rPr>
        <w:t xml:space="preserve">； </w:t>
      </w:r>
    </w:p>
    <w:p w14:paraId="741D53C7">
      <w:pPr>
        <w:spacing w:line="400" w:lineRule="exact"/>
        <w:ind w:firstLine="420" w:firstLineChars="200"/>
        <w:rPr>
          <w:color w:val="auto"/>
        </w:rPr>
      </w:pPr>
      <w:r>
        <w:rPr>
          <w:color w:val="auto"/>
        </w:rPr>
        <w:t>（8）资格审查资料；</w:t>
      </w:r>
    </w:p>
    <w:p w14:paraId="2A3F31D2">
      <w:pPr>
        <w:spacing w:line="400" w:lineRule="exact"/>
        <w:ind w:firstLine="420" w:firstLineChars="200"/>
        <w:rPr>
          <w:rFonts w:hint="eastAsia"/>
          <w:color w:val="auto"/>
        </w:rPr>
      </w:pPr>
      <w:r>
        <w:rPr>
          <w:color w:val="auto"/>
        </w:rPr>
        <w:t>（9）价格清单；</w:t>
      </w:r>
    </w:p>
    <w:p w14:paraId="373DCB6E">
      <w:pPr>
        <w:spacing w:line="400" w:lineRule="exact"/>
        <w:ind w:firstLine="420" w:firstLineChars="200"/>
        <w:rPr>
          <w:color w:val="auto"/>
        </w:rPr>
      </w:pPr>
      <w:r>
        <w:rPr>
          <w:rFonts w:hint="eastAsia"/>
          <w:color w:val="auto"/>
        </w:rPr>
        <w:t>（10）</w:t>
      </w:r>
      <w:r>
        <w:rPr>
          <w:color w:val="auto"/>
        </w:rPr>
        <w:t>承包人建议书；</w:t>
      </w:r>
    </w:p>
    <w:p w14:paraId="618B1E82">
      <w:pPr>
        <w:spacing w:line="400" w:lineRule="exact"/>
        <w:ind w:firstLine="420" w:firstLineChars="200"/>
        <w:rPr>
          <w:rFonts w:hint="eastAsia"/>
          <w:color w:val="auto"/>
        </w:rPr>
      </w:pPr>
      <w:r>
        <w:rPr>
          <w:color w:val="auto"/>
        </w:rPr>
        <w:t>（</w:t>
      </w:r>
      <w:r>
        <w:rPr>
          <w:rFonts w:hint="eastAsia"/>
          <w:color w:val="auto"/>
        </w:rPr>
        <w:t>11</w:t>
      </w:r>
      <w:r>
        <w:rPr>
          <w:color w:val="auto"/>
        </w:rPr>
        <w:t>）</w:t>
      </w:r>
      <w:r>
        <w:rPr>
          <w:rFonts w:hint="eastAsia"/>
          <w:color w:val="auto"/>
        </w:rPr>
        <w:t>承包人</w:t>
      </w:r>
      <w:r>
        <w:rPr>
          <w:color w:val="auto"/>
        </w:rPr>
        <w:t>实施计划；</w:t>
      </w:r>
    </w:p>
    <w:p w14:paraId="674943C7">
      <w:pPr>
        <w:spacing w:line="400" w:lineRule="exact"/>
        <w:ind w:firstLine="420" w:firstLineChars="200"/>
        <w:rPr>
          <w:color w:val="auto"/>
        </w:rPr>
      </w:pPr>
      <w:r>
        <w:rPr>
          <w:color w:val="auto"/>
        </w:rPr>
        <w:t>（1</w:t>
      </w:r>
      <w:r>
        <w:rPr>
          <w:rFonts w:hint="eastAsia"/>
          <w:color w:val="auto"/>
        </w:rPr>
        <w:t>2</w:t>
      </w:r>
      <w:r>
        <w:rPr>
          <w:color w:val="auto"/>
        </w:rPr>
        <w:t>）</w:t>
      </w:r>
      <w:r>
        <w:rPr>
          <w:rFonts w:hint="eastAsia"/>
          <w:color w:val="auto"/>
        </w:rPr>
        <w:t>投标人须知前附表规定的</w:t>
      </w:r>
      <w:r>
        <w:rPr>
          <w:color w:val="auto"/>
        </w:rPr>
        <w:t>其他资料。</w:t>
      </w:r>
    </w:p>
    <w:p w14:paraId="171F3ADD">
      <w:pPr>
        <w:spacing w:line="400" w:lineRule="exact"/>
        <w:ind w:firstLine="420" w:firstLineChars="200"/>
        <w:rPr>
          <w:color w:val="auto"/>
        </w:rPr>
      </w:pPr>
      <w:r>
        <w:rPr>
          <w:color w:val="auto"/>
        </w:rPr>
        <w:t xml:space="preserve">3.1.2 投标人须知前附表规定不接受联合体投标的，或投标人没有组成联合体的，投标文件不包括本章第3.1.1（3）目所指的联合体协议书。 </w:t>
      </w:r>
    </w:p>
    <w:p w14:paraId="2C0BB954">
      <w:pPr>
        <w:pStyle w:val="113"/>
        <w:outlineLvl w:val="0"/>
        <w:rPr>
          <w:rFonts w:ascii="黑体" w:hAnsi="黑体"/>
          <w:color w:val="auto"/>
        </w:rPr>
      </w:pPr>
      <w:bookmarkStart w:id="333" w:name="_Toc247527573"/>
      <w:bookmarkStart w:id="334" w:name="_Toc152042324"/>
      <w:bookmarkStart w:id="335" w:name="_Toc144974516"/>
      <w:bookmarkStart w:id="336" w:name="_Toc152045548"/>
      <w:bookmarkStart w:id="337" w:name="_Toc28847"/>
      <w:bookmarkStart w:id="338" w:name="_Toc154063398"/>
      <w:bookmarkStart w:id="339" w:name="_Toc12814"/>
      <w:bookmarkStart w:id="340" w:name="_Toc519085291"/>
      <w:bookmarkStart w:id="341" w:name="_Toc247513972"/>
      <w:bookmarkStart w:id="342" w:name="_Toc28609"/>
      <w:r>
        <w:rPr>
          <w:rFonts w:ascii="黑体" w:hAnsi="黑体"/>
          <w:color w:val="auto"/>
        </w:rPr>
        <w:t>3.2 投标报价</w:t>
      </w:r>
      <w:bookmarkEnd w:id="333"/>
      <w:bookmarkEnd w:id="334"/>
      <w:bookmarkEnd w:id="335"/>
      <w:bookmarkEnd w:id="336"/>
      <w:bookmarkEnd w:id="337"/>
      <w:bookmarkEnd w:id="338"/>
      <w:bookmarkEnd w:id="339"/>
      <w:bookmarkEnd w:id="340"/>
      <w:bookmarkEnd w:id="341"/>
      <w:bookmarkEnd w:id="342"/>
      <w:r>
        <w:rPr>
          <w:rFonts w:ascii="黑体" w:hAnsi="黑体"/>
          <w:color w:val="auto"/>
        </w:rPr>
        <w:t xml:space="preserve"> </w:t>
      </w:r>
    </w:p>
    <w:p w14:paraId="52B1CD10">
      <w:pPr>
        <w:spacing w:line="400" w:lineRule="exact"/>
        <w:ind w:firstLine="420" w:firstLineChars="200"/>
        <w:rPr>
          <w:color w:val="auto"/>
        </w:rPr>
      </w:pPr>
      <w:r>
        <w:rPr>
          <w:color w:val="auto"/>
        </w:rPr>
        <w:t>3.2.1 投标人应按第七章“投标文件格式”的要求填写价格清单。</w:t>
      </w:r>
    </w:p>
    <w:p w14:paraId="0D8C04A0">
      <w:pPr>
        <w:spacing w:line="400" w:lineRule="exact"/>
        <w:ind w:firstLine="420" w:firstLineChars="200"/>
        <w:rPr>
          <w:color w:val="auto"/>
        </w:rPr>
      </w:pPr>
      <w:r>
        <w:rPr>
          <w:color w:val="auto"/>
        </w:rPr>
        <w:t>3.2.2 投标人应充分了解施工场地的位置、周边环境、道路、装卸、保管、安装限制以及影响投标报价的其他要素。投标人根据投标设计，结合市场情况进行投标报价。</w:t>
      </w:r>
    </w:p>
    <w:p w14:paraId="2EA22EBE">
      <w:pPr>
        <w:spacing w:line="400" w:lineRule="exact"/>
        <w:ind w:firstLine="420" w:firstLineChars="200"/>
        <w:rPr>
          <w:color w:val="auto"/>
        </w:rPr>
      </w:pPr>
      <w:r>
        <w:rPr>
          <w:color w:val="auto"/>
        </w:rPr>
        <w:t>3.2.3 投标人在投标截止时间前修改投标函中的投标报价总额，应同时修改投标文件“价格清单”中的相应报价，投标报价总额为各分项金额之和。此修改须符合本章第4.3款的有关要求。</w:t>
      </w:r>
    </w:p>
    <w:p w14:paraId="37B58126">
      <w:pPr>
        <w:spacing w:line="400" w:lineRule="exact"/>
        <w:ind w:firstLine="420" w:firstLineChars="200"/>
        <w:rPr>
          <w:color w:val="auto"/>
        </w:rPr>
      </w:pPr>
      <w:r>
        <w:rPr>
          <w:color w:val="auto"/>
        </w:rPr>
        <w:t>3.2.4 招标人设有最高投标限价的，投标人的投标报价不得超过最高投标限价，最高投标限价或其计算方法在投标人须知前附表中载明。</w:t>
      </w:r>
    </w:p>
    <w:p w14:paraId="741D9E71">
      <w:pPr>
        <w:spacing w:line="400" w:lineRule="exact"/>
        <w:ind w:firstLine="420" w:firstLineChars="200"/>
        <w:rPr>
          <w:color w:val="auto"/>
        </w:rPr>
      </w:pPr>
      <w:r>
        <w:rPr>
          <w:color w:val="auto"/>
        </w:rPr>
        <w:t>3.2.5 投标报价的其他要求见投标人须知前附表。</w:t>
      </w:r>
    </w:p>
    <w:p w14:paraId="219DD838">
      <w:pPr>
        <w:pStyle w:val="113"/>
        <w:outlineLvl w:val="0"/>
        <w:rPr>
          <w:rFonts w:ascii="黑体" w:hAnsi="黑体"/>
          <w:color w:val="auto"/>
        </w:rPr>
      </w:pPr>
      <w:bookmarkStart w:id="343" w:name="_Toc24239"/>
      <w:bookmarkStart w:id="344" w:name="_Toc247513973"/>
      <w:bookmarkStart w:id="345" w:name="_Toc7000"/>
      <w:bookmarkStart w:id="346" w:name="_Toc519085292"/>
      <w:bookmarkStart w:id="347" w:name="_Toc154063399"/>
      <w:bookmarkStart w:id="348" w:name="_Toc152045549"/>
      <w:bookmarkStart w:id="349" w:name="_Toc247527574"/>
      <w:bookmarkStart w:id="350" w:name="_Toc4308"/>
      <w:bookmarkStart w:id="351" w:name="_Toc144974517"/>
      <w:bookmarkStart w:id="352" w:name="_Toc152042325"/>
      <w:r>
        <w:rPr>
          <w:rFonts w:ascii="黑体" w:hAnsi="黑体"/>
          <w:color w:val="auto"/>
        </w:rPr>
        <w:t>3.3 投标有效期</w:t>
      </w:r>
      <w:bookmarkEnd w:id="343"/>
      <w:bookmarkEnd w:id="344"/>
      <w:bookmarkEnd w:id="345"/>
      <w:bookmarkEnd w:id="346"/>
      <w:bookmarkEnd w:id="347"/>
      <w:bookmarkEnd w:id="348"/>
      <w:bookmarkEnd w:id="349"/>
      <w:bookmarkEnd w:id="350"/>
      <w:bookmarkEnd w:id="351"/>
      <w:bookmarkEnd w:id="352"/>
    </w:p>
    <w:p w14:paraId="74ADDE3E">
      <w:pPr>
        <w:spacing w:line="400" w:lineRule="exact"/>
        <w:ind w:firstLine="420" w:firstLineChars="200"/>
        <w:rPr>
          <w:color w:val="auto"/>
        </w:rPr>
      </w:pPr>
      <w:r>
        <w:rPr>
          <w:color w:val="auto"/>
        </w:rPr>
        <w:t>3.3.1 除投标人须知前附表另有规定外，投标有效期为120天。</w:t>
      </w:r>
    </w:p>
    <w:p w14:paraId="7A21E0A5">
      <w:pPr>
        <w:spacing w:line="400" w:lineRule="exact"/>
        <w:ind w:firstLine="420" w:firstLineChars="200"/>
        <w:rPr>
          <w:color w:val="auto"/>
        </w:rPr>
      </w:pPr>
      <w:r>
        <w:rPr>
          <w:color w:val="auto"/>
        </w:rPr>
        <w:t>3.3.2在投标人须知前附表规定的投标有效期内，投标人不得要求撤销或修改其投标文件。</w:t>
      </w:r>
    </w:p>
    <w:p w14:paraId="1458DFD2">
      <w:pPr>
        <w:spacing w:line="400" w:lineRule="exact"/>
        <w:ind w:firstLine="420" w:firstLineChars="200"/>
        <w:rPr>
          <w:color w:val="auto"/>
        </w:rPr>
      </w:pPr>
      <w:r>
        <w:rPr>
          <w:color w:val="auto"/>
        </w:rPr>
        <w:t xml:space="preserve">3.3.3 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14:paraId="2585DCFA">
      <w:pPr>
        <w:pStyle w:val="113"/>
        <w:outlineLvl w:val="0"/>
        <w:rPr>
          <w:rFonts w:ascii="黑体" w:hAnsi="黑体"/>
          <w:color w:val="auto"/>
        </w:rPr>
      </w:pPr>
      <w:bookmarkStart w:id="353" w:name="_Toc154063400"/>
      <w:bookmarkStart w:id="354" w:name="_Toc144974518"/>
      <w:bookmarkStart w:id="355" w:name="_Toc519085293"/>
      <w:bookmarkStart w:id="356" w:name="_Toc5693"/>
      <w:bookmarkStart w:id="357" w:name="_Toc152045550"/>
      <w:bookmarkStart w:id="358" w:name="_Toc152042326"/>
      <w:bookmarkStart w:id="359" w:name="_Toc25256"/>
      <w:bookmarkStart w:id="360" w:name="_Toc247513974"/>
      <w:bookmarkStart w:id="361" w:name="_Toc247527575"/>
      <w:bookmarkStart w:id="362" w:name="_Toc25994"/>
      <w:r>
        <w:rPr>
          <w:rFonts w:ascii="黑体" w:hAnsi="黑体"/>
          <w:color w:val="auto"/>
        </w:rPr>
        <w:t>3.4 投标保证金</w:t>
      </w:r>
      <w:bookmarkEnd w:id="353"/>
      <w:bookmarkEnd w:id="354"/>
      <w:bookmarkEnd w:id="355"/>
      <w:bookmarkEnd w:id="356"/>
      <w:bookmarkEnd w:id="357"/>
      <w:bookmarkEnd w:id="358"/>
      <w:bookmarkEnd w:id="359"/>
      <w:bookmarkEnd w:id="360"/>
      <w:bookmarkEnd w:id="361"/>
      <w:bookmarkEnd w:id="362"/>
    </w:p>
    <w:p w14:paraId="415C9731">
      <w:pPr>
        <w:spacing w:line="400" w:lineRule="exact"/>
        <w:ind w:firstLine="420" w:firstLineChars="200"/>
        <w:rPr>
          <w:color w:val="auto"/>
        </w:rPr>
      </w:pPr>
      <w:r>
        <w:rPr>
          <w:color w:val="auto"/>
        </w:rPr>
        <w:t>3.4.1投标人须知前附表规定提交投标保证金的，投标人在递交投标文件的同时，应按投标人须知前附表规定的形式、金额、递交截止时间、递交方式提交投标保证金，并作为其投标文件的组成部分。联合体投标的，其投标保证金由牵头人递交，并应符合投标人须知前附表的规定。</w:t>
      </w:r>
    </w:p>
    <w:p w14:paraId="6C064F18">
      <w:pPr>
        <w:spacing w:line="400" w:lineRule="exact"/>
        <w:ind w:firstLine="420" w:firstLineChars="200"/>
        <w:rPr>
          <w:color w:val="auto"/>
        </w:rPr>
      </w:pPr>
      <w:r>
        <w:rPr>
          <w:color w:val="auto"/>
        </w:rPr>
        <w:t>3.4.2 投标人不按本章第3.4.1项要求提交投标保证金的，其投标将被否决。</w:t>
      </w:r>
    </w:p>
    <w:p w14:paraId="6D9F07E9">
      <w:pPr>
        <w:spacing w:line="400" w:lineRule="exact"/>
        <w:ind w:firstLine="420" w:firstLineChars="200"/>
        <w:rPr>
          <w:color w:val="auto"/>
        </w:rPr>
      </w:pPr>
      <w:r>
        <w:rPr>
          <w:color w:val="auto"/>
        </w:rPr>
        <w:t>3.4.3招标人最迟在与中标人签订合同后5日内，向未中标的投标人和中标人退还投标保证金。招标人同时退还投标保证金的银行同期存款利息。投标保证金及利息的计息标准和退还方式见投标人须知前附表。</w:t>
      </w:r>
    </w:p>
    <w:p w14:paraId="1562ABBA">
      <w:pPr>
        <w:spacing w:line="400" w:lineRule="exact"/>
        <w:ind w:firstLine="420" w:firstLineChars="200"/>
        <w:rPr>
          <w:color w:val="auto"/>
        </w:rPr>
      </w:pPr>
      <w:r>
        <w:rPr>
          <w:color w:val="auto"/>
        </w:rPr>
        <w:t xml:space="preserve">3.4.4 有下列情形之一的，投标保证金将不予退还： </w:t>
      </w:r>
    </w:p>
    <w:p w14:paraId="36545DE7">
      <w:pPr>
        <w:spacing w:line="400" w:lineRule="exact"/>
        <w:ind w:firstLine="420" w:firstLineChars="200"/>
        <w:rPr>
          <w:color w:val="auto"/>
        </w:rPr>
      </w:pPr>
      <w:r>
        <w:rPr>
          <w:color w:val="auto"/>
        </w:rPr>
        <w:t>（1）投标人在规定的投标有效期内撤销或修改其投标文件；</w:t>
      </w:r>
    </w:p>
    <w:p w14:paraId="2D6B82D4">
      <w:pPr>
        <w:spacing w:line="400" w:lineRule="exact"/>
        <w:ind w:firstLine="420" w:firstLineChars="200"/>
        <w:rPr>
          <w:color w:val="auto"/>
        </w:rPr>
      </w:pPr>
      <w:r>
        <w:rPr>
          <w:color w:val="auto"/>
        </w:rPr>
        <w:t>（2）中标人在收到中标通知书后，</w:t>
      </w:r>
      <w:r>
        <w:rPr>
          <w:rFonts w:hint="eastAsia"/>
          <w:color w:val="auto"/>
        </w:rPr>
        <w:t>无正当理由拒签合同、在签订合同时向招标人提出附加条件或未按招标文件规定提交履约保证金。</w:t>
      </w:r>
    </w:p>
    <w:p w14:paraId="1B36D07A">
      <w:pPr>
        <w:pStyle w:val="113"/>
        <w:outlineLvl w:val="0"/>
        <w:rPr>
          <w:rFonts w:ascii="黑体" w:hAnsi="黑体"/>
          <w:color w:val="auto"/>
        </w:rPr>
      </w:pPr>
      <w:bookmarkStart w:id="363" w:name="_Toc152042327"/>
      <w:bookmarkStart w:id="364" w:name="_Toc247513975"/>
      <w:bookmarkStart w:id="365" w:name="_Toc519085294"/>
      <w:bookmarkStart w:id="366" w:name="_Toc154063401"/>
      <w:bookmarkStart w:id="367" w:name="_Toc11175"/>
      <w:bookmarkStart w:id="368" w:name="_Toc152045551"/>
      <w:bookmarkStart w:id="369" w:name="_Toc144974519"/>
      <w:bookmarkStart w:id="370" w:name="_Toc21388"/>
      <w:bookmarkStart w:id="371" w:name="_Toc247527576"/>
      <w:bookmarkStart w:id="372" w:name="_Toc10401"/>
      <w:r>
        <w:rPr>
          <w:rFonts w:ascii="黑体" w:hAnsi="黑体"/>
          <w:color w:val="auto"/>
        </w:rPr>
        <w:t>3.5 资格审查资料（适用于已进行资格预审的）</w:t>
      </w:r>
      <w:bookmarkEnd w:id="363"/>
      <w:bookmarkEnd w:id="364"/>
      <w:bookmarkEnd w:id="365"/>
      <w:bookmarkEnd w:id="366"/>
      <w:bookmarkEnd w:id="367"/>
      <w:bookmarkEnd w:id="368"/>
      <w:bookmarkEnd w:id="369"/>
      <w:bookmarkEnd w:id="370"/>
      <w:bookmarkEnd w:id="371"/>
      <w:bookmarkEnd w:id="372"/>
    </w:p>
    <w:p w14:paraId="32126FCF">
      <w:pPr>
        <w:spacing w:line="400" w:lineRule="exact"/>
        <w:ind w:firstLine="420" w:firstLineChars="200"/>
        <w:rPr>
          <w:color w:val="auto"/>
        </w:rPr>
      </w:pPr>
      <w:r>
        <w:rPr>
          <w:color w:val="auto"/>
        </w:rPr>
        <w:t>3.5.1投标人在递交投标文件前，发生可能影响其投标资格的新情况的，应更新或补充其在申请资格预审时提供的资料，以证实其各项资格条件仍能继续满足资格预审文件的要求，且不影响本次招标的公正性。</w:t>
      </w:r>
    </w:p>
    <w:p w14:paraId="694E77AF">
      <w:pPr>
        <w:spacing w:line="400" w:lineRule="exact"/>
        <w:ind w:firstLine="420" w:firstLineChars="200"/>
        <w:rPr>
          <w:color w:val="auto"/>
        </w:rPr>
      </w:pPr>
      <w:r>
        <w:rPr>
          <w:color w:val="auto"/>
        </w:rPr>
        <w:t>3.5.2如本招标文件第三章“评标办法”中涉及到对某些属于“资格审查资料”的内容进行评审，投标人应在投标文件相应的“资格审查资料”中提供证明文件和（或）证明材料的</w:t>
      </w:r>
      <w:r>
        <w:rPr>
          <w:rFonts w:hint="eastAsia" w:ascii="宋体" w:hAnsi="宋体"/>
          <w:color w:val="auto"/>
        </w:rPr>
        <w:t>扫描件</w:t>
      </w:r>
      <w:r>
        <w:rPr>
          <w:color w:val="auto"/>
        </w:rPr>
        <w:t>。</w:t>
      </w:r>
    </w:p>
    <w:p w14:paraId="3770D888">
      <w:pPr>
        <w:pStyle w:val="113"/>
        <w:outlineLvl w:val="0"/>
        <w:rPr>
          <w:rFonts w:ascii="黑体" w:hAnsi="黑体"/>
          <w:color w:val="auto"/>
        </w:rPr>
      </w:pPr>
      <w:bookmarkStart w:id="373" w:name="_Toc154063402"/>
      <w:bookmarkStart w:id="374" w:name="_Toc21954"/>
      <w:bookmarkStart w:id="375" w:name="_Toc152042328"/>
      <w:bookmarkStart w:id="376" w:name="_Toc152045552"/>
      <w:bookmarkStart w:id="377" w:name="_Toc8577"/>
      <w:bookmarkStart w:id="378" w:name="_Toc247513976"/>
      <w:bookmarkStart w:id="379" w:name="_Toc21620"/>
      <w:bookmarkStart w:id="380" w:name="_Toc519085295"/>
      <w:bookmarkStart w:id="381" w:name="_Toc247527577"/>
      <w:bookmarkStart w:id="382" w:name="_Toc144974520"/>
      <w:r>
        <w:rPr>
          <w:rFonts w:ascii="黑体" w:hAnsi="黑体"/>
          <w:color w:val="auto"/>
        </w:rPr>
        <w:t>3.5 资格审查资料（适用于未进行资格预审的）</w:t>
      </w:r>
      <w:bookmarkEnd w:id="373"/>
      <w:bookmarkEnd w:id="374"/>
      <w:bookmarkEnd w:id="375"/>
      <w:bookmarkEnd w:id="376"/>
      <w:bookmarkEnd w:id="377"/>
      <w:bookmarkEnd w:id="378"/>
      <w:bookmarkEnd w:id="379"/>
      <w:bookmarkEnd w:id="380"/>
      <w:bookmarkEnd w:id="381"/>
      <w:bookmarkEnd w:id="382"/>
    </w:p>
    <w:p w14:paraId="25BF2581">
      <w:pPr>
        <w:spacing w:line="400" w:lineRule="exact"/>
        <w:ind w:firstLine="420" w:firstLineChars="200"/>
        <w:rPr>
          <w:color w:val="auto"/>
        </w:rPr>
      </w:pPr>
      <w:r>
        <w:rPr>
          <w:color w:val="auto"/>
        </w:rPr>
        <w:t xml:space="preserve">3.5.1 </w:t>
      </w:r>
      <w:r>
        <w:rPr>
          <w:rFonts w:hint="eastAsia"/>
          <w:color w:val="auto"/>
        </w:rPr>
        <w:t>投标文件的资格审查资料应按第七章“投标文件格式”的相关要求进行编写，</w:t>
      </w:r>
      <w:r>
        <w:rPr>
          <w:rFonts w:hint="eastAsia"/>
          <w:color w:val="auto"/>
          <w:szCs w:val="21"/>
        </w:rPr>
        <w:t>并按各资格审查表格的具体要求提供相关证件及证明材料。</w:t>
      </w:r>
      <w:r>
        <w:rPr>
          <w:rFonts w:hint="eastAsia"/>
          <w:color w:val="auto"/>
        </w:rPr>
        <w:t>如有必要，可以增加附页，并作为资格审查资料的组成部分。</w:t>
      </w:r>
      <w:r>
        <w:rPr>
          <w:color w:val="auto"/>
        </w:rPr>
        <w:t>投标人须知前附表规定接受联合体投标的，本章第3.5.2项至第3.5.6项规定的表格和资料应包括联合体各方相关情况。</w:t>
      </w:r>
    </w:p>
    <w:p w14:paraId="45008C70">
      <w:pPr>
        <w:spacing w:line="400" w:lineRule="exact"/>
        <w:ind w:firstLine="420" w:firstLineChars="200"/>
        <w:rPr>
          <w:color w:val="auto"/>
        </w:rPr>
      </w:pPr>
      <w:r>
        <w:rPr>
          <w:color w:val="auto"/>
        </w:rPr>
        <w:t>3.5.2 “近年财务状况表”具体年份要求见投标人须知前附表。</w:t>
      </w:r>
    </w:p>
    <w:p w14:paraId="0A3E88B9">
      <w:pPr>
        <w:spacing w:line="400" w:lineRule="exact"/>
        <w:ind w:firstLine="420" w:firstLineChars="200"/>
        <w:rPr>
          <w:color w:val="auto"/>
        </w:rPr>
      </w:pPr>
      <w:r>
        <w:rPr>
          <w:color w:val="auto"/>
        </w:rPr>
        <w:t>3.5.3 “近年完成的类似项目情况表” “近年完成的类似工程设计项目情况表” “近年完成的类似施工项目情况表”具体年份要求见投标人须知前附表。</w:t>
      </w:r>
    </w:p>
    <w:p w14:paraId="7898E0F0">
      <w:pPr>
        <w:spacing w:line="400" w:lineRule="exact"/>
        <w:ind w:firstLine="420" w:firstLineChars="200"/>
        <w:rPr>
          <w:color w:val="auto"/>
        </w:rPr>
      </w:pPr>
      <w:r>
        <w:rPr>
          <w:color w:val="auto"/>
        </w:rPr>
        <w:t>3.5.4 “近年发生的诉讼及仲裁情况”具体年份要求见投标人须知前附表。</w:t>
      </w:r>
    </w:p>
    <w:p w14:paraId="30CA160C">
      <w:pPr>
        <w:spacing w:line="400" w:lineRule="exact"/>
        <w:ind w:firstLine="420" w:firstLineChars="200"/>
        <w:rPr>
          <w:color w:val="auto"/>
        </w:rPr>
      </w:pPr>
      <w:r>
        <w:rPr>
          <w:color w:val="auto"/>
        </w:rPr>
        <w:t>3.5.5</w:t>
      </w:r>
      <w:r>
        <w:rPr>
          <w:rFonts w:hint="eastAsia"/>
          <w:color w:val="auto"/>
        </w:rPr>
        <w:t>近年投标人或项目管理机构相关主要人员获工程（设计）质量奖项、获表彰情况具体年份要求见投标人须知前附表。</w:t>
      </w:r>
    </w:p>
    <w:p w14:paraId="500DC974">
      <w:pPr>
        <w:spacing w:line="400" w:lineRule="exact"/>
        <w:ind w:firstLine="420" w:firstLineChars="200"/>
        <w:rPr>
          <w:rFonts w:hint="eastAsia"/>
          <w:color w:val="auto"/>
        </w:rPr>
      </w:pPr>
      <w:r>
        <w:rPr>
          <w:color w:val="auto"/>
        </w:rPr>
        <w:t>3.5.6</w:t>
      </w:r>
      <w:r>
        <w:rPr>
          <w:rFonts w:hint="eastAsia"/>
          <w:color w:val="auto"/>
          <w:szCs w:val="20"/>
        </w:rPr>
        <w:t>其他材料具体年份要求见投标人须知前附表。</w:t>
      </w:r>
    </w:p>
    <w:p w14:paraId="6629153D">
      <w:pPr>
        <w:pStyle w:val="113"/>
        <w:outlineLvl w:val="0"/>
        <w:rPr>
          <w:rFonts w:ascii="黑体" w:hAnsi="黑体"/>
          <w:color w:val="auto"/>
        </w:rPr>
      </w:pPr>
      <w:bookmarkStart w:id="383" w:name="_Toc247527578"/>
      <w:bookmarkStart w:id="384" w:name="_Toc144974521"/>
      <w:bookmarkStart w:id="385" w:name="_Toc519085296"/>
      <w:bookmarkStart w:id="386" w:name="_Toc152042329"/>
      <w:bookmarkStart w:id="387" w:name="_Toc154063403"/>
      <w:bookmarkStart w:id="388" w:name="_Toc247513977"/>
      <w:bookmarkStart w:id="389" w:name="_Toc152045553"/>
      <w:bookmarkStart w:id="390" w:name="_Toc2710"/>
      <w:bookmarkStart w:id="391" w:name="_Toc26776"/>
      <w:bookmarkStart w:id="392" w:name="_Toc15732"/>
      <w:r>
        <w:rPr>
          <w:rFonts w:ascii="黑体" w:hAnsi="黑体"/>
          <w:color w:val="auto"/>
        </w:rPr>
        <w:t>3.6 备选投标方案</w:t>
      </w:r>
      <w:bookmarkEnd w:id="383"/>
      <w:bookmarkEnd w:id="384"/>
      <w:bookmarkEnd w:id="385"/>
      <w:bookmarkEnd w:id="386"/>
      <w:bookmarkEnd w:id="387"/>
      <w:bookmarkEnd w:id="388"/>
      <w:bookmarkEnd w:id="389"/>
      <w:bookmarkEnd w:id="390"/>
      <w:bookmarkEnd w:id="391"/>
      <w:bookmarkEnd w:id="392"/>
    </w:p>
    <w:p w14:paraId="24EC276B">
      <w:pPr>
        <w:spacing w:line="400" w:lineRule="exact"/>
        <w:ind w:firstLine="420" w:firstLineChars="200"/>
        <w:rPr>
          <w:color w:val="auto"/>
        </w:rPr>
      </w:pPr>
      <w:r>
        <w:rPr>
          <w:color w:val="auto"/>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47B20612">
      <w:pPr>
        <w:pStyle w:val="113"/>
        <w:outlineLvl w:val="0"/>
        <w:rPr>
          <w:rFonts w:ascii="黑体" w:hAnsi="黑体"/>
          <w:color w:val="auto"/>
        </w:rPr>
      </w:pPr>
      <w:bookmarkStart w:id="393" w:name="_Toc247513978"/>
      <w:bookmarkStart w:id="394" w:name="_Toc152045554"/>
      <w:bookmarkStart w:id="395" w:name="_Toc247527579"/>
      <w:bookmarkStart w:id="396" w:name="_Toc21973"/>
      <w:bookmarkStart w:id="397" w:name="_Toc152042330"/>
      <w:bookmarkStart w:id="398" w:name="_Toc519085297"/>
      <w:bookmarkStart w:id="399" w:name="_Toc144974522"/>
      <w:bookmarkStart w:id="400" w:name="_Toc19455"/>
      <w:bookmarkStart w:id="401" w:name="_Toc154063404"/>
      <w:bookmarkStart w:id="402" w:name="_Toc11235"/>
      <w:r>
        <w:rPr>
          <w:rFonts w:ascii="黑体" w:hAnsi="黑体"/>
          <w:color w:val="auto"/>
        </w:rPr>
        <w:t>3.7 投标文件的编制</w:t>
      </w:r>
      <w:bookmarkEnd w:id="393"/>
      <w:bookmarkEnd w:id="394"/>
      <w:bookmarkEnd w:id="395"/>
      <w:bookmarkEnd w:id="396"/>
      <w:bookmarkEnd w:id="397"/>
      <w:bookmarkEnd w:id="398"/>
      <w:bookmarkEnd w:id="399"/>
      <w:bookmarkEnd w:id="400"/>
      <w:bookmarkEnd w:id="401"/>
      <w:bookmarkEnd w:id="402"/>
    </w:p>
    <w:p w14:paraId="4CC6030F">
      <w:pPr>
        <w:spacing w:line="400" w:lineRule="exact"/>
        <w:ind w:firstLine="420" w:firstLineChars="200"/>
        <w:rPr>
          <w:rFonts w:hint="eastAsia"/>
          <w:color w:val="auto"/>
        </w:rPr>
      </w:pPr>
      <w:r>
        <w:rPr>
          <w:rFonts w:hint="eastAsia"/>
          <w:color w:val="auto"/>
        </w:rPr>
        <w:t>3.7.1投标文件应按第七章“投标文件格式”进行编写，如有必要，可以增加附页，作为投标文件的组成部分。其中，投标函附录在满足招标文件实质性要求的基础上，可以提出比招标文件要求更有利于招标人的承诺。</w:t>
      </w:r>
    </w:p>
    <w:p w14:paraId="32AE4298">
      <w:pPr>
        <w:spacing w:line="400" w:lineRule="exact"/>
        <w:ind w:firstLine="420" w:firstLineChars="200"/>
        <w:rPr>
          <w:rFonts w:hint="eastAsia"/>
          <w:color w:val="auto"/>
        </w:rPr>
      </w:pPr>
      <w:r>
        <w:rPr>
          <w:rFonts w:hint="eastAsia"/>
          <w:color w:val="auto"/>
        </w:rPr>
        <w:t>3.7.2 投标文件应当对招标文件有关招标范围、投标有效期、工期、质量标准、发包人要求等实质性内容作出响应。</w:t>
      </w:r>
    </w:p>
    <w:p w14:paraId="768EF040">
      <w:pPr>
        <w:spacing w:line="400" w:lineRule="exact"/>
        <w:ind w:firstLine="420" w:firstLineChars="200"/>
        <w:rPr>
          <w:rFonts w:hint="eastAsia"/>
          <w:color w:val="auto"/>
        </w:rPr>
      </w:pPr>
      <w:r>
        <w:rPr>
          <w:rFonts w:hint="eastAsia"/>
          <w:color w:val="auto"/>
        </w:rPr>
        <w:t xml:space="preserve">3.7.3 </w:t>
      </w:r>
      <w:r>
        <w:rPr>
          <w:color w:val="auto"/>
        </w:rPr>
        <w:t>投标文件制作</w:t>
      </w:r>
    </w:p>
    <w:p w14:paraId="146126FB">
      <w:pPr>
        <w:spacing w:line="400" w:lineRule="exact"/>
        <w:ind w:firstLine="420" w:firstLineChars="200"/>
        <w:rPr>
          <w:rFonts w:hint="eastAsia"/>
          <w:color w:val="auto"/>
        </w:rPr>
      </w:pPr>
      <w:r>
        <w:rPr>
          <w:rFonts w:hint="eastAsia"/>
          <w:color w:val="auto"/>
        </w:rPr>
        <w:t>（1）</w:t>
      </w:r>
      <w:r>
        <w:rPr>
          <w:color w:val="auto"/>
        </w:rPr>
        <w:t>投标文件</w:t>
      </w:r>
      <w:r>
        <w:rPr>
          <w:rFonts w:hint="eastAsia"/>
          <w:color w:val="auto"/>
        </w:rPr>
        <w:t>由</w:t>
      </w:r>
      <w:r>
        <w:rPr>
          <w:color w:val="auto"/>
        </w:rPr>
        <w:t>投标人</w:t>
      </w:r>
      <w:r>
        <w:rPr>
          <w:rFonts w:hint="eastAsia"/>
          <w:color w:val="auto"/>
        </w:rPr>
        <w:t>使用“</w:t>
      </w:r>
      <w:r>
        <w:rPr>
          <w:color w:val="auto"/>
        </w:rPr>
        <w:t>电子</w:t>
      </w:r>
      <w:r>
        <w:rPr>
          <w:rFonts w:hint="eastAsia"/>
          <w:color w:val="auto"/>
        </w:rPr>
        <w:t>交易</w:t>
      </w:r>
      <w:r>
        <w:rPr>
          <w:color w:val="auto"/>
        </w:rPr>
        <w:t>平台”提供</w:t>
      </w:r>
      <w:r>
        <w:rPr>
          <w:rFonts w:hint="eastAsia"/>
          <w:color w:val="auto"/>
        </w:rPr>
        <w:t>的“电子</w:t>
      </w:r>
      <w:r>
        <w:rPr>
          <w:color w:val="auto"/>
        </w:rPr>
        <w:t>投标文件制作软件”制作生成。</w:t>
      </w:r>
    </w:p>
    <w:p w14:paraId="2E11AE2A">
      <w:pPr>
        <w:spacing w:line="400" w:lineRule="exact"/>
        <w:ind w:firstLine="420" w:firstLineChars="200"/>
        <w:rPr>
          <w:rFonts w:hint="eastAsia"/>
          <w:color w:val="auto"/>
        </w:rPr>
      </w:pPr>
      <w:r>
        <w:rPr>
          <w:rFonts w:hint="eastAsia"/>
          <w:color w:val="auto"/>
        </w:rPr>
        <w:t>（2）</w:t>
      </w:r>
      <w:r>
        <w:rPr>
          <w:color w:val="auto"/>
        </w:rPr>
        <w:t>投标人在编制投标文件时应当建立分级目录，并按照标签提示导入相关内容。</w:t>
      </w:r>
    </w:p>
    <w:p w14:paraId="3910B560">
      <w:pPr>
        <w:spacing w:line="400" w:lineRule="exact"/>
        <w:ind w:firstLine="420" w:firstLineChars="200"/>
        <w:rPr>
          <w:rFonts w:hint="eastAsia"/>
          <w:color w:val="auto"/>
        </w:rPr>
      </w:pPr>
      <w:r>
        <w:rPr>
          <w:rFonts w:hint="eastAsia"/>
          <w:color w:val="auto"/>
        </w:rPr>
        <w:t>（3）</w:t>
      </w:r>
      <w:r>
        <w:rPr>
          <w:color w:val="auto"/>
        </w:rPr>
        <w:t>投标文件中的证明</w:t>
      </w:r>
      <w:r>
        <w:rPr>
          <w:rFonts w:hint="eastAsia"/>
          <w:color w:val="auto"/>
        </w:rPr>
        <w:t>材料均为相关</w:t>
      </w:r>
      <w:r>
        <w:rPr>
          <w:color w:val="auto"/>
        </w:rPr>
        <w:t>原件的</w:t>
      </w:r>
      <w:r>
        <w:rPr>
          <w:rFonts w:hint="eastAsia"/>
          <w:color w:val="auto"/>
        </w:rPr>
        <w:t>“</w:t>
      </w:r>
      <w:r>
        <w:rPr>
          <w:color w:val="auto"/>
        </w:rPr>
        <w:t>扫描件</w:t>
      </w:r>
      <w:r>
        <w:rPr>
          <w:rFonts w:hint="eastAsia"/>
          <w:color w:val="auto"/>
        </w:rPr>
        <w:t>”</w:t>
      </w:r>
      <w:r>
        <w:rPr>
          <w:color w:val="auto"/>
        </w:rPr>
        <w:t>，</w:t>
      </w:r>
      <w:r>
        <w:rPr>
          <w:rFonts w:hint="eastAsia"/>
          <w:color w:val="auto"/>
        </w:rPr>
        <w:t>应从“</w:t>
      </w:r>
      <w:r>
        <w:rPr>
          <w:color w:val="auto"/>
        </w:rPr>
        <w:t>电子</w:t>
      </w:r>
      <w:r>
        <w:rPr>
          <w:rFonts w:hint="eastAsia"/>
          <w:color w:val="auto"/>
        </w:rPr>
        <w:t>交易</w:t>
      </w:r>
      <w:r>
        <w:rPr>
          <w:color w:val="auto"/>
        </w:rPr>
        <w:t>平台”</w:t>
      </w:r>
      <w:r>
        <w:rPr>
          <w:rFonts w:hint="eastAsia"/>
          <w:color w:val="auto"/>
        </w:rPr>
        <w:t>交易主体诚信库中选择，交易主体诚信库中没有的“</w:t>
      </w:r>
      <w:r>
        <w:rPr>
          <w:color w:val="auto"/>
        </w:rPr>
        <w:t>扫描件</w:t>
      </w:r>
      <w:r>
        <w:rPr>
          <w:rFonts w:hint="eastAsia"/>
          <w:color w:val="auto"/>
        </w:rPr>
        <w:t>”，应以附件形式直接导入，</w:t>
      </w:r>
      <w:r>
        <w:rPr>
          <w:color w:val="auto"/>
        </w:rPr>
        <w:t>未标示</w:t>
      </w:r>
      <w:r>
        <w:rPr>
          <w:rFonts w:hint="eastAsia"/>
          <w:color w:val="auto"/>
        </w:rPr>
        <w:t>“</w:t>
      </w:r>
      <w:r>
        <w:rPr>
          <w:color w:val="auto"/>
        </w:rPr>
        <w:t>扫描件</w:t>
      </w:r>
      <w:r>
        <w:rPr>
          <w:rFonts w:hint="eastAsia"/>
          <w:color w:val="auto"/>
        </w:rPr>
        <w:t>”</w:t>
      </w:r>
      <w:r>
        <w:rPr>
          <w:color w:val="auto"/>
        </w:rPr>
        <w:t>的证明</w:t>
      </w:r>
      <w:r>
        <w:rPr>
          <w:rFonts w:hint="eastAsia"/>
          <w:color w:val="auto"/>
        </w:rPr>
        <w:t>材</w:t>
      </w:r>
      <w:r>
        <w:rPr>
          <w:color w:val="auto"/>
        </w:rPr>
        <w:t>料均应直接制作生成。</w:t>
      </w:r>
    </w:p>
    <w:p w14:paraId="77498AC5">
      <w:pPr>
        <w:spacing w:line="400" w:lineRule="exact"/>
        <w:ind w:firstLine="420" w:firstLineChars="200"/>
        <w:rPr>
          <w:rFonts w:hint="eastAsia"/>
          <w:color w:val="auto"/>
        </w:rPr>
      </w:pPr>
      <w:r>
        <w:rPr>
          <w:rFonts w:hint="eastAsia"/>
          <w:color w:val="auto"/>
        </w:rPr>
        <w:t>（4）第七章投标文件格式文件要求“盖单位章”的地方，投标人应使用</w:t>
      </w:r>
      <w:r>
        <w:rPr>
          <w:color w:val="auto"/>
        </w:rPr>
        <w:t xml:space="preserve">CA </w:t>
      </w:r>
      <w:r>
        <w:rPr>
          <w:rFonts w:hint="eastAsia"/>
          <w:color w:val="auto"/>
        </w:rPr>
        <w:t>数字证书加盖投标人的单位电子印章；要求“签字”的地方，投标人应使用</w:t>
      </w:r>
      <w:r>
        <w:rPr>
          <w:color w:val="auto"/>
        </w:rPr>
        <w:t xml:space="preserve">CA </w:t>
      </w:r>
      <w:r>
        <w:rPr>
          <w:rFonts w:hint="eastAsia"/>
          <w:color w:val="auto"/>
        </w:rPr>
        <w:t>数字证书加盖法定代表人的个人电子印章或电子签名章。</w:t>
      </w:r>
      <w:r>
        <w:rPr>
          <w:rFonts w:hint="eastAsia" w:ascii="宋体" w:hAnsi="宋体"/>
          <w:color w:val="auto"/>
        </w:rPr>
        <w:t>联合体投标的，投标文件由联合体牵头人按上述规定在要求</w:t>
      </w:r>
      <w:r>
        <w:rPr>
          <w:rFonts w:hint="eastAsia"/>
          <w:color w:val="auto"/>
        </w:rPr>
        <w:t>“盖单位章”的地方</w:t>
      </w:r>
      <w:r>
        <w:rPr>
          <w:rFonts w:hint="eastAsia" w:ascii="宋体" w:hAnsi="宋体"/>
          <w:color w:val="auto"/>
        </w:rPr>
        <w:t>加盖联合体牵头人单位电子印章；在</w:t>
      </w:r>
      <w:r>
        <w:rPr>
          <w:rFonts w:hint="eastAsia"/>
          <w:color w:val="auto"/>
        </w:rPr>
        <w:t>要求“签字”的地方加盖</w:t>
      </w:r>
      <w:r>
        <w:rPr>
          <w:rFonts w:hint="eastAsia" w:ascii="宋体" w:hAnsi="宋体"/>
          <w:color w:val="auto"/>
        </w:rPr>
        <w:t>联合体牵头人法定代表人的个人电子印章或电子签名章。</w:t>
      </w:r>
      <w:r>
        <w:rPr>
          <w:rFonts w:hint="eastAsia"/>
          <w:color w:val="auto"/>
        </w:rPr>
        <w:t>招标文件有特别说明的除外。</w:t>
      </w:r>
    </w:p>
    <w:p w14:paraId="720E49BF">
      <w:pPr>
        <w:spacing w:line="400" w:lineRule="exact"/>
        <w:ind w:firstLine="420" w:firstLineChars="200"/>
        <w:rPr>
          <w:rFonts w:hint="eastAsia"/>
          <w:color w:val="auto"/>
        </w:rPr>
      </w:pPr>
      <w:r>
        <w:rPr>
          <w:rFonts w:hint="eastAsia"/>
          <w:color w:val="auto"/>
        </w:rPr>
        <w:t>（5）</w:t>
      </w:r>
      <w:r>
        <w:rPr>
          <w:color w:val="auto"/>
        </w:rPr>
        <w:t>投标文件</w:t>
      </w:r>
      <w:r>
        <w:rPr>
          <w:rFonts w:hint="eastAsia"/>
          <w:color w:val="auto"/>
        </w:rPr>
        <w:t>制作完成后</w:t>
      </w:r>
      <w:r>
        <w:rPr>
          <w:color w:val="auto"/>
        </w:rPr>
        <w:t>，</w:t>
      </w:r>
      <w:r>
        <w:rPr>
          <w:rFonts w:hint="eastAsia"/>
          <w:color w:val="auto"/>
        </w:rPr>
        <w:t>将生成一份加密的电子投标文件（后缀名为.HBSTF）和一份不加密的电子投标文件（后缀名为.NHBSTF）。</w:t>
      </w:r>
    </w:p>
    <w:p w14:paraId="1AD5E51A">
      <w:pPr>
        <w:spacing w:line="400" w:lineRule="exact"/>
        <w:ind w:firstLine="420" w:firstLineChars="200"/>
        <w:rPr>
          <w:rFonts w:hint="eastAsia"/>
          <w:color w:val="auto"/>
        </w:rPr>
      </w:pPr>
      <w:r>
        <w:rPr>
          <w:rFonts w:hint="eastAsia"/>
          <w:color w:val="auto"/>
        </w:rPr>
        <w:t>（6）</w:t>
      </w:r>
      <w:r>
        <w:rPr>
          <w:color w:val="auto"/>
        </w:rPr>
        <w:t>投标文件制作</w:t>
      </w:r>
      <w:r>
        <w:rPr>
          <w:rFonts w:hint="eastAsia"/>
          <w:color w:val="auto"/>
        </w:rPr>
        <w:t>的具体方法详见“电子投标文件制作软件”中的帮助文档。</w:t>
      </w:r>
    </w:p>
    <w:p w14:paraId="41899E7F">
      <w:pPr>
        <w:pStyle w:val="3"/>
        <w:spacing w:before="62"/>
        <w:rPr>
          <w:color w:val="auto"/>
          <w:sz w:val="28"/>
          <w:szCs w:val="28"/>
        </w:rPr>
      </w:pPr>
      <w:bookmarkStart w:id="403" w:name="_Toc29194"/>
      <w:bookmarkStart w:id="404" w:name="_Toc519085298"/>
      <w:bookmarkStart w:id="405" w:name="_Toc144974523"/>
      <w:bookmarkStart w:id="406" w:name="_Toc152045555"/>
      <w:bookmarkStart w:id="407" w:name="_Toc247527580"/>
      <w:bookmarkStart w:id="408" w:name="_Toc247513979"/>
      <w:bookmarkStart w:id="409" w:name="_Toc20803"/>
      <w:bookmarkStart w:id="410" w:name="_Toc152042331"/>
      <w:bookmarkStart w:id="411" w:name="_Toc22252"/>
      <w:bookmarkStart w:id="412" w:name="_Toc154063405"/>
      <w:r>
        <w:rPr>
          <w:color w:val="auto"/>
          <w:sz w:val="28"/>
          <w:szCs w:val="28"/>
        </w:rPr>
        <w:t>4. 投标</w:t>
      </w:r>
      <w:bookmarkEnd w:id="403"/>
      <w:bookmarkEnd w:id="404"/>
      <w:bookmarkEnd w:id="405"/>
      <w:bookmarkEnd w:id="406"/>
      <w:bookmarkEnd w:id="407"/>
      <w:bookmarkEnd w:id="408"/>
      <w:bookmarkEnd w:id="409"/>
      <w:bookmarkEnd w:id="410"/>
      <w:bookmarkEnd w:id="411"/>
      <w:bookmarkEnd w:id="412"/>
    </w:p>
    <w:p w14:paraId="7B8A5399">
      <w:pPr>
        <w:pStyle w:val="113"/>
        <w:outlineLvl w:val="0"/>
        <w:rPr>
          <w:rFonts w:hint="eastAsia" w:ascii="黑体" w:hAnsi="黑体"/>
          <w:color w:val="auto"/>
        </w:rPr>
      </w:pPr>
      <w:bookmarkStart w:id="413" w:name="_Toc152045556"/>
      <w:bookmarkStart w:id="414" w:name="_Toc152042332"/>
      <w:bookmarkStart w:id="415" w:name="_Toc144974524"/>
      <w:bookmarkStart w:id="416" w:name="_Toc179632574"/>
      <w:bookmarkStart w:id="417" w:name="_Toc13684"/>
      <w:bookmarkStart w:id="418" w:name="_Toc6376"/>
      <w:bookmarkStart w:id="419" w:name="_Toc9503"/>
      <w:bookmarkStart w:id="420" w:name="_Toc519085299"/>
      <w:bookmarkStart w:id="421" w:name="_Toc515570322"/>
      <w:bookmarkStart w:id="422" w:name="_Toc154063406"/>
      <w:r>
        <w:rPr>
          <w:rFonts w:hint="eastAsia" w:ascii="黑体" w:hAnsi="黑体"/>
          <w:color w:val="auto"/>
        </w:rPr>
        <w:t>4.1 投标文件的</w:t>
      </w:r>
      <w:bookmarkEnd w:id="413"/>
      <w:bookmarkEnd w:id="414"/>
      <w:bookmarkEnd w:id="415"/>
      <w:bookmarkEnd w:id="416"/>
      <w:r>
        <w:rPr>
          <w:rFonts w:hint="eastAsia" w:ascii="黑体" w:hAnsi="黑体"/>
          <w:color w:val="auto"/>
        </w:rPr>
        <w:t>加密</w:t>
      </w:r>
      <w:bookmarkEnd w:id="417"/>
      <w:bookmarkEnd w:id="418"/>
      <w:bookmarkEnd w:id="419"/>
      <w:bookmarkEnd w:id="420"/>
      <w:bookmarkEnd w:id="421"/>
      <w:bookmarkEnd w:id="422"/>
    </w:p>
    <w:p w14:paraId="4E321318">
      <w:pPr>
        <w:spacing w:line="400" w:lineRule="exact"/>
        <w:ind w:firstLine="420" w:firstLineChars="200"/>
        <w:rPr>
          <w:color w:val="auto"/>
        </w:rPr>
      </w:pPr>
      <w:r>
        <w:rPr>
          <w:rFonts w:hint="eastAsia"/>
          <w:color w:val="auto"/>
        </w:rPr>
        <w:t>投标人应当按照</w:t>
      </w:r>
      <w:r>
        <w:rPr>
          <w:color w:val="auto"/>
        </w:rPr>
        <w:t>本章第3.</w:t>
      </w:r>
      <w:r>
        <w:rPr>
          <w:rFonts w:hint="eastAsia"/>
          <w:color w:val="auto"/>
        </w:rPr>
        <w:t>7.3</w:t>
      </w:r>
      <w:r>
        <w:rPr>
          <w:color w:val="auto"/>
        </w:rPr>
        <w:t>项要求制作</w:t>
      </w:r>
      <w:r>
        <w:rPr>
          <w:rFonts w:hint="eastAsia"/>
          <w:color w:val="auto"/>
        </w:rPr>
        <w:t>投标文件，并在投标时上传</w:t>
      </w:r>
      <w:r>
        <w:rPr>
          <w:rFonts w:hint="eastAsia"/>
          <w:b/>
          <w:color w:val="auto"/>
        </w:rPr>
        <w:t>加密的电子投标文件</w:t>
      </w:r>
      <w:r>
        <w:rPr>
          <w:rFonts w:hint="eastAsia"/>
          <w:color w:val="auto"/>
        </w:rPr>
        <w:t>，未</w:t>
      </w:r>
      <w:r>
        <w:rPr>
          <w:color w:val="auto"/>
        </w:rPr>
        <w:t>加密的</w:t>
      </w:r>
      <w:r>
        <w:rPr>
          <w:rFonts w:hint="eastAsia"/>
          <w:color w:val="auto"/>
        </w:rPr>
        <w:t>电子</w:t>
      </w:r>
      <w:r>
        <w:rPr>
          <w:color w:val="auto"/>
        </w:rPr>
        <w:t>投标文件，</w:t>
      </w:r>
      <w:r>
        <w:rPr>
          <w:rFonts w:hint="eastAsia"/>
          <w:color w:val="auto"/>
        </w:rPr>
        <w:t>招标人（“</w:t>
      </w:r>
      <w:r>
        <w:rPr>
          <w:color w:val="auto"/>
        </w:rPr>
        <w:t>电子</w:t>
      </w:r>
      <w:r>
        <w:rPr>
          <w:rFonts w:hint="eastAsia"/>
          <w:color w:val="auto"/>
        </w:rPr>
        <w:t>交易平台”）将拒收并提示。</w:t>
      </w:r>
    </w:p>
    <w:p w14:paraId="310C362E">
      <w:pPr>
        <w:pStyle w:val="113"/>
        <w:outlineLvl w:val="0"/>
        <w:rPr>
          <w:rFonts w:hint="eastAsia" w:ascii="黑体" w:hAnsi="黑体"/>
          <w:color w:val="auto"/>
        </w:rPr>
      </w:pPr>
      <w:bookmarkStart w:id="423" w:name="_Toc179632575"/>
      <w:bookmarkStart w:id="424" w:name="_Toc26019"/>
      <w:bookmarkStart w:id="425" w:name="_Toc22362"/>
      <w:bookmarkStart w:id="426" w:name="_Toc12342"/>
      <w:bookmarkStart w:id="427" w:name="_Toc519085300"/>
      <w:bookmarkStart w:id="428" w:name="_Toc154063407"/>
      <w:bookmarkStart w:id="429" w:name="_Toc515570323"/>
      <w:r>
        <w:rPr>
          <w:rFonts w:hint="eastAsia" w:ascii="黑体" w:hAnsi="黑体"/>
          <w:color w:val="auto"/>
        </w:rPr>
        <w:t>4.2 投标文件的递交</w:t>
      </w:r>
      <w:bookmarkEnd w:id="423"/>
      <w:bookmarkEnd w:id="424"/>
      <w:bookmarkEnd w:id="425"/>
      <w:bookmarkEnd w:id="426"/>
      <w:bookmarkEnd w:id="427"/>
      <w:bookmarkEnd w:id="428"/>
      <w:bookmarkEnd w:id="429"/>
    </w:p>
    <w:p w14:paraId="29D25C65">
      <w:pPr>
        <w:spacing w:line="400" w:lineRule="exact"/>
        <w:ind w:firstLine="420" w:firstLineChars="200"/>
        <w:rPr>
          <w:rFonts w:hint="eastAsia"/>
          <w:color w:val="auto"/>
        </w:rPr>
      </w:pPr>
      <w:r>
        <w:rPr>
          <w:rFonts w:hint="eastAsia"/>
          <w:color w:val="auto"/>
        </w:rPr>
        <w:t>4.2.1 投标人递交投标文件的截止时间（投标截止时间）：见投标人须知前附表。</w:t>
      </w:r>
    </w:p>
    <w:p w14:paraId="59818DA6">
      <w:pPr>
        <w:spacing w:line="400" w:lineRule="exact"/>
        <w:ind w:firstLine="420" w:firstLineChars="200"/>
        <w:rPr>
          <w:rFonts w:hint="eastAsia"/>
          <w:color w:val="auto"/>
        </w:rPr>
      </w:pPr>
      <w:r>
        <w:rPr>
          <w:color w:val="auto"/>
        </w:rPr>
        <w:t>4.</w:t>
      </w:r>
      <w:r>
        <w:rPr>
          <w:rFonts w:hint="eastAsia"/>
          <w:color w:val="auto"/>
        </w:rPr>
        <w:t>2</w:t>
      </w:r>
      <w:r>
        <w:rPr>
          <w:color w:val="auto"/>
        </w:rPr>
        <w:t>.</w:t>
      </w:r>
      <w:r>
        <w:rPr>
          <w:rFonts w:hint="eastAsia"/>
          <w:color w:val="auto"/>
        </w:rPr>
        <w:t>2 投标人应当在投标截止时间前，</w:t>
      </w:r>
      <w:r>
        <w:rPr>
          <w:color w:val="auto"/>
        </w:rPr>
        <w:t>通过</w:t>
      </w:r>
      <w:r>
        <w:rPr>
          <w:rFonts w:hint="eastAsia"/>
          <w:color w:val="auto"/>
        </w:rPr>
        <w:t>互联网</w:t>
      </w:r>
      <w:r>
        <w:rPr>
          <w:color w:val="auto"/>
        </w:rPr>
        <w:t>使用</w:t>
      </w:r>
      <w:r>
        <w:rPr>
          <w:rFonts w:hint="eastAsia"/>
          <w:color w:val="auto"/>
        </w:rPr>
        <w:t>CA数字证书登录“电子交易平台”，选择所投标段将</w:t>
      </w:r>
      <w:r>
        <w:rPr>
          <w:rFonts w:hint="eastAsia"/>
          <w:b/>
          <w:color w:val="auto"/>
        </w:rPr>
        <w:t>加密的电子投标文件</w:t>
      </w:r>
      <w:r>
        <w:rPr>
          <w:rFonts w:hint="eastAsia"/>
          <w:color w:val="auto"/>
        </w:rPr>
        <w:t>上传。投标人完成投标文件上传后，“</w:t>
      </w:r>
      <w:r>
        <w:rPr>
          <w:color w:val="auto"/>
        </w:rPr>
        <w:t>电子</w:t>
      </w:r>
      <w:r>
        <w:rPr>
          <w:rFonts w:hint="eastAsia"/>
          <w:color w:val="auto"/>
        </w:rPr>
        <w:t>交易平台”即时向投标人发出</w:t>
      </w:r>
      <w:r>
        <w:rPr>
          <w:color w:val="auto"/>
        </w:rPr>
        <w:t>电子签收凭证</w:t>
      </w:r>
      <w:r>
        <w:rPr>
          <w:rFonts w:hint="eastAsia"/>
          <w:color w:val="auto"/>
        </w:rPr>
        <w:t>，递交时间以</w:t>
      </w:r>
      <w:r>
        <w:rPr>
          <w:color w:val="auto"/>
        </w:rPr>
        <w:t>电子签收凭证</w:t>
      </w:r>
      <w:r>
        <w:rPr>
          <w:rFonts w:hint="eastAsia"/>
          <w:color w:val="auto"/>
        </w:rPr>
        <w:t>载明的传输完成时间为准。投标人应充分考虑上传文件时的不可预见因素，投标文件</w:t>
      </w:r>
      <w:r>
        <w:rPr>
          <w:color w:val="auto"/>
        </w:rPr>
        <w:t>未在投标截止时间前完成上传</w:t>
      </w:r>
      <w:r>
        <w:rPr>
          <w:rFonts w:hint="eastAsia"/>
          <w:color w:val="auto"/>
        </w:rPr>
        <w:t>的，</w:t>
      </w:r>
      <w:r>
        <w:rPr>
          <w:color w:val="auto"/>
        </w:rPr>
        <w:t>视为逾期送达</w:t>
      </w:r>
      <w:r>
        <w:rPr>
          <w:rFonts w:hint="eastAsia"/>
          <w:color w:val="auto"/>
        </w:rPr>
        <w:t>，招标人（“</w:t>
      </w:r>
      <w:r>
        <w:rPr>
          <w:color w:val="auto"/>
        </w:rPr>
        <w:t>电子</w:t>
      </w:r>
      <w:r>
        <w:rPr>
          <w:rFonts w:hint="eastAsia"/>
          <w:color w:val="auto"/>
        </w:rPr>
        <w:t>交易平台”）</w:t>
      </w:r>
      <w:r>
        <w:rPr>
          <w:color w:val="auto"/>
        </w:rPr>
        <w:t>将拒收。</w:t>
      </w:r>
    </w:p>
    <w:p w14:paraId="5DDC431B">
      <w:pPr>
        <w:spacing w:line="400" w:lineRule="exact"/>
        <w:ind w:firstLine="420" w:firstLineChars="200"/>
        <w:rPr>
          <w:rFonts w:hint="eastAsia"/>
          <w:color w:val="auto"/>
        </w:rPr>
      </w:pPr>
      <w:r>
        <w:rPr>
          <w:rFonts w:hint="eastAsia"/>
          <w:color w:val="auto"/>
        </w:rPr>
        <w:t>4.2.3 除投标人须知前附表另有规定外，投标人所递交的投标文件不予退还。</w:t>
      </w:r>
    </w:p>
    <w:p w14:paraId="459FA88B">
      <w:pPr>
        <w:pStyle w:val="113"/>
        <w:outlineLvl w:val="0"/>
        <w:rPr>
          <w:rFonts w:hint="eastAsia" w:ascii="黑体" w:hAnsi="黑体"/>
          <w:color w:val="auto"/>
        </w:rPr>
      </w:pPr>
      <w:bookmarkStart w:id="430" w:name="_Toc154063408"/>
      <w:bookmarkStart w:id="431" w:name="_Toc17181"/>
      <w:bookmarkStart w:id="432" w:name="_Toc179632576"/>
      <w:bookmarkStart w:id="433" w:name="_Toc18628"/>
      <w:bookmarkStart w:id="434" w:name="_Toc519085301"/>
      <w:bookmarkStart w:id="435" w:name="_Toc24130"/>
      <w:bookmarkStart w:id="436" w:name="_Toc515570324"/>
      <w:r>
        <w:rPr>
          <w:rFonts w:hint="eastAsia" w:ascii="黑体" w:hAnsi="黑体"/>
          <w:color w:val="auto"/>
        </w:rPr>
        <w:t>4.3 投标文件的修改与撤回</w:t>
      </w:r>
      <w:bookmarkEnd w:id="430"/>
      <w:bookmarkEnd w:id="431"/>
      <w:bookmarkEnd w:id="432"/>
      <w:bookmarkEnd w:id="433"/>
      <w:bookmarkEnd w:id="434"/>
      <w:bookmarkEnd w:id="435"/>
      <w:bookmarkEnd w:id="436"/>
    </w:p>
    <w:p w14:paraId="3C6A7B5A">
      <w:pPr>
        <w:spacing w:line="400" w:lineRule="exact"/>
        <w:ind w:firstLine="420" w:firstLineChars="200"/>
        <w:rPr>
          <w:rFonts w:hint="eastAsia"/>
          <w:color w:val="auto"/>
        </w:rPr>
      </w:pPr>
      <w:r>
        <w:rPr>
          <w:color w:val="auto"/>
        </w:rPr>
        <w:t>4.3.1</w:t>
      </w:r>
      <w:r>
        <w:rPr>
          <w:rFonts w:hint="eastAsia"/>
          <w:color w:val="auto"/>
        </w:rPr>
        <w:t xml:space="preserve"> 在本章第4.2.1项规定的投标截止时间前，投标人可以修改或撤回已递交的投标文件。</w:t>
      </w:r>
    </w:p>
    <w:p w14:paraId="2B23C151">
      <w:pPr>
        <w:spacing w:line="400" w:lineRule="exact"/>
        <w:ind w:firstLine="420" w:firstLineChars="200"/>
        <w:rPr>
          <w:color w:val="auto"/>
        </w:rPr>
      </w:pPr>
      <w:r>
        <w:rPr>
          <w:rFonts w:hint="eastAsia"/>
          <w:color w:val="auto"/>
        </w:rPr>
        <w:t>4.3.2 投标人撤回投标文件的，在“电子交易平台”直接进行撤回操作</w:t>
      </w:r>
      <w:r>
        <w:rPr>
          <w:color w:val="auto"/>
        </w:rPr>
        <w:t>。</w:t>
      </w:r>
    </w:p>
    <w:p w14:paraId="3224B6A7">
      <w:pPr>
        <w:spacing w:line="400" w:lineRule="exact"/>
        <w:ind w:firstLine="420" w:firstLineChars="200"/>
        <w:rPr>
          <w:rFonts w:hint="eastAsia"/>
          <w:color w:val="auto"/>
        </w:rPr>
      </w:pPr>
      <w:r>
        <w:rPr>
          <w:rFonts w:hint="eastAsia"/>
          <w:color w:val="auto"/>
        </w:rPr>
        <w:t>4.3.3 投标人修改投标文件的，</w:t>
      </w:r>
      <w:r>
        <w:rPr>
          <w:color w:val="auto"/>
        </w:rPr>
        <w:t>应当</w:t>
      </w:r>
      <w:r>
        <w:rPr>
          <w:rFonts w:hint="eastAsia"/>
          <w:color w:val="auto"/>
        </w:rPr>
        <w:t>先按本章第</w:t>
      </w:r>
      <w:r>
        <w:rPr>
          <w:color w:val="auto"/>
        </w:rPr>
        <w:t>4.3.2</w:t>
      </w:r>
      <w:r>
        <w:rPr>
          <w:rFonts w:hint="eastAsia"/>
          <w:color w:val="auto"/>
        </w:rPr>
        <w:t>项的规定撤回投标文件，再</w:t>
      </w:r>
      <w:r>
        <w:rPr>
          <w:color w:val="auto"/>
        </w:rPr>
        <w:t>使用</w:t>
      </w:r>
      <w:r>
        <w:rPr>
          <w:rFonts w:hint="eastAsia"/>
          <w:color w:val="auto"/>
        </w:rPr>
        <w:t>“电子</w:t>
      </w:r>
      <w:r>
        <w:rPr>
          <w:color w:val="auto"/>
        </w:rPr>
        <w:t>投标文件制作软件”制作成完整的投标文件</w:t>
      </w:r>
      <w:r>
        <w:rPr>
          <w:rFonts w:hint="eastAsia"/>
          <w:color w:val="auto"/>
        </w:rPr>
        <w:t>，并按照本章第3条、第4条规定进行编制和递交。</w:t>
      </w:r>
    </w:p>
    <w:p w14:paraId="7DE0FF61">
      <w:pPr>
        <w:pStyle w:val="3"/>
        <w:spacing w:before="62"/>
        <w:rPr>
          <w:color w:val="auto"/>
          <w:sz w:val="28"/>
          <w:szCs w:val="28"/>
        </w:rPr>
      </w:pPr>
      <w:bookmarkStart w:id="437" w:name="_Toc247527584"/>
      <w:bookmarkStart w:id="438" w:name="_Toc144974527"/>
      <w:bookmarkStart w:id="439" w:name="_Toc14991"/>
      <w:bookmarkStart w:id="440" w:name="_Toc154063409"/>
      <w:bookmarkStart w:id="441" w:name="_Toc152045559"/>
      <w:bookmarkStart w:id="442" w:name="_Toc122"/>
      <w:bookmarkStart w:id="443" w:name="_Toc152042335"/>
      <w:bookmarkStart w:id="444" w:name="_Toc519085302"/>
      <w:bookmarkStart w:id="445" w:name="_Toc19026"/>
      <w:bookmarkStart w:id="446" w:name="_Toc247513983"/>
      <w:r>
        <w:rPr>
          <w:color w:val="auto"/>
          <w:sz w:val="28"/>
          <w:szCs w:val="28"/>
        </w:rPr>
        <w:t>5. 开标</w:t>
      </w:r>
      <w:bookmarkEnd w:id="437"/>
      <w:bookmarkEnd w:id="438"/>
      <w:bookmarkEnd w:id="439"/>
      <w:bookmarkEnd w:id="440"/>
      <w:bookmarkEnd w:id="441"/>
      <w:bookmarkEnd w:id="442"/>
      <w:bookmarkEnd w:id="443"/>
      <w:bookmarkEnd w:id="444"/>
      <w:bookmarkEnd w:id="445"/>
      <w:bookmarkEnd w:id="446"/>
    </w:p>
    <w:p w14:paraId="4DEEEB51">
      <w:pPr>
        <w:pStyle w:val="113"/>
        <w:outlineLvl w:val="0"/>
        <w:rPr>
          <w:rFonts w:hint="eastAsia" w:ascii="黑体" w:hAnsi="黑体"/>
          <w:color w:val="auto"/>
        </w:rPr>
      </w:pPr>
      <w:bookmarkStart w:id="447" w:name="_Toc144974528"/>
      <w:bookmarkStart w:id="448" w:name="_Toc16108"/>
      <w:bookmarkStart w:id="449" w:name="_Toc152042336"/>
      <w:bookmarkStart w:id="450" w:name="_Toc179632578"/>
      <w:bookmarkStart w:id="451" w:name="_Toc154063410"/>
      <w:bookmarkStart w:id="452" w:name="_Toc519085303"/>
      <w:bookmarkStart w:id="453" w:name="_Toc8098"/>
      <w:bookmarkStart w:id="454" w:name="_Toc28187"/>
      <w:bookmarkStart w:id="455" w:name="_Toc152045560"/>
      <w:bookmarkStart w:id="456" w:name="_Toc515570326"/>
      <w:r>
        <w:rPr>
          <w:rFonts w:hint="eastAsia" w:ascii="黑体" w:hAnsi="黑体"/>
          <w:color w:val="auto"/>
        </w:rPr>
        <w:t>5.1 开标时间和地点</w:t>
      </w:r>
      <w:bookmarkEnd w:id="447"/>
      <w:bookmarkEnd w:id="448"/>
      <w:bookmarkEnd w:id="449"/>
      <w:bookmarkEnd w:id="450"/>
      <w:bookmarkEnd w:id="451"/>
      <w:bookmarkEnd w:id="452"/>
      <w:bookmarkEnd w:id="453"/>
      <w:bookmarkEnd w:id="454"/>
      <w:bookmarkEnd w:id="455"/>
      <w:bookmarkEnd w:id="456"/>
    </w:p>
    <w:p w14:paraId="2FC82F2F">
      <w:pPr>
        <w:spacing w:line="400" w:lineRule="exact"/>
        <w:ind w:firstLine="420" w:firstLineChars="200"/>
        <w:rPr>
          <w:rFonts w:hint="eastAsia"/>
          <w:color w:val="auto"/>
        </w:rPr>
      </w:pPr>
      <w:r>
        <w:rPr>
          <w:rFonts w:hint="eastAsia"/>
          <w:color w:val="auto"/>
        </w:rPr>
        <w:t>5.1.1 招标人在本章第4.2.1项规定的投标截止时间（开标时间）在“电子交易平台”上公开进行开标，所有投标人均</w:t>
      </w:r>
      <w:r>
        <w:rPr>
          <w:rFonts w:hint="eastAsia"/>
          <w:b/>
          <w:color w:val="auto"/>
        </w:rPr>
        <w:t>应当准时在线参加开标</w:t>
      </w:r>
      <w:r>
        <w:rPr>
          <w:rFonts w:hint="eastAsia"/>
          <w:color w:val="auto"/>
        </w:rPr>
        <w:t>。</w:t>
      </w:r>
    </w:p>
    <w:p w14:paraId="7A193BD7">
      <w:pPr>
        <w:spacing w:line="400" w:lineRule="exact"/>
        <w:ind w:firstLine="420" w:firstLineChars="200"/>
        <w:rPr>
          <w:rFonts w:hint="eastAsia"/>
          <w:color w:val="auto"/>
        </w:rPr>
      </w:pPr>
      <w:r>
        <w:rPr>
          <w:rFonts w:hint="eastAsia"/>
          <w:color w:val="auto"/>
        </w:rPr>
        <w:t>5.1.2招标人通过互联网在投标人须知前附表规定的地点组织开标，并在投标截止时间30分钟前，</w:t>
      </w:r>
      <w:r>
        <w:rPr>
          <w:color w:val="auto"/>
        </w:rPr>
        <w:t>使用</w:t>
      </w:r>
      <w:r>
        <w:rPr>
          <w:rFonts w:hint="eastAsia"/>
          <w:color w:val="auto"/>
        </w:rPr>
        <w:t>CA数字证书登录“电子交易平台”，进入“开标大厅”选择相应标段作在线开标的准备工作。</w:t>
      </w:r>
    </w:p>
    <w:p w14:paraId="1EE7801E">
      <w:pPr>
        <w:spacing w:line="400" w:lineRule="exact"/>
        <w:ind w:firstLine="420" w:firstLineChars="200"/>
        <w:rPr>
          <w:rFonts w:hint="eastAsia"/>
          <w:color w:val="auto"/>
        </w:rPr>
      </w:pPr>
      <w:r>
        <w:rPr>
          <w:rFonts w:hint="eastAsia"/>
          <w:color w:val="auto"/>
        </w:rPr>
        <w:t>5.1.3 投标人应当在能够保证设施设备可靠、互联网畅通的</w:t>
      </w:r>
      <w:r>
        <w:rPr>
          <w:rFonts w:hint="eastAsia"/>
          <w:b/>
          <w:color w:val="auto"/>
        </w:rPr>
        <w:t>任意地点</w:t>
      </w:r>
      <w:r>
        <w:rPr>
          <w:rFonts w:hint="eastAsia"/>
          <w:color w:val="auto"/>
        </w:rPr>
        <w:t>，通过互联网在线参加开标。在投标截止时间前，</w:t>
      </w:r>
      <w:r>
        <w:rPr>
          <w:b/>
          <w:color w:val="auto"/>
        </w:rPr>
        <w:t>使用</w:t>
      </w:r>
      <w:r>
        <w:rPr>
          <w:rFonts w:hint="eastAsia"/>
          <w:b/>
          <w:color w:val="auto"/>
        </w:rPr>
        <w:t>加密其投标文件的CA数字证书</w:t>
      </w:r>
      <w:r>
        <w:rPr>
          <w:rFonts w:hint="eastAsia"/>
          <w:color w:val="auto"/>
        </w:rPr>
        <w:t>登录“电子交易平台”，进入“开标大厅”选择所投标段进行签到，并实时在线关注招标人的操作情况。</w:t>
      </w:r>
    </w:p>
    <w:p w14:paraId="01C0D66F">
      <w:pPr>
        <w:pStyle w:val="113"/>
        <w:outlineLvl w:val="0"/>
        <w:rPr>
          <w:rFonts w:hint="eastAsia" w:ascii="黑体" w:hAnsi="黑体"/>
          <w:color w:val="auto"/>
        </w:rPr>
      </w:pPr>
      <w:bookmarkStart w:id="457" w:name="_Toc519085304"/>
      <w:bookmarkStart w:id="458" w:name="_Toc515570327"/>
      <w:bookmarkStart w:id="459" w:name="_Toc30341"/>
      <w:bookmarkStart w:id="460" w:name="_Toc179632579"/>
      <w:bookmarkStart w:id="461" w:name="_Toc154063411"/>
      <w:bookmarkStart w:id="462" w:name="_Toc26959"/>
      <w:bookmarkStart w:id="463" w:name="_Toc7893"/>
      <w:r>
        <w:rPr>
          <w:rFonts w:hint="eastAsia" w:ascii="黑体" w:hAnsi="黑体"/>
          <w:color w:val="auto"/>
        </w:rPr>
        <w:t>5.2 开标程序</w:t>
      </w:r>
      <w:bookmarkEnd w:id="457"/>
      <w:bookmarkEnd w:id="458"/>
      <w:bookmarkEnd w:id="459"/>
      <w:bookmarkEnd w:id="460"/>
      <w:bookmarkEnd w:id="461"/>
      <w:bookmarkEnd w:id="462"/>
      <w:bookmarkEnd w:id="463"/>
    </w:p>
    <w:p w14:paraId="6A51B204">
      <w:pPr>
        <w:spacing w:line="400" w:lineRule="exact"/>
        <w:ind w:firstLine="420" w:firstLineChars="200"/>
        <w:rPr>
          <w:rFonts w:hint="eastAsia"/>
          <w:color w:val="auto"/>
        </w:rPr>
      </w:pPr>
      <w:r>
        <w:rPr>
          <w:rFonts w:hint="eastAsia"/>
          <w:color w:val="auto"/>
        </w:rPr>
        <w:t>5.2.1 主持人按下列程序在“电子交易平台”的“开标大厅”进行在线开标：</w:t>
      </w:r>
    </w:p>
    <w:p w14:paraId="0F3BA3F6">
      <w:pPr>
        <w:spacing w:line="400" w:lineRule="exact"/>
        <w:ind w:firstLine="420" w:firstLineChars="200"/>
        <w:rPr>
          <w:color w:val="auto"/>
        </w:rPr>
      </w:pPr>
      <w:r>
        <w:rPr>
          <w:color w:val="auto"/>
        </w:rPr>
        <w:t>（1）宣布开标纪律；</w:t>
      </w:r>
    </w:p>
    <w:p w14:paraId="50E328F0">
      <w:pPr>
        <w:spacing w:line="400" w:lineRule="exact"/>
        <w:ind w:firstLine="420" w:firstLineChars="200"/>
        <w:rPr>
          <w:color w:val="auto"/>
        </w:rPr>
      </w:pPr>
      <w:r>
        <w:rPr>
          <w:color w:val="auto"/>
        </w:rPr>
        <w:t>（2）公布</w:t>
      </w:r>
      <w:r>
        <w:rPr>
          <w:rFonts w:hint="eastAsia"/>
          <w:color w:val="auto"/>
        </w:rPr>
        <w:t>主持人、招标人代表、监标人</w:t>
      </w:r>
      <w:r>
        <w:rPr>
          <w:color w:val="auto"/>
        </w:rPr>
        <w:t>等有关人员</w:t>
      </w:r>
      <w:r>
        <w:rPr>
          <w:rFonts w:hint="eastAsia"/>
          <w:color w:val="auto"/>
        </w:rPr>
        <w:t>姓</w:t>
      </w:r>
      <w:r>
        <w:rPr>
          <w:color w:val="auto"/>
        </w:rPr>
        <w:t xml:space="preserve">名； </w:t>
      </w:r>
    </w:p>
    <w:p w14:paraId="7A3244AD">
      <w:pPr>
        <w:spacing w:line="400" w:lineRule="exact"/>
        <w:ind w:firstLine="420" w:firstLineChars="200"/>
        <w:rPr>
          <w:color w:val="auto"/>
        </w:rPr>
      </w:pPr>
      <w:r>
        <w:rPr>
          <w:color w:val="auto"/>
        </w:rPr>
        <w:t>（</w:t>
      </w:r>
      <w:r>
        <w:rPr>
          <w:rFonts w:hint="eastAsia"/>
          <w:color w:val="auto"/>
        </w:rPr>
        <w:t>3</w:t>
      </w:r>
      <w:r>
        <w:rPr>
          <w:color w:val="auto"/>
        </w:rPr>
        <w:t>）</w:t>
      </w:r>
      <w:r>
        <w:rPr>
          <w:rFonts w:hint="eastAsia"/>
          <w:color w:val="auto"/>
        </w:rPr>
        <w:t>公布在投标截止时间前投标文件的递交情况；</w:t>
      </w:r>
    </w:p>
    <w:p w14:paraId="255B07BE">
      <w:pPr>
        <w:spacing w:line="400" w:lineRule="exact"/>
        <w:ind w:firstLine="420" w:firstLineChars="200"/>
        <w:rPr>
          <w:rFonts w:hint="eastAsia"/>
          <w:color w:val="auto"/>
        </w:rPr>
      </w:pPr>
      <w:r>
        <w:rPr>
          <w:color w:val="auto"/>
        </w:rPr>
        <w:t>（</w:t>
      </w:r>
      <w:r>
        <w:rPr>
          <w:rFonts w:hint="eastAsia"/>
          <w:color w:val="auto"/>
        </w:rPr>
        <w:t>4</w:t>
      </w:r>
      <w:r>
        <w:rPr>
          <w:color w:val="auto"/>
        </w:rPr>
        <w:t>）</w:t>
      </w:r>
      <w:r>
        <w:rPr>
          <w:rFonts w:hint="eastAsia"/>
          <w:color w:val="auto"/>
        </w:rPr>
        <w:t>开标后</w:t>
      </w:r>
      <w:r>
        <w:rPr>
          <w:rFonts w:hint="eastAsia"/>
          <w:color w:val="auto"/>
          <w:szCs w:val="21"/>
        </w:rPr>
        <w:t>招标人</w:t>
      </w:r>
      <w:r>
        <w:rPr>
          <w:rFonts w:hint="eastAsia"/>
          <w:color w:val="auto"/>
        </w:rPr>
        <w:t>核查投标保证金递交情况</w:t>
      </w:r>
      <w:r>
        <w:rPr>
          <w:color w:val="auto"/>
        </w:rPr>
        <w:t>；</w:t>
      </w:r>
    </w:p>
    <w:p w14:paraId="20C88E27">
      <w:pPr>
        <w:spacing w:line="400" w:lineRule="exact"/>
        <w:ind w:firstLine="420" w:firstLineChars="200"/>
        <w:rPr>
          <w:color w:val="auto"/>
        </w:rPr>
      </w:pPr>
      <w:r>
        <w:rPr>
          <w:rFonts w:hint="eastAsia"/>
          <w:color w:val="auto"/>
        </w:rPr>
        <w:t>（5）按照投标人须知前附表规定抽取评标基准价下浮值（如有）；规定最高投标限价计算方法的，计算并公布最高投标限价（如适用），当众公布后记录在案；</w:t>
      </w:r>
    </w:p>
    <w:p w14:paraId="31581090">
      <w:pPr>
        <w:spacing w:line="400" w:lineRule="exact"/>
        <w:ind w:firstLine="420" w:firstLineChars="200"/>
        <w:rPr>
          <w:rFonts w:hint="eastAsia"/>
          <w:color w:val="auto"/>
        </w:rPr>
      </w:pPr>
      <w:r>
        <w:rPr>
          <w:color w:val="auto"/>
        </w:rPr>
        <w:t>（</w:t>
      </w:r>
      <w:r>
        <w:rPr>
          <w:rFonts w:hint="eastAsia"/>
          <w:color w:val="auto"/>
        </w:rPr>
        <w:t>6</w:t>
      </w:r>
      <w:r>
        <w:rPr>
          <w:color w:val="auto"/>
        </w:rPr>
        <w:t>）投标人</w:t>
      </w:r>
      <w:r>
        <w:rPr>
          <w:rFonts w:hint="eastAsia"/>
          <w:color w:val="auto"/>
        </w:rPr>
        <w:t>根据提示</w:t>
      </w:r>
      <w:r>
        <w:rPr>
          <w:color w:val="auto"/>
        </w:rPr>
        <w:t>在</w:t>
      </w:r>
      <w:r>
        <w:rPr>
          <w:rFonts w:hint="eastAsia"/>
          <w:color w:val="auto"/>
        </w:rPr>
        <w:t>投标人须知前附表规定的时间内</w:t>
      </w:r>
      <w:r>
        <w:rPr>
          <w:color w:val="auto"/>
        </w:rPr>
        <w:t>解密投标文件</w:t>
      </w:r>
      <w:r>
        <w:rPr>
          <w:rFonts w:hint="eastAsia"/>
          <w:color w:val="auto"/>
        </w:rPr>
        <w:t>；</w:t>
      </w:r>
    </w:p>
    <w:p w14:paraId="24045879">
      <w:pPr>
        <w:spacing w:line="400" w:lineRule="exact"/>
        <w:ind w:firstLine="420" w:firstLineChars="200"/>
        <w:rPr>
          <w:color w:val="auto"/>
        </w:rPr>
      </w:pPr>
      <w:r>
        <w:rPr>
          <w:rFonts w:hint="eastAsia"/>
          <w:color w:val="auto"/>
        </w:rPr>
        <w:t>（7）读取已解密的投标文件的内容；</w:t>
      </w:r>
    </w:p>
    <w:p w14:paraId="5BAF52E4">
      <w:pPr>
        <w:spacing w:line="400" w:lineRule="exact"/>
        <w:ind w:firstLine="420" w:firstLineChars="200"/>
        <w:rPr>
          <w:rFonts w:hint="eastAsia"/>
          <w:color w:val="auto"/>
        </w:rPr>
      </w:pPr>
      <w:r>
        <w:rPr>
          <w:color w:val="auto"/>
        </w:rPr>
        <w:t>（</w:t>
      </w:r>
      <w:r>
        <w:rPr>
          <w:rFonts w:hint="eastAsia"/>
          <w:color w:val="auto"/>
        </w:rPr>
        <w:t>8</w:t>
      </w:r>
      <w:r>
        <w:rPr>
          <w:color w:val="auto"/>
        </w:rPr>
        <w:t>）</w:t>
      </w:r>
      <w:r>
        <w:rPr>
          <w:rFonts w:hint="eastAsia"/>
          <w:color w:val="auto"/>
        </w:rPr>
        <w:t>公布</w:t>
      </w:r>
      <w:r>
        <w:rPr>
          <w:color w:val="auto"/>
        </w:rPr>
        <w:t>投标人名称、</w:t>
      </w:r>
      <w:r>
        <w:rPr>
          <w:rFonts w:hint="eastAsia"/>
          <w:color w:val="auto"/>
        </w:rPr>
        <w:t>标段名称、投标保证金的递交情况、</w:t>
      </w:r>
      <w:r>
        <w:rPr>
          <w:color w:val="auto"/>
        </w:rPr>
        <w:t>投标报价</w:t>
      </w:r>
      <w:r>
        <w:rPr>
          <w:rFonts w:hint="eastAsia"/>
          <w:color w:val="auto"/>
        </w:rPr>
        <w:t>、项目经理姓名及其他内容，并生成开标记录；</w:t>
      </w:r>
    </w:p>
    <w:p w14:paraId="793426DB">
      <w:pPr>
        <w:spacing w:line="400" w:lineRule="exact"/>
        <w:ind w:firstLine="420" w:firstLineChars="200"/>
        <w:rPr>
          <w:rFonts w:hint="eastAsia"/>
          <w:color w:val="auto"/>
        </w:rPr>
      </w:pPr>
      <w:r>
        <w:rPr>
          <w:color w:val="auto"/>
        </w:rPr>
        <w:t>（</w:t>
      </w:r>
      <w:r>
        <w:rPr>
          <w:rFonts w:hint="eastAsia"/>
          <w:color w:val="auto"/>
        </w:rPr>
        <w:t>9</w:t>
      </w:r>
      <w:r>
        <w:rPr>
          <w:color w:val="auto"/>
        </w:rPr>
        <w:t>）开标结束。</w:t>
      </w:r>
    </w:p>
    <w:p w14:paraId="7A5ECBA2">
      <w:pPr>
        <w:spacing w:line="400" w:lineRule="exact"/>
        <w:ind w:firstLine="420" w:firstLineChars="200"/>
        <w:rPr>
          <w:rFonts w:hint="eastAsia"/>
          <w:color w:val="auto"/>
        </w:rPr>
      </w:pPr>
      <w:r>
        <w:rPr>
          <w:rFonts w:hint="eastAsia"/>
          <w:color w:val="auto"/>
        </w:rPr>
        <w:t>5.2.2 在本章第5.2.1</w:t>
      </w:r>
      <w:r>
        <w:rPr>
          <w:color w:val="auto"/>
        </w:rPr>
        <w:t>（</w:t>
      </w:r>
      <w:r>
        <w:rPr>
          <w:rFonts w:hint="eastAsia"/>
          <w:color w:val="auto"/>
        </w:rPr>
        <w:t>6</w:t>
      </w:r>
      <w:r>
        <w:rPr>
          <w:color w:val="auto"/>
        </w:rPr>
        <w:t>）</w:t>
      </w:r>
      <w:r>
        <w:rPr>
          <w:rFonts w:hint="eastAsia"/>
          <w:color w:val="auto"/>
        </w:rPr>
        <w:t>目规定的时间内，非因“电子交易平台”原因造成投标文件未解密的，视为投标人撤回投标文件。已解密的投标文件少于三个的，招标失败；已解密的投标文件不少于三个，开标继续进行。</w:t>
      </w:r>
    </w:p>
    <w:p w14:paraId="397D9137">
      <w:pPr>
        <w:pStyle w:val="113"/>
        <w:outlineLvl w:val="0"/>
        <w:rPr>
          <w:rFonts w:hint="eastAsia" w:ascii="黑体" w:hAnsi="黑体"/>
          <w:color w:val="auto"/>
        </w:rPr>
      </w:pPr>
      <w:bookmarkStart w:id="464" w:name="_Toc19418"/>
      <w:bookmarkStart w:id="465" w:name="_Toc154063412"/>
      <w:bookmarkStart w:id="466" w:name="_Toc515570328"/>
      <w:bookmarkStart w:id="467" w:name="_Toc300834983"/>
      <w:bookmarkStart w:id="468" w:name="_Toc10389"/>
      <w:bookmarkStart w:id="469" w:name="_Toc9222"/>
      <w:bookmarkStart w:id="470" w:name="_Toc519085305"/>
      <w:r>
        <w:rPr>
          <w:rFonts w:hint="eastAsia" w:ascii="黑体" w:hAnsi="黑体"/>
          <w:color w:val="auto"/>
        </w:rPr>
        <w:t>5.3 开标异议</w:t>
      </w:r>
      <w:bookmarkEnd w:id="464"/>
      <w:bookmarkEnd w:id="465"/>
      <w:bookmarkEnd w:id="466"/>
      <w:bookmarkEnd w:id="467"/>
      <w:bookmarkEnd w:id="468"/>
      <w:bookmarkEnd w:id="469"/>
      <w:bookmarkEnd w:id="470"/>
    </w:p>
    <w:p w14:paraId="3E73C337">
      <w:pPr>
        <w:spacing w:line="400" w:lineRule="exact"/>
        <w:ind w:firstLine="420" w:firstLineChars="200"/>
        <w:rPr>
          <w:rFonts w:hint="eastAsia"/>
          <w:color w:val="auto"/>
        </w:rPr>
      </w:pPr>
      <w:r>
        <w:rPr>
          <w:rFonts w:hint="eastAsia"/>
          <w:color w:val="auto"/>
        </w:rPr>
        <w:t>5.3.1投标人对开标有异议的，应当在开标过程中提出；招标人当场对异议作出答复，并记入开标记录。异议与答复应通过 “开标大厅”在“异议与答复”菜单以书面形式进行。</w:t>
      </w:r>
    </w:p>
    <w:p w14:paraId="382CD2EB">
      <w:pPr>
        <w:spacing w:line="400" w:lineRule="exact"/>
        <w:ind w:firstLine="420" w:firstLineChars="200"/>
        <w:rPr>
          <w:rFonts w:hint="eastAsia"/>
          <w:color w:val="auto"/>
        </w:rPr>
      </w:pPr>
      <w:r>
        <w:rPr>
          <w:rFonts w:hint="eastAsia"/>
          <w:color w:val="auto"/>
        </w:rPr>
        <w:t>本处所称异议是指投标人在</w:t>
      </w:r>
      <w:r>
        <w:rPr>
          <w:color w:val="auto"/>
        </w:rPr>
        <w:t>开标</w:t>
      </w:r>
      <w:r>
        <w:rPr>
          <w:rFonts w:hint="eastAsia"/>
          <w:color w:val="auto"/>
        </w:rPr>
        <w:t>过程中</w:t>
      </w:r>
      <w:r>
        <w:rPr>
          <w:color w:val="auto"/>
        </w:rPr>
        <w:t>对投标文件提交、</w:t>
      </w:r>
      <w:r>
        <w:rPr>
          <w:rFonts w:hint="eastAsia"/>
          <w:color w:val="auto"/>
        </w:rPr>
        <w:t>投标</w:t>
      </w:r>
      <w:r>
        <w:rPr>
          <w:color w:val="auto"/>
        </w:rPr>
        <w:t>截</w:t>
      </w:r>
      <w:r>
        <w:rPr>
          <w:rFonts w:hint="eastAsia"/>
          <w:color w:val="auto"/>
        </w:rPr>
        <w:t>止</w:t>
      </w:r>
      <w:r>
        <w:rPr>
          <w:color w:val="auto"/>
        </w:rPr>
        <w:t>时间、开标程序、开标记录以及投标人和招标人或者投标人相互之间存在利益冲突的情形等</w:t>
      </w:r>
      <w:r>
        <w:rPr>
          <w:rFonts w:hint="eastAsia"/>
          <w:color w:val="auto"/>
        </w:rPr>
        <w:t>提出的质疑。</w:t>
      </w:r>
    </w:p>
    <w:p w14:paraId="18E853F7">
      <w:pPr>
        <w:spacing w:line="400" w:lineRule="exact"/>
        <w:ind w:firstLine="420" w:firstLineChars="200"/>
        <w:rPr>
          <w:rFonts w:hint="eastAsia"/>
          <w:color w:val="auto"/>
        </w:rPr>
      </w:pPr>
      <w:r>
        <w:rPr>
          <w:rFonts w:hint="eastAsia"/>
          <w:color w:val="auto"/>
        </w:rPr>
        <w:t xml:space="preserve">5.3.2 </w:t>
      </w:r>
      <w:r>
        <w:rPr>
          <w:color w:val="auto"/>
        </w:rPr>
        <w:t>投标人异议成立的，招标人</w:t>
      </w:r>
      <w:r>
        <w:rPr>
          <w:rFonts w:hint="eastAsia"/>
          <w:color w:val="auto"/>
        </w:rPr>
        <w:t>将</w:t>
      </w:r>
      <w:r>
        <w:rPr>
          <w:color w:val="auto"/>
        </w:rPr>
        <w:t>及时采取纠正措施，或者提交评标委员会评审确认；投标人异议不成立的，招标人</w:t>
      </w:r>
      <w:r>
        <w:rPr>
          <w:rFonts w:hint="eastAsia"/>
          <w:color w:val="auto"/>
        </w:rPr>
        <w:t>将</w:t>
      </w:r>
      <w:r>
        <w:rPr>
          <w:color w:val="auto"/>
        </w:rPr>
        <w:t>当场给予解释说明。</w:t>
      </w:r>
    </w:p>
    <w:p w14:paraId="054B37F8">
      <w:pPr>
        <w:pStyle w:val="113"/>
        <w:outlineLvl w:val="0"/>
        <w:rPr>
          <w:rFonts w:ascii="黑体" w:hAnsi="黑体"/>
          <w:color w:val="auto"/>
        </w:rPr>
      </w:pPr>
      <w:bookmarkStart w:id="471" w:name="_Toc515570329"/>
      <w:bookmarkStart w:id="472" w:name="_Toc16588"/>
      <w:bookmarkStart w:id="473" w:name="_Toc19334"/>
      <w:bookmarkStart w:id="474" w:name="_Toc519085306"/>
      <w:bookmarkStart w:id="475" w:name="_Toc6319"/>
      <w:bookmarkStart w:id="476" w:name="_Toc154063413"/>
      <w:bookmarkStart w:id="477" w:name="_Toc402465011"/>
      <w:bookmarkStart w:id="478" w:name="_Toc400530224"/>
      <w:r>
        <w:rPr>
          <w:rFonts w:ascii="黑体" w:hAnsi="黑体"/>
          <w:color w:val="auto"/>
        </w:rPr>
        <w:t>5.</w:t>
      </w:r>
      <w:r>
        <w:rPr>
          <w:rFonts w:hint="eastAsia" w:ascii="黑体" w:hAnsi="黑体"/>
          <w:color w:val="auto"/>
        </w:rPr>
        <w:t xml:space="preserve">4 </w:t>
      </w:r>
      <w:r>
        <w:rPr>
          <w:rFonts w:ascii="黑体" w:hAnsi="黑体"/>
          <w:color w:val="auto"/>
        </w:rPr>
        <w:t>特殊情况的处置</w:t>
      </w:r>
      <w:bookmarkEnd w:id="471"/>
      <w:bookmarkEnd w:id="472"/>
      <w:bookmarkEnd w:id="473"/>
      <w:bookmarkEnd w:id="474"/>
      <w:bookmarkEnd w:id="475"/>
      <w:bookmarkEnd w:id="476"/>
    </w:p>
    <w:p w14:paraId="34F612C9">
      <w:pPr>
        <w:spacing w:line="400" w:lineRule="exact"/>
        <w:ind w:firstLine="420" w:firstLineChars="200"/>
        <w:rPr>
          <w:rFonts w:hint="eastAsia"/>
          <w:color w:val="auto"/>
        </w:rPr>
      </w:pPr>
      <w:r>
        <w:rPr>
          <w:rFonts w:hint="eastAsia"/>
          <w:color w:val="auto"/>
        </w:rPr>
        <w:t>5.4.1</w:t>
      </w:r>
      <w:r>
        <w:rPr>
          <w:color w:val="auto"/>
        </w:rPr>
        <w:t>因</w:t>
      </w:r>
      <w:r>
        <w:rPr>
          <w:rFonts w:hint="eastAsia"/>
          <w:color w:val="auto"/>
        </w:rPr>
        <w:t>“电子交易平台”</w:t>
      </w:r>
      <w:r>
        <w:rPr>
          <w:color w:val="auto"/>
        </w:rPr>
        <w:t>系统</w:t>
      </w:r>
      <w:r>
        <w:rPr>
          <w:rFonts w:hint="eastAsia"/>
          <w:color w:val="auto"/>
        </w:rPr>
        <w:t>故障</w:t>
      </w:r>
      <w:r>
        <w:rPr>
          <w:color w:val="auto"/>
        </w:rPr>
        <w:t>导致</w:t>
      </w:r>
      <w:r>
        <w:rPr>
          <w:rFonts w:hint="eastAsia"/>
          <w:color w:val="auto"/>
        </w:rPr>
        <w:t>无法投标的，交易中心及时通知招标人，招标人视情况决定是否顺延投标截止时间。</w:t>
      </w:r>
      <w:r>
        <w:rPr>
          <w:color w:val="auto"/>
        </w:rPr>
        <w:t>因投标人自身</w:t>
      </w:r>
      <w:r>
        <w:rPr>
          <w:rFonts w:hint="eastAsia"/>
          <w:color w:val="auto"/>
        </w:rPr>
        <w:t>原因</w:t>
      </w:r>
      <w:r>
        <w:rPr>
          <w:color w:val="auto"/>
        </w:rPr>
        <w:t>导致无法完成投标的，由投标人自行承担后果。</w:t>
      </w:r>
    </w:p>
    <w:p w14:paraId="6BAB3A76">
      <w:pPr>
        <w:spacing w:line="400" w:lineRule="exact"/>
        <w:ind w:firstLine="420" w:firstLineChars="200"/>
        <w:rPr>
          <w:rFonts w:hint="eastAsia"/>
          <w:color w:val="auto"/>
        </w:rPr>
      </w:pPr>
      <w:r>
        <w:rPr>
          <w:rFonts w:hint="eastAsia"/>
          <w:color w:val="auto"/>
        </w:rPr>
        <w:t xml:space="preserve">5.4.2 </w:t>
      </w:r>
      <w:r>
        <w:rPr>
          <w:color w:val="auto"/>
        </w:rPr>
        <w:t>因</w:t>
      </w:r>
      <w:r>
        <w:rPr>
          <w:rFonts w:hint="eastAsia"/>
          <w:color w:val="auto"/>
        </w:rPr>
        <w:t>“电子交易平台”</w:t>
      </w:r>
      <w:r>
        <w:rPr>
          <w:color w:val="auto"/>
        </w:rPr>
        <w:t>系统</w:t>
      </w:r>
      <w:r>
        <w:rPr>
          <w:rFonts w:hint="eastAsia"/>
          <w:color w:val="auto"/>
        </w:rPr>
        <w:t>故障</w:t>
      </w:r>
      <w:r>
        <w:rPr>
          <w:color w:val="auto"/>
        </w:rPr>
        <w:t>导致</w:t>
      </w:r>
      <w:r>
        <w:rPr>
          <w:rFonts w:hint="eastAsia"/>
          <w:color w:val="auto"/>
        </w:rPr>
        <w:t>无法正常开标的，招标人将</w:t>
      </w:r>
      <w:r>
        <w:rPr>
          <w:color w:val="auto"/>
        </w:rPr>
        <w:t>暂停开标</w:t>
      </w:r>
      <w:r>
        <w:rPr>
          <w:rFonts w:hint="eastAsia"/>
          <w:color w:val="auto"/>
        </w:rPr>
        <w:t>，待系统恢复</w:t>
      </w:r>
      <w:r>
        <w:rPr>
          <w:color w:val="auto"/>
        </w:rPr>
        <w:t>正常</w:t>
      </w:r>
      <w:r>
        <w:rPr>
          <w:rFonts w:hint="eastAsia"/>
          <w:color w:val="auto"/>
        </w:rPr>
        <w:t>后继续开标。</w:t>
      </w:r>
    </w:p>
    <w:p w14:paraId="68DB6FE6">
      <w:pPr>
        <w:spacing w:line="400" w:lineRule="exact"/>
        <w:ind w:firstLine="420" w:firstLineChars="200"/>
        <w:rPr>
          <w:rFonts w:hint="eastAsia"/>
          <w:color w:val="auto"/>
        </w:rPr>
      </w:pPr>
      <w:r>
        <w:rPr>
          <w:rFonts w:hint="eastAsia"/>
          <w:color w:val="auto"/>
        </w:rPr>
        <w:t>5.4.3 “电子交易平台”</w:t>
      </w:r>
      <w:r>
        <w:rPr>
          <w:color w:val="auto"/>
        </w:rPr>
        <w:t>系统</w:t>
      </w:r>
      <w:r>
        <w:rPr>
          <w:rFonts w:hint="eastAsia"/>
          <w:color w:val="auto"/>
        </w:rPr>
        <w:t>故障是指下列情形：</w:t>
      </w:r>
    </w:p>
    <w:p w14:paraId="505518FB">
      <w:pPr>
        <w:spacing w:line="400" w:lineRule="exact"/>
        <w:ind w:firstLine="420" w:firstLineChars="200"/>
        <w:rPr>
          <w:color w:val="auto"/>
        </w:rPr>
      </w:pPr>
      <w:r>
        <w:rPr>
          <w:color w:val="auto"/>
        </w:rPr>
        <w:t>（1）系统服务器发生故障，无法访问或无法使用系统；</w:t>
      </w:r>
    </w:p>
    <w:p w14:paraId="450E67CF">
      <w:pPr>
        <w:spacing w:line="400" w:lineRule="exact"/>
        <w:ind w:firstLine="420" w:firstLineChars="200"/>
        <w:rPr>
          <w:color w:val="auto"/>
        </w:rPr>
      </w:pPr>
      <w:r>
        <w:rPr>
          <w:color w:val="auto"/>
        </w:rPr>
        <w:t>（2）系统的软件或数据库出现错误，不能进行正常操作；</w:t>
      </w:r>
    </w:p>
    <w:p w14:paraId="0D302F3B">
      <w:pPr>
        <w:spacing w:line="400" w:lineRule="exact"/>
        <w:ind w:firstLine="420" w:firstLineChars="200"/>
        <w:rPr>
          <w:color w:val="auto"/>
        </w:rPr>
      </w:pPr>
      <w:r>
        <w:rPr>
          <w:color w:val="auto"/>
        </w:rPr>
        <w:t>（3）系统发现有安全漏洞，有潜在的泄密危险；</w:t>
      </w:r>
    </w:p>
    <w:p w14:paraId="658DEE68">
      <w:pPr>
        <w:spacing w:line="400" w:lineRule="exact"/>
        <w:ind w:firstLine="420" w:firstLineChars="200"/>
        <w:rPr>
          <w:rFonts w:hint="eastAsia"/>
          <w:color w:val="auto"/>
        </w:rPr>
      </w:pPr>
      <w:r>
        <w:rPr>
          <w:rFonts w:hint="eastAsia"/>
          <w:color w:val="auto"/>
        </w:rPr>
        <w:t>（4）出现断电、断网事故；</w:t>
      </w:r>
    </w:p>
    <w:p w14:paraId="65846977">
      <w:pPr>
        <w:spacing w:line="400" w:lineRule="exact"/>
        <w:ind w:firstLine="420" w:firstLineChars="200"/>
        <w:rPr>
          <w:rFonts w:hint="eastAsia"/>
          <w:color w:val="auto"/>
        </w:rPr>
      </w:pPr>
      <w:r>
        <w:rPr>
          <w:color w:val="auto"/>
        </w:rPr>
        <w:t>（</w:t>
      </w:r>
      <w:r>
        <w:rPr>
          <w:rFonts w:hint="eastAsia"/>
          <w:color w:val="auto"/>
        </w:rPr>
        <w:t>5</w:t>
      </w:r>
      <w:r>
        <w:rPr>
          <w:color w:val="auto"/>
        </w:rPr>
        <w:t>）其他无法保证招投标过程</w:t>
      </w:r>
      <w:r>
        <w:rPr>
          <w:rFonts w:hint="eastAsia"/>
          <w:color w:val="auto"/>
        </w:rPr>
        <w:t>正常进行</w:t>
      </w:r>
      <w:r>
        <w:rPr>
          <w:color w:val="auto"/>
        </w:rPr>
        <w:t>的情形。</w:t>
      </w:r>
      <w:bookmarkEnd w:id="477"/>
      <w:bookmarkEnd w:id="478"/>
    </w:p>
    <w:p w14:paraId="10EBECF9">
      <w:pPr>
        <w:pStyle w:val="3"/>
        <w:spacing w:before="62"/>
        <w:rPr>
          <w:color w:val="auto"/>
          <w:sz w:val="28"/>
          <w:szCs w:val="28"/>
        </w:rPr>
      </w:pPr>
      <w:bookmarkStart w:id="479" w:name="_Toc154063414"/>
      <w:bookmarkStart w:id="480" w:name="_Toc144974530"/>
      <w:bookmarkStart w:id="481" w:name="_Toc152045562"/>
      <w:bookmarkStart w:id="482" w:name="_Toc31742"/>
      <w:bookmarkStart w:id="483" w:name="_Toc12664"/>
      <w:bookmarkStart w:id="484" w:name="_Toc152042338"/>
      <w:bookmarkStart w:id="485" w:name="_Toc519085307"/>
      <w:bookmarkStart w:id="486" w:name="_Toc247513986"/>
      <w:bookmarkStart w:id="487" w:name="_Toc18467"/>
      <w:bookmarkStart w:id="488" w:name="_Toc247527587"/>
      <w:r>
        <w:rPr>
          <w:color w:val="auto"/>
          <w:sz w:val="28"/>
          <w:szCs w:val="28"/>
        </w:rPr>
        <w:t>6. 评标</w:t>
      </w:r>
      <w:bookmarkEnd w:id="479"/>
      <w:bookmarkEnd w:id="480"/>
      <w:bookmarkEnd w:id="481"/>
      <w:bookmarkEnd w:id="482"/>
      <w:bookmarkEnd w:id="483"/>
      <w:bookmarkEnd w:id="484"/>
      <w:bookmarkEnd w:id="485"/>
      <w:bookmarkEnd w:id="486"/>
      <w:bookmarkEnd w:id="487"/>
      <w:bookmarkEnd w:id="488"/>
    </w:p>
    <w:p w14:paraId="29C96B20">
      <w:pPr>
        <w:pStyle w:val="113"/>
        <w:outlineLvl w:val="0"/>
        <w:rPr>
          <w:rFonts w:ascii="黑体" w:hAnsi="黑体"/>
          <w:color w:val="auto"/>
        </w:rPr>
      </w:pPr>
      <w:bookmarkStart w:id="489" w:name="_Toc247527588"/>
      <w:bookmarkStart w:id="490" w:name="_Toc27926"/>
      <w:bookmarkStart w:id="491" w:name="_Toc144974531"/>
      <w:bookmarkStart w:id="492" w:name="_Toc17055"/>
      <w:bookmarkStart w:id="493" w:name="_Toc247513987"/>
      <w:bookmarkStart w:id="494" w:name="_Toc152045563"/>
      <w:bookmarkStart w:id="495" w:name="_Toc519085308"/>
      <w:bookmarkStart w:id="496" w:name="_Toc9533"/>
      <w:bookmarkStart w:id="497" w:name="_Toc154063415"/>
      <w:bookmarkStart w:id="498" w:name="_Toc152042339"/>
      <w:r>
        <w:rPr>
          <w:rFonts w:ascii="黑体" w:hAnsi="黑体"/>
          <w:color w:val="auto"/>
        </w:rPr>
        <w:t>6.1 评标委员会</w:t>
      </w:r>
      <w:bookmarkEnd w:id="489"/>
      <w:bookmarkEnd w:id="490"/>
      <w:bookmarkEnd w:id="491"/>
      <w:bookmarkEnd w:id="492"/>
      <w:bookmarkEnd w:id="493"/>
      <w:bookmarkEnd w:id="494"/>
      <w:bookmarkEnd w:id="495"/>
      <w:bookmarkEnd w:id="496"/>
      <w:bookmarkEnd w:id="497"/>
      <w:bookmarkEnd w:id="498"/>
    </w:p>
    <w:p w14:paraId="44C9E650">
      <w:pPr>
        <w:spacing w:line="400" w:lineRule="exact"/>
        <w:ind w:firstLine="420" w:firstLineChars="200"/>
        <w:rPr>
          <w:color w:val="auto"/>
        </w:rPr>
      </w:pPr>
      <w:r>
        <w:rPr>
          <w:color w:val="auto"/>
        </w:rPr>
        <w:t>6.1.1 评标由招标人依法组建的评标委员会负责。评标委员会由招标人代表以及有关技术、经济等方面的专家组成。评标委员会成员人数以及技术、经济等方面专家的确定方式见投标人须知前附表。</w:t>
      </w:r>
    </w:p>
    <w:p w14:paraId="177BF636">
      <w:pPr>
        <w:spacing w:line="400" w:lineRule="exact"/>
        <w:ind w:firstLine="420" w:firstLineChars="200"/>
        <w:rPr>
          <w:color w:val="auto"/>
        </w:rPr>
      </w:pPr>
      <w:r>
        <w:rPr>
          <w:color w:val="auto"/>
        </w:rPr>
        <w:t>6.1.2 评标委员会成员有下列情形之一的，应当回避：</w:t>
      </w:r>
    </w:p>
    <w:p w14:paraId="0CA56C99">
      <w:pPr>
        <w:spacing w:line="400" w:lineRule="exact"/>
        <w:ind w:firstLine="420" w:firstLineChars="200"/>
        <w:rPr>
          <w:color w:val="auto"/>
        </w:rPr>
      </w:pPr>
      <w:r>
        <w:rPr>
          <w:color w:val="auto"/>
        </w:rPr>
        <w:t>（1）投标人或投标人主要负责人的近亲属；</w:t>
      </w:r>
    </w:p>
    <w:p w14:paraId="1E63B6D2">
      <w:pPr>
        <w:spacing w:line="400" w:lineRule="exact"/>
        <w:ind w:firstLine="420" w:firstLineChars="200"/>
        <w:rPr>
          <w:color w:val="auto"/>
        </w:rPr>
      </w:pPr>
      <w:r>
        <w:rPr>
          <w:color w:val="auto"/>
        </w:rPr>
        <w:t>（2）项目主管部门或者行政监督部门的</w:t>
      </w:r>
      <w:r>
        <w:rPr>
          <w:rFonts w:hint="eastAsia"/>
          <w:color w:val="auto"/>
        </w:rPr>
        <w:t>招标投标管理工作</w:t>
      </w:r>
      <w:r>
        <w:rPr>
          <w:color w:val="auto"/>
        </w:rPr>
        <w:t>人员；</w:t>
      </w:r>
    </w:p>
    <w:p w14:paraId="0DFBC9D0">
      <w:pPr>
        <w:spacing w:line="400" w:lineRule="exact"/>
        <w:ind w:firstLine="420" w:firstLineChars="200"/>
        <w:rPr>
          <w:color w:val="auto"/>
        </w:rPr>
      </w:pPr>
      <w:r>
        <w:rPr>
          <w:color w:val="auto"/>
        </w:rPr>
        <w:t>（3）与投标人有经济利益关系，可能影响对投标公正评审的；</w:t>
      </w:r>
    </w:p>
    <w:p w14:paraId="5E3D9775">
      <w:pPr>
        <w:spacing w:line="400" w:lineRule="exact"/>
        <w:ind w:firstLine="420" w:firstLineChars="200"/>
        <w:rPr>
          <w:color w:val="auto"/>
        </w:rPr>
      </w:pPr>
      <w:r>
        <w:rPr>
          <w:color w:val="auto"/>
        </w:rPr>
        <w:t>（4）曾因在招标、评标以及其他与招标投标有关活动中从事违法行为而受过行政处罚或刑事处罚的</w:t>
      </w:r>
      <w:r>
        <w:rPr>
          <w:rFonts w:hint="eastAsia"/>
          <w:color w:val="auto"/>
        </w:rPr>
        <w:t>。</w:t>
      </w:r>
    </w:p>
    <w:p w14:paraId="7C958F97">
      <w:pPr>
        <w:pStyle w:val="113"/>
        <w:outlineLvl w:val="0"/>
        <w:rPr>
          <w:rFonts w:ascii="黑体" w:hAnsi="黑体"/>
          <w:color w:val="auto"/>
        </w:rPr>
      </w:pPr>
      <w:bookmarkStart w:id="499" w:name="_Toc26281"/>
      <w:bookmarkStart w:id="500" w:name="_Toc26704"/>
      <w:bookmarkStart w:id="501" w:name="_Toc247513988"/>
      <w:bookmarkStart w:id="502" w:name="_Toc152045564"/>
      <w:bookmarkStart w:id="503" w:name="_Toc247527589"/>
      <w:bookmarkStart w:id="504" w:name="_Toc26419"/>
      <w:bookmarkStart w:id="505" w:name="_Toc152042340"/>
      <w:bookmarkStart w:id="506" w:name="_Toc519085309"/>
      <w:bookmarkStart w:id="507" w:name="_Toc144974532"/>
      <w:bookmarkStart w:id="508" w:name="_Toc154063416"/>
      <w:r>
        <w:rPr>
          <w:rFonts w:ascii="黑体" w:hAnsi="黑体"/>
          <w:color w:val="auto"/>
        </w:rPr>
        <w:t>6.2 评标原则</w:t>
      </w:r>
      <w:bookmarkEnd w:id="499"/>
      <w:bookmarkEnd w:id="500"/>
      <w:bookmarkEnd w:id="501"/>
      <w:bookmarkEnd w:id="502"/>
      <w:bookmarkEnd w:id="503"/>
      <w:bookmarkEnd w:id="504"/>
      <w:bookmarkEnd w:id="505"/>
      <w:bookmarkEnd w:id="506"/>
      <w:bookmarkEnd w:id="507"/>
      <w:bookmarkEnd w:id="508"/>
      <w:r>
        <w:rPr>
          <w:rFonts w:ascii="黑体" w:hAnsi="黑体"/>
          <w:color w:val="auto"/>
        </w:rPr>
        <w:tab/>
      </w:r>
    </w:p>
    <w:p w14:paraId="313DDE69">
      <w:pPr>
        <w:spacing w:line="400" w:lineRule="exact"/>
        <w:ind w:firstLine="420" w:firstLineChars="200"/>
        <w:rPr>
          <w:color w:val="auto"/>
        </w:rPr>
      </w:pPr>
      <w:r>
        <w:rPr>
          <w:color w:val="auto"/>
        </w:rPr>
        <w:t>评标活动遵循公平、公正、科学和择优的原则。</w:t>
      </w:r>
    </w:p>
    <w:p w14:paraId="2D842BBA">
      <w:pPr>
        <w:pStyle w:val="113"/>
        <w:outlineLvl w:val="0"/>
        <w:rPr>
          <w:rFonts w:ascii="黑体" w:hAnsi="黑体"/>
          <w:color w:val="auto"/>
        </w:rPr>
      </w:pPr>
      <w:bookmarkStart w:id="509" w:name="_Toc247527590"/>
      <w:bookmarkStart w:id="510" w:name="_Toc152042341"/>
      <w:bookmarkStart w:id="511" w:name="_Toc27652"/>
      <w:bookmarkStart w:id="512" w:name="_Toc519085310"/>
      <w:bookmarkStart w:id="513" w:name="_Toc152045565"/>
      <w:bookmarkStart w:id="514" w:name="_Toc154063417"/>
      <w:bookmarkStart w:id="515" w:name="_Toc12384"/>
      <w:bookmarkStart w:id="516" w:name="_Toc247513989"/>
      <w:bookmarkStart w:id="517" w:name="_Toc22114"/>
      <w:bookmarkStart w:id="518" w:name="_Toc144974533"/>
      <w:r>
        <w:rPr>
          <w:rFonts w:ascii="黑体" w:hAnsi="黑体"/>
          <w:color w:val="auto"/>
        </w:rPr>
        <w:t>6.3 评标</w:t>
      </w:r>
      <w:bookmarkEnd w:id="509"/>
      <w:bookmarkEnd w:id="510"/>
      <w:bookmarkEnd w:id="511"/>
      <w:bookmarkEnd w:id="512"/>
      <w:bookmarkEnd w:id="513"/>
      <w:bookmarkEnd w:id="514"/>
      <w:bookmarkEnd w:id="515"/>
      <w:bookmarkEnd w:id="516"/>
      <w:bookmarkEnd w:id="517"/>
      <w:bookmarkEnd w:id="518"/>
    </w:p>
    <w:p w14:paraId="7F0272A4">
      <w:pPr>
        <w:spacing w:line="400" w:lineRule="exact"/>
        <w:ind w:firstLine="420" w:firstLineChars="200"/>
        <w:rPr>
          <w:color w:val="auto"/>
        </w:rPr>
      </w:pPr>
      <w:bookmarkStart w:id="519" w:name="_Toc152045566"/>
      <w:bookmarkStart w:id="520" w:name="_Toc152042342"/>
      <w:bookmarkStart w:id="521" w:name="_Toc247527591"/>
      <w:bookmarkStart w:id="522" w:name="_Toc247513990"/>
      <w:bookmarkStart w:id="523" w:name="_Toc144974534"/>
      <w:r>
        <w:rPr>
          <w:color w:val="auto"/>
        </w:rPr>
        <w:t>评标委员会按照第</w:t>
      </w:r>
      <w:r>
        <w:rPr>
          <w:rFonts w:hint="eastAsia"/>
          <w:color w:val="auto"/>
        </w:rPr>
        <w:t>三</w:t>
      </w:r>
      <w:r>
        <w:rPr>
          <w:color w:val="auto"/>
        </w:rPr>
        <w:t>章“评标办法”规定的方法、评审因素、标准和程序对投标文件进行评审。第</w:t>
      </w:r>
      <w:r>
        <w:rPr>
          <w:rFonts w:hint="eastAsia"/>
          <w:color w:val="auto"/>
        </w:rPr>
        <w:t>三</w:t>
      </w:r>
      <w:r>
        <w:rPr>
          <w:color w:val="auto"/>
        </w:rPr>
        <w:t>章“评标办法”没有规定的方法、评审因素和标准，不作为评标依据。</w:t>
      </w:r>
    </w:p>
    <w:p w14:paraId="1213F7B1">
      <w:pPr>
        <w:pStyle w:val="113"/>
        <w:outlineLvl w:val="0"/>
        <w:rPr>
          <w:rFonts w:ascii="黑体" w:hAnsi="黑体"/>
          <w:color w:val="auto"/>
        </w:rPr>
      </w:pPr>
      <w:bookmarkStart w:id="524" w:name="_Toc519085311"/>
      <w:bookmarkStart w:id="525" w:name="_Toc3902"/>
      <w:bookmarkStart w:id="526" w:name="_Toc28411"/>
      <w:bookmarkStart w:id="527" w:name="_Toc11982"/>
      <w:bookmarkStart w:id="528" w:name="_Toc456173232"/>
      <w:bookmarkStart w:id="529" w:name="_Toc154063418"/>
      <w:r>
        <w:rPr>
          <w:rFonts w:ascii="黑体" w:hAnsi="黑体"/>
          <w:color w:val="auto"/>
        </w:rPr>
        <w:t>6.4 评标结果公示</w:t>
      </w:r>
      <w:bookmarkEnd w:id="524"/>
      <w:bookmarkEnd w:id="525"/>
      <w:bookmarkEnd w:id="526"/>
      <w:bookmarkEnd w:id="527"/>
      <w:bookmarkEnd w:id="528"/>
      <w:bookmarkEnd w:id="529"/>
    </w:p>
    <w:p w14:paraId="43484826">
      <w:pPr>
        <w:spacing w:line="400" w:lineRule="exact"/>
        <w:ind w:firstLine="420" w:firstLineChars="200"/>
        <w:rPr>
          <w:rFonts w:hint="eastAsia"/>
          <w:color w:val="auto"/>
        </w:rPr>
      </w:pPr>
      <w:r>
        <w:rPr>
          <w:rFonts w:hint="eastAsia"/>
          <w:color w:val="auto"/>
        </w:rPr>
        <w:t>招标人将自收到评标报告之日起3日内，在投标人须知前附表规定的媒介公示中标候选人。公示期不少于3日。</w:t>
      </w:r>
    </w:p>
    <w:p w14:paraId="48EE3CDF">
      <w:pPr>
        <w:spacing w:line="400" w:lineRule="exact"/>
        <w:ind w:firstLine="420" w:firstLineChars="200"/>
        <w:rPr>
          <w:rFonts w:hint="eastAsia"/>
          <w:color w:val="auto"/>
        </w:rPr>
      </w:pPr>
      <w:r>
        <w:rPr>
          <w:rFonts w:hint="eastAsia"/>
          <w:color w:val="auto"/>
        </w:rPr>
        <w:t>投标人或者其他利害关系人对评标结果有异议的，应当在评标结果公示期间提出。招标人自收到异议之日起3日内作出答复；作出答复前，暂停招标投标活动。异议与答复应当通过“电子交易平台”在“异议与答复”菜单以书面形式进行。</w:t>
      </w:r>
    </w:p>
    <w:p w14:paraId="730AA3FF">
      <w:pPr>
        <w:pStyle w:val="113"/>
        <w:outlineLvl w:val="0"/>
        <w:rPr>
          <w:rFonts w:ascii="黑体" w:hAnsi="黑体"/>
          <w:color w:val="auto"/>
        </w:rPr>
      </w:pPr>
      <w:bookmarkStart w:id="530" w:name="_Toc24741"/>
      <w:bookmarkStart w:id="531" w:name="_Toc519085312"/>
      <w:bookmarkStart w:id="532" w:name="_Toc18641"/>
      <w:bookmarkStart w:id="533" w:name="_Toc154063419"/>
      <w:bookmarkStart w:id="534" w:name="_Toc8879"/>
      <w:bookmarkStart w:id="535" w:name="_Toc456173233"/>
      <w:bookmarkStart w:id="536" w:name="_Toc400530233"/>
      <w:r>
        <w:rPr>
          <w:rFonts w:ascii="黑体" w:hAnsi="黑体"/>
          <w:color w:val="auto"/>
        </w:rPr>
        <w:t>6.5 履约能力的审查（如有）</w:t>
      </w:r>
      <w:bookmarkEnd w:id="530"/>
      <w:bookmarkEnd w:id="531"/>
      <w:bookmarkEnd w:id="532"/>
      <w:bookmarkEnd w:id="533"/>
      <w:bookmarkEnd w:id="534"/>
      <w:bookmarkEnd w:id="535"/>
      <w:bookmarkEnd w:id="536"/>
    </w:p>
    <w:p w14:paraId="4CF72743">
      <w:pPr>
        <w:spacing w:line="400" w:lineRule="exact"/>
        <w:ind w:firstLine="420" w:firstLineChars="200"/>
        <w:rPr>
          <w:color w:val="auto"/>
        </w:rPr>
      </w:pPr>
      <w:r>
        <w:rPr>
          <w:color w:val="auto"/>
        </w:rPr>
        <w:t>如果中标候选人的经营、财务状况发生较大变化或者存在违法行为，招标人认为可能影响其履约能力的，将在发出中标通知书前报行政监督部门后，召集原评标委员会按照招标文件规定的标准和方法审查确认。</w:t>
      </w:r>
    </w:p>
    <w:p w14:paraId="19A562D7">
      <w:pPr>
        <w:pStyle w:val="3"/>
        <w:spacing w:before="62"/>
        <w:rPr>
          <w:color w:val="auto"/>
          <w:sz w:val="28"/>
          <w:szCs w:val="28"/>
        </w:rPr>
      </w:pPr>
      <w:bookmarkStart w:id="537" w:name="_Toc721"/>
      <w:bookmarkStart w:id="538" w:name="_Toc2785"/>
      <w:bookmarkStart w:id="539" w:name="_Toc519085313"/>
      <w:bookmarkStart w:id="540" w:name="_Toc154063420"/>
      <w:bookmarkStart w:id="541" w:name="_Toc23883"/>
      <w:r>
        <w:rPr>
          <w:color w:val="auto"/>
          <w:sz w:val="28"/>
          <w:szCs w:val="28"/>
        </w:rPr>
        <w:t>7. 合同授予</w:t>
      </w:r>
      <w:bookmarkEnd w:id="519"/>
      <w:bookmarkEnd w:id="520"/>
      <w:bookmarkEnd w:id="521"/>
      <w:bookmarkEnd w:id="522"/>
      <w:bookmarkEnd w:id="523"/>
      <w:bookmarkEnd w:id="537"/>
      <w:bookmarkEnd w:id="538"/>
      <w:bookmarkEnd w:id="539"/>
      <w:bookmarkEnd w:id="540"/>
      <w:bookmarkEnd w:id="541"/>
    </w:p>
    <w:p w14:paraId="01F4C594">
      <w:pPr>
        <w:pStyle w:val="113"/>
        <w:outlineLvl w:val="0"/>
        <w:rPr>
          <w:rFonts w:ascii="黑体" w:hAnsi="黑体"/>
          <w:color w:val="auto"/>
        </w:rPr>
      </w:pPr>
      <w:bookmarkStart w:id="542" w:name="_Toc28452"/>
      <w:bookmarkStart w:id="543" w:name="_Toc144974535"/>
      <w:bookmarkStart w:id="544" w:name="_Toc14215"/>
      <w:bookmarkStart w:id="545" w:name="_Toc247527592"/>
      <w:bookmarkStart w:id="546" w:name="_Toc247513991"/>
      <w:bookmarkStart w:id="547" w:name="_Toc154063421"/>
      <w:bookmarkStart w:id="548" w:name="_Toc450"/>
      <w:bookmarkStart w:id="549" w:name="_Toc519085314"/>
      <w:bookmarkStart w:id="550" w:name="_Toc152042343"/>
      <w:bookmarkStart w:id="551" w:name="_Toc152045567"/>
      <w:r>
        <w:rPr>
          <w:rFonts w:ascii="黑体" w:hAnsi="黑体"/>
          <w:color w:val="auto"/>
        </w:rPr>
        <w:t>7.1 定标方式</w:t>
      </w:r>
      <w:bookmarkEnd w:id="542"/>
      <w:bookmarkEnd w:id="543"/>
      <w:bookmarkEnd w:id="544"/>
      <w:bookmarkEnd w:id="545"/>
      <w:bookmarkEnd w:id="546"/>
      <w:bookmarkEnd w:id="547"/>
      <w:bookmarkEnd w:id="548"/>
      <w:bookmarkEnd w:id="549"/>
      <w:bookmarkEnd w:id="550"/>
      <w:bookmarkEnd w:id="551"/>
    </w:p>
    <w:p w14:paraId="106EC02B">
      <w:pPr>
        <w:spacing w:line="400" w:lineRule="exact"/>
        <w:ind w:firstLine="420" w:firstLineChars="200"/>
        <w:rPr>
          <w:color w:val="auto"/>
        </w:rPr>
      </w:pPr>
      <w:r>
        <w:rPr>
          <w:color w:val="auto"/>
        </w:rPr>
        <w:t>除投标人须知前附表规定评标委员会直接确定中标人外</w:t>
      </w:r>
      <w:r>
        <w:rPr>
          <w:rFonts w:hint="eastAsia"/>
          <w:color w:val="auto"/>
        </w:rPr>
        <w:t>，</w:t>
      </w:r>
      <w:r>
        <w:rPr>
          <w:color w:val="auto"/>
        </w:rPr>
        <w:t>招标人依据评标委员会推荐的中标候选人确定中标人，评标委员会推荐中标候选人的人数见投标人须知前附表。</w:t>
      </w:r>
    </w:p>
    <w:p w14:paraId="2C22ABE9">
      <w:pPr>
        <w:pStyle w:val="113"/>
        <w:outlineLvl w:val="0"/>
        <w:rPr>
          <w:rFonts w:ascii="黑体" w:hAnsi="黑体"/>
          <w:color w:val="auto"/>
        </w:rPr>
      </w:pPr>
      <w:bookmarkStart w:id="552" w:name="_Toc179632586"/>
      <w:bookmarkStart w:id="553" w:name="_Toc23415"/>
      <w:bookmarkStart w:id="554" w:name="_Toc456173236"/>
      <w:bookmarkStart w:id="555" w:name="_Toc22313"/>
      <w:bookmarkStart w:id="556" w:name="_Toc995"/>
      <w:bookmarkStart w:id="557" w:name="_Toc154063422"/>
      <w:bookmarkStart w:id="558" w:name="_Toc519085315"/>
      <w:r>
        <w:rPr>
          <w:rFonts w:ascii="黑体" w:hAnsi="黑体"/>
          <w:color w:val="auto"/>
        </w:rPr>
        <w:t>7.2 中标通知</w:t>
      </w:r>
      <w:bookmarkEnd w:id="552"/>
      <w:bookmarkEnd w:id="553"/>
      <w:bookmarkEnd w:id="554"/>
      <w:bookmarkEnd w:id="555"/>
      <w:bookmarkEnd w:id="556"/>
      <w:bookmarkEnd w:id="557"/>
      <w:bookmarkEnd w:id="558"/>
    </w:p>
    <w:p w14:paraId="220EA6C8">
      <w:pPr>
        <w:spacing w:line="400" w:lineRule="exact"/>
        <w:ind w:firstLine="420" w:firstLineChars="200"/>
        <w:rPr>
          <w:rFonts w:hint="eastAsia"/>
          <w:color w:val="auto"/>
        </w:rPr>
      </w:pPr>
      <w:r>
        <w:rPr>
          <w:rFonts w:hint="eastAsia"/>
          <w:color w:val="auto"/>
        </w:rPr>
        <w:t>评标结果公示期满后，在本章第3.3款规定的投标有效期内，招标人通过“电子交易平台”以书面形式向中标人发出中标通知书，同时将中标结果通知未中标的投标人。</w:t>
      </w:r>
    </w:p>
    <w:p w14:paraId="4057A3DE">
      <w:pPr>
        <w:spacing w:line="400" w:lineRule="exact"/>
        <w:ind w:firstLine="420" w:firstLineChars="200"/>
        <w:rPr>
          <w:rFonts w:hint="eastAsia"/>
          <w:color w:val="auto"/>
        </w:rPr>
      </w:pPr>
      <w:r>
        <w:rPr>
          <w:rFonts w:hint="eastAsia"/>
          <w:color w:val="auto"/>
        </w:rPr>
        <w:t>中标通知书发出的同时，招标人将在投标人须知前附表第6.4款规定的媒介发布中标结果公告。</w:t>
      </w:r>
    </w:p>
    <w:p w14:paraId="3A8B5B1A">
      <w:pPr>
        <w:pStyle w:val="113"/>
        <w:outlineLvl w:val="0"/>
        <w:rPr>
          <w:rFonts w:ascii="黑体" w:hAnsi="黑体"/>
          <w:color w:val="auto"/>
        </w:rPr>
      </w:pPr>
      <w:bookmarkStart w:id="559" w:name="_Toc456173237"/>
      <w:bookmarkStart w:id="560" w:name="_Toc179632587"/>
      <w:bookmarkStart w:id="561" w:name="_Toc154063423"/>
      <w:bookmarkStart w:id="562" w:name="_Toc32364"/>
      <w:bookmarkStart w:id="563" w:name="_Toc519085316"/>
      <w:bookmarkStart w:id="564" w:name="_Toc11825"/>
      <w:bookmarkStart w:id="565" w:name="_Toc3970"/>
      <w:r>
        <w:rPr>
          <w:rFonts w:ascii="黑体" w:hAnsi="黑体"/>
          <w:color w:val="auto"/>
        </w:rPr>
        <w:t>7.3 履约</w:t>
      </w:r>
      <w:bookmarkEnd w:id="559"/>
      <w:bookmarkEnd w:id="560"/>
      <w:r>
        <w:rPr>
          <w:rFonts w:hint="eastAsia" w:ascii="黑体" w:hAnsi="黑体"/>
          <w:color w:val="auto"/>
        </w:rPr>
        <w:t>保证金</w:t>
      </w:r>
      <w:bookmarkEnd w:id="561"/>
      <w:bookmarkEnd w:id="562"/>
      <w:bookmarkEnd w:id="563"/>
      <w:bookmarkEnd w:id="564"/>
      <w:bookmarkEnd w:id="565"/>
    </w:p>
    <w:p w14:paraId="610E81AC">
      <w:pPr>
        <w:spacing w:line="400" w:lineRule="exact"/>
        <w:ind w:firstLine="420" w:firstLineChars="200"/>
        <w:rPr>
          <w:rFonts w:hint="eastAsia"/>
          <w:color w:val="auto"/>
        </w:rPr>
      </w:pPr>
      <w:r>
        <w:rPr>
          <w:rFonts w:hint="eastAsia"/>
          <w:color w:val="auto"/>
        </w:rPr>
        <w:t>7.3.1在签订合同前，中标人应按投标人须知前附表规定的金额、担保形式和招标文件第四章“合同条款及格式”规定的履约保证金格式或者事先经过招标人书面认可的履约保证金格式向招标人提交履约担保。除投标人须知前附表另有规定外，履约担保金额为中标合同金额的</w:t>
      </w:r>
      <w:r>
        <w:rPr>
          <w:color w:val="auto"/>
        </w:rPr>
        <w:t>10%</w:t>
      </w:r>
      <w:r>
        <w:rPr>
          <w:rFonts w:hint="eastAsia"/>
          <w:color w:val="auto"/>
        </w:rPr>
        <w:t>。联合体中标的，其履约保证金由牵头人递交，并应符合投标人须知前附表的规定。</w:t>
      </w:r>
    </w:p>
    <w:p w14:paraId="11B7A6C1">
      <w:pPr>
        <w:spacing w:line="400" w:lineRule="exact"/>
        <w:ind w:firstLine="420" w:firstLineChars="200"/>
        <w:rPr>
          <w:rFonts w:hint="eastAsia"/>
          <w:color w:val="auto"/>
        </w:rPr>
      </w:pPr>
      <w:r>
        <w:rPr>
          <w:rFonts w:hint="eastAsia"/>
          <w:color w:val="auto"/>
        </w:rPr>
        <w:t>7.3.2 中标人不能按本章第7.3.1项要求提交履约保证金的，视为放弃中标，其投标保证金不予退还，给招标人造成的损失超过投标保证金数额的，中标人还应当对超过部分予以赔偿。</w:t>
      </w:r>
    </w:p>
    <w:p w14:paraId="7BB6AB42">
      <w:pPr>
        <w:pStyle w:val="113"/>
        <w:outlineLvl w:val="0"/>
        <w:rPr>
          <w:rFonts w:ascii="黑体" w:hAnsi="黑体"/>
          <w:color w:val="auto"/>
        </w:rPr>
      </w:pPr>
      <w:bookmarkStart w:id="566" w:name="_Toc456173238"/>
      <w:bookmarkStart w:id="567" w:name="_Toc31230"/>
      <w:bookmarkStart w:id="568" w:name="_Toc21168"/>
      <w:bookmarkStart w:id="569" w:name="_Toc1486"/>
      <w:bookmarkStart w:id="570" w:name="_Toc154063424"/>
      <w:bookmarkStart w:id="571" w:name="_Toc519085317"/>
      <w:r>
        <w:rPr>
          <w:rFonts w:ascii="黑体" w:hAnsi="黑体"/>
          <w:color w:val="auto"/>
        </w:rPr>
        <w:t>7.4 签订合同</w:t>
      </w:r>
      <w:bookmarkEnd w:id="566"/>
      <w:bookmarkEnd w:id="567"/>
      <w:bookmarkEnd w:id="568"/>
      <w:bookmarkEnd w:id="569"/>
      <w:bookmarkEnd w:id="570"/>
      <w:bookmarkEnd w:id="571"/>
    </w:p>
    <w:p w14:paraId="4370246C">
      <w:pPr>
        <w:spacing w:line="400" w:lineRule="exact"/>
        <w:ind w:firstLine="420" w:firstLineChars="200"/>
        <w:rPr>
          <w:rFonts w:hint="eastAsia"/>
          <w:color w:val="auto"/>
        </w:rPr>
      </w:pPr>
      <w:bookmarkStart w:id="572" w:name="_Toc221950219"/>
      <w:r>
        <w:rPr>
          <w:rFonts w:hint="eastAsia"/>
          <w:color w:val="auto"/>
        </w:rPr>
        <w:t>7.4.1招标人和中标人应当在投标有效期内并自中标通知书发出之日起30日内，根据招标文件和中标人的投标文件（</w:t>
      </w:r>
      <w:r>
        <w:rPr>
          <w:color w:val="auto"/>
        </w:rPr>
        <w:t>以</w:t>
      </w:r>
      <w:r>
        <w:rPr>
          <w:rFonts w:hint="eastAsia"/>
          <w:color w:val="auto"/>
        </w:rPr>
        <w:t>经评标委员会</w:t>
      </w:r>
      <w:r>
        <w:rPr>
          <w:color w:val="auto"/>
        </w:rPr>
        <w:t>评审的文件</w:t>
      </w:r>
      <w:r>
        <w:rPr>
          <w:rFonts w:hint="eastAsia"/>
          <w:color w:val="auto"/>
        </w:rPr>
        <w:t>版本</w:t>
      </w:r>
      <w:r>
        <w:rPr>
          <w:color w:val="auto"/>
        </w:rPr>
        <w:t>为准）</w:t>
      </w:r>
      <w:r>
        <w:rPr>
          <w:rFonts w:hint="eastAsia"/>
          <w:color w:val="auto"/>
        </w:rPr>
        <w:t xml:space="preserve">订立书面合同。中标人无正当理由拒签合同或在签订合同时向招标人提出附加条件的，招标人取消其中标资格，其投标保证金不予退还；给招标人造成的损失超过投标保证金数额的，中标人还应当对超过部分予以赔偿。 </w:t>
      </w:r>
    </w:p>
    <w:p w14:paraId="772C3760">
      <w:pPr>
        <w:spacing w:line="400" w:lineRule="exact"/>
        <w:ind w:firstLine="420" w:firstLineChars="200"/>
        <w:rPr>
          <w:rFonts w:hint="eastAsia"/>
          <w:color w:val="auto"/>
        </w:rPr>
      </w:pPr>
      <w:r>
        <w:rPr>
          <w:rFonts w:hint="eastAsia"/>
          <w:color w:val="auto"/>
        </w:rPr>
        <w:t xml:space="preserve">7.4.2 发出中标通知书后，招标人无正当理由拒签合同的，招标人向中标人退还投标保证金；给中标人造成损失的，还应当赔偿损失。 </w:t>
      </w:r>
    </w:p>
    <w:p w14:paraId="08120638">
      <w:pPr>
        <w:spacing w:line="400" w:lineRule="exact"/>
        <w:ind w:firstLine="420" w:firstLineChars="200"/>
        <w:rPr>
          <w:rFonts w:hint="eastAsia"/>
          <w:color w:val="auto"/>
        </w:rPr>
      </w:pPr>
      <w:r>
        <w:rPr>
          <w:rFonts w:hint="eastAsia"/>
          <w:color w:val="auto"/>
        </w:rPr>
        <w:t>7.4.3 签约合同价的确定原则如下：</w:t>
      </w:r>
    </w:p>
    <w:p w14:paraId="2C36F900">
      <w:pPr>
        <w:spacing w:line="400" w:lineRule="exact"/>
        <w:ind w:firstLine="420" w:firstLineChars="200"/>
        <w:rPr>
          <w:rFonts w:hint="eastAsia"/>
          <w:color w:val="auto"/>
        </w:rPr>
      </w:pPr>
      <w:r>
        <w:rPr>
          <w:rFonts w:hint="eastAsia"/>
          <w:color w:val="auto"/>
        </w:rPr>
        <w:t>开标时投标函中大写投标总价应为签约合同价。按照第三章“评标办法”的规定，如投标报价有算术错误的，修正的价格经投标人书面确认后，以修正后的投标总价为签约合同价。</w:t>
      </w:r>
    </w:p>
    <w:p w14:paraId="3033AC72">
      <w:pPr>
        <w:spacing w:line="400" w:lineRule="exact"/>
        <w:ind w:firstLine="420" w:firstLineChars="200"/>
        <w:rPr>
          <w:rFonts w:hint="eastAsia"/>
          <w:color w:val="auto"/>
        </w:rPr>
      </w:pPr>
      <w:r>
        <w:rPr>
          <w:rFonts w:hint="eastAsia"/>
          <w:color w:val="auto"/>
        </w:rPr>
        <w:t>7.4.4 中标人应当在合同签订后15日内，登录“电子交易平台”提交电子合同文件归档。</w:t>
      </w:r>
    </w:p>
    <w:bookmarkEnd w:id="572"/>
    <w:p w14:paraId="2F312E73">
      <w:pPr>
        <w:pStyle w:val="3"/>
        <w:spacing w:before="62"/>
        <w:rPr>
          <w:color w:val="auto"/>
          <w:sz w:val="28"/>
          <w:szCs w:val="28"/>
        </w:rPr>
      </w:pPr>
      <w:bookmarkStart w:id="573" w:name="_Toc387753559"/>
      <w:bookmarkStart w:id="574" w:name="_Toc32696"/>
      <w:bookmarkStart w:id="575" w:name="_Toc519085318"/>
      <w:bookmarkStart w:id="576" w:name="_Toc456173239"/>
      <w:bookmarkStart w:id="577" w:name="_Toc154063425"/>
      <w:bookmarkStart w:id="578" w:name="_Toc2148"/>
      <w:bookmarkStart w:id="579" w:name="_Toc11589"/>
      <w:r>
        <w:rPr>
          <w:color w:val="auto"/>
          <w:sz w:val="28"/>
          <w:szCs w:val="28"/>
        </w:rPr>
        <w:t>8. 重新招标</w:t>
      </w:r>
      <w:bookmarkEnd w:id="573"/>
      <w:r>
        <w:rPr>
          <w:color w:val="auto"/>
          <w:sz w:val="28"/>
          <w:szCs w:val="28"/>
        </w:rPr>
        <w:t>、不再招标和终止招标</w:t>
      </w:r>
      <w:bookmarkEnd w:id="574"/>
      <w:bookmarkEnd w:id="575"/>
      <w:bookmarkEnd w:id="576"/>
      <w:bookmarkEnd w:id="577"/>
      <w:bookmarkEnd w:id="578"/>
      <w:bookmarkEnd w:id="579"/>
    </w:p>
    <w:p w14:paraId="53BE6EFD">
      <w:pPr>
        <w:pStyle w:val="113"/>
        <w:outlineLvl w:val="0"/>
        <w:rPr>
          <w:rFonts w:ascii="黑体" w:hAnsi="黑体"/>
          <w:color w:val="auto"/>
        </w:rPr>
      </w:pPr>
      <w:bookmarkStart w:id="580" w:name="_Toc144974540"/>
      <w:bookmarkStart w:id="581" w:name="_Toc4842"/>
      <w:bookmarkStart w:id="582" w:name="_Toc23253"/>
      <w:bookmarkStart w:id="583" w:name="_Toc179632590"/>
      <w:bookmarkStart w:id="584" w:name="_Toc6740"/>
      <w:bookmarkStart w:id="585" w:name="_Toc519085319"/>
      <w:bookmarkStart w:id="586" w:name="_Toc456173240"/>
      <w:bookmarkStart w:id="587" w:name="_Toc152042348"/>
      <w:bookmarkStart w:id="588" w:name="_Toc152045572"/>
      <w:bookmarkStart w:id="589" w:name="_Toc154063426"/>
      <w:bookmarkStart w:id="590" w:name="_Toc221950225"/>
      <w:r>
        <w:rPr>
          <w:rFonts w:ascii="黑体" w:hAnsi="黑体"/>
          <w:color w:val="auto"/>
        </w:rPr>
        <w:t>8.1 重新招标</w:t>
      </w:r>
      <w:bookmarkEnd w:id="580"/>
      <w:bookmarkEnd w:id="581"/>
      <w:bookmarkEnd w:id="582"/>
      <w:bookmarkEnd w:id="583"/>
      <w:bookmarkEnd w:id="584"/>
      <w:bookmarkEnd w:id="585"/>
      <w:bookmarkEnd w:id="586"/>
      <w:bookmarkEnd w:id="587"/>
      <w:bookmarkEnd w:id="588"/>
      <w:bookmarkEnd w:id="589"/>
    </w:p>
    <w:p w14:paraId="78E2AA34">
      <w:pPr>
        <w:spacing w:line="400" w:lineRule="exact"/>
        <w:ind w:firstLine="420" w:firstLineChars="200"/>
        <w:rPr>
          <w:color w:val="auto"/>
        </w:rPr>
      </w:pPr>
      <w:r>
        <w:rPr>
          <w:color w:val="auto"/>
        </w:rPr>
        <w:t>有下列情形之一的，招标人将重新招标：</w:t>
      </w:r>
    </w:p>
    <w:p w14:paraId="59F2A5B7">
      <w:pPr>
        <w:spacing w:line="400" w:lineRule="exact"/>
        <w:ind w:firstLine="420" w:firstLineChars="200"/>
        <w:rPr>
          <w:color w:val="auto"/>
        </w:rPr>
      </w:pPr>
      <w:r>
        <w:rPr>
          <w:color w:val="auto"/>
        </w:rPr>
        <w:t>（1）投标截止时间止，投标人少于3个的；</w:t>
      </w:r>
    </w:p>
    <w:p w14:paraId="5DC8A9D7">
      <w:pPr>
        <w:spacing w:line="400" w:lineRule="exact"/>
        <w:ind w:firstLine="420" w:firstLineChars="200"/>
        <w:rPr>
          <w:color w:val="auto"/>
        </w:rPr>
      </w:pPr>
      <w:r>
        <w:rPr>
          <w:color w:val="auto"/>
        </w:rPr>
        <w:t>（2）经评标委员会评审后否决所有投标的；</w:t>
      </w:r>
    </w:p>
    <w:p w14:paraId="344C597A">
      <w:pPr>
        <w:spacing w:line="400" w:lineRule="exact"/>
        <w:ind w:firstLine="420" w:firstLineChars="200"/>
        <w:rPr>
          <w:color w:val="auto"/>
        </w:rPr>
      </w:pPr>
      <w:r>
        <w:rPr>
          <w:color w:val="auto"/>
        </w:rPr>
        <w:t>（3）</w:t>
      </w:r>
      <w:r>
        <w:rPr>
          <w:rFonts w:hint="eastAsia"/>
          <w:color w:val="auto"/>
        </w:rPr>
        <w:t>第一中标候选人或所有中标候选人均未与招标人签订合同的；</w:t>
      </w:r>
    </w:p>
    <w:p w14:paraId="5E44D346">
      <w:pPr>
        <w:spacing w:line="400" w:lineRule="exact"/>
        <w:ind w:firstLine="420" w:firstLineChars="200"/>
        <w:rPr>
          <w:color w:val="auto"/>
        </w:rPr>
      </w:pPr>
      <w:r>
        <w:rPr>
          <w:color w:val="auto"/>
        </w:rPr>
        <w:t>（4）法律、法规规定的其他情形。</w:t>
      </w:r>
    </w:p>
    <w:p w14:paraId="72788747">
      <w:pPr>
        <w:pStyle w:val="113"/>
        <w:outlineLvl w:val="0"/>
        <w:rPr>
          <w:rFonts w:ascii="黑体" w:hAnsi="黑体"/>
          <w:color w:val="auto"/>
        </w:rPr>
      </w:pPr>
      <w:bookmarkStart w:id="591" w:name="_Toc154063427"/>
      <w:bookmarkStart w:id="592" w:name="_Toc456173241"/>
      <w:bookmarkStart w:id="593" w:name="_Toc17364"/>
      <w:bookmarkStart w:id="594" w:name="_Toc519085320"/>
      <w:bookmarkStart w:id="595" w:name="_Toc426495799"/>
      <w:bookmarkStart w:id="596" w:name="_Toc30989"/>
      <w:bookmarkStart w:id="597" w:name="_Toc22798"/>
      <w:r>
        <w:rPr>
          <w:rFonts w:ascii="黑体" w:hAnsi="黑体"/>
          <w:color w:val="auto"/>
        </w:rPr>
        <w:t>8.2 不再招标</w:t>
      </w:r>
      <w:bookmarkEnd w:id="591"/>
      <w:bookmarkEnd w:id="592"/>
      <w:bookmarkEnd w:id="593"/>
      <w:bookmarkEnd w:id="594"/>
      <w:bookmarkEnd w:id="595"/>
      <w:bookmarkEnd w:id="596"/>
      <w:bookmarkEnd w:id="597"/>
    </w:p>
    <w:p w14:paraId="56E1A1A1">
      <w:pPr>
        <w:spacing w:line="400" w:lineRule="exact"/>
        <w:ind w:firstLine="420" w:firstLineChars="200"/>
        <w:rPr>
          <w:color w:val="auto"/>
        </w:rPr>
      </w:pPr>
      <w:r>
        <w:rPr>
          <w:color w:val="auto"/>
        </w:rPr>
        <w:t>重新招标后投标人仍少于3个或者所有投标被否决的，属于必须审批或核准的工程建设项目，经原审批或核准部门批准后不再进行招标。</w:t>
      </w:r>
    </w:p>
    <w:p w14:paraId="54DAED7E">
      <w:pPr>
        <w:pStyle w:val="113"/>
        <w:outlineLvl w:val="0"/>
        <w:rPr>
          <w:rFonts w:ascii="黑体" w:hAnsi="黑体"/>
          <w:color w:val="auto"/>
        </w:rPr>
      </w:pPr>
      <w:bookmarkStart w:id="598" w:name="_Toc519085321"/>
      <w:bookmarkStart w:id="599" w:name="_Toc154063428"/>
      <w:bookmarkStart w:id="600" w:name="_Toc30469"/>
      <w:bookmarkStart w:id="601" w:name="_Toc16340"/>
      <w:bookmarkStart w:id="602" w:name="_Toc456173242"/>
      <w:bookmarkStart w:id="603" w:name="_Toc31606"/>
      <w:bookmarkStart w:id="604" w:name="_Toc152045573"/>
      <w:bookmarkStart w:id="605" w:name="_Toc144974541"/>
      <w:bookmarkStart w:id="606" w:name="_Toc179632591"/>
      <w:bookmarkStart w:id="607" w:name="_Toc152042349"/>
      <w:r>
        <w:rPr>
          <w:rFonts w:ascii="黑体" w:hAnsi="黑体"/>
          <w:color w:val="auto"/>
        </w:rPr>
        <w:t>8.3 终止招标</w:t>
      </w:r>
      <w:bookmarkEnd w:id="598"/>
      <w:bookmarkEnd w:id="599"/>
      <w:bookmarkEnd w:id="600"/>
      <w:bookmarkEnd w:id="601"/>
      <w:bookmarkEnd w:id="602"/>
      <w:bookmarkEnd w:id="603"/>
    </w:p>
    <w:p w14:paraId="4BD927E4">
      <w:pPr>
        <w:spacing w:line="400" w:lineRule="exact"/>
        <w:ind w:firstLine="420" w:firstLineChars="200"/>
        <w:rPr>
          <w:rFonts w:hint="eastAsia"/>
          <w:color w:val="auto"/>
        </w:rPr>
      </w:pPr>
      <w:r>
        <w:rPr>
          <w:rFonts w:hint="eastAsia"/>
          <w:color w:val="auto"/>
        </w:rPr>
        <w:t>因不可抗力等原因，招标人终止招标的，将通过“电子交易平台”及时发布公告，或者以书面形式通知被邀请的或者已经获取招标文件的潜在投标人。已经发售招标文件或者已经收取投标保证金的，招标人将及时退还所收取的招标文件的费用，以及所收取的投标保证金及银行同期存款利息。</w:t>
      </w:r>
    </w:p>
    <w:bookmarkEnd w:id="590"/>
    <w:bookmarkEnd w:id="604"/>
    <w:bookmarkEnd w:id="605"/>
    <w:bookmarkEnd w:id="606"/>
    <w:bookmarkEnd w:id="607"/>
    <w:p w14:paraId="57857221">
      <w:pPr>
        <w:pStyle w:val="3"/>
        <w:spacing w:before="62"/>
        <w:rPr>
          <w:color w:val="auto"/>
          <w:sz w:val="28"/>
          <w:szCs w:val="28"/>
        </w:rPr>
      </w:pPr>
      <w:bookmarkStart w:id="608" w:name="_Toc229305349"/>
      <w:bookmarkStart w:id="609" w:name="_Toc221950226"/>
      <w:bookmarkStart w:id="610" w:name="_Toc387753560"/>
      <w:bookmarkStart w:id="611" w:name="_Toc222032658"/>
      <w:bookmarkStart w:id="612" w:name="_Toc154063429"/>
      <w:bookmarkStart w:id="613" w:name="_Toc168476092"/>
      <w:bookmarkStart w:id="614" w:name="_Toc222029489"/>
      <w:bookmarkStart w:id="615" w:name="_Toc168475689"/>
      <w:bookmarkStart w:id="616" w:name="_Toc456173243"/>
      <w:bookmarkStart w:id="617" w:name="_Toc17567"/>
      <w:bookmarkStart w:id="618" w:name="_Toc17390"/>
      <w:bookmarkStart w:id="619" w:name="_Toc222030991"/>
      <w:bookmarkStart w:id="620" w:name="_Toc15189"/>
      <w:bookmarkStart w:id="621" w:name="_Toc519085322"/>
      <w:bookmarkStart w:id="622" w:name="_Toc222033840"/>
      <w:r>
        <w:rPr>
          <w:color w:val="auto"/>
          <w:sz w:val="28"/>
          <w:szCs w:val="28"/>
        </w:rPr>
        <w:t>9. 纪律和监督</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p w14:paraId="41DF4320">
      <w:pPr>
        <w:pStyle w:val="113"/>
        <w:outlineLvl w:val="0"/>
        <w:rPr>
          <w:rFonts w:ascii="黑体" w:hAnsi="黑体"/>
          <w:color w:val="auto"/>
        </w:rPr>
      </w:pPr>
      <w:bookmarkStart w:id="623" w:name="_Toc14618"/>
      <w:bookmarkStart w:id="624" w:name="_Toc179632593"/>
      <w:bookmarkStart w:id="625" w:name="_Toc154063430"/>
      <w:bookmarkStart w:id="626" w:name="_Toc519085323"/>
      <w:bookmarkStart w:id="627" w:name="_Toc456173244"/>
      <w:bookmarkStart w:id="628" w:name="_Toc7021"/>
      <w:bookmarkStart w:id="629" w:name="_Toc7388"/>
      <w:r>
        <w:rPr>
          <w:rFonts w:ascii="黑体" w:hAnsi="黑体"/>
          <w:color w:val="auto"/>
        </w:rPr>
        <w:t>9.1 对招标人的纪律要求</w:t>
      </w:r>
      <w:bookmarkEnd w:id="623"/>
      <w:bookmarkEnd w:id="624"/>
      <w:bookmarkEnd w:id="625"/>
      <w:bookmarkEnd w:id="626"/>
      <w:bookmarkEnd w:id="627"/>
      <w:bookmarkEnd w:id="628"/>
      <w:bookmarkEnd w:id="629"/>
    </w:p>
    <w:p w14:paraId="715C36A0">
      <w:pPr>
        <w:spacing w:line="400" w:lineRule="exact"/>
        <w:ind w:firstLine="420" w:firstLineChars="200"/>
        <w:rPr>
          <w:color w:val="auto"/>
        </w:rPr>
      </w:pPr>
      <w:r>
        <w:rPr>
          <w:color w:val="auto"/>
        </w:rPr>
        <w:t>招标人不得泄漏招标投标活动中应当保密的情况和资料，不得与投标人串通损害国家利益、社会公共利益或者他人合法权益。</w:t>
      </w:r>
    </w:p>
    <w:p w14:paraId="0865AA9D">
      <w:pPr>
        <w:pStyle w:val="113"/>
        <w:outlineLvl w:val="0"/>
        <w:rPr>
          <w:rFonts w:ascii="黑体" w:hAnsi="黑体"/>
          <w:color w:val="auto"/>
        </w:rPr>
      </w:pPr>
      <w:bookmarkStart w:id="630" w:name="_Toc27262"/>
      <w:bookmarkStart w:id="631" w:name="_Toc456173245"/>
      <w:bookmarkStart w:id="632" w:name="_Toc24568"/>
      <w:bookmarkStart w:id="633" w:name="_Toc154063431"/>
      <w:bookmarkStart w:id="634" w:name="_Toc519085324"/>
      <w:bookmarkStart w:id="635" w:name="_Toc29895"/>
      <w:r>
        <w:rPr>
          <w:rFonts w:ascii="黑体" w:hAnsi="黑体"/>
          <w:color w:val="auto"/>
        </w:rPr>
        <w:t>9.2 对投标人的纪律要求</w:t>
      </w:r>
      <w:bookmarkEnd w:id="630"/>
      <w:bookmarkEnd w:id="631"/>
      <w:bookmarkEnd w:id="632"/>
      <w:bookmarkEnd w:id="633"/>
      <w:bookmarkEnd w:id="634"/>
      <w:bookmarkEnd w:id="635"/>
    </w:p>
    <w:p w14:paraId="190B5A14">
      <w:pPr>
        <w:spacing w:line="400" w:lineRule="exact"/>
        <w:ind w:firstLine="420" w:firstLineChars="200"/>
        <w:rPr>
          <w:color w:val="auto"/>
        </w:rPr>
      </w:pPr>
      <w:r>
        <w:rPr>
          <w:color w:val="auto"/>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7FE8E36D">
      <w:pPr>
        <w:pStyle w:val="113"/>
        <w:outlineLvl w:val="0"/>
        <w:rPr>
          <w:rFonts w:ascii="黑体" w:hAnsi="黑体"/>
          <w:color w:val="auto"/>
        </w:rPr>
      </w:pPr>
      <w:bookmarkStart w:id="636" w:name="_Toc24596"/>
      <w:bookmarkStart w:id="637" w:name="_Toc456173246"/>
      <w:bookmarkStart w:id="638" w:name="_Toc179632595"/>
      <w:bookmarkStart w:id="639" w:name="_Toc8187"/>
      <w:bookmarkStart w:id="640" w:name="_Toc7006"/>
      <w:bookmarkStart w:id="641" w:name="_Toc519085325"/>
      <w:bookmarkStart w:id="642" w:name="_Toc154063432"/>
      <w:r>
        <w:rPr>
          <w:rFonts w:ascii="黑体" w:hAnsi="黑体"/>
          <w:color w:val="auto"/>
        </w:rPr>
        <w:t>9.3 对评标委员会成员的纪律要求</w:t>
      </w:r>
      <w:bookmarkEnd w:id="636"/>
      <w:bookmarkEnd w:id="637"/>
      <w:bookmarkEnd w:id="638"/>
      <w:bookmarkEnd w:id="639"/>
      <w:bookmarkEnd w:id="640"/>
      <w:bookmarkEnd w:id="641"/>
      <w:bookmarkEnd w:id="642"/>
    </w:p>
    <w:p w14:paraId="27A6C329">
      <w:pPr>
        <w:spacing w:line="400" w:lineRule="exact"/>
        <w:ind w:firstLine="420" w:firstLineChars="200"/>
        <w:rPr>
          <w:color w:val="auto"/>
        </w:rPr>
      </w:pPr>
      <w:bookmarkStart w:id="643" w:name="_Toc179632596"/>
      <w:r>
        <w:rPr>
          <w:color w:val="auto"/>
        </w:rPr>
        <w:t>评标委员会成员不得与任何投标人或者与招标结果有利害关系的人进行私下接触，不得收受投标人、中介人、其他利害关系人的财物或者其他好处，不得向他人透漏对投标文件的评审和比较、中标候选人的推荐情况以及评标有关的其他情况。在评标活动中，评标委员会成员不得应当回避而不回避，不得擅离职守，影响评标程序正常进行，不得向招标人征询其确定中标人的意向，不得接受任何单位或者个人明示或者暗示提出的倾向或者排斥特定投标人的要求，不得对依法应当否决的投标不提出否决意见，不得暗示或者诱导投标人作出澄清、说明或者接受投标人主动提出的澄清、说明；不得使用第</w:t>
      </w:r>
      <w:r>
        <w:rPr>
          <w:rFonts w:hint="eastAsia"/>
          <w:color w:val="auto"/>
        </w:rPr>
        <w:t>三</w:t>
      </w:r>
      <w:r>
        <w:rPr>
          <w:color w:val="auto"/>
        </w:rPr>
        <w:t>章“评标办法”没有规定的评审因素和标准进行评标。</w:t>
      </w:r>
    </w:p>
    <w:p w14:paraId="785F6F94">
      <w:pPr>
        <w:pStyle w:val="113"/>
        <w:outlineLvl w:val="0"/>
        <w:rPr>
          <w:rFonts w:ascii="黑体" w:hAnsi="黑体"/>
          <w:color w:val="auto"/>
        </w:rPr>
      </w:pPr>
      <w:bookmarkStart w:id="644" w:name="_Toc154063433"/>
      <w:bookmarkStart w:id="645" w:name="_Toc22835"/>
      <w:bookmarkStart w:id="646" w:name="_Toc519085326"/>
      <w:bookmarkStart w:id="647" w:name="_Toc16891"/>
      <w:bookmarkStart w:id="648" w:name="_Toc10"/>
      <w:bookmarkStart w:id="649" w:name="_Toc456173247"/>
      <w:r>
        <w:rPr>
          <w:rFonts w:ascii="黑体" w:hAnsi="黑体"/>
          <w:color w:val="auto"/>
        </w:rPr>
        <w:t>9.4 对与评标活动有关的工作人员的纪律要求</w:t>
      </w:r>
      <w:bookmarkEnd w:id="643"/>
      <w:bookmarkEnd w:id="644"/>
      <w:bookmarkEnd w:id="645"/>
      <w:bookmarkEnd w:id="646"/>
      <w:bookmarkEnd w:id="647"/>
      <w:bookmarkEnd w:id="648"/>
      <w:bookmarkEnd w:id="649"/>
    </w:p>
    <w:p w14:paraId="6D69C5A3">
      <w:pPr>
        <w:spacing w:line="400" w:lineRule="exact"/>
        <w:ind w:firstLine="420" w:firstLineChars="200"/>
        <w:rPr>
          <w:color w:val="auto"/>
        </w:rPr>
      </w:pPr>
      <w:r>
        <w:rPr>
          <w:color w:val="auto"/>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294FBFDE">
      <w:pPr>
        <w:pStyle w:val="113"/>
        <w:outlineLvl w:val="0"/>
        <w:rPr>
          <w:rFonts w:ascii="黑体" w:hAnsi="黑体"/>
          <w:color w:val="auto"/>
        </w:rPr>
      </w:pPr>
      <w:bookmarkStart w:id="650" w:name="_Toc3992"/>
      <w:bookmarkStart w:id="651" w:name="_Toc154063434"/>
      <w:bookmarkStart w:id="652" w:name="_Toc2873"/>
      <w:bookmarkStart w:id="653" w:name="_Toc519085327"/>
      <w:bookmarkStart w:id="654" w:name="_Toc456173248"/>
      <w:bookmarkStart w:id="655" w:name="_Toc21314"/>
      <w:bookmarkStart w:id="656" w:name="_Toc179632597"/>
      <w:r>
        <w:rPr>
          <w:rFonts w:ascii="黑体" w:hAnsi="黑体"/>
          <w:color w:val="auto"/>
        </w:rPr>
        <w:t>9.5 投诉</w:t>
      </w:r>
      <w:bookmarkEnd w:id="650"/>
      <w:bookmarkEnd w:id="651"/>
      <w:bookmarkEnd w:id="652"/>
      <w:bookmarkEnd w:id="653"/>
      <w:bookmarkEnd w:id="654"/>
      <w:bookmarkEnd w:id="655"/>
      <w:bookmarkEnd w:id="656"/>
    </w:p>
    <w:p w14:paraId="19858B64">
      <w:pPr>
        <w:spacing w:line="400" w:lineRule="exact"/>
        <w:ind w:firstLine="420" w:firstLineChars="200"/>
        <w:rPr>
          <w:rFonts w:hint="eastAsia"/>
          <w:color w:val="auto"/>
        </w:rPr>
      </w:pPr>
      <w:r>
        <w:rPr>
          <w:rFonts w:hint="eastAsia"/>
          <w:color w:val="auto"/>
        </w:rPr>
        <w:t>本次招标投标活动及其相关当事人应当接受有关行政监督部门依法实施的监督。</w:t>
      </w:r>
    </w:p>
    <w:p w14:paraId="3329A664">
      <w:pPr>
        <w:spacing w:line="400" w:lineRule="exact"/>
        <w:ind w:firstLine="420" w:firstLineChars="200"/>
        <w:rPr>
          <w:rFonts w:hint="eastAsia"/>
          <w:color w:val="auto"/>
          <w:szCs w:val="21"/>
        </w:rPr>
      </w:pPr>
      <w:r>
        <w:rPr>
          <w:rFonts w:hint="eastAsia"/>
          <w:color w:val="auto"/>
          <w:szCs w:val="21"/>
        </w:rPr>
        <w:t>依据《中华人民共和国招标投标法实施条例》第四条第三款的规定，财政部门依法对实行招标投标的政府采购工程建设项目的政府采购政策执行情况实施监督。</w:t>
      </w:r>
    </w:p>
    <w:p w14:paraId="2B19E601">
      <w:pPr>
        <w:spacing w:line="400" w:lineRule="exact"/>
        <w:ind w:firstLine="420" w:firstLineChars="200"/>
        <w:rPr>
          <w:rFonts w:hint="eastAsia"/>
          <w:color w:val="auto"/>
        </w:rPr>
      </w:pPr>
      <w:r>
        <w:rPr>
          <w:rFonts w:hint="eastAsia"/>
          <w:color w:val="auto"/>
        </w:rPr>
        <w:t>投标人和其他利害关系人认为本次招标活动违反法律、法规和规章规定的，有权自知道或者应当知道之日起10日内向有关行政监督部门投诉，其中对招标文件的内容（包括招标控制价）、开标、评标结果进行投诉的，应当按本章第2.4款、第3.2.2项、第5.3款、第6.4款的规定先向招标人提出异议后，方可向有关行政监督部门投诉，异议答复期不计算在规定的</w:t>
      </w:r>
      <w:r>
        <w:rPr>
          <w:color w:val="auto"/>
        </w:rPr>
        <w:t>投诉时效</w:t>
      </w:r>
      <w:r>
        <w:rPr>
          <w:rFonts w:hint="eastAsia"/>
          <w:color w:val="auto"/>
        </w:rPr>
        <w:t>期限内。</w:t>
      </w:r>
    </w:p>
    <w:p w14:paraId="4DCFD220">
      <w:pPr>
        <w:spacing w:line="400" w:lineRule="exact"/>
        <w:ind w:firstLine="420" w:firstLineChars="200"/>
        <w:rPr>
          <w:rFonts w:hint="eastAsia"/>
          <w:color w:val="auto"/>
        </w:rPr>
      </w:pPr>
      <w:r>
        <w:rPr>
          <w:rFonts w:hint="eastAsia"/>
          <w:color w:val="auto"/>
        </w:rPr>
        <w:t>投标人和其他利害关系人的投诉应按照《工程建设项目招标投标活动投诉处理办法》或《湖北省公共资源招标投标投诉处理办法》的规定进行。</w:t>
      </w:r>
    </w:p>
    <w:p w14:paraId="7C4C5BC3">
      <w:pPr>
        <w:spacing w:line="400" w:lineRule="exact"/>
        <w:ind w:firstLine="420" w:firstLineChars="200"/>
        <w:rPr>
          <w:rFonts w:hint="eastAsia"/>
          <w:color w:val="auto"/>
        </w:rPr>
      </w:pPr>
      <w:r>
        <w:rPr>
          <w:rFonts w:hint="eastAsia"/>
          <w:color w:val="auto"/>
        </w:rPr>
        <w:t>有关行政监督部门的联系方式见投标人须知前附表。</w:t>
      </w:r>
    </w:p>
    <w:p w14:paraId="5623AD34">
      <w:pPr>
        <w:pStyle w:val="3"/>
        <w:spacing w:before="62"/>
        <w:rPr>
          <w:color w:val="auto"/>
          <w:sz w:val="28"/>
          <w:szCs w:val="28"/>
        </w:rPr>
      </w:pPr>
      <w:bookmarkStart w:id="657" w:name="_Toc387753561"/>
      <w:bookmarkStart w:id="658" w:name="_Toc456173249"/>
      <w:bookmarkStart w:id="659" w:name="_Toc8550"/>
      <w:bookmarkStart w:id="660" w:name="_Toc8391"/>
      <w:bookmarkStart w:id="661" w:name="_Toc519085328"/>
      <w:bookmarkStart w:id="662" w:name="_Toc20141"/>
      <w:bookmarkStart w:id="663" w:name="_Toc154063435"/>
      <w:r>
        <w:rPr>
          <w:color w:val="auto"/>
          <w:sz w:val="28"/>
          <w:szCs w:val="28"/>
        </w:rPr>
        <w:t>10. 需要补充的其他内容</w:t>
      </w:r>
      <w:bookmarkEnd w:id="657"/>
      <w:bookmarkEnd w:id="658"/>
      <w:bookmarkEnd w:id="659"/>
      <w:bookmarkEnd w:id="660"/>
      <w:bookmarkEnd w:id="661"/>
      <w:bookmarkEnd w:id="662"/>
      <w:bookmarkEnd w:id="663"/>
    </w:p>
    <w:p w14:paraId="759C71C0">
      <w:pPr>
        <w:pStyle w:val="113"/>
        <w:outlineLvl w:val="0"/>
        <w:rPr>
          <w:rFonts w:ascii="黑体" w:hAnsi="黑体"/>
          <w:color w:val="auto"/>
        </w:rPr>
      </w:pPr>
      <w:bookmarkStart w:id="664" w:name="_Toc524908071"/>
      <w:bookmarkStart w:id="665" w:name="_Toc426495265"/>
      <w:bookmarkStart w:id="666" w:name="_Toc154063436"/>
      <w:bookmarkStart w:id="667" w:name="_Toc517172358"/>
      <w:bookmarkStart w:id="668" w:name="_Toc31314"/>
      <w:bookmarkStart w:id="669" w:name="_Toc31012"/>
      <w:bookmarkStart w:id="670" w:name="_Toc31154"/>
      <w:r>
        <w:rPr>
          <w:rFonts w:ascii="黑体" w:hAnsi="黑体"/>
          <w:color w:val="auto"/>
        </w:rPr>
        <w:t xml:space="preserve">10.1 </w:t>
      </w:r>
      <w:r>
        <w:rPr>
          <w:rFonts w:hint="eastAsia" w:ascii="黑体" w:hAnsi="黑体"/>
          <w:color w:val="auto"/>
        </w:rPr>
        <w:t>多标段投标</w:t>
      </w:r>
      <w:bookmarkEnd w:id="664"/>
      <w:bookmarkEnd w:id="665"/>
      <w:bookmarkEnd w:id="666"/>
    </w:p>
    <w:p w14:paraId="55E74B8F">
      <w:pPr>
        <w:spacing w:line="400" w:lineRule="exact"/>
        <w:ind w:firstLine="420" w:firstLineChars="200"/>
        <w:rPr>
          <w:color w:val="auto"/>
        </w:rPr>
      </w:pPr>
      <w:r>
        <w:rPr>
          <w:rFonts w:hint="eastAsia"/>
          <w:color w:val="auto"/>
        </w:rPr>
        <w:t>多标段投标规定：见投标人须知前附表。</w:t>
      </w:r>
    </w:p>
    <w:p w14:paraId="221F5966">
      <w:pPr>
        <w:pStyle w:val="113"/>
        <w:outlineLvl w:val="0"/>
        <w:rPr>
          <w:rFonts w:hint="eastAsia" w:ascii="黑体" w:hAnsi="黑体"/>
          <w:color w:val="auto"/>
        </w:rPr>
      </w:pPr>
      <w:bookmarkStart w:id="671" w:name="_Toc154063437"/>
      <w:bookmarkStart w:id="672" w:name="_Toc108514352"/>
      <w:r>
        <w:rPr>
          <w:rFonts w:hint="eastAsia" w:ascii="黑体" w:hAnsi="黑体"/>
          <w:color w:val="auto"/>
        </w:rPr>
        <w:t>10.2 评标办法中的有关系数的取值和评分因素设置</w:t>
      </w:r>
      <w:bookmarkEnd w:id="671"/>
      <w:bookmarkEnd w:id="672"/>
    </w:p>
    <w:p w14:paraId="5D7D6E70">
      <w:pPr>
        <w:spacing w:line="400" w:lineRule="exact"/>
        <w:ind w:firstLine="420" w:firstLineChars="200"/>
        <w:rPr>
          <w:rFonts w:hint="eastAsia"/>
          <w:color w:val="auto"/>
        </w:rPr>
      </w:pPr>
      <w:r>
        <w:rPr>
          <w:rFonts w:hint="eastAsia"/>
          <w:color w:val="auto"/>
        </w:rPr>
        <w:t>10.2.1 第三章评标办法前附表中“</w:t>
      </w:r>
      <w:r>
        <w:rPr>
          <w:rFonts w:hint="eastAsia" w:ascii="宋体" w:hAnsi="宋体"/>
          <w:color w:val="auto"/>
          <w:szCs w:val="21"/>
        </w:rPr>
        <w:t>小微企业报价优惠（扣除）系数” P的取值：</w:t>
      </w:r>
      <w:r>
        <w:rPr>
          <w:rFonts w:hint="eastAsia"/>
          <w:color w:val="auto"/>
        </w:rPr>
        <w:t>见投标人须知前附表。</w:t>
      </w:r>
    </w:p>
    <w:p w14:paraId="66C8D4F5">
      <w:pPr>
        <w:spacing w:line="400" w:lineRule="exact"/>
        <w:ind w:firstLine="420" w:firstLineChars="200"/>
        <w:rPr>
          <w:rFonts w:hint="eastAsia"/>
          <w:color w:val="auto"/>
        </w:rPr>
      </w:pPr>
      <w:r>
        <w:rPr>
          <w:rFonts w:hint="eastAsia"/>
          <w:color w:val="auto"/>
        </w:rPr>
        <w:t>10.2.2 第三章评标办法前附表中“满足条件的联合体或者分包企业报价优惠（扣除）系数” Q的取值：见投标人须知前附表。</w:t>
      </w:r>
    </w:p>
    <w:p w14:paraId="2D087735">
      <w:pPr>
        <w:pStyle w:val="113"/>
        <w:outlineLvl w:val="0"/>
        <w:rPr>
          <w:rFonts w:ascii="黑体" w:hAnsi="黑体"/>
          <w:color w:val="auto"/>
        </w:rPr>
      </w:pPr>
      <w:bookmarkStart w:id="673" w:name="_Toc154063438"/>
      <w:r>
        <w:rPr>
          <w:rFonts w:ascii="黑体" w:hAnsi="黑体"/>
          <w:color w:val="auto"/>
        </w:rPr>
        <w:t>10.</w:t>
      </w:r>
      <w:r>
        <w:rPr>
          <w:rFonts w:hint="eastAsia" w:ascii="黑体" w:hAnsi="黑体"/>
          <w:color w:val="auto"/>
        </w:rPr>
        <w:t>3</w:t>
      </w:r>
      <w:r>
        <w:rPr>
          <w:rFonts w:ascii="黑体" w:hAnsi="黑体"/>
          <w:color w:val="auto"/>
        </w:rPr>
        <w:t xml:space="preserve"> </w:t>
      </w:r>
      <w:r>
        <w:rPr>
          <w:rFonts w:hint="eastAsia" w:ascii="黑体" w:hAnsi="黑体"/>
          <w:color w:val="auto"/>
        </w:rPr>
        <w:t>交易平台信息服务费</w:t>
      </w:r>
      <w:bookmarkEnd w:id="667"/>
      <w:bookmarkEnd w:id="668"/>
      <w:bookmarkEnd w:id="669"/>
      <w:bookmarkEnd w:id="670"/>
      <w:bookmarkEnd w:id="673"/>
    </w:p>
    <w:p w14:paraId="26AFBCF9">
      <w:pPr>
        <w:spacing w:line="360" w:lineRule="auto"/>
        <w:ind w:firstLine="420" w:firstLineChars="200"/>
        <w:rPr>
          <w:rFonts w:hint="eastAsia" w:ascii="宋体" w:hAnsi="宋体" w:cs="宋体"/>
          <w:color w:val="auto"/>
          <w:szCs w:val="21"/>
        </w:rPr>
      </w:pPr>
      <w:r>
        <w:rPr>
          <w:rFonts w:hint="eastAsia" w:ascii="宋体" w:hAnsi="宋体" w:cs="宋体"/>
          <w:color w:val="auto"/>
          <w:szCs w:val="21"/>
          <w:lang w:bidi="ar"/>
        </w:rPr>
        <w:t>交易平台信息服务费缴费规定：见投标人须知前附表。</w:t>
      </w:r>
    </w:p>
    <w:p w14:paraId="0FE43255">
      <w:pPr>
        <w:pStyle w:val="113"/>
        <w:outlineLvl w:val="0"/>
        <w:rPr>
          <w:rFonts w:ascii="黑体" w:hAnsi="黑体"/>
          <w:color w:val="auto"/>
        </w:rPr>
      </w:pPr>
      <w:bookmarkStart w:id="674" w:name="_Toc8411"/>
      <w:bookmarkStart w:id="675" w:name="_Toc517172359"/>
      <w:bookmarkStart w:id="676" w:name="_Toc30952"/>
      <w:bookmarkStart w:id="677" w:name="_Toc154063439"/>
      <w:bookmarkStart w:id="678" w:name="_Toc4989"/>
      <w:r>
        <w:rPr>
          <w:rFonts w:ascii="黑体" w:hAnsi="黑体"/>
          <w:color w:val="auto"/>
        </w:rPr>
        <w:t>10.</w:t>
      </w:r>
      <w:r>
        <w:rPr>
          <w:rFonts w:hint="eastAsia" w:ascii="黑体" w:hAnsi="黑体"/>
          <w:color w:val="auto"/>
        </w:rPr>
        <w:t>4</w:t>
      </w:r>
      <w:r>
        <w:rPr>
          <w:rFonts w:ascii="黑体" w:hAnsi="黑体"/>
          <w:color w:val="auto"/>
        </w:rPr>
        <w:t xml:space="preserve"> </w:t>
      </w:r>
      <w:r>
        <w:rPr>
          <w:rFonts w:hint="eastAsia" w:ascii="黑体" w:hAnsi="黑体"/>
          <w:color w:val="auto"/>
        </w:rPr>
        <w:t>招标代理服务费</w:t>
      </w:r>
      <w:bookmarkEnd w:id="674"/>
      <w:bookmarkEnd w:id="675"/>
      <w:bookmarkEnd w:id="676"/>
      <w:bookmarkEnd w:id="677"/>
      <w:bookmarkEnd w:id="678"/>
    </w:p>
    <w:p w14:paraId="4AF880E9">
      <w:pPr>
        <w:spacing w:line="360" w:lineRule="auto"/>
        <w:ind w:firstLine="420" w:firstLineChars="200"/>
        <w:rPr>
          <w:rFonts w:hint="eastAsia" w:ascii="宋体" w:hAnsi="宋体" w:cs="宋体"/>
          <w:color w:val="auto"/>
          <w:szCs w:val="21"/>
        </w:rPr>
      </w:pPr>
      <w:r>
        <w:rPr>
          <w:rFonts w:hint="eastAsia" w:ascii="宋体" w:hAnsi="宋体" w:cs="宋体"/>
          <w:color w:val="auto"/>
          <w:szCs w:val="21"/>
          <w:lang w:bidi="ar"/>
        </w:rPr>
        <w:t>招标代理服务费收取约定：见投标人须知前附表。</w:t>
      </w:r>
    </w:p>
    <w:p w14:paraId="5DC82B60">
      <w:pPr>
        <w:pStyle w:val="113"/>
        <w:outlineLvl w:val="0"/>
        <w:rPr>
          <w:rFonts w:ascii="黑体" w:hAnsi="黑体"/>
          <w:color w:val="auto"/>
        </w:rPr>
      </w:pPr>
      <w:bookmarkStart w:id="679" w:name="_Toc387753565"/>
      <w:bookmarkStart w:id="680" w:name="_Toc519085331"/>
      <w:bookmarkStart w:id="681" w:name="_Toc25779"/>
      <w:bookmarkStart w:id="682" w:name="_Toc456173253"/>
      <w:bookmarkStart w:id="683" w:name="_Toc30436"/>
      <w:bookmarkStart w:id="684" w:name="_Toc154063440"/>
      <w:bookmarkStart w:id="685" w:name="_Toc5256"/>
      <w:r>
        <w:rPr>
          <w:rFonts w:ascii="黑体" w:hAnsi="黑体"/>
          <w:color w:val="auto"/>
        </w:rPr>
        <w:t>10.</w:t>
      </w:r>
      <w:r>
        <w:rPr>
          <w:rFonts w:hint="eastAsia" w:ascii="黑体" w:hAnsi="黑体"/>
          <w:color w:val="auto"/>
        </w:rPr>
        <w:t>5</w:t>
      </w:r>
      <w:r>
        <w:rPr>
          <w:rFonts w:ascii="黑体" w:hAnsi="黑体"/>
          <w:color w:val="auto"/>
        </w:rPr>
        <w:t xml:space="preserve"> 中标人的</w:t>
      </w:r>
      <w:r>
        <w:rPr>
          <w:rFonts w:hint="eastAsia" w:ascii="黑体" w:hAnsi="黑体"/>
          <w:color w:val="auto"/>
        </w:rPr>
        <w:t>纸质</w:t>
      </w:r>
      <w:r>
        <w:rPr>
          <w:rFonts w:ascii="黑体" w:hAnsi="黑体"/>
          <w:color w:val="auto"/>
        </w:rPr>
        <w:t>投标文件</w:t>
      </w:r>
      <w:bookmarkEnd w:id="679"/>
      <w:bookmarkEnd w:id="680"/>
      <w:bookmarkEnd w:id="681"/>
      <w:bookmarkEnd w:id="682"/>
      <w:bookmarkEnd w:id="683"/>
      <w:bookmarkEnd w:id="684"/>
      <w:bookmarkEnd w:id="685"/>
    </w:p>
    <w:p w14:paraId="4857883A">
      <w:pPr>
        <w:spacing w:line="400" w:lineRule="exact"/>
        <w:ind w:firstLine="420" w:firstLineChars="200"/>
        <w:rPr>
          <w:color w:val="auto"/>
        </w:rPr>
      </w:pPr>
      <w:r>
        <w:rPr>
          <w:color w:val="auto"/>
        </w:rPr>
        <w:t>中标人在签订合同前须向招标人另行提交的投标文件份数：见投标人须知前附表。</w:t>
      </w:r>
    </w:p>
    <w:p w14:paraId="0C10B1DA">
      <w:pPr>
        <w:pStyle w:val="113"/>
        <w:outlineLvl w:val="0"/>
        <w:rPr>
          <w:rFonts w:hint="eastAsia" w:ascii="黑体" w:hAnsi="黑体"/>
          <w:color w:val="auto"/>
        </w:rPr>
      </w:pPr>
      <w:bookmarkStart w:id="686" w:name="_Toc154063441"/>
      <w:bookmarkStart w:id="687" w:name="_Toc131697791"/>
      <w:bookmarkStart w:id="688" w:name="_Toc108513561"/>
      <w:bookmarkStart w:id="689" w:name="_Toc387753566"/>
      <w:bookmarkStart w:id="690" w:name="_Toc519085332"/>
      <w:bookmarkStart w:id="691" w:name="_Toc6291"/>
      <w:bookmarkStart w:id="692" w:name="_Toc27499"/>
      <w:bookmarkStart w:id="693" w:name="_Toc13532"/>
      <w:bookmarkStart w:id="694" w:name="_Toc456173254"/>
      <w:r>
        <w:rPr>
          <w:rFonts w:hint="eastAsia" w:ascii="黑体" w:hAnsi="黑体"/>
          <w:color w:val="auto"/>
        </w:rPr>
        <w:t>10.6 政府采购合同融资政策</w:t>
      </w:r>
      <w:bookmarkEnd w:id="686"/>
      <w:bookmarkEnd w:id="687"/>
      <w:bookmarkEnd w:id="688"/>
    </w:p>
    <w:p w14:paraId="60C629BD">
      <w:pPr>
        <w:spacing w:line="360" w:lineRule="auto"/>
        <w:ind w:firstLine="420" w:firstLineChars="200"/>
        <w:rPr>
          <w:rFonts w:hint="eastAsia" w:ascii="宋体" w:hAnsi="宋体"/>
          <w:color w:val="auto"/>
          <w:szCs w:val="21"/>
        </w:rPr>
      </w:pPr>
      <w:r>
        <w:rPr>
          <w:rFonts w:hint="eastAsia" w:ascii="宋体" w:hAnsi="宋体"/>
          <w:color w:val="auto"/>
          <w:szCs w:val="21"/>
        </w:rPr>
        <w:t>政府采购合同融资政策：</w:t>
      </w:r>
      <w:r>
        <w:rPr>
          <w:rFonts w:ascii="宋体" w:hAnsi="宋体"/>
          <w:color w:val="auto"/>
          <w:szCs w:val="21"/>
        </w:rPr>
        <w:t>见投标人须知前附表</w:t>
      </w:r>
      <w:r>
        <w:rPr>
          <w:rFonts w:hint="eastAsia" w:ascii="宋体" w:hAnsi="宋体"/>
          <w:color w:val="auto"/>
          <w:szCs w:val="21"/>
        </w:rPr>
        <w:t>。</w:t>
      </w:r>
    </w:p>
    <w:p w14:paraId="6E88BD14">
      <w:pPr>
        <w:pStyle w:val="113"/>
        <w:outlineLvl w:val="0"/>
        <w:rPr>
          <w:rFonts w:ascii="黑体" w:hAnsi="黑体"/>
          <w:color w:val="auto"/>
        </w:rPr>
      </w:pPr>
      <w:bookmarkStart w:id="695" w:name="_Toc154063442"/>
      <w:r>
        <w:rPr>
          <w:rFonts w:ascii="黑体" w:hAnsi="黑体"/>
          <w:color w:val="auto"/>
        </w:rPr>
        <w:t>10.</w:t>
      </w:r>
      <w:bookmarkEnd w:id="689"/>
      <w:r>
        <w:rPr>
          <w:rFonts w:hint="eastAsia" w:ascii="黑体" w:hAnsi="黑体"/>
          <w:color w:val="auto"/>
        </w:rPr>
        <w:t>7</w:t>
      </w:r>
      <w:r>
        <w:rPr>
          <w:rFonts w:ascii="黑体" w:hAnsi="黑体"/>
          <w:color w:val="auto"/>
        </w:rPr>
        <w:t xml:space="preserve"> 招标人补充的其他内容</w:t>
      </w:r>
      <w:bookmarkEnd w:id="690"/>
      <w:bookmarkEnd w:id="691"/>
      <w:bookmarkEnd w:id="692"/>
      <w:bookmarkEnd w:id="693"/>
      <w:bookmarkEnd w:id="694"/>
      <w:bookmarkEnd w:id="695"/>
    </w:p>
    <w:p w14:paraId="52E3210F">
      <w:pPr>
        <w:spacing w:line="400" w:lineRule="exact"/>
        <w:ind w:firstLine="420" w:firstLineChars="200"/>
        <w:rPr>
          <w:color w:val="auto"/>
        </w:rPr>
      </w:pPr>
      <w:r>
        <w:rPr>
          <w:color w:val="auto"/>
        </w:rPr>
        <w:t>招标人补充的其他内容：见投标人须知前附表。</w:t>
      </w:r>
    </w:p>
    <w:p w14:paraId="492E4CF0">
      <w:pPr>
        <w:pStyle w:val="49"/>
        <w:ind w:left="0" w:leftChars="0" w:firstLine="0" w:firstLineChars="0"/>
        <w:rPr>
          <w:color w:val="auto"/>
        </w:rPr>
      </w:pPr>
    </w:p>
    <w:p w14:paraId="2DA5DF06">
      <w:pPr>
        <w:spacing w:line="360" w:lineRule="auto"/>
        <w:rPr>
          <w:rFonts w:hint="eastAsia"/>
          <w:color w:val="auto"/>
        </w:rPr>
        <w:sectPr>
          <w:pgSz w:w="11906" w:h="16838"/>
          <w:pgMar w:top="1440" w:right="1800" w:bottom="1440" w:left="1800" w:header="851" w:footer="850" w:gutter="0"/>
          <w:cols w:space="720" w:num="1"/>
          <w:docGrid w:type="linesAndChars" w:linePitch="312" w:charSpace="0"/>
        </w:sectPr>
      </w:pPr>
    </w:p>
    <w:p w14:paraId="74AE4273">
      <w:pPr>
        <w:pStyle w:val="3"/>
        <w:keepNext/>
        <w:keepLines/>
        <w:pageBreakBefore w:val="0"/>
        <w:widowControl w:val="0"/>
        <w:kinsoku/>
        <w:wordWrap/>
        <w:overflowPunct/>
        <w:topLinePunct w:val="0"/>
        <w:autoSpaceDE/>
        <w:autoSpaceDN/>
        <w:bidi w:val="0"/>
        <w:adjustRightInd/>
        <w:snapToGrid/>
        <w:spacing w:before="62" w:after="157" w:afterLines="50"/>
        <w:textAlignment w:val="auto"/>
        <w:rPr>
          <w:rFonts w:hint="eastAsia" w:ascii="Times New Roman" w:hAnsi="Times New Roman"/>
          <w:color w:val="auto"/>
          <w:szCs w:val="24"/>
        </w:rPr>
      </w:pPr>
      <w:bookmarkStart w:id="696" w:name="_Toc412661731"/>
      <w:bookmarkStart w:id="697" w:name="_Toc20642"/>
      <w:bookmarkStart w:id="698" w:name="_Toc467365434"/>
      <w:bookmarkStart w:id="699" w:name="_Toc469078714"/>
      <w:bookmarkStart w:id="700" w:name="_Toc27443"/>
      <w:bookmarkStart w:id="701" w:name="_Toc519085333"/>
      <w:bookmarkStart w:id="702" w:name="_Toc24159"/>
      <w:bookmarkStart w:id="703" w:name="_Toc154063443"/>
      <w:r>
        <w:rPr>
          <w:rFonts w:hint="eastAsia"/>
          <w:color w:val="auto"/>
          <w:szCs w:val="24"/>
        </w:rPr>
        <w:t>附录一：投标</w:t>
      </w:r>
      <w:r>
        <w:rPr>
          <w:color w:val="auto"/>
          <w:szCs w:val="24"/>
        </w:rPr>
        <w:t>人资质条件、能力和信誉</w:t>
      </w:r>
      <w:bookmarkEnd w:id="696"/>
      <w:bookmarkEnd w:id="697"/>
      <w:bookmarkEnd w:id="698"/>
      <w:bookmarkEnd w:id="699"/>
      <w:bookmarkEnd w:id="700"/>
      <w:bookmarkEnd w:id="701"/>
      <w:bookmarkEnd w:id="702"/>
      <w:r>
        <w:rPr>
          <w:rFonts w:ascii="黑体" w:hAnsi="黑体"/>
          <w:color w:val="auto"/>
          <w:szCs w:val="24"/>
        </w:rPr>
        <w:t>（适用于未进行资格预审的）</w:t>
      </w:r>
      <w:bookmarkEnd w:id="703"/>
    </w:p>
    <w:p w14:paraId="6F829B6A">
      <w:pPr>
        <w:spacing w:line="400" w:lineRule="exact"/>
        <w:rPr>
          <w:rFonts w:hint="eastAsia"/>
          <w:color w:val="auto"/>
        </w:rPr>
      </w:pPr>
      <w:r>
        <w:rPr>
          <w:rFonts w:hint="eastAsia" w:ascii="宋体" w:hAnsi="宋体" w:eastAsia="宋体" w:cs="宋体"/>
          <w:color w:val="auto"/>
          <w:sz w:val="24"/>
          <w:szCs w:val="24"/>
          <w:u w:val="single"/>
        </w:rPr>
        <w:t>英山县城区排涝系统完善工程（</w:t>
      </w:r>
      <w:r>
        <w:rPr>
          <w:rFonts w:hint="eastAsia" w:ascii="宋体" w:hAnsi="宋体" w:eastAsia="宋体" w:cs="宋体"/>
          <w:color w:val="auto"/>
          <w:sz w:val="24"/>
          <w:szCs w:val="24"/>
          <w:u w:val="single"/>
          <w:lang w:eastAsia="zh-CN"/>
        </w:rPr>
        <w:t>二期</w:t>
      </w:r>
      <w:r>
        <w:rPr>
          <w:rFonts w:hint="eastAsia" w:ascii="宋体" w:hAnsi="宋体" w:eastAsia="宋体" w:cs="宋体"/>
          <w:color w:val="auto"/>
          <w:sz w:val="24"/>
          <w:szCs w:val="24"/>
          <w:u w:val="single"/>
        </w:rPr>
        <w:t>）EPC总承包</w:t>
      </w:r>
      <w:r>
        <w:rPr>
          <w:color w:val="auto"/>
          <w:szCs w:val="21"/>
        </w:rPr>
        <w:t>（项目名称）</w:t>
      </w:r>
      <w:r>
        <w:rPr>
          <w:rFonts w:hint="eastAsia" w:ascii="宋体" w:hAnsi="宋体" w:eastAsia="宋体" w:cs="宋体"/>
          <w:color w:val="auto"/>
          <w:sz w:val="24"/>
          <w:szCs w:val="24"/>
          <w:u w:val="single"/>
        </w:rPr>
        <w:t>英山县城区排涝系统完善工程（</w:t>
      </w:r>
      <w:r>
        <w:rPr>
          <w:rFonts w:hint="eastAsia" w:ascii="宋体" w:hAnsi="宋体" w:cs="宋体"/>
          <w:color w:val="auto"/>
          <w:sz w:val="24"/>
          <w:szCs w:val="24"/>
          <w:u w:val="single"/>
          <w:lang w:eastAsia="zh-CN"/>
        </w:rPr>
        <w:t>二期</w:t>
      </w:r>
      <w:r>
        <w:rPr>
          <w:rFonts w:hint="eastAsia" w:ascii="宋体" w:hAnsi="宋体" w:eastAsia="宋体" w:cs="宋体"/>
          <w:color w:val="auto"/>
          <w:sz w:val="24"/>
          <w:szCs w:val="24"/>
          <w:u w:val="single"/>
        </w:rPr>
        <w:t>）EPC总承包</w:t>
      </w:r>
      <w:r>
        <w:rPr>
          <w:rFonts w:hint="eastAsia"/>
          <w:color w:val="auto"/>
          <w:szCs w:val="21"/>
        </w:rPr>
        <w:t>（</w:t>
      </w:r>
      <w:r>
        <w:rPr>
          <w:color w:val="auto"/>
          <w:szCs w:val="21"/>
        </w:rPr>
        <w:t>标段</w:t>
      </w:r>
      <w:r>
        <w:rPr>
          <w:rFonts w:hint="eastAsia"/>
          <w:color w:val="auto"/>
          <w:szCs w:val="21"/>
        </w:rPr>
        <w:t>名称）工程总承包</w:t>
      </w:r>
    </w:p>
    <w:tbl>
      <w:tblPr>
        <w:tblStyle w:val="41"/>
        <w:tblW w:w="8919" w:type="dxa"/>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945"/>
        <w:gridCol w:w="5640"/>
        <w:gridCol w:w="675"/>
        <w:gridCol w:w="654"/>
      </w:tblGrid>
      <w:tr w14:paraId="538A6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5" w:type="dxa"/>
            <w:noWrap w:val="0"/>
            <w:vAlign w:val="top"/>
          </w:tcPr>
          <w:p w14:paraId="4BCE39AF">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项目</w:t>
            </w:r>
          </w:p>
        </w:tc>
        <w:tc>
          <w:tcPr>
            <w:tcW w:w="7260" w:type="dxa"/>
            <w:gridSpan w:val="3"/>
            <w:noWrap w:val="0"/>
            <w:vAlign w:val="top"/>
          </w:tcPr>
          <w:p w14:paraId="7E460C7A">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要求</w:t>
            </w:r>
          </w:p>
        </w:tc>
        <w:tc>
          <w:tcPr>
            <w:tcW w:w="654" w:type="dxa"/>
            <w:noWrap w:val="0"/>
            <w:vAlign w:val="top"/>
          </w:tcPr>
          <w:p w14:paraId="3ACC7C59">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备注</w:t>
            </w:r>
          </w:p>
        </w:tc>
      </w:tr>
      <w:tr w14:paraId="1ED85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5" w:type="dxa"/>
            <w:noWrap w:val="0"/>
            <w:vAlign w:val="center"/>
          </w:tcPr>
          <w:p w14:paraId="55A75083">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r>
              <w:rPr>
                <w:rFonts w:ascii="Calibri" w:hAnsi="Calibri" w:eastAsia="宋体" w:cs="Times New Roman"/>
                <w:color w:val="auto"/>
                <w:szCs w:val="21"/>
              </w:rPr>
              <w:t>资质</w:t>
            </w:r>
          </w:p>
          <w:p w14:paraId="07C06933">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r>
              <w:rPr>
                <w:rFonts w:ascii="Calibri" w:hAnsi="Calibri" w:eastAsia="宋体" w:cs="Times New Roman"/>
                <w:color w:val="auto"/>
                <w:szCs w:val="21"/>
              </w:rPr>
              <w:t>条件</w:t>
            </w:r>
          </w:p>
        </w:tc>
        <w:tc>
          <w:tcPr>
            <w:tcW w:w="7260" w:type="dxa"/>
            <w:gridSpan w:val="3"/>
            <w:noWrap w:val="0"/>
            <w:vAlign w:val="top"/>
          </w:tcPr>
          <w:p w14:paraId="1B65822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Calibri" w:hAnsi="Calibri" w:eastAsia="宋体" w:cs="Times New Roman"/>
                <w:color w:val="auto"/>
                <w:sz w:val="24"/>
                <w:szCs w:val="24"/>
                <w:lang w:eastAsia="zh-CN"/>
              </w:rPr>
            </w:pPr>
            <w:r>
              <w:rPr>
                <w:rFonts w:hint="eastAsia" w:ascii="宋体" w:hAnsi="宋体" w:cs="宋体"/>
                <w:color w:val="auto"/>
                <w:sz w:val="24"/>
                <w:szCs w:val="24"/>
                <w:lang w:val="en-US" w:eastAsia="zh-CN"/>
              </w:rPr>
              <w:t>须同时具备：</w:t>
            </w:r>
            <w:r>
              <w:rPr>
                <w:rFonts w:hint="eastAsia" w:ascii="宋体" w:hAnsi="宋体" w:eastAsia="宋体" w:cs="宋体"/>
                <w:color w:val="auto"/>
                <w:sz w:val="24"/>
                <w:szCs w:val="24"/>
              </w:rPr>
              <w:t>（1）建设行政主管部门颁发的市政工程施工总承包贰级及以上资质，且具有有效的安全生产许可证，并在人员、设备、资金等方面具备相应的施工能力；（2）具备建设行政主管部门颁发的工程设计综合甲级资质或市政行业乙级及以上资质或工程设计市政行业（燃气工程、轨道交通工程除外）乙级及以上资质或市政行业（排水工程）专业乙级及以上设计资质</w:t>
            </w:r>
            <w:r>
              <w:rPr>
                <w:rFonts w:hint="eastAsia" w:ascii="宋体" w:hAnsi="宋体" w:cs="宋体"/>
                <w:color w:val="auto"/>
                <w:sz w:val="24"/>
                <w:szCs w:val="24"/>
                <w:lang w:eastAsia="zh-CN"/>
              </w:rPr>
              <w:t>。</w:t>
            </w:r>
          </w:p>
        </w:tc>
        <w:tc>
          <w:tcPr>
            <w:tcW w:w="654" w:type="dxa"/>
            <w:noWrap w:val="0"/>
            <w:vAlign w:val="top"/>
          </w:tcPr>
          <w:p w14:paraId="0AC60F2C">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rPr>
            </w:pPr>
          </w:p>
        </w:tc>
      </w:tr>
      <w:tr w14:paraId="3392A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5" w:type="dxa"/>
            <w:noWrap w:val="0"/>
            <w:vAlign w:val="center"/>
          </w:tcPr>
          <w:p w14:paraId="525530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Calibri" w:hAnsi="Calibri" w:eastAsia="宋体" w:cs="Times New Roman"/>
                <w:color w:val="auto"/>
                <w:szCs w:val="21"/>
              </w:rPr>
            </w:pPr>
            <w:r>
              <w:rPr>
                <w:rFonts w:ascii="Calibri" w:hAnsi="Calibri" w:eastAsia="宋体" w:cs="Times New Roman"/>
                <w:color w:val="auto"/>
                <w:szCs w:val="21"/>
              </w:rPr>
              <w:t>财务</w:t>
            </w:r>
          </w:p>
          <w:p w14:paraId="0519991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Calibri" w:hAnsi="Calibri" w:eastAsia="宋体" w:cs="Times New Roman"/>
                <w:color w:val="auto"/>
                <w:szCs w:val="21"/>
              </w:rPr>
            </w:pPr>
            <w:r>
              <w:rPr>
                <w:rFonts w:ascii="Calibri" w:hAnsi="Calibri" w:eastAsia="宋体" w:cs="Times New Roman"/>
                <w:color w:val="auto"/>
                <w:szCs w:val="21"/>
              </w:rPr>
              <w:t>要求</w:t>
            </w:r>
          </w:p>
        </w:tc>
        <w:tc>
          <w:tcPr>
            <w:tcW w:w="7260" w:type="dxa"/>
            <w:gridSpan w:val="3"/>
            <w:noWrap w:val="0"/>
            <w:vAlign w:val="center"/>
          </w:tcPr>
          <w:p w14:paraId="11B672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1.投标人近三年平均利润大于0元。</w:t>
            </w:r>
          </w:p>
          <w:p w14:paraId="5D42EDB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投标人用于投标项目（标段）的流动资金不应少于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1000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p>
        </w:tc>
        <w:tc>
          <w:tcPr>
            <w:tcW w:w="654" w:type="dxa"/>
            <w:noWrap w:val="0"/>
            <w:vAlign w:val="top"/>
          </w:tcPr>
          <w:p w14:paraId="35DD4CC0">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rPr>
            </w:pPr>
          </w:p>
        </w:tc>
      </w:tr>
      <w:tr w14:paraId="4A4F3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5" w:type="dxa"/>
            <w:noWrap w:val="0"/>
            <w:vAlign w:val="center"/>
          </w:tcPr>
          <w:p w14:paraId="66DD176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Calibri" w:hAnsi="Calibri" w:eastAsia="宋体" w:cs="Times New Roman"/>
                <w:color w:val="auto"/>
                <w:szCs w:val="21"/>
              </w:rPr>
            </w:pPr>
            <w:r>
              <w:rPr>
                <w:rFonts w:ascii="Calibri" w:hAnsi="Calibri" w:eastAsia="宋体" w:cs="Times New Roman"/>
                <w:color w:val="auto"/>
                <w:szCs w:val="21"/>
              </w:rPr>
              <w:t>业绩</w:t>
            </w:r>
          </w:p>
          <w:p w14:paraId="7E82BD8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Calibri" w:hAnsi="Calibri" w:eastAsia="宋体" w:cs="Times New Roman"/>
                <w:color w:val="auto"/>
                <w:szCs w:val="21"/>
              </w:rPr>
            </w:pPr>
            <w:r>
              <w:rPr>
                <w:rFonts w:ascii="Calibri" w:hAnsi="Calibri" w:eastAsia="宋体" w:cs="Times New Roman"/>
                <w:color w:val="auto"/>
                <w:szCs w:val="21"/>
              </w:rPr>
              <w:t>要求</w:t>
            </w:r>
          </w:p>
        </w:tc>
        <w:tc>
          <w:tcPr>
            <w:tcW w:w="7260" w:type="dxa"/>
            <w:gridSpan w:val="3"/>
            <w:noWrap w:val="0"/>
            <w:vAlign w:val="center"/>
          </w:tcPr>
          <w:p w14:paraId="2ED45F40">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highlight w:val="yellow"/>
                <w:lang w:eastAsia="zh-CN"/>
              </w:rPr>
            </w:pPr>
            <w:r>
              <w:rPr>
                <w:rFonts w:hint="eastAsia" w:ascii="宋体" w:hAnsi="宋体" w:eastAsia="宋体" w:cs="宋体"/>
                <w:color w:val="auto"/>
                <w:sz w:val="24"/>
                <w:szCs w:val="24"/>
                <w:highlight w:val="none"/>
                <w:lang w:val="en-US" w:eastAsia="zh-CN"/>
              </w:rPr>
              <w:t>/</w:t>
            </w:r>
          </w:p>
        </w:tc>
        <w:tc>
          <w:tcPr>
            <w:tcW w:w="654" w:type="dxa"/>
            <w:noWrap w:val="0"/>
            <w:vAlign w:val="top"/>
          </w:tcPr>
          <w:p w14:paraId="07045C07">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rPr>
            </w:pPr>
          </w:p>
        </w:tc>
      </w:tr>
      <w:tr w14:paraId="26B40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5" w:type="dxa"/>
            <w:noWrap w:val="0"/>
            <w:vAlign w:val="center"/>
          </w:tcPr>
          <w:p w14:paraId="1FABFF26">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r>
              <w:rPr>
                <w:rFonts w:ascii="Calibri" w:hAnsi="Calibri" w:eastAsia="宋体" w:cs="Times New Roman"/>
                <w:color w:val="auto"/>
                <w:szCs w:val="21"/>
              </w:rPr>
              <w:t>信誉</w:t>
            </w:r>
          </w:p>
          <w:p w14:paraId="11D83853">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r>
              <w:rPr>
                <w:rFonts w:ascii="Calibri" w:hAnsi="Calibri" w:eastAsia="宋体" w:cs="Times New Roman"/>
                <w:color w:val="auto"/>
                <w:szCs w:val="21"/>
              </w:rPr>
              <w:t>要求</w:t>
            </w:r>
          </w:p>
        </w:tc>
        <w:tc>
          <w:tcPr>
            <w:tcW w:w="7260" w:type="dxa"/>
            <w:gridSpan w:val="3"/>
            <w:noWrap w:val="0"/>
            <w:vAlign w:val="top"/>
          </w:tcPr>
          <w:p w14:paraId="1BBC4AD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u w:val="single"/>
              </w:rPr>
            </w:pPr>
            <w:r>
              <w:rPr>
                <w:rFonts w:hint="eastAsia" w:ascii="宋体" w:hAnsi="宋体" w:eastAsia="宋体" w:cs="宋体"/>
                <w:color w:val="auto"/>
                <w:u w:val="single"/>
              </w:rPr>
              <w:t>1.没有被依法暂停或取消投标资格；</w:t>
            </w:r>
          </w:p>
          <w:p w14:paraId="5F4646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u w:val="single"/>
              </w:rPr>
            </w:pPr>
            <w:r>
              <w:rPr>
                <w:rFonts w:hint="eastAsia" w:ascii="宋体" w:hAnsi="宋体" w:eastAsia="宋体" w:cs="宋体"/>
                <w:color w:val="auto"/>
                <w:u w:val="single"/>
              </w:rPr>
              <w:t>2.没有被责令停产停业、暂扣或者吊销许可证、暂扣或者吊销执照；</w:t>
            </w:r>
          </w:p>
          <w:p w14:paraId="764FDD7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u w:val="single"/>
              </w:rPr>
            </w:pPr>
            <w:r>
              <w:rPr>
                <w:rFonts w:hint="eastAsia" w:ascii="宋体" w:hAnsi="宋体" w:eastAsia="宋体" w:cs="宋体"/>
                <w:color w:val="auto"/>
                <w:u w:val="single"/>
              </w:rPr>
              <w:t>3.没有进入清算程序，或被宣告破产，或其他丧失履约能力的情形；</w:t>
            </w:r>
          </w:p>
          <w:p w14:paraId="2A8097F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u w:val="single"/>
              </w:rPr>
            </w:pPr>
            <w:r>
              <w:rPr>
                <w:rFonts w:hint="eastAsia" w:ascii="宋体" w:hAnsi="宋体" w:eastAsia="宋体" w:cs="宋体"/>
                <w:color w:val="auto"/>
                <w:u w:val="single"/>
              </w:rPr>
              <w:t>4.在最近三年内没有发生重大工程质量问题；</w:t>
            </w:r>
          </w:p>
          <w:p w14:paraId="2DBFA09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u w:val="single"/>
              </w:rPr>
            </w:pPr>
            <w:r>
              <w:rPr>
                <w:rFonts w:hint="eastAsia" w:ascii="宋体" w:hAnsi="宋体" w:eastAsia="宋体" w:cs="宋体"/>
                <w:color w:val="auto"/>
                <w:u w:val="single"/>
              </w:rPr>
              <w:t>5.没有在“国家企业信用信息公示系统”（www.gsxt.gov.cn）中被列入严重违法失信企业名单；</w:t>
            </w:r>
          </w:p>
          <w:p w14:paraId="266D50D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u w:val="single"/>
              </w:rPr>
            </w:pPr>
            <w:r>
              <w:rPr>
                <w:rFonts w:hint="eastAsia" w:ascii="宋体" w:hAnsi="宋体" w:eastAsia="宋体" w:cs="宋体"/>
                <w:color w:val="auto"/>
                <w:u w:val="single"/>
              </w:rPr>
              <w:t>6.没有在“信用中国”网站（</w:t>
            </w:r>
            <w:r>
              <w:rPr>
                <w:rFonts w:hint="eastAsia" w:ascii="宋体" w:hAnsi="宋体" w:eastAsia="宋体" w:cs="宋体"/>
                <w:color w:val="auto"/>
                <w:u w:val="single"/>
              </w:rPr>
              <w:fldChar w:fldCharType="begin"/>
            </w:r>
            <w:r>
              <w:rPr>
                <w:rFonts w:hint="eastAsia" w:ascii="宋体" w:hAnsi="宋体" w:eastAsia="宋体" w:cs="宋体"/>
                <w:color w:val="auto"/>
                <w:u w:val="single"/>
              </w:rPr>
              <w:instrText xml:space="preserve"> HYPERLINK "http://www.creditchina.gov.cn/" </w:instrText>
            </w:r>
            <w:r>
              <w:rPr>
                <w:rFonts w:hint="eastAsia" w:ascii="宋体" w:hAnsi="宋体" w:eastAsia="宋体" w:cs="宋体"/>
                <w:color w:val="auto"/>
                <w:u w:val="single"/>
              </w:rPr>
              <w:fldChar w:fldCharType="separate"/>
            </w:r>
            <w:r>
              <w:rPr>
                <w:rStyle w:val="46"/>
                <w:rFonts w:hint="eastAsia" w:ascii="宋体" w:hAnsi="宋体" w:eastAsia="宋体" w:cs="宋体"/>
                <w:color w:val="auto"/>
              </w:rPr>
              <w:t>www.creditchina.gov.cn</w:t>
            </w:r>
            <w:r>
              <w:rPr>
                <w:rFonts w:hint="eastAsia" w:ascii="宋体" w:hAnsi="宋体" w:eastAsia="宋体" w:cs="宋体"/>
                <w:color w:val="auto"/>
                <w:u w:val="single"/>
              </w:rPr>
              <w:fldChar w:fldCharType="end"/>
            </w:r>
            <w:r>
              <w:rPr>
                <w:rFonts w:hint="eastAsia" w:ascii="宋体" w:hAnsi="宋体" w:eastAsia="宋体" w:cs="宋体"/>
                <w:color w:val="auto"/>
                <w:u w:val="single"/>
              </w:rPr>
              <w:t>）或中国执行信息公开网（http://zxgk.court.gov.cn/）或各级信用信息共享平</w:t>
            </w:r>
            <w:r>
              <w:rPr>
                <w:rFonts w:hint="eastAsia" w:ascii="宋体" w:hAnsi="宋体" w:eastAsia="宋体" w:cs="宋体"/>
                <w:color w:val="auto"/>
                <w:szCs w:val="21"/>
                <w:u w:val="single"/>
              </w:rPr>
              <w:t>台中</w:t>
            </w:r>
            <w:r>
              <w:rPr>
                <w:rFonts w:hint="eastAsia" w:ascii="宋体" w:hAnsi="宋体" w:eastAsia="宋体" w:cs="宋体"/>
                <w:color w:val="auto"/>
                <w:u w:val="single"/>
              </w:rPr>
              <w:t>被列入失信被执行人名单；</w:t>
            </w:r>
          </w:p>
          <w:p w14:paraId="4BBA205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u w:val="single"/>
              </w:rPr>
            </w:pPr>
            <w:r>
              <w:rPr>
                <w:rFonts w:hint="eastAsia" w:ascii="宋体" w:hAnsi="宋体" w:eastAsia="宋体" w:cs="宋体"/>
                <w:color w:val="auto"/>
                <w:u w:val="single"/>
              </w:rPr>
              <w:t>7.在近三年内投标人或其法定代表人、拟委任的项目经理没有被人民法院判决为行贿罪；</w:t>
            </w:r>
          </w:p>
          <w:p w14:paraId="1F6E7E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szCs w:val="21"/>
              </w:rPr>
            </w:pPr>
            <w:r>
              <w:rPr>
                <w:rFonts w:hint="eastAsia" w:ascii="宋体" w:hAnsi="宋体" w:eastAsia="宋体" w:cs="宋体"/>
                <w:color w:val="auto"/>
                <w:u w:val="single"/>
              </w:rPr>
              <w:t>8.不存在法律法规或投标人须知前附表第1.4.3（19）目规定的不得存在的其他情形。</w:t>
            </w:r>
          </w:p>
        </w:tc>
        <w:tc>
          <w:tcPr>
            <w:tcW w:w="654" w:type="dxa"/>
            <w:noWrap w:val="0"/>
            <w:vAlign w:val="top"/>
          </w:tcPr>
          <w:p w14:paraId="561ED477">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rPr>
            </w:pPr>
          </w:p>
        </w:tc>
      </w:tr>
      <w:tr w14:paraId="78022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5" w:type="dxa"/>
            <w:noWrap w:val="0"/>
            <w:vAlign w:val="center"/>
          </w:tcPr>
          <w:p w14:paraId="0B1A2B5C">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p>
        </w:tc>
        <w:tc>
          <w:tcPr>
            <w:tcW w:w="945" w:type="dxa"/>
            <w:noWrap w:val="0"/>
            <w:vAlign w:val="top"/>
          </w:tcPr>
          <w:p w14:paraId="06414169">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岗位</w:t>
            </w:r>
          </w:p>
        </w:tc>
        <w:tc>
          <w:tcPr>
            <w:tcW w:w="5640" w:type="dxa"/>
            <w:noWrap w:val="0"/>
            <w:vAlign w:val="top"/>
          </w:tcPr>
          <w:p w14:paraId="5AE144AC">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资格要求</w:t>
            </w:r>
          </w:p>
        </w:tc>
        <w:tc>
          <w:tcPr>
            <w:tcW w:w="675" w:type="dxa"/>
            <w:noWrap w:val="0"/>
            <w:vAlign w:val="top"/>
          </w:tcPr>
          <w:p w14:paraId="38931043">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数量</w:t>
            </w:r>
          </w:p>
        </w:tc>
        <w:tc>
          <w:tcPr>
            <w:tcW w:w="654" w:type="dxa"/>
            <w:noWrap w:val="0"/>
            <w:vAlign w:val="top"/>
          </w:tcPr>
          <w:p w14:paraId="2DE52DD7">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rPr>
            </w:pPr>
          </w:p>
        </w:tc>
      </w:tr>
      <w:tr w14:paraId="54B84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5" w:type="dxa"/>
            <w:noWrap w:val="0"/>
            <w:vAlign w:val="center"/>
          </w:tcPr>
          <w:p w14:paraId="33BD5681">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rPr>
            </w:pPr>
            <w:r>
              <w:rPr>
                <w:rFonts w:hint="eastAsia" w:ascii="Calibri" w:hAnsi="Calibri" w:eastAsia="宋体" w:cs="Times New Roman"/>
                <w:color w:val="auto"/>
              </w:rPr>
              <w:t>项目</w:t>
            </w:r>
          </w:p>
          <w:p w14:paraId="0102D3EF">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rPr>
            </w:pPr>
            <w:r>
              <w:rPr>
                <w:rFonts w:hint="eastAsia" w:ascii="Calibri" w:hAnsi="Calibri" w:eastAsia="宋体" w:cs="Times New Roman"/>
                <w:color w:val="auto"/>
              </w:rPr>
              <w:t>经理</w:t>
            </w:r>
          </w:p>
          <w:p w14:paraId="05F14492">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rPr>
            </w:pPr>
            <w:r>
              <w:rPr>
                <w:rFonts w:hint="eastAsia" w:ascii="Calibri" w:hAnsi="Calibri" w:eastAsia="宋体" w:cs="Times New Roman"/>
                <w:color w:val="auto"/>
              </w:rPr>
              <w:t>资格</w:t>
            </w:r>
          </w:p>
        </w:tc>
        <w:tc>
          <w:tcPr>
            <w:tcW w:w="945" w:type="dxa"/>
            <w:noWrap w:val="0"/>
            <w:vAlign w:val="center"/>
          </w:tcPr>
          <w:p w14:paraId="6207409D">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rPr>
            </w:pPr>
            <w:r>
              <w:rPr>
                <w:rFonts w:hint="eastAsia" w:ascii="Calibri" w:hAnsi="Calibri" w:eastAsia="宋体" w:cs="Times New Roman"/>
                <w:color w:val="auto"/>
              </w:rPr>
              <w:t>项目</w:t>
            </w:r>
          </w:p>
          <w:p w14:paraId="07459948">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rPr>
            </w:pPr>
            <w:r>
              <w:rPr>
                <w:rFonts w:hint="eastAsia" w:ascii="Calibri" w:hAnsi="Calibri" w:eastAsia="宋体" w:cs="Times New Roman"/>
                <w:color w:val="auto"/>
              </w:rPr>
              <w:t>经理</w:t>
            </w:r>
          </w:p>
        </w:tc>
        <w:tc>
          <w:tcPr>
            <w:tcW w:w="5640" w:type="dxa"/>
            <w:noWrap w:val="0"/>
            <w:vAlign w:val="center"/>
          </w:tcPr>
          <w:p w14:paraId="058F05C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具备市政公用工程专业二级及以上注册建造师执业资格和有效的B类安全生产考核合格证书，且未担任其他在建项目的项目经理</w:t>
            </w:r>
          </w:p>
        </w:tc>
        <w:tc>
          <w:tcPr>
            <w:tcW w:w="675" w:type="dxa"/>
            <w:noWrap w:val="0"/>
            <w:vAlign w:val="center"/>
          </w:tcPr>
          <w:p w14:paraId="0A538F6A">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1人</w:t>
            </w:r>
          </w:p>
        </w:tc>
        <w:tc>
          <w:tcPr>
            <w:tcW w:w="654" w:type="dxa"/>
            <w:noWrap w:val="0"/>
            <w:vAlign w:val="top"/>
          </w:tcPr>
          <w:p w14:paraId="40D8C329">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rPr>
            </w:pPr>
          </w:p>
        </w:tc>
      </w:tr>
      <w:tr w14:paraId="5E1DE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5" w:type="dxa"/>
            <w:noWrap w:val="0"/>
            <w:vAlign w:val="center"/>
          </w:tcPr>
          <w:p w14:paraId="134056D2">
            <w:pPr>
              <w:keepNext w:val="0"/>
              <w:keepLines w:val="0"/>
              <w:suppressLineNumbers w:val="0"/>
              <w:autoSpaceDE w:val="0"/>
              <w:autoSpaceDN w:val="0"/>
              <w:spacing w:before="0" w:beforeAutospacing="0" w:after="0" w:afterAutospacing="0" w:line="240" w:lineRule="auto"/>
              <w:ind w:left="0" w:right="0"/>
              <w:jc w:val="center"/>
              <w:rPr>
                <w:rFonts w:hint="eastAsia" w:ascii="Calibri" w:hAnsi="Calibri" w:eastAsia="宋体" w:cs="Times New Roman"/>
                <w:color w:val="auto"/>
              </w:rPr>
            </w:pPr>
            <w:r>
              <w:rPr>
                <w:rFonts w:hint="eastAsia" w:ascii="Calibri" w:hAnsi="Calibri" w:eastAsia="宋体" w:cs="Times New Roman"/>
                <w:color w:val="auto"/>
              </w:rPr>
              <w:t>设计</w:t>
            </w:r>
          </w:p>
          <w:p w14:paraId="562995AD">
            <w:pPr>
              <w:keepNext w:val="0"/>
              <w:keepLines w:val="0"/>
              <w:suppressLineNumbers w:val="0"/>
              <w:autoSpaceDE w:val="0"/>
              <w:autoSpaceDN w:val="0"/>
              <w:spacing w:before="0" w:beforeAutospacing="0" w:after="0" w:afterAutospacing="0" w:line="240" w:lineRule="auto"/>
              <w:ind w:left="0" w:right="0"/>
              <w:jc w:val="center"/>
              <w:rPr>
                <w:rFonts w:hint="eastAsia" w:ascii="Calibri" w:hAnsi="Calibri" w:eastAsia="宋体" w:cs="Times New Roman"/>
                <w:color w:val="auto"/>
              </w:rPr>
            </w:pPr>
            <w:r>
              <w:rPr>
                <w:rFonts w:hint="eastAsia" w:ascii="Calibri" w:hAnsi="Calibri" w:eastAsia="宋体" w:cs="Times New Roman"/>
                <w:color w:val="auto"/>
              </w:rPr>
              <w:t>负责人</w:t>
            </w:r>
          </w:p>
          <w:p w14:paraId="7EF8D9D3">
            <w:pPr>
              <w:keepNext w:val="0"/>
              <w:keepLines w:val="0"/>
              <w:suppressLineNumbers w:val="0"/>
              <w:autoSpaceDE w:val="0"/>
              <w:autoSpaceDN w:val="0"/>
              <w:spacing w:before="0" w:beforeAutospacing="0" w:after="0" w:afterAutospacing="0" w:line="240" w:lineRule="auto"/>
              <w:ind w:left="0" w:right="0"/>
              <w:jc w:val="center"/>
              <w:rPr>
                <w:rFonts w:hint="eastAsia" w:ascii="Calibri" w:hAnsi="Calibri" w:eastAsia="宋体" w:cs="Times New Roman"/>
                <w:color w:val="auto"/>
              </w:rPr>
            </w:pPr>
            <w:r>
              <w:rPr>
                <w:rFonts w:hint="eastAsia" w:ascii="Calibri" w:hAnsi="Calibri" w:eastAsia="宋体" w:cs="Times New Roman"/>
                <w:color w:val="auto"/>
              </w:rPr>
              <w:t>资格</w:t>
            </w:r>
          </w:p>
        </w:tc>
        <w:tc>
          <w:tcPr>
            <w:tcW w:w="945" w:type="dxa"/>
            <w:noWrap w:val="0"/>
            <w:vAlign w:val="center"/>
          </w:tcPr>
          <w:p w14:paraId="10A263A9">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rPr>
            </w:pPr>
            <w:r>
              <w:rPr>
                <w:rFonts w:hint="eastAsia" w:ascii="Calibri" w:hAnsi="Calibri" w:eastAsia="宋体" w:cs="Times New Roman"/>
                <w:color w:val="auto"/>
              </w:rPr>
              <w:t>设计</w:t>
            </w:r>
          </w:p>
          <w:p w14:paraId="47EA8FD9">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rPr>
            </w:pPr>
            <w:r>
              <w:rPr>
                <w:rFonts w:hint="eastAsia" w:ascii="Calibri" w:hAnsi="Calibri" w:eastAsia="宋体" w:cs="Times New Roman"/>
                <w:color w:val="auto"/>
              </w:rPr>
              <w:t>负责人</w:t>
            </w:r>
          </w:p>
        </w:tc>
        <w:tc>
          <w:tcPr>
            <w:tcW w:w="5640" w:type="dxa"/>
            <w:noWrap w:val="0"/>
            <w:vAlign w:val="center"/>
          </w:tcPr>
          <w:p w14:paraId="2B0C499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Calibri" w:hAnsi="Calibri" w:eastAsia="宋体" w:cs="Times New Roman"/>
                <w:color w:val="auto"/>
                <w:sz w:val="24"/>
                <w:szCs w:val="24"/>
              </w:rPr>
            </w:pPr>
            <w:r>
              <w:rPr>
                <w:rFonts w:hint="eastAsia" w:ascii="Calibri" w:hAnsi="Calibri" w:eastAsia="宋体" w:cs="Times New Roman"/>
                <w:color w:val="auto"/>
                <w:sz w:val="24"/>
                <w:szCs w:val="24"/>
              </w:rPr>
              <w:t>具备注册公用设备工程师（给水排水）执业资格</w:t>
            </w:r>
          </w:p>
        </w:tc>
        <w:tc>
          <w:tcPr>
            <w:tcW w:w="675" w:type="dxa"/>
            <w:noWrap w:val="0"/>
            <w:vAlign w:val="center"/>
          </w:tcPr>
          <w:p w14:paraId="4721D0DD">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1人</w:t>
            </w:r>
          </w:p>
        </w:tc>
        <w:tc>
          <w:tcPr>
            <w:tcW w:w="654" w:type="dxa"/>
            <w:noWrap w:val="0"/>
            <w:vAlign w:val="top"/>
          </w:tcPr>
          <w:p w14:paraId="02386503">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rPr>
            </w:pPr>
          </w:p>
        </w:tc>
      </w:tr>
      <w:tr w14:paraId="21223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5" w:type="dxa"/>
            <w:noWrap w:val="0"/>
            <w:vAlign w:val="center"/>
          </w:tcPr>
          <w:p w14:paraId="3F0D1A7F">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rPr>
            </w:pPr>
            <w:r>
              <w:rPr>
                <w:rFonts w:hint="eastAsia" w:ascii="Calibri" w:hAnsi="Calibri" w:eastAsia="宋体" w:cs="Times New Roman"/>
                <w:color w:val="auto"/>
              </w:rPr>
              <w:t>施工</w:t>
            </w:r>
          </w:p>
          <w:p w14:paraId="0D0C9192">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rPr>
            </w:pPr>
            <w:r>
              <w:rPr>
                <w:rFonts w:hint="eastAsia" w:ascii="Calibri" w:hAnsi="Calibri" w:eastAsia="宋体" w:cs="Times New Roman"/>
                <w:color w:val="auto"/>
              </w:rPr>
              <w:t>负责人</w:t>
            </w:r>
          </w:p>
          <w:p w14:paraId="28FFB8C6">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szCs w:val="21"/>
              </w:rPr>
            </w:pPr>
            <w:r>
              <w:rPr>
                <w:rFonts w:hint="eastAsia" w:ascii="Calibri" w:hAnsi="Calibri" w:eastAsia="宋体" w:cs="Times New Roman"/>
                <w:color w:val="auto"/>
              </w:rPr>
              <w:t>资格</w:t>
            </w:r>
          </w:p>
        </w:tc>
        <w:tc>
          <w:tcPr>
            <w:tcW w:w="945" w:type="dxa"/>
            <w:noWrap w:val="0"/>
            <w:vAlign w:val="center"/>
          </w:tcPr>
          <w:p w14:paraId="2B036244">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rPr>
            </w:pPr>
            <w:r>
              <w:rPr>
                <w:rFonts w:hint="eastAsia" w:ascii="Calibri" w:hAnsi="Calibri" w:eastAsia="宋体" w:cs="Times New Roman"/>
                <w:color w:val="auto"/>
              </w:rPr>
              <w:t>施工</w:t>
            </w:r>
          </w:p>
          <w:p w14:paraId="05F1F135">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rPr>
            </w:pPr>
            <w:r>
              <w:rPr>
                <w:rFonts w:hint="eastAsia" w:ascii="Calibri" w:hAnsi="Calibri" w:eastAsia="宋体" w:cs="Times New Roman"/>
                <w:color w:val="auto"/>
              </w:rPr>
              <w:t>负责人</w:t>
            </w:r>
          </w:p>
        </w:tc>
        <w:tc>
          <w:tcPr>
            <w:tcW w:w="5640" w:type="dxa"/>
            <w:noWrap w:val="0"/>
            <w:vAlign w:val="center"/>
          </w:tcPr>
          <w:p w14:paraId="1D4F9736">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textAlignment w:val="auto"/>
              <w:rPr>
                <w:rFonts w:hint="eastAsia" w:ascii="Calibri" w:hAnsi="Calibri" w:eastAsia="宋体" w:cs="Times New Roman"/>
                <w:color w:val="auto"/>
                <w:sz w:val="24"/>
                <w:szCs w:val="32"/>
              </w:rPr>
            </w:pPr>
            <w:r>
              <w:rPr>
                <w:rFonts w:hint="eastAsia" w:ascii="宋体" w:hAnsi="宋体" w:eastAsia="宋体" w:cs="宋体"/>
                <w:color w:val="auto"/>
                <w:sz w:val="24"/>
                <w:szCs w:val="32"/>
              </w:rPr>
              <w:t>具备市政公用工程专业二级及以上注册建造师执业资格和有效的B类安全生产考核合格证书或市政公用工程专业中级及以上技术职称，且未担任其他在建项目的项目经理</w:t>
            </w:r>
          </w:p>
        </w:tc>
        <w:tc>
          <w:tcPr>
            <w:tcW w:w="675" w:type="dxa"/>
            <w:noWrap w:val="0"/>
            <w:vAlign w:val="center"/>
          </w:tcPr>
          <w:p w14:paraId="486ABD1C">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1人</w:t>
            </w:r>
          </w:p>
        </w:tc>
        <w:tc>
          <w:tcPr>
            <w:tcW w:w="654" w:type="dxa"/>
            <w:noWrap w:val="0"/>
            <w:vAlign w:val="top"/>
          </w:tcPr>
          <w:p w14:paraId="7386B232">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rPr>
            </w:pPr>
          </w:p>
        </w:tc>
      </w:tr>
      <w:tr w14:paraId="096F9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1005" w:type="dxa"/>
            <w:vMerge w:val="restart"/>
            <w:noWrap w:val="0"/>
            <w:vAlign w:val="center"/>
          </w:tcPr>
          <w:p w14:paraId="53F68229">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rPr>
            </w:pPr>
            <w:r>
              <w:rPr>
                <w:rFonts w:hint="eastAsia" w:ascii="Calibri" w:hAnsi="Calibri" w:eastAsia="宋体" w:cs="Times New Roman"/>
                <w:color w:val="auto"/>
              </w:rPr>
              <w:t>项目</w:t>
            </w:r>
          </w:p>
          <w:p w14:paraId="7CBEDBDE">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rPr>
            </w:pPr>
            <w:r>
              <w:rPr>
                <w:rFonts w:hint="eastAsia" w:ascii="Calibri" w:hAnsi="Calibri" w:eastAsia="宋体" w:cs="Times New Roman"/>
                <w:color w:val="auto"/>
              </w:rPr>
              <w:t>管理</w:t>
            </w:r>
          </w:p>
          <w:p w14:paraId="2B289DED">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rPr>
            </w:pPr>
            <w:r>
              <w:rPr>
                <w:rFonts w:hint="eastAsia" w:ascii="Calibri" w:hAnsi="Calibri" w:eastAsia="宋体" w:cs="Times New Roman"/>
                <w:color w:val="auto"/>
              </w:rPr>
              <w:t>机构</w:t>
            </w:r>
          </w:p>
          <w:p w14:paraId="2F15D366">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rPr>
            </w:pPr>
            <w:r>
              <w:rPr>
                <w:rFonts w:hint="eastAsia" w:ascii="Calibri" w:hAnsi="Calibri" w:eastAsia="宋体" w:cs="Times New Roman"/>
                <w:color w:val="auto"/>
              </w:rPr>
              <w:t>其他</w:t>
            </w:r>
          </w:p>
          <w:p w14:paraId="52CDC2ED">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rPr>
            </w:pPr>
            <w:r>
              <w:rPr>
                <w:rFonts w:hint="eastAsia" w:ascii="Calibri" w:hAnsi="Calibri" w:eastAsia="宋体" w:cs="Times New Roman"/>
                <w:color w:val="auto"/>
              </w:rPr>
              <w:t>主要</w:t>
            </w:r>
          </w:p>
          <w:p w14:paraId="615AEB10">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szCs w:val="21"/>
              </w:rPr>
            </w:pPr>
            <w:r>
              <w:rPr>
                <w:rFonts w:hint="eastAsia" w:ascii="Calibri" w:hAnsi="Calibri" w:eastAsia="宋体" w:cs="Times New Roman"/>
                <w:color w:val="auto"/>
              </w:rPr>
              <w:t>人员</w:t>
            </w:r>
          </w:p>
        </w:tc>
        <w:tc>
          <w:tcPr>
            <w:tcW w:w="945" w:type="dxa"/>
            <w:noWrap w:val="0"/>
            <w:vAlign w:val="center"/>
          </w:tcPr>
          <w:p w14:paraId="595F57D9">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sz w:val="24"/>
                <w:szCs w:val="32"/>
              </w:rPr>
            </w:pPr>
            <w:r>
              <w:rPr>
                <w:rFonts w:hint="eastAsia" w:ascii="Calibri" w:hAnsi="Calibri" w:eastAsia="宋体" w:cs="Times New Roman"/>
                <w:color w:val="auto"/>
                <w:sz w:val="24"/>
                <w:szCs w:val="32"/>
              </w:rPr>
              <w:t>施工员</w:t>
            </w:r>
          </w:p>
        </w:tc>
        <w:tc>
          <w:tcPr>
            <w:tcW w:w="5640" w:type="dxa"/>
            <w:noWrap w:val="0"/>
            <w:vAlign w:val="center"/>
          </w:tcPr>
          <w:p w14:paraId="3F696781">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color w:val="auto"/>
                <w:sz w:val="24"/>
                <w:szCs w:val="32"/>
              </w:rPr>
            </w:pPr>
            <w:r>
              <w:rPr>
                <w:rFonts w:hint="eastAsia" w:ascii="Calibri" w:hAnsi="Calibri" w:eastAsia="宋体" w:cs="Times New Roman"/>
                <w:color w:val="auto"/>
                <w:sz w:val="24"/>
                <w:szCs w:val="32"/>
              </w:rPr>
              <w:t>持有市政公用工程施工员岗位培训考核合格证书</w:t>
            </w:r>
          </w:p>
        </w:tc>
        <w:tc>
          <w:tcPr>
            <w:tcW w:w="675" w:type="dxa"/>
            <w:noWrap w:val="0"/>
            <w:vAlign w:val="center"/>
          </w:tcPr>
          <w:p w14:paraId="2BCB157C">
            <w:pPr>
              <w:keepNext w:val="0"/>
              <w:keepLines w:val="0"/>
              <w:suppressLineNumbers w:val="0"/>
              <w:autoSpaceDE w:val="0"/>
              <w:autoSpaceDN w:val="0"/>
              <w:adjustRightInd w:val="0"/>
              <w:spacing w:before="0" w:beforeAutospacing="0" w:after="0" w:afterAutospacing="0"/>
              <w:ind w:left="0" w:right="0"/>
              <w:jc w:val="center"/>
              <w:rPr>
                <w:rFonts w:hint="eastAsia" w:ascii="Calibri" w:hAnsi="Calibri" w:eastAsia="宋体" w:cs="Times New Roman"/>
                <w:color w:val="auto"/>
                <w:sz w:val="24"/>
                <w:szCs w:val="24"/>
              </w:rPr>
            </w:pPr>
            <w:r>
              <w:rPr>
                <w:rFonts w:hint="eastAsia" w:ascii="宋体" w:hAnsi="宋体" w:eastAsia="宋体" w:cs="宋体"/>
                <w:color w:val="auto"/>
                <w:sz w:val="24"/>
                <w:szCs w:val="32"/>
              </w:rPr>
              <w:t>1人</w:t>
            </w:r>
          </w:p>
        </w:tc>
        <w:tc>
          <w:tcPr>
            <w:tcW w:w="654" w:type="dxa"/>
            <w:noWrap w:val="0"/>
            <w:vAlign w:val="top"/>
          </w:tcPr>
          <w:p w14:paraId="35A90CB5">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rPr>
            </w:pPr>
          </w:p>
        </w:tc>
      </w:tr>
      <w:tr w14:paraId="2E6CB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1005" w:type="dxa"/>
            <w:vMerge w:val="continue"/>
            <w:noWrap w:val="0"/>
            <w:vAlign w:val="top"/>
          </w:tcPr>
          <w:p w14:paraId="755BCDD5">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p>
        </w:tc>
        <w:tc>
          <w:tcPr>
            <w:tcW w:w="945" w:type="dxa"/>
            <w:noWrap w:val="0"/>
            <w:vAlign w:val="center"/>
          </w:tcPr>
          <w:p w14:paraId="30F527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Calibri" w:hAnsi="Calibri" w:eastAsia="宋体" w:cs="Times New Roman"/>
                <w:color w:val="auto"/>
                <w:sz w:val="24"/>
                <w:szCs w:val="24"/>
              </w:rPr>
            </w:pPr>
            <w:r>
              <w:rPr>
                <w:rFonts w:hint="eastAsia" w:ascii="Calibri" w:hAnsi="Calibri" w:eastAsia="宋体" w:cs="Times New Roman"/>
                <w:color w:val="auto"/>
                <w:sz w:val="24"/>
                <w:szCs w:val="32"/>
              </w:rPr>
              <w:t>质量员</w:t>
            </w:r>
          </w:p>
        </w:tc>
        <w:tc>
          <w:tcPr>
            <w:tcW w:w="5640" w:type="dxa"/>
            <w:noWrap w:val="0"/>
            <w:vAlign w:val="center"/>
          </w:tcPr>
          <w:p w14:paraId="5452E4A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Calibri" w:hAnsi="Calibri" w:eastAsia="宋体" w:cs="Times New Roman"/>
                <w:color w:val="auto"/>
                <w:sz w:val="24"/>
                <w:szCs w:val="24"/>
              </w:rPr>
            </w:pPr>
            <w:r>
              <w:rPr>
                <w:rFonts w:hint="eastAsia" w:ascii="Calibri" w:hAnsi="Calibri" w:eastAsia="宋体" w:cs="Times New Roman"/>
                <w:color w:val="auto"/>
                <w:sz w:val="24"/>
                <w:szCs w:val="32"/>
              </w:rPr>
              <w:t>持有市政公用工程质量员岗位培训考核合格证书</w:t>
            </w:r>
          </w:p>
        </w:tc>
        <w:tc>
          <w:tcPr>
            <w:tcW w:w="675" w:type="dxa"/>
            <w:noWrap w:val="0"/>
            <w:vAlign w:val="center"/>
          </w:tcPr>
          <w:p w14:paraId="501214D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32"/>
              </w:rPr>
              <w:t>1人</w:t>
            </w:r>
          </w:p>
        </w:tc>
        <w:tc>
          <w:tcPr>
            <w:tcW w:w="654" w:type="dxa"/>
            <w:noWrap w:val="0"/>
            <w:vAlign w:val="top"/>
          </w:tcPr>
          <w:p w14:paraId="2E4B3425">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rPr>
            </w:pPr>
          </w:p>
        </w:tc>
      </w:tr>
      <w:tr w14:paraId="6D993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1005" w:type="dxa"/>
            <w:vMerge w:val="continue"/>
            <w:noWrap w:val="0"/>
            <w:vAlign w:val="top"/>
          </w:tcPr>
          <w:p w14:paraId="11FAB54D">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p>
        </w:tc>
        <w:tc>
          <w:tcPr>
            <w:tcW w:w="945" w:type="dxa"/>
            <w:noWrap w:val="0"/>
            <w:vAlign w:val="center"/>
          </w:tcPr>
          <w:p w14:paraId="1E6FB73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kern w:val="0"/>
                <w:sz w:val="24"/>
                <w:szCs w:val="24"/>
                <w:highlight w:val="none"/>
              </w:rPr>
            </w:pPr>
            <w:r>
              <w:rPr>
                <w:rFonts w:hint="eastAsia" w:ascii="Calibri" w:hAnsi="Calibri" w:eastAsia="宋体" w:cs="Times New Roman"/>
                <w:color w:val="auto"/>
                <w:sz w:val="24"/>
                <w:szCs w:val="32"/>
                <w:highlight w:val="none"/>
              </w:rPr>
              <w:t>安全员</w:t>
            </w:r>
          </w:p>
        </w:tc>
        <w:tc>
          <w:tcPr>
            <w:tcW w:w="5640" w:type="dxa"/>
            <w:noWrap w:val="0"/>
            <w:vAlign w:val="center"/>
          </w:tcPr>
          <w:p w14:paraId="3FE91C1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Calibri" w:hAnsi="Calibri" w:eastAsia="宋体" w:cs="Times New Roman"/>
                <w:color w:val="auto"/>
                <w:sz w:val="24"/>
                <w:szCs w:val="32"/>
                <w:highlight w:val="none"/>
              </w:rPr>
            </w:pPr>
            <w:r>
              <w:rPr>
                <w:rFonts w:hint="eastAsia" w:ascii="Calibri" w:hAnsi="Calibri" w:eastAsia="宋体" w:cs="Times New Roman"/>
                <w:color w:val="auto"/>
                <w:sz w:val="24"/>
                <w:szCs w:val="32"/>
                <w:highlight w:val="none"/>
              </w:rPr>
              <w:t>持有有效的安全生产考核合格证书（</w:t>
            </w:r>
            <w:bookmarkStart w:id="2503" w:name="_GoBack"/>
            <w:bookmarkEnd w:id="2503"/>
            <w:r>
              <w:rPr>
                <w:rFonts w:hint="eastAsia" w:ascii="宋体" w:hAnsi="宋体" w:eastAsia="宋体" w:cs="宋体"/>
                <w:color w:val="auto"/>
                <w:sz w:val="24"/>
                <w:szCs w:val="32"/>
                <w:highlight w:val="none"/>
              </w:rPr>
              <w:t>C</w:t>
            </w:r>
            <w:r>
              <w:rPr>
                <w:rFonts w:hint="eastAsia" w:ascii="Calibri" w:hAnsi="Calibri" w:eastAsia="宋体" w:cs="Times New Roman"/>
                <w:color w:val="auto"/>
                <w:sz w:val="24"/>
                <w:szCs w:val="32"/>
                <w:highlight w:val="none"/>
              </w:rPr>
              <w:t>证）</w:t>
            </w:r>
          </w:p>
        </w:tc>
        <w:tc>
          <w:tcPr>
            <w:tcW w:w="675" w:type="dxa"/>
            <w:noWrap w:val="0"/>
            <w:vAlign w:val="center"/>
          </w:tcPr>
          <w:p w14:paraId="588574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32"/>
                <w:highlight w:val="none"/>
              </w:rPr>
              <w:t>1人</w:t>
            </w:r>
          </w:p>
        </w:tc>
        <w:tc>
          <w:tcPr>
            <w:tcW w:w="654" w:type="dxa"/>
            <w:noWrap w:val="0"/>
            <w:vAlign w:val="top"/>
          </w:tcPr>
          <w:p w14:paraId="1EBC4397">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rPr>
            </w:pPr>
          </w:p>
        </w:tc>
      </w:tr>
      <w:tr w14:paraId="4376C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1005" w:type="dxa"/>
            <w:vMerge w:val="continue"/>
            <w:noWrap w:val="0"/>
            <w:vAlign w:val="top"/>
          </w:tcPr>
          <w:p w14:paraId="02081E6F">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p>
        </w:tc>
        <w:tc>
          <w:tcPr>
            <w:tcW w:w="945" w:type="dxa"/>
            <w:noWrap w:val="0"/>
            <w:vAlign w:val="center"/>
          </w:tcPr>
          <w:p w14:paraId="0C302061">
            <w:pPr>
              <w:keepNext w:val="0"/>
              <w:keepLines w:val="0"/>
              <w:pageBreakBefore w:val="0"/>
              <w:widowControl w:val="0"/>
              <w:suppressLineNumbers w:val="0"/>
              <w:kinsoku/>
              <w:wordWrap/>
              <w:overflowPunct/>
              <w:topLinePunct w:val="0"/>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kern w:val="0"/>
                <w:sz w:val="24"/>
                <w:szCs w:val="24"/>
              </w:rPr>
            </w:pPr>
            <w:r>
              <w:rPr>
                <w:rFonts w:hint="eastAsia" w:ascii="Calibri" w:hAnsi="Calibri" w:eastAsia="宋体" w:cs="Times New Roman"/>
                <w:color w:val="auto"/>
                <w:sz w:val="24"/>
                <w:szCs w:val="32"/>
              </w:rPr>
              <w:t>材料员</w:t>
            </w:r>
          </w:p>
        </w:tc>
        <w:tc>
          <w:tcPr>
            <w:tcW w:w="5640" w:type="dxa"/>
            <w:noWrap w:val="0"/>
            <w:vAlign w:val="center"/>
          </w:tcPr>
          <w:p w14:paraId="7A579F4B">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exact"/>
              <w:ind w:left="0" w:right="0"/>
              <w:jc w:val="left"/>
              <w:textAlignment w:val="auto"/>
              <w:rPr>
                <w:rFonts w:hint="eastAsia" w:ascii="Calibri" w:hAnsi="Calibri" w:eastAsia="宋体" w:cs="Times New Roman"/>
                <w:color w:val="auto"/>
                <w:sz w:val="24"/>
                <w:szCs w:val="32"/>
              </w:rPr>
            </w:pPr>
            <w:r>
              <w:rPr>
                <w:rFonts w:hint="eastAsia" w:ascii="Calibri" w:hAnsi="Calibri" w:eastAsia="宋体" w:cs="Times New Roman"/>
                <w:color w:val="auto"/>
                <w:sz w:val="24"/>
                <w:szCs w:val="32"/>
              </w:rPr>
              <w:t>持有有效的材料员资格证书</w:t>
            </w:r>
          </w:p>
        </w:tc>
        <w:tc>
          <w:tcPr>
            <w:tcW w:w="675" w:type="dxa"/>
            <w:noWrap w:val="0"/>
            <w:vAlign w:val="center"/>
          </w:tcPr>
          <w:p w14:paraId="6124A6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32"/>
              </w:rPr>
              <w:t>1人</w:t>
            </w:r>
          </w:p>
        </w:tc>
        <w:tc>
          <w:tcPr>
            <w:tcW w:w="654" w:type="dxa"/>
            <w:noWrap w:val="0"/>
            <w:vAlign w:val="top"/>
          </w:tcPr>
          <w:p w14:paraId="2EE05CE5">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rPr>
            </w:pPr>
          </w:p>
        </w:tc>
      </w:tr>
      <w:tr w14:paraId="0FC0B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1005" w:type="dxa"/>
            <w:vMerge w:val="continue"/>
            <w:noWrap w:val="0"/>
            <w:vAlign w:val="top"/>
          </w:tcPr>
          <w:p w14:paraId="367216D3">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p>
        </w:tc>
        <w:tc>
          <w:tcPr>
            <w:tcW w:w="945" w:type="dxa"/>
            <w:noWrap w:val="0"/>
            <w:vAlign w:val="center"/>
          </w:tcPr>
          <w:p w14:paraId="2FD9438A">
            <w:pPr>
              <w:keepNext w:val="0"/>
              <w:keepLines w:val="0"/>
              <w:pageBreakBefore w:val="0"/>
              <w:widowControl w:val="0"/>
              <w:suppressLineNumbers w:val="0"/>
              <w:kinsoku/>
              <w:wordWrap/>
              <w:overflowPunct/>
              <w:topLinePunct w:val="0"/>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kern w:val="0"/>
                <w:sz w:val="24"/>
                <w:szCs w:val="24"/>
              </w:rPr>
            </w:pPr>
            <w:r>
              <w:rPr>
                <w:rFonts w:hint="eastAsia" w:ascii="Calibri" w:hAnsi="Calibri" w:eastAsia="宋体" w:cs="Times New Roman"/>
                <w:color w:val="auto"/>
                <w:sz w:val="24"/>
                <w:szCs w:val="32"/>
              </w:rPr>
              <w:t>资料员</w:t>
            </w:r>
          </w:p>
        </w:tc>
        <w:tc>
          <w:tcPr>
            <w:tcW w:w="5640" w:type="dxa"/>
            <w:noWrap w:val="0"/>
            <w:vAlign w:val="center"/>
          </w:tcPr>
          <w:p w14:paraId="4AF8D53F">
            <w:pPr>
              <w:keepNext w:val="0"/>
              <w:keepLines w:val="0"/>
              <w:pageBreakBefore w:val="0"/>
              <w:widowControl w:val="0"/>
              <w:suppressLineNumbers w:val="0"/>
              <w:kinsoku/>
              <w:wordWrap/>
              <w:overflowPunct/>
              <w:topLinePunct w:val="0"/>
              <w:bidi w:val="0"/>
              <w:adjustRightInd/>
              <w:snapToGrid/>
              <w:spacing w:before="0" w:beforeAutospacing="0" w:after="0" w:afterAutospacing="0" w:line="360" w:lineRule="exact"/>
              <w:ind w:left="0" w:right="0"/>
              <w:textAlignment w:val="auto"/>
              <w:rPr>
                <w:rFonts w:hint="eastAsia" w:ascii="Calibri" w:hAnsi="Calibri" w:eastAsia="宋体" w:cs="Times New Roman"/>
                <w:color w:val="auto"/>
                <w:sz w:val="24"/>
                <w:szCs w:val="32"/>
              </w:rPr>
            </w:pPr>
            <w:r>
              <w:rPr>
                <w:rFonts w:hint="eastAsia" w:ascii="Calibri" w:hAnsi="Calibri" w:eastAsia="宋体" w:cs="Times New Roman"/>
                <w:color w:val="auto"/>
                <w:sz w:val="24"/>
                <w:szCs w:val="32"/>
              </w:rPr>
              <w:t>持有有效的资料员资格证书</w:t>
            </w:r>
          </w:p>
        </w:tc>
        <w:tc>
          <w:tcPr>
            <w:tcW w:w="675" w:type="dxa"/>
            <w:noWrap w:val="0"/>
            <w:vAlign w:val="center"/>
          </w:tcPr>
          <w:p w14:paraId="548850D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32"/>
              </w:rPr>
              <w:t>1人</w:t>
            </w:r>
          </w:p>
        </w:tc>
        <w:tc>
          <w:tcPr>
            <w:tcW w:w="654" w:type="dxa"/>
            <w:noWrap w:val="0"/>
            <w:vAlign w:val="top"/>
          </w:tcPr>
          <w:p w14:paraId="13521722">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rPr>
            </w:pPr>
          </w:p>
        </w:tc>
      </w:tr>
      <w:tr w14:paraId="653F8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1005" w:type="dxa"/>
            <w:vMerge w:val="continue"/>
            <w:noWrap w:val="0"/>
            <w:vAlign w:val="top"/>
          </w:tcPr>
          <w:p w14:paraId="6A282684">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p>
        </w:tc>
        <w:tc>
          <w:tcPr>
            <w:tcW w:w="945" w:type="dxa"/>
            <w:noWrap w:val="0"/>
            <w:vAlign w:val="center"/>
          </w:tcPr>
          <w:p w14:paraId="47E0F9A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Cs w:val="21"/>
              </w:rPr>
            </w:pPr>
          </w:p>
        </w:tc>
        <w:tc>
          <w:tcPr>
            <w:tcW w:w="5640" w:type="dxa"/>
            <w:noWrap w:val="0"/>
            <w:vAlign w:val="center"/>
          </w:tcPr>
          <w:p w14:paraId="1D61DCA2">
            <w:pPr>
              <w:keepNext w:val="0"/>
              <w:keepLines w:val="0"/>
              <w:suppressLineNumbers w:val="0"/>
              <w:spacing w:before="0" w:beforeAutospacing="0" w:after="0" w:afterAutospacing="0" w:line="440" w:lineRule="exact"/>
              <w:ind w:left="0" w:right="0"/>
              <w:rPr>
                <w:rFonts w:hint="eastAsia" w:ascii="宋体" w:hAnsi="宋体" w:eastAsia="宋体" w:cs="Times New Roman"/>
                <w:color w:val="auto"/>
                <w:spacing w:val="-4"/>
                <w:szCs w:val="21"/>
              </w:rPr>
            </w:pPr>
          </w:p>
        </w:tc>
        <w:tc>
          <w:tcPr>
            <w:tcW w:w="675" w:type="dxa"/>
            <w:noWrap w:val="0"/>
            <w:vAlign w:val="center"/>
          </w:tcPr>
          <w:p w14:paraId="4C436AA0">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p>
        </w:tc>
        <w:tc>
          <w:tcPr>
            <w:tcW w:w="654" w:type="dxa"/>
            <w:noWrap w:val="0"/>
            <w:vAlign w:val="top"/>
          </w:tcPr>
          <w:p w14:paraId="5CE7953D">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rPr>
            </w:pPr>
          </w:p>
        </w:tc>
      </w:tr>
      <w:tr w14:paraId="2969E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1005" w:type="dxa"/>
            <w:vMerge w:val="continue"/>
            <w:noWrap w:val="0"/>
            <w:vAlign w:val="top"/>
          </w:tcPr>
          <w:p w14:paraId="75310555">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p>
        </w:tc>
        <w:tc>
          <w:tcPr>
            <w:tcW w:w="945" w:type="dxa"/>
            <w:noWrap w:val="0"/>
            <w:vAlign w:val="center"/>
          </w:tcPr>
          <w:p w14:paraId="3D8C44E1">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Cs w:val="21"/>
              </w:rPr>
            </w:pPr>
          </w:p>
        </w:tc>
        <w:tc>
          <w:tcPr>
            <w:tcW w:w="5640" w:type="dxa"/>
            <w:noWrap w:val="0"/>
            <w:vAlign w:val="center"/>
          </w:tcPr>
          <w:p w14:paraId="4B1E0815">
            <w:pPr>
              <w:keepNext w:val="0"/>
              <w:keepLines w:val="0"/>
              <w:suppressLineNumbers w:val="0"/>
              <w:spacing w:before="0" w:beforeAutospacing="0" w:after="0" w:afterAutospacing="0" w:line="440" w:lineRule="exact"/>
              <w:ind w:left="0" w:right="0"/>
              <w:rPr>
                <w:rFonts w:hint="eastAsia" w:ascii="宋体" w:hAnsi="宋体" w:eastAsia="宋体" w:cs="Times New Roman"/>
                <w:color w:val="auto"/>
                <w:spacing w:val="-4"/>
                <w:szCs w:val="21"/>
              </w:rPr>
            </w:pPr>
          </w:p>
        </w:tc>
        <w:tc>
          <w:tcPr>
            <w:tcW w:w="675" w:type="dxa"/>
            <w:noWrap w:val="0"/>
            <w:vAlign w:val="center"/>
          </w:tcPr>
          <w:p w14:paraId="6209C3C1">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p>
        </w:tc>
        <w:tc>
          <w:tcPr>
            <w:tcW w:w="654" w:type="dxa"/>
            <w:noWrap w:val="0"/>
            <w:vAlign w:val="top"/>
          </w:tcPr>
          <w:p w14:paraId="052724DD">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rPr>
            </w:pPr>
          </w:p>
        </w:tc>
      </w:tr>
      <w:tr w14:paraId="51D6F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1950" w:type="dxa"/>
            <w:gridSpan w:val="2"/>
            <w:noWrap w:val="0"/>
            <w:vAlign w:val="center"/>
          </w:tcPr>
          <w:p w14:paraId="57315214">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rPr>
            </w:pPr>
            <w:r>
              <w:rPr>
                <w:rFonts w:hint="eastAsia" w:ascii="Calibri" w:hAnsi="Calibri" w:eastAsia="宋体" w:cs="Times New Roman"/>
                <w:color w:val="auto"/>
              </w:rPr>
              <w:t>项目管理机构</w:t>
            </w:r>
          </w:p>
          <w:p w14:paraId="108C599D">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rPr>
            </w:pPr>
            <w:r>
              <w:rPr>
                <w:rFonts w:hint="eastAsia" w:ascii="Calibri" w:hAnsi="Calibri" w:eastAsia="宋体" w:cs="Times New Roman"/>
                <w:color w:val="auto"/>
              </w:rPr>
              <w:t>主要人员</w:t>
            </w:r>
          </w:p>
        </w:tc>
        <w:tc>
          <w:tcPr>
            <w:tcW w:w="6315" w:type="dxa"/>
            <w:gridSpan w:val="2"/>
            <w:noWrap w:val="0"/>
            <w:vAlign w:val="center"/>
          </w:tcPr>
          <w:p w14:paraId="286E35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ascii="Calibri" w:hAnsi="Calibri" w:eastAsia="宋体" w:cs="Times New Roman"/>
                <w:color w:val="auto"/>
                <w:u w:val="single"/>
              </w:rPr>
            </w:pPr>
            <w:r>
              <w:rPr>
                <w:rFonts w:hint="eastAsia" w:ascii="Calibri" w:hAnsi="Calibri" w:eastAsia="宋体" w:cs="Times New Roman"/>
                <w:color w:val="auto"/>
                <w:u w:val="single"/>
              </w:rPr>
              <w:t>均应当在投标人处注册执业或岗位登记，且</w:t>
            </w:r>
            <w:r>
              <w:rPr>
                <w:rFonts w:ascii="Calibri" w:hAnsi="Calibri" w:eastAsia="宋体" w:cs="Times New Roman"/>
                <w:color w:val="auto"/>
                <w:u w:val="single"/>
              </w:rPr>
              <w:t>社会保险缴费单位应</w:t>
            </w:r>
            <w:r>
              <w:rPr>
                <w:rFonts w:hint="eastAsia" w:ascii="Calibri" w:hAnsi="Calibri" w:eastAsia="宋体" w:cs="Times New Roman"/>
                <w:color w:val="auto"/>
                <w:u w:val="single"/>
              </w:rPr>
              <w:t>是投标人。</w:t>
            </w:r>
            <w:r>
              <w:rPr>
                <w:rFonts w:hint="eastAsia" w:ascii="宋体" w:hAnsi="宋体" w:eastAsia="宋体" w:cs="Times New Roman"/>
                <w:color w:val="auto"/>
                <w:u w:val="single"/>
              </w:rPr>
              <w:t>属退休人员的须提供退休证明和投标单位的聘用协议（或劳务合同）。</w:t>
            </w:r>
          </w:p>
        </w:tc>
        <w:tc>
          <w:tcPr>
            <w:tcW w:w="654" w:type="dxa"/>
            <w:noWrap w:val="0"/>
            <w:vAlign w:val="top"/>
          </w:tcPr>
          <w:p w14:paraId="48FDD487">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rPr>
            </w:pPr>
          </w:p>
        </w:tc>
      </w:tr>
      <w:tr w14:paraId="4F298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0" w:type="dxa"/>
            <w:gridSpan w:val="2"/>
            <w:noWrap w:val="0"/>
            <w:vAlign w:val="center"/>
          </w:tcPr>
          <w:p w14:paraId="2C20DA92">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szCs w:val="21"/>
              </w:rPr>
            </w:pPr>
            <w:r>
              <w:rPr>
                <w:rFonts w:hint="eastAsia" w:ascii="Calibri" w:hAnsi="Calibri" w:eastAsia="宋体" w:cs="Times New Roman"/>
                <w:color w:val="auto"/>
              </w:rPr>
              <w:t>施工机械设备要求</w:t>
            </w:r>
          </w:p>
        </w:tc>
        <w:tc>
          <w:tcPr>
            <w:tcW w:w="6315" w:type="dxa"/>
            <w:gridSpan w:val="2"/>
            <w:noWrap w:val="0"/>
            <w:vAlign w:val="top"/>
          </w:tcPr>
          <w:p w14:paraId="64F6D1E7">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rPr>
            </w:pPr>
          </w:p>
        </w:tc>
        <w:tc>
          <w:tcPr>
            <w:tcW w:w="654" w:type="dxa"/>
            <w:noWrap w:val="0"/>
            <w:vAlign w:val="top"/>
          </w:tcPr>
          <w:p w14:paraId="1FA4810E">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rPr>
            </w:pPr>
          </w:p>
        </w:tc>
      </w:tr>
      <w:tr w14:paraId="279B4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0" w:type="dxa"/>
            <w:gridSpan w:val="2"/>
            <w:vMerge w:val="restart"/>
            <w:noWrap w:val="0"/>
            <w:vAlign w:val="center"/>
          </w:tcPr>
          <w:p w14:paraId="12BCE87A">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rPr>
            </w:pPr>
            <w:r>
              <w:rPr>
                <w:rFonts w:hint="eastAsia" w:ascii="Calibri" w:hAnsi="Calibri" w:eastAsia="宋体" w:cs="Times New Roman"/>
                <w:color w:val="auto"/>
                <w:szCs w:val="21"/>
              </w:rPr>
              <w:t>其他要求</w:t>
            </w:r>
          </w:p>
        </w:tc>
        <w:tc>
          <w:tcPr>
            <w:tcW w:w="6315" w:type="dxa"/>
            <w:gridSpan w:val="2"/>
            <w:noWrap w:val="0"/>
            <w:vAlign w:val="top"/>
          </w:tcPr>
          <w:p w14:paraId="60FC77BD">
            <w:pPr>
              <w:keepNext w:val="0"/>
              <w:keepLines w:val="0"/>
              <w:suppressLineNumbers w:val="0"/>
              <w:autoSpaceDE w:val="0"/>
              <w:autoSpaceDN w:val="0"/>
              <w:spacing w:before="0" w:beforeAutospacing="0" w:after="0" w:afterAutospacing="0" w:line="319" w:lineRule="exact"/>
              <w:ind w:left="0" w:right="0"/>
              <w:jc w:val="left"/>
              <w:rPr>
                <w:rFonts w:ascii="Calibri" w:hAnsi="Calibri" w:eastAsia="宋体" w:cs="Times New Roman"/>
                <w:color w:val="auto"/>
              </w:rPr>
            </w:pPr>
            <w:r>
              <w:rPr>
                <w:rFonts w:hint="eastAsia" w:ascii="Calibri" w:hAnsi="Calibri" w:eastAsia="宋体" w:cs="Times New Roman"/>
                <w:color w:val="auto"/>
              </w:rPr>
              <w:t>政府采购特别资格要求：</w:t>
            </w:r>
          </w:p>
          <w:p w14:paraId="2CAAAFD3">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color w:val="auto"/>
              </w:rPr>
            </w:pPr>
            <w:r>
              <w:rPr>
                <w:rFonts w:hint="eastAsia" w:ascii="Calibri" w:hAnsi="Calibri" w:eastAsia="宋体" w:cs="Times New Roman"/>
                <w:color w:val="auto"/>
                <w:u w:val="single"/>
              </w:rPr>
              <w:t>□采购项目整体预留专门面向中小企业采购。</w:t>
            </w:r>
          </w:p>
          <w:p w14:paraId="03DA0E83">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color w:val="auto"/>
                <w:u w:val="single"/>
              </w:rPr>
            </w:pPr>
            <w:r>
              <w:rPr>
                <w:rFonts w:hint="eastAsia" w:ascii="Calibri" w:hAnsi="Calibri" w:eastAsia="宋体" w:cs="Times New Roman"/>
                <w:color w:val="auto"/>
                <w:u w:val="single"/>
              </w:rPr>
              <w:t>□采购项目整体预留专门面向小微企业采购。</w:t>
            </w:r>
          </w:p>
          <w:p w14:paraId="778E1A8F">
            <w:pPr>
              <w:keepNext w:val="0"/>
              <w:keepLines w:val="0"/>
              <w:suppressLineNumbers w:val="0"/>
              <w:autoSpaceDE w:val="0"/>
              <w:autoSpaceDN w:val="0"/>
              <w:spacing w:before="0" w:beforeAutospacing="0" w:after="0" w:afterAutospacing="0" w:line="319" w:lineRule="exact"/>
              <w:ind w:left="0" w:right="0"/>
              <w:jc w:val="left"/>
              <w:rPr>
                <w:rFonts w:ascii="Calibri" w:hAnsi="Calibri" w:eastAsia="宋体" w:cs="Times New Roman"/>
                <w:color w:val="auto"/>
                <w:u w:val="single"/>
              </w:rPr>
            </w:pPr>
            <w:r>
              <w:rPr>
                <w:rFonts w:hint="eastAsia" w:ascii="Calibri" w:hAnsi="Calibri" w:eastAsia="宋体" w:cs="Times New Roman"/>
                <w:color w:val="auto"/>
                <w:u w:val="single"/>
              </w:rPr>
              <w:t>□采购项目部分预留专门面向中小企业采购。</w:t>
            </w:r>
          </w:p>
          <w:p w14:paraId="4E08CFF6">
            <w:pPr>
              <w:keepNext w:val="0"/>
              <w:keepLines w:val="0"/>
              <w:suppressLineNumbers w:val="0"/>
              <w:autoSpaceDE w:val="0"/>
              <w:autoSpaceDN w:val="0"/>
              <w:spacing w:before="0" w:beforeAutospacing="0" w:after="0" w:afterAutospacing="0" w:line="319" w:lineRule="exact"/>
              <w:ind w:left="0" w:right="0"/>
              <w:jc w:val="left"/>
              <w:rPr>
                <w:rFonts w:ascii="Calibri" w:hAnsi="Calibri" w:eastAsia="宋体" w:cs="Times New Roman"/>
                <w:color w:val="auto"/>
                <w:u w:val="single"/>
              </w:rPr>
            </w:pPr>
            <w:r>
              <w:rPr>
                <w:rFonts w:hint="eastAsia" w:ascii="Calibri" w:hAnsi="Calibri" w:eastAsia="宋体" w:cs="Times New Roman"/>
                <w:color w:val="auto"/>
                <w:u w:val="single"/>
              </w:rPr>
              <w:t>要求大企业与中小企业组成联合体的形式参加投标，且联合体中中小企业承担的部分达到项目合同总金额的</w:t>
            </w:r>
            <w:r>
              <w:rPr>
                <w:rFonts w:ascii="Calibri" w:hAnsi="Calibri" w:eastAsia="宋体" w:cs="Times New Roman"/>
                <w:color w:val="auto"/>
                <w:u w:val="single"/>
              </w:rPr>
              <w:t xml:space="preserve">  %</w:t>
            </w:r>
            <w:r>
              <w:rPr>
                <w:rFonts w:hint="eastAsia" w:ascii="Calibri" w:hAnsi="Calibri" w:eastAsia="宋体" w:cs="Times New Roman"/>
                <w:color w:val="auto"/>
                <w:u w:val="single"/>
              </w:rPr>
              <w:t>以上，其中小微企业承担的比例不低于</w:t>
            </w:r>
            <w:r>
              <w:rPr>
                <w:rFonts w:ascii="Calibri" w:hAnsi="Calibri" w:eastAsia="宋体" w:cs="Times New Roman"/>
                <w:color w:val="auto"/>
                <w:u w:val="single"/>
              </w:rPr>
              <w:t xml:space="preserve">  %</w:t>
            </w:r>
            <w:r>
              <w:rPr>
                <w:rFonts w:hint="eastAsia" w:ascii="Calibri" w:hAnsi="Calibri" w:eastAsia="宋体" w:cs="Times New Roman"/>
                <w:color w:val="auto"/>
                <w:u w:val="single"/>
              </w:rPr>
              <w:t>。组成联合体的中小企业与联合体内其他企业之间不得存在直接控股、管理关系。（前述比例由招标人根据项目的具体情况约定）</w:t>
            </w:r>
          </w:p>
          <w:p w14:paraId="4665C57D">
            <w:pPr>
              <w:keepNext w:val="0"/>
              <w:keepLines w:val="0"/>
              <w:suppressLineNumbers w:val="0"/>
              <w:autoSpaceDE w:val="0"/>
              <w:autoSpaceDN w:val="0"/>
              <w:spacing w:before="0" w:beforeAutospacing="0" w:after="0" w:afterAutospacing="0" w:line="319" w:lineRule="exact"/>
              <w:ind w:left="0" w:right="0"/>
              <w:jc w:val="left"/>
              <w:rPr>
                <w:rFonts w:ascii="Calibri" w:hAnsi="Calibri" w:eastAsia="宋体" w:cs="Times New Roman"/>
                <w:color w:val="auto"/>
                <w:u w:val="single"/>
              </w:rPr>
            </w:pPr>
            <w:r>
              <w:rPr>
                <w:rFonts w:hint="eastAsia" w:ascii="Calibri" w:hAnsi="Calibri" w:eastAsia="宋体" w:cs="Times New Roman"/>
                <w:color w:val="auto"/>
                <w:u w:val="single"/>
              </w:rPr>
              <w:t>□采购项目部分预留专门面向中小企业采购。</w:t>
            </w:r>
          </w:p>
          <w:p w14:paraId="39BF7F29">
            <w:pPr>
              <w:keepNext w:val="0"/>
              <w:keepLines w:val="0"/>
              <w:suppressLineNumbers w:val="0"/>
              <w:autoSpaceDE w:val="0"/>
              <w:autoSpaceDN w:val="0"/>
              <w:spacing w:before="0" w:beforeAutospacing="0" w:after="0" w:afterAutospacing="0" w:line="319" w:lineRule="exact"/>
              <w:ind w:left="0" w:right="0"/>
              <w:jc w:val="left"/>
              <w:rPr>
                <w:rFonts w:ascii="Calibri" w:hAnsi="Calibri" w:eastAsia="宋体" w:cs="Times New Roman"/>
                <w:color w:val="auto"/>
                <w:u w:val="single"/>
              </w:rPr>
            </w:pPr>
            <w:r>
              <w:rPr>
                <w:rFonts w:hint="eastAsia" w:ascii="Calibri" w:hAnsi="Calibri" w:eastAsia="宋体" w:cs="Times New Roman"/>
                <w:color w:val="auto"/>
                <w:u w:val="single"/>
              </w:rPr>
              <w:t>要求大企业向中小企业分包的形式参加投标，且接受分包的中小企业承担的部分达到项目合同总金额的</w:t>
            </w:r>
            <w:r>
              <w:rPr>
                <w:rFonts w:ascii="Calibri" w:hAnsi="Calibri" w:eastAsia="宋体" w:cs="Times New Roman"/>
                <w:color w:val="auto"/>
                <w:u w:val="single"/>
              </w:rPr>
              <w:t xml:space="preserve">  %</w:t>
            </w:r>
            <w:r>
              <w:rPr>
                <w:rFonts w:hint="eastAsia" w:ascii="Calibri" w:hAnsi="Calibri" w:eastAsia="宋体" w:cs="Times New Roman"/>
                <w:color w:val="auto"/>
                <w:u w:val="single"/>
              </w:rPr>
              <w:t xml:space="preserve">以上，其中接受分包的小微企业承担的比例不低于 </w:t>
            </w:r>
            <w:r>
              <w:rPr>
                <w:rFonts w:ascii="Calibri" w:hAnsi="Calibri" w:eastAsia="宋体" w:cs="Times New Roman"/>
                <w:color w:val="auto"/>
                <w:u w:val="single"/>
              </w:rPr>
              <w:t xml:space="preserve"> %</w:t>
            </w:r>
            <w:r>
              <w:rPr>
                <w:rFonts w:hint="eastAsia" w:ascii="Calibri" w:hAnsi="Calibri" w:eastAsia="宋体" w:cs="Times New Roman"/>
                <w:color w:val="auto"/>
                <w:u w:val="single"/>
              </w:rPr>
              <w:t>。接受分包合同的中小企业与分包企业之间不得存在直接控股、管理关系。（前述比例由招标人根据项目的具体情况约定）</w:t>
            </w:r>
          </w:p>
          <w:p w14:paraId="2E79C619">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color w:val="auto"/>
                <w:u w:val="single"/>
              </w:rPr>
            </w:pPr>
            <w:r>
              <w:rPr>
                <w:rFonts w:hint="eastAsia" w:ascii="Calibri" w:hAnsi="Calibri" w:cs="Times New Roman"/>
                <w:color w:val="auto"/>
                <w:u w:val="single"/>
                <w:lang w:eastAsia="zh-CN"/>
              </w:rPr>
              <w:t>☑</w:t>
            </w:r>
            <w:r>
              <w:rPr>
                <w:rFonts w:hint="eastAsia" w:ascii="Calibri" w:hAnsi="Calibri" w:eastAsia="宋体" w:cs="Times New Roman"/>
                <w:color w:val="auto"/>
                <w:u w:val="single"/>
              </w:rPr>
              <w:t>采购项目未预留份额专门面向中小企业采购。</w:t>
            </w:r>
          </w:p>
          <w:p w14:paraId="02BED0EA">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color w:val="auto"/>
                <w:u w:val="single"/>
              </w:rPr>
            </w:pPr>
            <w:r>
              <w:rPr>
                <w:rFonts w:hint="eastAsia" w:ascii="Calibri" w:hAnsi="Calibri" w:eastAsia="宋体" w:cs="Times New Roman"/>
                <w:color w:val="auto"/>
                <w:u w:val="single"/>
              </w:rPr>
              <w:t>不接受/接受大中型企业与小微企业组成联合体。</w:t>
            </w:r>
          </w:p>
          <w:p w14:paraId="5D024B26">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color w:val="auto"/>
                <w:u w:val="single"/>
              </w:rPr>
            </w:pPr>
            <w:r>
              <w:rPr>
                <w:rFonts w:hint="eastAsia" w:ascii="Calibri" w:hAnsi="Calibri" w:eastAsia="宋体" w:cs="Times New Roman"/>
                <w:color w:val="auto"/>
                <w:u w:val="single"/>
              </w:rPr>
              <w:t>不允许/允许大中型企业向一家或者多家小微企业分包。</w:t>
            </w:r>
          </w:p>
        </w:tc>
        <w:tc>
          <w:tcPr>
            <w:tcW w:w="654" w:type="dxa"/>
            <w:noWrap w:val="0"/>
            <w:vAlign w:val="top"/>
          </w:tcPr>
          <w:p w14:paraId="5F029D54">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rPr>
            </w:pPr>
          </w:p>
        </w:tc>
      </w:tr>
      <w:tr w14:paraId="617B0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950" w:type="dxa"/>
            <w:gridSpan w:val="2"/>
            <w:vMerge w:val="continue"/>
            <w:noWrap w:val="0"/>
            <w:vAlign w:val="center"/>
          </w:tcPr>
          <w:p w14:paraId="562A3851">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auto"/>
                <w:szCs w:val="21"/>
              </w:rPr>
            </w:pPr>
          </w:p>
        </w:tc>
        <w:tc>
          <w:tcPr>
            <w:tcW w:w="6315" w:type="dxa"/>
            <w:gridSpan w:val="2"/>
            <w:noWrap w:val="0"/>
            <w:vAlign w:val="center"/>
          </w:tcPr>
          <w:p w14:paraId="288CE746">
            <w:pPr>
              <w:keepNext w:val="0"/>
              <w:keepLines w:val="0"/>
              <w:suppressLineNumbers w:val="0"/>
              <w:autoSpaceDE w:val="0"/>
              <w:autoSpaceDN w:val="0"/>
              <w:spacing w:before="0" w:beforeAutospacing="0" w:after="0" w:afterAutospacing="0" w:line="319" w:lineRule="exact"/>
              <w:ind w:left="0" w:right="0"/>
              <w:rPr>
                <w:rFonts w:hint="eastAsia" w:ascii="Calibri" w:hAnsi="Calibri" w:eastAsia="宋体" w:cs="Times New Roman"/>
                <w:color w:val="auto"/>
              </w:rPr>
            </w:pPr>
          </w:p>
        </w:tc>
        <w:tc>
          <w:tcPr>
            <w:tcW w:w="654" w:type="dxa"/>
            <w:noWrap w:val="0"/>
            <w:vAlign w:val="top"/>
          </w:tcPr>
          <w:p w14:paraId="28C17CB5">
            <w:pPr>
              <w:keepNext w:val="0"/>
              <w:keepLines w:val="0"/>
              <w:suppressLineNumbers w:val="0"/>
              <w:spacing w:before="0" w:beforeAutospacing="0" w:after="0" w:afterAutospacing="0" w:line="440" w:lineRule="exact"/>
              <w:ind w:left="0" w:right="0"/>
              <w:rPr>
                <w:rFonts w:hint="eastAsia" w:ascii="Calibri" w:hAnsi="Calibri" w:eastAsia="宋体" w:cs="Times New Roman"/>
                <w:color w:val="auto"/>
                <w:szCs w:val="21"/>
              </w:rPr>
            </w:pPr>
          </w:p>
        </w:tc>
      </w:tr>
    </w:tbl>
    <w:p w14:paraId="28117C87">
      <w:pPr>
        <w:rPr>
          <w:color w:val="auto"/>
          <w:szCs w:val="21"/>
        </w:rPr>
      </w:pPr>
    </w:p>
    <w:p w14:paraId="0EEBD146">
      <w:pPr>
        <w:rPr>
          <w:color w:val="auto"/>
          <w:szCs w:val="21"/>
        </w:rPr>
      </w:pPr>
    </w:p>
    <w:p w14:paraId="777DE2AE">
      <w:pPr>
        <w:spacing w:line="240" w:lineRule="auto"/>
        <w:ind w:left="840" w:hanging="840" w:hangingChars="400"/>
        <w:rPr>
          <w:rFonts w:hint="eastAsia"/>
          <w:color w:val="auto"/>
          <w:szCs w:val="21"/>
        </w:rPr>
      </w:pPr>
      <w:r>
        <w:rPr>
          <w:rFonts w:hint="eastAsia"/>
          <w:color w:val="auto"/>
          <w:szCs w:val="21"/>
        </w:rPr>
        <w:t>备注：1.</w:t>
      </w:r>
      <w:r>
        <w:rPr>
          <w:color w:val="auto"/>
          <w:szCs w:val="21"/>
        </w:rPr>
        <w:t xml:space="preserve"> </w:t>
      </w:r>
      <w:r>
        <w:rPr>
          <w:rFonts w:hint="eastAsia"/>
          <w:color w:val="auto"/>
        </w:rPr>
        <w:t>政府采购工程是指国家机关、事业单位、团体组织使用财政性资金采购</w:t>
      </w:r>
      <w:r>
        <w:rPr>
          <w:color w:val="auto"/>
        </w:rPr>
        <w:t>建设工程</w:t>
      </w:r>
      <w:r>
        <w:rPr>
          <w:rFonts w:hint="eastAsia"/>
          <w:color w:val="auto"/>
        </w:rPr>
        <w:t>。财政性资金</w:t>
      </w:r>
      <w:r>
        <w:rPr>
          <w:color w:val="auto"/>
        </w:rPr>
        <w:t>是指纳入预算管理的资金。以财政性资金作为还款来源的借贷资金，视同财政性资金。</w:t>
      </w:r>
    </w:p>
    <w:p w14:paraId="0326D513">
      <w:pPr>
        <w:spacing w:line="240" w:lineRule="auto"/>
        <w:ind w:left="630" w:leftChars="300"/>
        <w:rPr>
          <w:rFonts w:hint="eastAsia"/>
          <w:color w:val="auto"/>
        </w:rPr>
      </w:pPr>
      <w:r>
        <w:rPr>
          <w:rFonts w:hint="eastAsia"/>
          <w:color w:val="auto"/>
        </w:rPr>
        <w:t>2.本招标文件所称中、小、微企业，是指在中华人民共和国境内依法设立，依据《中小企业划型标准规定》（工信部联企业</w:t>
      </w:r>
      <w:r>
        <w:rPr>
          <w:color w:val="auto"/>
        </w:rPr>
        <w:t>[2011]300</w:t>
      </w:r>
      <w:r>
        <w:rPr>
          <w:rFonts w:hint="eastAsia"/>
          <w:color w:val="auto"/>
        </w:rPr>
        <w:t>号）确定的中型企业、小型企业和微型企业，但与大企业的负责人为同一人，或者与大企业存在直接控股、管理关系的除外。</w:t>
      </w:r>
    </w:p>
    <w:p w14:paraId="2CAFC843">
      <w:pPr>
        <w:spacing w:line="240" w:lineRule="auto"/>
        <w:ind w:left="630" w:leftChars="200" w:hanging="210" w:hangingChars="100"/>
        <w:rPr>
          <w:rFonts w:hint="eastAsia"/>
          <w:color w:val="auto"/>
        </w:rPr>
      </w:pPr>
      <w:r>
        <w:rPr>
          <w:rFonts w:hint="eastAsia"/>
          <w:color w:val="auto"/>
        </w:rPr>
        <w:t>3.预留份额专门面向中小企业采购的项目中（包括整体预留专门面向中小企业、整体预留专门面向小微企业、部分预留专门面向中小企业），部分预留专门面向中小企业采购的项目，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方均为中小企业的，联合体视同中小企业；联合体各方均为小微企业的，联合体视同小微企业。招标人要求以联合体形式参加或者合同分包的，小微企业可以独立参加投标，无须以联合体的形式参加或进行合同分包。该类项目因落实了政府采购预留份额支持中小企业发展政策，在评标时，小微企业不享受价格扣除或增加价格分的优惠政策。</w:t>
      </w:r>
    </w:p>
    <w:p w14:paraId="7FECF121">
      <w:pPr>
        <w:spacing w:line="240" w:lineRule="auto"/>
        <w:ind w:left="630" w:leftChars="200" w:hanging="210" w:hangingChars="100"/>
        <w:rPr>
          <w:rFonts w:hint="eastAsia"/>
          <w:color w:val="auto"/>
        </w:rPr>
      </w:pPr>
      <w:r>
        <w:rPr>
          <w:rFonts w:hint="eastAsia"/>
          <w:color w:val="auto"/>
        </w:rPr>
        <w:t>4.未预留份额专门面向中小企业采购的项目，对小微企业，对接受大中型企业与小微企业组成联合体或者允许大中型企业向一家或者多家小微企业分包的项目，对于联合协议或者分包意向协议约定小微企业的合同份额占到项目合同总金额</w:t>
      </w:r>
      <w:r>
        <w:rPr>
          <w:color w:val="auto"/>
        </w:rPr>
        <w:t>30%</w:t>
      </w:r>
      <w:r>
        <w:rPr>
          <w:rFonts w:hint="eastAsia"/>
          <w:color w:val="auto"/>
        </w:rPr>
        <w:t>以上的，对小微企业、对大中型企业与小微企业组成的联合体或者向一家或者多家小微企业分包的大中型企业，在评标时享受价格扣除或增加价格分的优惠政策。组成联合体或者接受分包的小微企业与联合体内其他企业、分包企业之间存在直接控股、管理关系的不享受评标优惠。</w:t>
      </w:r>
    </w:p>
    <w:p w14:paraId="3E1C58CD">
      <w:pPr>
        <w:spacing w:line="240" w:lineRule="auto"/>
        <w:ind w:left="630" w:leftChars="200" w:hanging="210" w:hangingChars="100"/>
        <w:rPr>
          <w:rFonts w:hint="eastAsia"/>
          <w:color w:val="auto"/>
        </w:rPr>
      </w:pPr>
      <w:r>
        <w:rPr>
          <w:rFonts w:hint="eastAsia"/>
          <w:color w:val="auto"/>
        </w:rPr>
        <w:t>5.享受扶持政策获得政府采购合同的，小微企业不得将合同分包给大中型企业，中型企业不得将合同分包给大型企业。</w:t>
      </w:r>
    </w:p>
    <w:p w14:paraId="5253B8C2">
      <w:pPr>
        <w:spacing w:line="240" w:lineRule="auto"/>
        <w:ind w:left="630" w:leftChars="200" w:hanging="210" w:hangingChars="100"/>
        <w:rPr>
          <w:rFonts w:hint="eastAsia"/>
          <w:color w:val="auto"/>
        </w:rPr>
      </w:pPr>
      <w:r>
        <w:rPr>
          <w:rFonts w:hint="eastAsia"/>
          <w:color w:val="auto"/>
        </w:rPr>
        <w:t>6.具体的政策依据详见《政府采购促进中小企业发展管理办法》（财库〔</w:t>
      </w:r>
      <w:r>
        <w:rPr>
          <w:color w:val="auto"/>
        </w:rPr>
        <w:t>2020</w:t>
      </w:r>
      <w:r>
        <w:rPr>
          <w:rFonts w:hint="eastAsia"/>
          <w:color w:val="auto"/>
        </w:rPr>
        <w:t>〕</w:t>
      </w:r>
      <w:r>
        <w:rPr>
          <w:color w:val="auto"/>
        </w:rPr>
        <w:t>46</w:t>
      </w:r>
      <w:r>
        <w:rPr>
          <w:rFonts w:hint="eastAsia"/>
          <w:color w:val="auto"/>
        </w:rPr>
        <w:t>号）、《关于进一步加大政府采购支持中小企业力度的通知》（财库〔2022〕19号）。</w:t>
      </w:r>
    </w:p>
    <w:p w14:paraId="4B93CE9E">
      <w:pPr>
        <w:spacing w:line="360" w:lineRule="auto"/>
        <w:rPr>
          <w:color w:val="auto"/>
        </w:rPr>
      </w:pPr>
    </w:p>
    <w:p w14:paraId="23FE91CC">
      <w:pPr>
        <w:spacing w:line="360" w:lineRule="auto"/>
        <w:rPr>
          <w:color w:val="auto"/>
        </w:rPr>
      </w:pPr>
    </w:p>
    <w:p w14:paraId="4FAFF1E2">
      <w:pPr>
        <w:spacing w:line="360" w:lineRule="auto"/>
        <w:rPr>
          <w:color w:val="auto"/>
        </w:rPr>
      </w:pPr>
    </w:p>
    <w:p w14:paraId="13FD686F">
      <w:pPr>
        <w:spacing w:line="360" w:lineRule="auto"/>
        <w:rPr>
          <w:color w:val="auto"/>
        </w:rPr>
      </w:pPr>
    </w:p>
    <w:p w14:paraId="1FD00884">
      <w:pPr>
        <w:spacing w:line="360" w:lineRule="auto"/>
        <w:rPr>
          <w:color w:val="auto"/>
        </w:rPr>
      </w:pPr>
    </w:p>
    <w:p w14:paraId="3D4A2A4B">
      <w:pPr>
        <w:spacing w:line="360" w:lineRule="auto"/>
        <w:rPr>
          <w:color w:val="auto"/>
        </w:rPr>
      </w:pPr>
    </w:p>
    <w:p w14:paraId="412BD5AB">
      <w:pPr>
        <w:spacing w:line="360" w:lineRule="auto"/>
        <w:rPr>
          <w:color w:val="auto"/>
        </w:rPr>
      </w:pPr>
    </w:p>
    <w:p w14:paraId="75A4519D">
      <w:pPr>
        <w:spacing w:line="360" w:lineRule="auto"/>
        <w:rPr>
          <w:color w:val="auto"/>
        </w:rPr>
      </w:pPr>
    </w:p>
    <w:p w14:paraId="642F1449">
      <w:pPr>
        <w:spacing w:line="360" w:lineRule="auto"/>
        <w:rPr>
          <w:color w:val="auto"/>
        </w:rPr>
      </w:pPr>
    </w:p>
    <w:p w14:paraId="474C10D2">
      <w:pPr>
        <w:spacing w:line="360" w:lineRule="auto"/>
        <w:rPr>
          <w:color w:val="auto"/>
        </w:rPr>
      </w:pPr>
    </w:p>
    <w:p w14:paraId="47152E59">
      <w:pPr>
        <w:spacing w:line="360" w:lineRule="auto"/>
        <w:rPr>
          <w:rFonts w:hint="eastAsia"/>
          <w:color w:val="auto"/>
        </w:rPr>
      </w:pPr>
    </w:p>
    <w:p w14:paraId="63DD604B">
      <w:pPr>
        <w:spacing w:line="360" w:lineRule="auto"/>
        <w:rPr>
          <w:color w:val="auto"/>
        </w:rPr>
      </w:pPr>
    </w:p>
    <w:p w14:paraId="077E78F3">
      <w:pPr>
        <w:spacing w:line="360" w:lineRule="auto"/>
        <w:rPr>
          <w:rFonts w:hint="eastAsia"/>
          <w:color w:val="auto"/>
        </w:rPr>
      </w:pPr>
    </w:p>
    <w:p w14:paraId="5C02E539">
      <w:pPr>
        <w:pStyle w:val="4"/>
        <w:spacing w:before="156"/>
        <w:rPr>
          <w:rFonts w:hint="eastAsia"/>
          <w:color w:val="auto"/>
          <w:sz w:val="24"/>
        </w:rPr>
      </w:pPr>
      <w:bookmarkStart w:id="704" w:name="_Toc131697794"/>
      <w:bookmarkStart w:id="705" w:name="_Toc154063444"/>
      <w:bookmarkStart w:id="706" w:name="_Toc108513564"/>
      <w:r>
        <w:rPr>
          <w:rFonts w:hint="eastAsia"/>
          <w:color w:val="auto"/>
          <w:sz w:val="24"/>
        </w:rPr>
        <w:t>附录二：政府采购工程预留工作及金额</w:t>
      </w:r>
      <w:bookmarkEnd w:id="704"/>
      <w:bookmarkEnd w:id="705"/>
      <w:bookmarkEnd w:id="706"/>
    </w:p>
    <w:p w14:paraId="0975A617">
      <w:pPr>
        <w:ind w:left="630" w:leftChars="300"/>
        <w:jc w:val="left"/>
        <w:rPr>
          <w:rFonts w:hint="eastAsia"/>
          <w:color w:val="auto"/>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1BFF7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77968D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序号</w:t>
            </w:r>
          </w:p>
        </w:tc>
        <w:tc>
          <w:tcPr>
            <w:tcW w:w="3195" w:type="dxa"/>
            <w:noWrap w:val="0"/>
            <w:tcMar>
              <w:left w:w="108" w:type="dxa"/>
              <w:right w:w="108" w:type="dxa"/>
            </w:tcMar>
            <w:vAlign w:val="center"/>
          </w:tcPr>
          <w:p w14:paraId="7F93E28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预留工作内容名称</w:t>
            </w:r>
          </w:p>
        </w:tc>
        <w:tc>
          <w:tcPr>
            <w:tcW w:w="1425" w:type="dxa"/>
            <w:noWrap w:val="0"/>
            <w:tcMar>
              <w:left w:w="108" w:type="dxa"/>
              <w:right w:w="108" w:type="dxa"/>
            </w:tcMar>
            <w:vAlign w:val="center"/>
          </w:tcPr>
          <w:p w14:paraId="1304D08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预留工作</w:t>
            </w:r>
          </w:p>
          <w:p w14:paraId="7DA47B5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合同估算价</w:t>
            </w:r>
          </w:p>
          <w:p w14:paraId="1D6D08A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（万元）</w:t>
            </w:r>
          </w:p>
        </w:tc>
        <w:tc>
          <w:tcPr>
            <w:tcW w:w="1335" w:type="dxa"/>
            <w:noWrap w:val="0"/>
            <w:tcMar>
              <w:left w:w="108" w:type="dxa"/>
              <w:right w:w="108" w:type="dxa"/>
            </w:tcMar>
            <w:vAlign w:val="center"/>
          </w:tcPr>
          <w:p w14:paraId="550B951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预留合同估算价占比（％）</w:t>
            </w:r>
          </w:p>
        </w:tc>
        <w:tc>
          <w:tcPr>
            <w:tcW w:w="1802" w:type="dxa"/>
            <w:noWrap w:val="0"/>
            <w:tcMar>
              <w:left w:w="108" w:type="dxa"/>
              <w:right w:w="108" w:type="dxa"/>
            </w:tcMar>
            <w:vAlign w:val="center"/>
          </w:tcPr>
          <w:p w14:paraId="5E540D7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备注</w:t>
            </w:r>
          </w:p>
        </w:tc>
      </w:tr>
      <w:tr w14:paraId="71097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24C741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１</w:t>
            </w:r>
          </w:p>
        </w:tc>
        <w:tc>
          <w:tcPr>
            <w:tcW w:w="3195" w:type="dxa"/>
            <w:noWrap w:val="0"/>
            <w:tcMar>
              <w:left w:w="108" w:type="dxa"/>
              <w:right w:w="108" w:type="dxa"/>
            </w:tcMar>
            <w:vAlign w:val="center"/>
          </w:tcPr>
          <w:p w14:paraId="1E3A538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25" w:type="dxa"/>
            <w:noWrap w:val="0"/>
            <w:tcMar>
              <w:left w:w="108" w:type="dxa"/>
              <w:right w:w="108" w:type="dxa"/>
            </w:tcMar>
            <w:vAlign w:val="center"/>
          </w:tcPr>
          <w:p w14:paraId="3840E1B7">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335" w:type="dxa"/>
            <w:noWrap w:val="0"/>
            <w:tcMar>
              <w:left w:w="108" w:type="dxa"/>
              <w:right w:w="108" w:type="dxa"/>
            </w:tcMar>
            <w:vAlign w:val="center"/>
          </w:tcPr>
          <w:p w14:paraId="00E2C43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802" w:type="dxa"/>
            <w:noWrap w:val="0"/>
            <w:tcMar>
              <w:left w:w="108" w:type="dxa"/>
              <w:right w:w="108" w:type="dxa"/>
            </w:tcMar>
            <w:vAlign w:val="center"/>
          </w:tcPr>
          <w:p w14:paraId="28B2C9C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21A26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4EA0E8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２</w:t>
            </w:r>
          </w:p>
        </w:tc>
        <w:tc>
          <w:tcPr>
            <w:tcW w:w="3195" w:type="dxa"/>
            <w:noWrap w:val="0"/>
            <w:tcMar>
              <w:left w:w="108" w:type="dxa"/>
              <w:right w:w="108" w:type="dxa"/>
            </w:tcMar>
            <w:vAlign w:val="center"/>
          </w:tcPr>
          <w:p w14:paraId="40AF3F5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25" w:type="dxa"/>
            <w:noWrap w:val="0"/>
            <w:tcMar>
              <w:left w:w="108" w:type="dxa"/>
              <w:right w:w="108" w:type="dxa"/>
            </w:tcMar>
            <w:vAlign w:val="center"/>
          </w:tcPr>
          <w:p w14:paraId="68C1A37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335" w:type="dxa"/>
            <w:noWrap w:val="0"/>
            <w:tcMar>
              <w:left w:w="108" w:type="dxa"/>
              <w:right w:w="108" w:type="dxa"/>
            </w:tcMar>
            <w:vAlign w:val="center"/>
          </w:tcPr>
          <w:p w14:paraId="10C6F8D8">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802" w:type="dxa"/>
            <w:noWrap w:val="0"/>
            <w:tcMar>
              <w:left w:w="108" w:type="dxa"/>
              <w:right w:w="108" w:type="dxa"/>
            </w:tcMar>
            <w:vAlign w:val="center"/>
          </w:tcPr>
          <w:p w14:paraId="01F0E22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66939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FA4663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３</w:t>
            </w:r>
          </w:p>
        </w:tc>
        <w:tc>
          <w:tcPr>
            <w:tcW w:w="3195" w:type="dxa"/>
            <w:noWrap w:val="0"/>
            <w:tcMar>
              <w:left w:w="108" w:type="dxa"/>
              <w:right w:w="108" w:type="dxa"/>
            </w:tcMar>
            <w:vAlign w:val="center"/>
          </w:tcPr>
          <w:p w14:paraId="01E0778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25" w:type="dxa"/>
            <w:noWrap w:val="0"/>
            <w:tcMar>
              <w:left w:w="108" w:type="dxa"/>
              <w:right w:w="108" w:type="dxa"/>
            </w:tcMar>
            <w:vAlign w:val="center"/>
          </w:tcPr>
          <w:p w14:paraId="45A66DBB">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335" w:type="dxa"/>
            <w:noWrap w:val="0"/>
            <w:tcMar>
              <w:left w:w="108" w:type="dxa"/>
              <w:right w:w="108" w:type="dxa"/>
            </w:tcMar>
            <w:vAlign w:val="center"/>
          </w:tcPr>
          <w:p w14:paraId="5E2299D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802" w:type="dxa"/>
            <w:noWrap w:val="0"/>
            <w:tcMar>
              <w:left w:w="108" w:type="dxa"/>
              <w:right w:w="108" w:type="dxa"/>
            </w:tcMar>
            <w:vAlign w:val="center"/>
          </w:tcPr>
          <w:p w14:paraId="6556420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2FABE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CB3D2B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４</w:t>
            </w:r>
          </w:p>
        </w:tc>
        <w:tc>
          <w:tcPr>
            <w:tcW w:w="3195" w:type="dxa"/>
            <w:noWrap w:val="0"/>
            <w:tcMar>
              <w:left w:w="108" w:type="dxa"/>
              <w:right w:w="108" w:type="dxa"/>
            </w:tcMar>
            <w:vAlign w:val="center"/>
          </w:tcPr>
          <w:p w14:paraId="78F4952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25" w:type="dxa"/>
            <w:noWrap w:val="0"/>
            <w:tcMar>
              <w:left w:w="108" w:type="dxa"/>
              <w:right w:w="108" w:type="dxa"/>
            </w:tcMar>
            <w:vAlign w:val="center"/>
          </w:tcPr>
          <w:p w14:paraId="444CABE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335" w:type="dxa"/>
            <w:noWrap w:val="0"/>
            <w:tcMar>
              <w:left w:w="108" w:type="dxa"/>
              <w:right w:w="108" w:type="dxa"/>
            </w:tcMar>
            <w:vAlign w:val="center"/>
          </w:tcPr>
          <w:p w14:paraId="651AAF67">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802" w:type="dxa"/>
            <w:noWrap w:val="0"/>
            <w:tcMar>
              <w:left w:w="108" w:type="dxa"/>
              <w:right w:w="108" w:type="dxa"/>
            </w:tcMar>
            <w:vAlign w:val="center"/>
          </w:tcPr>
          <w:p w14:paraId="798546E8">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1921A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42CCA34">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５</w:t>
            </w:r>
          </w:p>
        </w:tc>
        <w:tc>
          <w:tcPr>
            <w:tcW w:w="3195" w:type="dxa"/>
            <w:noWrap w:val="0"/>
            <w:tcMar>
              <w:left w:w="108" w:type="dxa"/>
              <w:right w:w="108" w:type="dxa"/>
            </w:tcMar>
            <w:vAlign w:val="center"/>
          </w:tcPr>
          <w:p w14:paraId="46562B85">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25" w:type="dxa"/>
            <w:noWrap w:val="0"/>
            <w:tcMar>
              <w:left w:w="108" w:type="dxa"/>
              <w:right w:w="108" w:type="dxa"/>
            </w:tcMar>
            <w:vAlign w:val="center"/>
          </w:tcPr>
          <w:p w14:paraId="4FBE372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335" w:type="dxa"/>
            <w:noWrap w:val="0"/>
            <w:tcMar>
              <w:left w:w="108" w:type="dxa"/>
              <w:right w:w="108" w:type="dxa"/>
            </w:tcMar>
            <w:vAlign w:val="center"/>
          </w:tcPr>
          <w:p w14:paraId="2F59B6E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802" w:type="dxa"/>
            <w:noWrap w:val="0"/>
            <w:tcMar>
              <w:left w:w="108" w:type="dxa"/>
              <w:right w:w="108" w:type="dxa"/>
            </w:tcMar>
            <w:vAlign w:val="center"/>
          </w:tcPr>
          <w:p w14:paraId="2988A867">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6B358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A25EA8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６</w:t>
            </w:r>
          </w:p>
        </w:tc>
        <w:tc>
          <w:tcPr>
            <w:tcW w:w="3195" w:type="dxa"/>
            <w:noWrap w:val="0"/>
            <w:tcMar>
              <w:left w:w="108" w:type="dxa"/>
              <w:right w:w="108" w:type="dxa"/>
            </w:tcMar>
            <w:vAlign w:val="center"/>
          </w:tcPr>
          <w:p w14:paraId="5F22D1A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25" w:type="dxa"/>
            <w:noWrap w:val="0"/>
            <w:tcMar>
              <w:left w:w="108" w:type="dxa"/>
              <w:right w:w="108" w:type="dxa"/>
            </w:tcMar>
            <w:vAlign w:val="center"/>
          </w:tcPr>
          <w:p w14:paraId="728EFB5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335" w:type="dxa"/>
            <w:noWrap w:val="0"/>
            <w:tcMar>
              <w:left w:w="108" w:type="dxa"/>
              <w:right w:w="108" w:type="dxa"/>
            </w:tcMar>
            <w:vAlign w:val="center"/>
          </w:tcPr>
          <w:p w14:paraId="1FE34C2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802" w:type="dxa"/>
            <w:noWrap w:val="0"/>
            <w:tcMar>
              <w:left w:w="108" w:type="dxa"/>
              <w:right w:w="108" w:type="dxa"/>
            </w:tcMar>
            <w:vAlign w:val="center"/>
          </w:tcPr>
          <w:p w14:paraId="21A7EA30">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1162B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29EDDBB">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195" w:type="dxa"/>
            <w:noWrap w:val="0"/>
            <w:tcMar>
              <w:left w:w="108" w:type="dxa"/>
              <w:right w:w="108" w:type="dxa"/>
            </w:tcMar>
            <w:vAlign w:val="center"/>
          </w:tcPr>
          <w:p w14:paraId="5B202F97">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合计</w:t>
            </w:r>
          </w:p>
        </w:tc>
        <w:tc>
          <w:tcPr>
            <w:tcW w:w="1425" w:type="dxa"/>
            <w:noWrap w:val="0"/>
            <w:tcMar>
              <w:left w:w="108" w:type="dxa"/>
              <w:right w:w="108" w:type="dxa"/>
            </w:tcMar>
            <w:vAlign w:val="center"/>
          </w:tcPr>
          <w:p w14:paraId="0D09DA98">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335" w:type="dxa"/>
            <w:noWrap w:val="0"/>
            <w:tcMar>
              <w:left w:w="108" w:type="dxa"/>
              <w:right w:w="108" w:type="dxa"/>
            </w:tcMar>
            <w:vAlign w:val="center"/>
          </w:tcPr>
          <w:p w14:paraId="18C6A2E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802" w:type="dxa"/>
            <w:noWrap w:val="0"/>
            <w:tcMar>
              <w:left w:w="108" w:type="dxa"/>
              <w:right w:w="108" w:type="dxa"/>
            </w:tcMar>
            <w:vAlign w:val="center"/>
          </w:tcPr>
          <w:p w14:paraId="0A538082">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6CDC3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416F6E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195" w:type="dxa"/>
            <w:noWrap w:val="0"/>
            <w:tcMar>
              <w:left w:w="108" w:type="dxa"/>
              <w:right w:w="108" w:type="dxa"/>
            </w:tcMar>
            <w:vAlign w:val="center"/>
          </w:tcPr>
          <w:p w14:paraId="53CE089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本项目合同估算价（万元）</w:t>
            </w:r>
          </w:p>
        </w:tc>
        <w:tc>
          <w:tcPr>
            <w:tcW w:w="2760" w:type="dxa"/>
            <w:gridSpan w:val="2"/>
            <w:noWrap w:val="0"/>
            <w:tcMar>
              <w:left w:w="108" w:type="dxa"/>
              <w:right w:w="108" w:type="dxa"/>
            </w:tcMar>
            <w:vAlign w:val="center"/>
          </w:tcPr>
          <w:p w14:paraId="657128B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802" w:type="dxa"/>
            <w:noWrap w:val="0"/>
            <w:tcMar>
              <w:left w:w="108" w:type="dxa"/>
              <w:right w:w="108" w:type="dxa"/>
            </w:tcMar>
            <w:vAlign w:val="center"/>
          </w:tcPr>
          <w:p w14:paraId="4B3BD32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bl>
    <w:p w14:paraId="0E5F95B8">
      <w:pPr>
        <w:spacing w:line="400" w:lineRule="exact"/>
        <w:rPr>
          <w:rFonts w:hint="eastAsia"/>
          <w:color w:val="auto"/>
        </w:rPr>
      </w:pPr>
    </w:p>
    <w:p w14:paraId="189CF4E9">
      <w:pPr>
        <w:spacing w:line="240" w:lineRule="auto"/>
        <w:ind w:left="945" w:hanging="945" w:hangingChars="450"/>
        <w:jc w:val="left"/>
        <w:rPr>
          <w:rFonts w:hint="eastAsia"/>
          <w:color w:val="auto"/>
          <w:szCs w:val="20"/>
        </w:rPr>
      </w:pPr>
      <w:r>
        <w:rPr>
          <w:rFonts w:hint="eastAsia"/>
          <w:color w:val="auto"/>
          <w:szCs w:val="20"/>
        </w:rPr>
        <w:t>备注：1. 政府采购工程采用部分预留专门面向中小企业的，项目的主体、关键性工作不允许分包，招标人应当明确预留工作、预留工作合同估算价及预留合同估算价与项目合同估算价的占比。</w:t>
      </w:r>
    </w:p>
    <w:p w14:paraId="0FA68226">
      <w:pPr>
        <w:spacing w:line="240" w:lineRule="auto"/>
        <w:ind w:left="945" w:leftChars="300" w:hanging="315" w:hangingChars="150"/>
        <w:jc w:val="left"/>
        <w:rPr>
          <w:rFonts w:hint="eastAsia"/>
          <w:color w:val="auto"/>
          <w:szCs w:val="20"/>
        </w:rPr>
      </w:pPr>
      <w:r>
        <w:rPr>
          <w:rFonts w:hint="eastAsia"/>
          <w:color w:val="auto"/>
          <w:szCs w:val="20"/>
        </w:rPr>
        <w:t>2. 招标人部分预留专门面向中小企业时，应根据项目的实际情况，结合《建筑法》《招标投标法》《建筑业企业资质标准》《政府采购促进中小企业发展管理办法》的相关规定，合理设置政府采购特别资格要求，充分考虑预留工作与要求以联合体形式参加或者要求进行合同分包的适配性，以及联合协议或者分包意向协议中中小企业合同金额应当达到的比例的适配性。</w:t>
      </w:r>
    </w:p>
    <w:p w14:paraId="02E77EF2">
      <w:pPr>
        <w:spacing w:line="240" w:lineRule="auto"/>
        <w:ind w:left="945" w:leftChars="200" w:hanging="525" w:hangingChars="250"/>
        <w:jc w:val="left"/>
        <w:rPr>
          <w:color w:val="auto"/>
          <w:szCs w:val="20"/>
        </w:rPr>
      </w:pPr>
      <w:r>
        <w:rPr>
          <w:rFonts w:hint="eastAsia"/>
          <w:color w:val="auto"/>
          <w:szCs w:val="20"/>
        </w:rPr>
        <w:t>3. 预留工作中包含专业工程暂估价的，则在备注栏中标注采用工程招标或政府采购方式专门面向中小（小微）企业。</w:t>
      </w:r>
    </w:p>
    <w:p w14:paraId="5D85FCB0">
      <w:pPr>
        <w:spacing w:line="400" w:lineRule="exact"/>
        <w:rPr>
          <w:rFonts w:hint="eastAsia"/>
          <w:color w:val="auto"/>
        </w:rPr>
      </w:pPr>
    </w:p>
    <w:p w14:paraId="49B4271B">
      <w:pPr>
        <w:spacing w:line="400" w:lineRule="exact"/>
        <w:rPr>
          <w:rFonts w:hint="eastAsia"/>
          <w:color w:val="auto"/>
        </w:rPr>
      </w:pPr>
    </w:p>
    <w:p w14:paraId="6606852C">
      <w:pPr>
        <w:spacing w:line="400" w:lineRule="exact"/>
        <w:rPr>
          <w:rFonts w:hint="eastAsia"/>
          <w:color w:val="auto"/>
        </w:rPr>
      </w:pPr>
    </w:p>
    <w:p w14:paraId="46509403">
      <w:pPr>
        <w:spacing w:line="400" w:lineRule="exact"/>
        <w:rPr>
          <w:rFonts w:hint="eastAsia"/>
          <w:color w:val="auto"/>
        </w:rPr>
      </w:pPr>
    </w:p>
    <w:p w14:paraId="6C1CAE6F">
      <w:pPr>
        <w:spacing w:line="400" w:lineRule="exact"/>
        <w:rPr>
          <w:rFonts w:hint="eastAsia"/>
          <w:color w:val="auto"/>
        </w:rPr>
      </w:pPr>
    </w:p>
    <w:p w14:paraId="404C09C0">
      <w:pPr>
        <w:spacing w:line="400" w:lineRule="exact"/>
        <w:rPr>
          <w:rFonts w:hint="eastAsia"/>
          <w:color w:val="auto"/>
        </w:rPr>
      </w:pPr>
    </w:p>
    <w:p w14:paraId="40CBBE25">
      <w:pPr>
        <w:spacing w:line="400" w:lineRule="exact"/>
        <w:rPr>
          <w:color w:val="auto"/>
        </w:rPr>
      </w:pPr>
    </w:p>
    <w:p w14:paraId="27DAE45E">
      <w:pPr>
        <w:spacing w:line="400" w:lineRule="exact"/>
        <w:rPr>
          <w:rFonts w:hint="eastAsia"/>
          <w:color w:val="auto"/>
        </w:rPr>
      </w:pPr>
    </w:p>
    <w:p w14:paraId="4E71B816">
      <w:pPr>
        <w:spacing w:line="400" w:lineRule="exact"/>
        <w:rPr>
          <w:color w:val="auto"/>
        </w:rPr>
      </w:pPr>
    </w:p>
    <w:p w14:paraId="465B4170">
      <w:pPr>
        <w:spacing w:line="400" w:lineRule="exact"/>
        <w:rPr>
          <w:color w:val="auto"/>
        </w:rPr>
      </w:pPr>
    </w:p>
    <w:p w14:paraId="63AD55F0">
      <w:pPr>
        <w:pStyle w:val="49"/>
        <w:rPr>
          <w:color w:val="auto"/>
        </w:rPr>
      </w:pPr>
    </w:p>
    <w:p w14:paraId="79CC4DA7">
      <w:pPr>
        <w:pStyle w:val="4"/>
        <w:spacing w:before="156"/>
        <w:rPr>
          <w:rFonts w:hint="eastAsia"/>
          <w:color w:val="auto"/>
          <w:sz w:val="24"/>
        </w:rPr>
      </w:pPr>
      <w:bookmarkStart w:id="707" w:name="_Toc131697795"/>
      <w:bookmarkStart w:id="708" w:name="_Toc107270823"/>
      <w:bookmarkStart w:id="709" w:name="_Toc154063445"/>
      <w:bookmarkStart w:id="710" w:name="_Toc108513565"/>
      <w:r>
        <w:rPr>
          <w:rFonts w:hint="eastAsia"/>
          <w:color w:val="auto"/>
          <w:sz w:val="24"/>
        </w:rPr>
        <w:t>附录三：政府采购工程适合小微企业承担的工作及金额</w:t>
      </w:r>
      <w:bookmarkEnd w:id="707"/>
      <w:bookmarkEnd w:id="708"/>
      <w:bookmarkEnd w:id="709"/>
      <w:bookmarkEnd w:id="710"/>
    </w:p>
    <w:p w14:paraId="29C139ED">
      <w:pPr>
        <w:ind w:left="630" w:leftChars="300"/>
        <w:jc w:val="left"/>
        <w:rPr>
          <w:rFonts w:hint="eastAsia"/>
          <w:color w:val="auto"/>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14B36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D36BA3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序号</w:t>
            </w:r>
          </w:p>
        </w:tc>
        <w:tc>
          <w:tcPr>
            <w:tcW w:w="3195" w:type="dxa"/>
            <w:noWrap w:val="0"/>
            <w:tcMar>
              <w:left w:w="108" w:type="dxa"/>
              <w:right w:w="108" w:type="dxa"/>
            </w:tcMar>
            <w:vAlign w:val="center"/>
          </w:tcPr>
          <w:p w14:paraId="6BD792B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适合工作内容名称</w:t>
            </w:r>
          </w:p>
        </w:tc>
        <w:tc>
          <w:tcPr>
            <w:tcW w:w="1425" w:type="dxa"/>
            <w:noWrap w:val="0"/>
            <w:tcMar>
              <w:left w:w="108" w:type="dxa"/>
              <w:right w:w="108" w:type="dxa"/>
            </w:tcMar>
            <w:vAlign w:val="center"/>
          </w:tcPr>
          <w:p w14:paraId="69024147">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适合工作</w:t>
            </w:r>
          </w:p>
          <w:p w14:paraId="58FDDD1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合同估算价</w:t>
            </w:r>
          </w:p>
          <w:p w14:paraId="6BB1B0F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（万元）</w:t>
            </w:r>
          </w:p>
        </w:tc>
        <w:tc>
          <w:tcPr>
            <w:tcW w:w="1335" w:type="dxa"/>
            <w:noWrap w:val="0"/>
            <w:tcMar>
              <w:left w:w="108" w:type="dxa"/>
              <w:right w:w="108" w:type="dxa"/>
            </w:tcMar>
            <w:vAlign w:val="center"/>
          </w:tcPr>
          <w:p w14:paraId="3B1972C2">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适合工作合同估算价占比（％）</w:t>
            </w:r>
          </w:p>
        </w:tc>
        <w:tc>
          <w:tcPr>
            <w:tcW w:w="1802" w:type="dxa"/>
            <w:noWrap w:val="0"/>
            <w:tcMar>
              <w:left w:w="108" w:type="dxa"/>
              <w:right w:w="108" w:type="dxa"/>
            </w:tcMar>
            <w:vAlign w:val="center"/>
          </w:tcPr>
          <w:p w14:paraId="3446D5E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备注</w:t>
            </w:r>
          </w:p>
        </w:tc>
      </w:tr>
      <w:tr w14:paraId="71EDF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512A677">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１</w:t>
            </w:r>
          </w:p>
        </w:tc>
        <w:tc>
          <w:tcPr>
            <w:tcW w:w="3195" w:type="dxa"/>
            <w:noWrap w:val="0"/>
            <w:tcMar>
              <w:left w:w="108" w:type="dxa"/>
              <w:right w:w="108" w:type="dxa"/>
            </w:tcMar>
            <w:vAlign w:val="center"/>
          </w:tcPr>
          <w:p w14:paraId="7A3934C0">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25" w:type="dxa"/>
            <w:noWrap w:val="0"/>
            <w:tcMar>
              <w:left w:w="108" w:type="dxa"/>
              <w:right w:w="108" w:type="dxa"/>
            </w:tcMar>
            <w:vAlign w:val="center"/>
          </w:tcPr>
          <w:p w14:paraId="752FD9EB">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335" w:type="dxa"/>
            <w:noWrap w:val="0"/>
            <w:tcMar>
              <w:left w:w="108" w:type="dxa"/>
              <w:right w:w="108" w:type="dxa"/>
            </w:tcMar>
            <w:vAlign w:val="center"/>
          </w:tcPr>
          <w:p w14:paraId="2EC9080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802" w:type="dxa"/>
            <w:noWrap w:val="0"/>
            <w:tcMar>
              <w:left w:w="108" w:type="dxa"/>
              <w:right w:w="108" w:type="dxa"/>
            </w:tcMar>
            <w:vAlign w:val="center"/>
          </w:tcPr>
          <w:p w14:paraId="5D5EA6F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44F0B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53A984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２</w:t>
            </w:r>
          </w:p>
        </w:tc>
        <w:tc>
          <w:tcPr>
            <w:tcW w:w="3195" w:type="dxa"/>
            <w:noWrap w:val="0"/>
            <w:tcMar>
              <w:left w:w="108" w:type="dxa"/>
              <w:right w:w="108" w:type="dxa"/>
            </w:tcMar>
            <w:vAlign w:val="center"/>
          </w:tcPr>
          <w:p w14:paraId="07ED5CD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25" w:type="dxa"/>
            <w:noWrap w:val="0"/>
            <w:tcMar>
              <w:left w:w="108" w:type="dxa"/>
              <w:right w:w="108" w:type="dxa"/>
            </w:tcMar>
            <w:vAlign w:val="center"/>
          </w:tcPr>
          <w:p w14:paraId="3D78660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335" w:type="dxa"/>
            <w:noWrap w:val="0"/>
            <w:tcMar>
              <w:left w:w="108" w:type="dxa"/>
              <w:right w:w="108" w:type="dxa"/>
            </w:tcMar>
            <w:vAlign w:val="center"/>
          </w:tcPr>
          <w:p w14:paraId="6774211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802" w:type="dxa"/>
            <w:noWrap w:val="0"/>
            <w:tcMar>
              <w:left w:w="108" w:type="dxa"/>
              <w:right w:w="108" w:type="dxa"/>
            </w:tcMar>
            <w:vAlign w:val="center"/>
          </w:tcPr>
          <w:p w14:paraId="70A3E15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49EB9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57C9C8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３</w:t>
            </w:r>
          </w:p>
        </w:tc>
        <w:tc>
          <w:tcPr>
            <w:tcW w:w="3195" w:type="dxa"/>
            <w:noWrap w:val="0"/>
            <w:tcMar>
              <w:left w:w="108" w:type="dxa"/>
              <w:right w:w="108" w:type="dxa"/>
            </w:tcMar>
            <w:vAlign w:val="center"/>
          </w:tcPr>
          <w:p w14:paraId="5121676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25" w:type="dxa"/>
            <w:noWrap w:val="0"/>
            <w:tcMar>
              <w:left w:w="108" w:type="dxa"/>
              <w:right w:w="108" w:type="dxa"/>
            </w:tcMar>
            <w:vAlign w:val="center"/>
          </w:tcPr>
          <w:p w14:paraId="5C6B3EB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335" w:type="dxa"/>
            <w:noWrap w:val="0"/>
            <w:tcMar>
              <w:left w:w="108" w:type="dxa"/>
              <w:right w:w="108" w:type="dxa"/>
            </w:tcMar>
            <w:vAlign w:val="center"/>
          </w:tcPr>
          <w:p w14:paraId="76E8034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802" w:type="dxa"/>
            <w:noWrap w:val="0"/>
            <w:tcMar>
              <w:left w:w="108" w:type="dxa"/>
              <w:right w:w="108" w:type="dxa"/>
            </w:tcMar>
            <w:vAlign w:val="center"/>
          </w:tcPr>
          <w:p w14:paraId="4C4C37E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62AAD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DEBB0E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４</w:t>
            </w:r>
          </w:p>
        </w:tc>
        <w:tc>
          <w:tcPr>
            <w:tcW w:w="3195" w:type="dxa"/>
            <w:noWrap w:val="0"/>
            <w:tcMar>
              <w:left w:w="108" w:type="dxa"/>
              <w:right w:w="108" w:type="dxa"/>
            </w:tcMar>
            <w:vAlign w:val="center"/>
          </w:tcPr>
          <w:p w14:paraId="17FE741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25" w:type="dxa"/>
            <w:noWrap w:val="0"/>
            <w:tcMar>
              <w:left w:w="108" w:type="dxa"/>
              <w:right w:w="108" w:type="dxa"/>
            </w:tcMar>
            <w:vAlign w:val="center"/>
          </w:tcPr>
          <w:p w14:paraId="649BA09B">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335" w:type="dxa"/>
            <w:noWrap w:val="0"/>
            <w:tcMar>
              <w:left w:w="108" w:type="dxa"/>
              <w:right w:w="108" w:type="dxa"/>
            </w:tcMar>
            <w:vAlign w:val="center"/>
          </w:tcPr>
          <w:p w14:paraId="412EABE0">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802" w:type="dxa"/>
            <w:noWrap w:val="0"/>
            <w:tcMar>
              <w:left w:w="108" w:type="dxa"/>
              <w:right w:w="108" w:type="dxa"/>
            </w:tcMar>
            <w:vAlign w:val="center"/>
          </w:tcPr>
          <w:p w14:paraId="044EC98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11113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43B4DF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５</w:t>
            </w:r>
          </w:p>
        </w:tc>
        <w:tc>
          <w:tcPr>
            <w:tcW w:w="3195" w:type="dxa"/>
            <w:noWrap w:val="0"/>
            <w:tcMar>
              <w:left w:w="108" w:type="dxa"/>
              <w:right w:w="108" w:type="dxa"/>
            </w:tcMar>
            <w:vAlign w:val="center"/>
          </w:tcPr>
          <w:p w14:paraId="5F872D0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25" w:type="dxa"/>
            <w:noWrap w:val="0"/>
            <w:tcMar>
              <w:left w:w="108" w:type="dxa"/>
              <w:right w:w="108" w:type="dxa"/>
            </w:tcMar>
            <w:vAlign w:val="center"/>
          </w:tcPr>
          <w:p w14:paraId="323A4045">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335" w:type="dxa"/>
            <w:noWrap w:val="0"/>
            <w:tcMar>
              <w:left w:w="108" w:type="dxa"/>
              <w:right w:w="108" w:type="dxa"/>
            </w:tcMar>
            <w:vAlign w:val="center"/>
          </w:tcPr>
          <w:p w14:paraId="44CD217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802" w:type="dxa"/>
            <w:noWrap w:val="0"/>
            <w:tcMar>
              <w:left w:w="108" w:type="dxa"/>
              <w:right w:w="108" w:type="dxa"/>
            </w:tcMar>
            <w:vAlign w:val="center"/>
          </w:tcPr>
          <w:p w14:paraId="7CE6B4F0">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05937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F9D88A7">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６</w:t>
            </w:r>
          </w:p>
        </w:tc>
        <w:tc>
          <w:tcPr>
            <w:tcW w:w="3195" w:type="dxa"/>
            <w:noWrap w:val="0"/>
            <w:tcMar>
              <w:left w:w="108" w:type="dxa"/>
              <w:right w:w="108" w:type="dxa"/>
            </w:tcMar>
            <w:vAlign w:val="center"/>
          </w:tcPr>
          <w:p w14:paraId="2542A654">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25" w:type="dxa"/>
            <w:noWrap w:val="0"/>
            <w:tcMar>
              <w:left w:w="108" w:type="dxa"/>
              <w:right w:w="108" w:type="dxa"/>
            </w:tcMar>
            <w:vAlign w:val="center"/>
          </w:tcPr>
          <w:p w14:paraId="19F2262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335" w:type="dxa"/>
            <w:noWrap w:val="0"/>
            <w:tcMar>
              <w:left w:w="108" w:type="dxa"/>
              <w:right w:w="108" w:type="dxa"/>
            </w:tcMar>
            <w:vAlign w:val="center"/>
          </w:tcPr>
          <w:p w14:paraId="409C078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802" w:type="dxa"/>
            <w:noWrap w:val="0"/>
            <w:tcMar>
              <w:left w:w="108" w:type="dxa"/>
              <w:right w:w="108" w:type="dxa"/>
            </w:tcMar>
            <w:vAlign w:val="center"/>
          </w:tcPr>
          <w:p w14:paraId="617FB8F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38D09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04B28F0">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195" w:type="dxa"/>
            <w:noWrap w:val="0"/>
            <w:tcMar>
              <w:left w:w="108" w:type="dxa"/>
              <w:right w:w="108" w:type="dxa"/>
            </w:tcMar>
            <w:vAlign w:val="center"/>
          </w:tcPr>
          <w:p w14:paraId="74C490F0">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合计</w:t>
            </w:r>
          </w:p>
        </w:tc>
        <w:tc>
          <w:tcPr>
            <w:tcW w:w="1425" w:type="dxa"/>
            <w:noWrap w:val="0"/>
            <w:tcMar>
              <w:left w:w="108" w:type="dxa"/>
              <w:right w:w="108" w:type="dxa"/>
            </w:tcMar>
            <w:vAlign w:val="center"/>
          </w:tcPr>
          <w:p w14:paraId="64B730A4">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335" w:type="dxa"/>
            <w:noWrap w:val="0"/>
            <w:tcMar>
              <w:left w:w="108" w:type="dxa"/>
              <w:right w:w="108" w:type="dxa"/>
            </w:tcMar>
            <w:vAlign w:val="center"/>
          </w:tcPr>
          <w:p w14:paraId="452A388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802" w:type="dxa"/>
            <w:noWrap w:val="0"/>
            <w:tcMar>
              <w:left w:w="108" w:type="dxa"/>
              <w:right w:w="108" w:type="dxa"/>
            </w:tcMar>
            <w:vAlign w:val="center"/>
          </w:tcPr>
          <w:p w14:paraId="09C5993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1FF27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7B0E92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195" w:type="dxa"/>
            <w:noWrap w:val="0"/>
            <w:tcMar>
              <w:left w:w="108" w:type="dxa"/>
              <w:right w:w="108" w:type="dxa"/>
            </w:tcMar>
            <w:vAlign w:val="center"/>
          </w:tcPr>
          <w:p w14:paraId="3D80CF7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本项目合同估算价（万元）</w:t>
            </w:r>
          </w:p>
        </w:tc>
        <w:tc>
          <w:tcPr>
            <w:tcW w:w="2760" w:type="dxa"/>
            <w:gridSpan w:val="2"/>
            <w:noWrap w:val="0"/>
            <w:tcMar>
              <w:left w:w="108" w:type="dxa"/>
              <w:right w:w="108" w:type="dxa"/>
            </w:tcMar>
            <w:vAlign w:val="center"/>
          </w:tcPr>
          <w:p w14:paraId="295A3DF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802" w:type="dxa"/>
            <w:noWrap w:val="0"/>
            <w:tcMar>
              <w:left w:w="108" w:type="dxa"/>
              <w:right w:w="108" w:type="dxa"/>
            </w:tcMar>
            <w:vAlign w:val="center"/>
          </w:tcPr>
          <w:p w14:paraId="788FA3E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bl>
    <w:p w14:paraId="1B052298">
      <w:pPr>
        <w:spacing w:line="400" w:lineRule="exact"/>
        <w:rPr>
          <w:rFonts w:hint="eastAsia"/>
          <w:color w:val="auto"/>
        </w:rPr>
      </w:pPr>
    </w:p>
    <w:p w14:paraId="2846BFBB">
      <w:pPr>
        <w:spacing w:line="240" w:lineRule="auto"/>
        <w:ind w:left="945" w:hanging="945" w:hangingChars="450"/>
        <w:jc w:val="left"/>
        <w:rPr>
          <w:rFonts w:hint="eastAsia"/>
          <w:color w:val="auto"/>
          <w:szCs w:val="20"/>
        </w:rPr>
      </w:pPr>
      <w:r>
        <w:rPr>
          <w:rFonts w:hint="eastAsia"/>
          <w:color w:val="auto"/>
          <w:szCs w:val="20"/>
        </w:rPr>
        <w:t>备注：1. 政府采购工程未预留份额面向中小企业采购的，如果招标人接受大中型企业与小微企业组成联合体或允许大中型企业向一家或者多家小微企业分包，招标人宜明确适合联合体中的小微企业或适合接受分包的小微企业承担的工作、适合工作的合同估算价及适合工作的合同估算价与项目合同估算价的占比，以供投标人组建联合体或签订分包意向协议时参考。</w:t>
      </w:r>
    </w:p>
    <w:p w14:paraId="7624C38A">
      <w:pPr>
        <w:spacing w:line="240" w:lineRule="auto"/>
        <w:ind w:left="945" w:leftChars="300" w:hanging="315" w:hangingChars="150"/>
        <w:jc w:val="left"/>
        <w:rPr>
          <w:rFonts w:hint="eastAsia"/>
          <w:color w:val="auto"/>
          <w:szCs w:val="20"/>
        </w:rPr>
      </w:pPr>
      <w:r>
        <w:rPr>
          <w:rFonts w:hint="eastAsia"/>
          <w:color w:val="auto"/>
          <w:szCs w:val="20"/>
        </w:rPr>
        <w:t>2. 适合工作中包含专业工程暂估价的，则在备注栏中标注采用工程招标或政府采购方式专门面向中小（小微）企业。</w:t>
      </w:r>
    </w:p>
    <w:p w14:paraId="46FE66F3">
      <w:pPr>
        <w:spacing w:line="360" w:lineRule="auto"/>
        <w:rPr>
          <w:rFonts w:hint="eastAsia"/>
          <w:color w:val="auto"/>
        </w:rPr>
      </w:pPr>
    </w:p>
    <w:p w14:paraId="1C186A1C">
      <w:pPr>
        <w:spacing w:line="360" w:lineRule="auto"/>
        <w:rPr>
          <w:color w:val="auto"/>
        </w:rPr>
      </w:pPr>
    </w:p>
    <w:p w14:paraId="06F71BF4">
      <w:pPr>
        <w:spacing w:line="360" w:lineRule="auto"/>
        <w:rPr>
          <w:color w:val="auto"/>
        </w:rPr>
      </w:pPr>
    </w:p>
    <w:p w14:paraId="6648E2C3">
      <w:pPr>
        <w:spacing w:line="360" w:lineRule="auto"/>
        <w:rPr>
          <w:color w:val="auto"/>
        </w:rPr>
      </w:pPr>
    </w:p>
    <w:p w14:paraId="2A6D5623">
      <w:pPr>
        <w:spacing w:line="360" w:lineRule="auto"/>
        <w:rPr>
          <w:color w:val="auto"/>
        </w:rPr>
      </w:pPr>
    </w:p>
    <w:p w14:paraId="7E99A958">
      <w:pPr>
        <w:spacing w:line="360" w:lineRule="auto"/>
        <w:rPr>
          <w:color w:val="auto"/>
        </w:rPr>
      </w:pPr>
    </w:p>
    <w:p w14:paraId="57A661D5">
      <w:pPr>
        <w:spacing w:line="360" w:lineRule="auto"/>
        <w:rPr>
          <w:color w:val="auto"/>
        </w:rPr>
      </w:pPr>
    </w:p>
    <w:p w14:paraId="3E8C7497">
      <w:pPr>
        <w:spacing w:line="360" w:lineRule="auto"/>
        <w:rPr>
          <w:color w:val="auto"/>
        </w:rPr>
      </w:pPr>
    </w:p>
    <w:p w14:paraId="10016CFA">
      <w:pPr>
        <w:spacing w:line="360" w:lineRule="auto"/>
        <w:rPr>
          <w:color w:val="auto"/>
        </w:rPr>
      </w:pPr>
    </w:p>
    <w:p w14:paraId="657021DF">
      <w:pPr>
        <w:spacing w:line="360" w:lineRule="auto"/>
        <w:rPr>
          <w:color w:val="auto"/>
        </w:rPr>
      </w:pPr>
    </w:p>
    <w:p w14:paraId="4DA8F155">
      <w:pPr>
        <w:spacing w:line="360" w:lineRule="auto"/>
        <w:rPr>
          <w:rFonts w:hint="eastAsia"/>
          <w:color w:val="auto"/>
        </w:rPr>
      </w:pPr>
    </w:p>
    <w:p w14:paraId="25346932">
      <w:pPr>
        <w:pStyle w:val="4"/>
        <w:spacing w:before="156"/>
        <w:rPr>
          <w:rFonts w:hint="eastAsia"/>
          <w:color w:val="auto"/>
          <w:sz w:val="24"/>
        </w:rPr>
      </w:pPr>
      <w:bookmarkStart w:id="711" w:name="_Toc387753567"/>
      <w:bookmarkStart w:id="712" w:name="_Toc154063446"/>
      <w:bookmarkStart w:id="713" w:name="_Toc519085334"/>
      <w:bookmarkStart w:id="714" w:name="_Toc13975"/>
      <w:bookmarkStart w:id="715" w:name="_Toc3796"/>
      <w:bookmarkStart w:id="716" w:name="_Toc456173256"/>
      <w:bookmarkStart w:id="717" w:name="_Toc152042358"/>
      <w:bookmarkStart w:id="718" w:name="_Toc247527606"/>
      <w:bookmarkStart w:id="719" w:name="_Toc247514005"/>
      <w:bookmarkStart w:id="720" w:name="_Toc152045581"/>
      <w:bookmarkStart w:id="721" w:name="_Toc144974548"/>
      <w:r>
        <w:rPr>
          <w:rFonts w:hint="eastAsia"/>
          <w:color w:val="auto"/>
          <w:sz w:val="24"/>
        </w:rPr>
        <w:t>附表一</w:t>
      </w:r>
      <w:bookmarkEnd w:id="711"/>
      <w:bookmarkStart w:id="722" w:name="_Toc221950257"/>
      <w:r>
        <w:rPr>
          <w:rFonts w:hint="eastAsia"/>
          <w:color w:val="auto"/>
          <w:sz w:val="24"/>
        </w:rPr>
        <w:t>：招标文件澄清</w:t>
      </w:r>
      <w:bookmarkEnd w:id="722"/>
      <w:r>
        <w:rPr>
          <w:rFonts w:hint="eastAsia"/>
          <w:color w:val="auto"/>
          <w:sz w:val="24"/>
        </w:rPr>
        <w:t>申请函</w:t>
      </w:r>
      <w:bookmarkEnd w:id="712"/>
      <w:bookmarkEnd w:id="713"/>
      <w:bookmarkEnd w:id="714"/>
      <w:bookmarkEnd w:id="715"/>
      <w:bookmarkEnd w:id="716"/>
    </w:p>
    <w:p w14:paraId="5E72FDF1">
      <w:pPr>
        <w:rPr>
          <w:rFonts w:hint="eastAsia"/>
          <w:color w:val="auto"/>
        </w:rPr>
      </w:pPr>
    </w:p>
    <w:p w14:paraId="520BB1AB">
      <w:pPr>
        <w:rPr>
          <w:rFonts w:hint="eastAsia"/>
          <w:color w:val="auto"/>
        </w:rPr>
      </w:pPr>
    </w:p>
    <w:p w14:paraId="38D8D167">
      <w:pPr>
        <w:rPr>
          <w:rFonts w:hint="eastAsia"/>
          <w:color w:val="auto"/>
        </w:rPr>
      </w:pPr>
    </w:p>
    <w:p w14:paraId="41DCCD63">
      <w:pPr>
        <w:rPr>
          <w:rFonts w:hint="eastAsia"/>
          <w:color w:val="auto"/>
        </w:rPr>
      </w:pPr>
    </w:p>
    <w:p w14:paraId="57C38DDC">
      <w:pPr>
        <w:rPr>
          <w:rFonts w:hint="eastAsia"/>
          <w:color w:val="auto"/>
        </w:rPr>
      </w:pPr>
    </w:p>
    <w:p w14:paraId="2D469CBC">
      <w:pPr>
        <w:jc w:val="center"/>
        <w:rPr>
          <w:rFonts w:hint="eastAsia"/>
          <w:color w:val="auto"/>
        </w:rPr>
      </w:pPr>
      <w:r>
        <w:rPr>
          <w:rFonts w:hint="eastAsia" w:ascii="黑体" w:eastAsia="黑体"/>
          <w:color w:val="auto"/>
          <w:sz w:val="28"/>
          <w:szCs w:val="28"/>
        </w:rPr>
        <w:t>招标文件澄清申请函</w:t>
      </w:r>
    </w:p>
    <w:p w14:paraId="0D8BC894">
      <w:pPr>
        <w:spacing w:line="360" w:lineRule="auto"/>
        <w:ind w:firstLine="420" w:firstLineChars="200"/>
        <w:jc w:val="left"/>
        <w:rPr>
          <w:rFonts w:hint="eastAsia"/>
          <w:color w:val="auto"/>
          <w:u w:val="single"/>
        </w:rPr>
      </w:pPr>
      <w:bookmarkStart w:id="723" w:name="_Toc221950258"/>
      <w:r>
        <w:rPr>
          <w:rFonts w:hint="eastAsia"/>
          <w:color w:val="auto"/>
        </w:rPr>
        <w:t xml:space="preserve">                                                           编号：</w:t>
      </w:r>
      <w:r>
        <w:rPr>
          <w:rFonts w:hint="eastAsia"/>
          <w:color w:val="auto"/>
          <w:u w:val="single"/>
        </w:rPr>
        <w:t xml:space="preserve">          </w:t>
      </w:r>
    </w:p>
    <w:p w14:paraId="4520B39A">
      <w:pPr>
        <w:spacing w:line="360" w:lineRule="auto"/>
        <w:ind w:firstLine="420" w:firstLineChars="200"/>
        <w:rPr>
          <w:rFonts w:hint="eastAsia" w:ascii="宋体" w:hAnsi="宋体"/>
          <w:color w:val="auto"/>
          <w:u w:val="single"/>
        </w:rPr>
      </w:pPr>
      <w:r>
        <w:rPr>
          <w:rFonts w:hint="eastAsia"/>
          <w:color w:val="auto"/>
          <w:u w:val="single"/>
        </w:rPr>
        <w:t xml:space="preserve">              </w:t>
      </w:r>
      <w:r>
        <w:rPr>
          <w:rFonts w:hint="eastAsia" w:ascii="宋体" w:hAnsi="宋体"/>
          <w:color w:val="auto"/>
        </w:rPr>
        <w:t>（招标人名称）</w:t>
      </w:r>
      <w:bookmarkEnd w:id="723"/>
      <w:r>
        <w:rPr>
          <w:rFonts w:hint="eastAsia" w:ascii="宋体" w:hAnsi="宋体"/>
          <w:color w:val="auto"/>
        </w:rPr>
        <w:t>：</w:t>
      </w:r>
    </w:p>
    <w:p w14:paraId="7A3A9395">
      <w:pPr>
        <w:spacing w:line="360" w:lineRule="auto"/>
        <w:ind w:firstLine="420" w:firstLineChars="200"/>
        <w:rPr>
          <w:rFonts w:hint="eastAsia"/>
          <w:color w:val="auto"/>
        </w:rPr>
      </w:pPr>
      <w:bookmarkStart w:id="724" w:name="_Toc221950259"/>
      <w:r>
        <w:rPr>
          <w:rFonts w:hint="eastAsia"/>
          <w:color w:val="auto"/>
        </w:rPr>
        <w:t>经过仔细</w:t>
      </w:r>
      <w:r>
        <w:rPr>
          <w:rFonts w:hint="eastAsia" w:ascii="宋体" w:hAnsi="宋体"/>
          <w:color w:val="auto"/>
        </w:rPr>
        <w:t>阅读</w:t>
      </w:r>
      <w:r>
        <w:rPr>
          <w:rFonts w:hint="eastAsia" w:ascii="宋体" w:hAnsi="宋体"/>
          <w:color w:val="auto"/>
          <w:u w:val="single"/>
        </w:rPr>
        <w:t xml:space="preserve">       </w:t>
      </w:r>
      <w:r>
        <w:rPr>
          <w:rFonts w:hint="eastAsia" w:ascii="宋体" w:hAnsi="宋体"/>
          <w:color w:val="auto"/>
        </w:rPr>
        <w:t>（项目名称）</w:t>
      </w:r>
      <w:r>
        <w:rPr>
          <w:rFonts w:hint="eastAsia" w:ascii="宋体" w:hAnsi="宋体"/>
          <w:color w:val="auto"/>
          <w:u w:val="single"/>
        </w:rPr>
        <w:t xml:space="preserve">    </w:t>
      </w:r>
      <w:r>
        <w:rPr>
          <w:rFonts w:hint="eastAsia" w:ascii="宋体" w:hAnsi="宋体"/>
          <w:color w:val="auto"/>
        </w:rPr>
        <w:t>（标段名称）工程总承包招标文件后，我方</w:t>
      </w:r>
      <w:r>
        <w:rPr>
          <w:rFonts w:hint="eastAsia"/>
          <w:color w:val="auto"/>
        </w:rPr>
        <w:t>申请对以下问题予以澄清：</w:t>
      </w:r>
      <w:bookmarkEnd w:id="724"/>
    </w:p>
    <w:p w14:paraId="1306C09E">
      <w:pPr>
        <w:spacing w:line="360" w:lineRule="auto"/>
        <w:ind w:firstLine="525" w:firstLineChars="250"/>
        <w:rPr>
          <w:rFonts w:hint="eastAsia"/>
          <w:color w:val="auto"/>
        </w:rPr>
      </w:pPr>
      <w:bookmarkStart w:id="725" w:name="_Toc221950260"/>
      <w:r>
        <w:rPr>
          <w:rFonts w:hint="eastAsia"/>
          <w:color w:val="auto"/>
        </w:rPr>
        <w:t>1、………</w:t>
      </w:r>
      <w:bookmarkEnd w:id="725"/>
    </w:p>
    <w:p w14:paraId="0E6F5858">
      <w:pPr>
        <w:spacing w:line="360" w:lineRule="auto"/>
        <w:ind w:firstLine="525" w:firstLineChars="250"/>
        <w:rPr>
          <w:rFonts w:hint="eastAsia"/>
          <w:color w:val="auto"/>
        </w:rPr>
      </w:pPr>
      <w:bookmarkStart w:id="726" w:name="_Toc221950261"/>
      <w:r>
        <w:rPr>
          <w:rFonts w:hint="eastAsia"/>
          <w:color w:val="auto"/>
        </w:rPr>
        <w:t>2、………</w:t>
      </w:r>
      <w:bookmarkEnd w:id="726"/>
    </w:p>
    <w:p w14:paraId="2DF86423">
      <w:pPr>
        <w:spacing w:line="360" w:lineRule="auto"/>
        <w:ind w:firstLine="525" w:firstLineChars="250"/>
        <w:rPr>
          <w:rFonts w:hint="eastAsia"/>
          <w:color w:val="auto"/>
        </w:rPr>
      </w:pPr>
      <w:r>
        <w:rPr>
          <w:rFonts w:hint="eastAsia"/>
          <w:color w:val="auto"/>
        </w:rPr>
        <w:t>………</w:t>
      </w:r>
    </w:p>
    <w:p w14:paraId="47038CEF">
      <w:pPr>
        <w:spacing w:line="360" w:lineRule="auto"/>
        <w:ind w:firstLine="2415" w:firstLineChars="1150"/>
        <w:rPr>
          <w:rFonts w:hint="eastAsia"/>
          <w:color w:val="auto"/>
        </w:rPr>
      </w:pPr>
    </w:p>
    <w:p w14:paraId="6C540D15">
      <w:pPr>
        <w:spacing w:line="360" w:lineRule="auto"/>
        <w:rPr>
          <w:rFonts w:hint="eastAsia"/>
          <w:color w:val="auto"/>
        </w:rPr>
      </w:pPr>
      <w:r>
        <w:rPr>
          <w:rFonts w:hint="eastAsia"/>
          <w:color w:val="auto"/>
        </w:rPr>
        <w:t xml:space="preserve">  </w:t>
      </w:r>
    </w:p>
    <w:p w14:paraId="3734A427">
      <w:pPr>
        <w:spacing w:line="360" w:lineRule="auto"/>
        <w:rPr>
          <w:rFonts w:hint="eastAsia"/>
          <w:color w:val="auto"/>
        </w:rPr>
      </w:pPr>
    </w:p>
    <w:p w14:paraId="441583F9">
      <w:pPr>
        <w:spacing w:line="360" w:lineRule="auto"/>
        <w:ind w:firstLine="2415" w:firstLineChars="1150"/>
        <w:rPr>
          <w:rFonts w:hint="eastAsia"/>
          <w:color w:val="auto"/>
        </w:rPr>
      </w:pPr>
    </w:p>
    <w:p w14:paraId="72076B1A">
      <w:pPr>
        <w:spacing w:line="360" w:lineRule="auto"/>
        <w:ind w:firstLine="2415" w:firstLineChars="1150"/>
        <w:jc w:val="right"/>
        <w:rPr>
          <w:rFonts w:hint="eastAsia"/>
          <w:color w:val="auto"/>
        </w:rPr>
      </w:pPr>
      <w:bookmarkStart w:id="727" w:name="_Toc221950262"/>
      <w:r>
        <w:rPr>
          <w:rFonts w:hint="eastAsia"/>
          <w:color w:val="auto"/>
        </w:rPr>
        <w:t>投标人：</w:t>
      </w:r>
      <w:r>
        <w:rPr>
          <w:rFonts w:hint="eastAsia"/>
          <w:color w:val="auto"/>
          <w:u w:val="single"/>
        </w:rPr>
        <w:t xml:space="preserve">                      </w:t>
      </w:r>
      <w:r>
        <w:rPr>
          <w:rFonts w:hint="eastAsia"/>
          <w:color w:val="auto"/>
        </w:rPr>
        <w:t>（盖单位章）</w:t>
      </w:r>
      <w:bookmarkEnd w:id="727"/>
    </w:p>
    <w:p w14:paraId="616E216F">
      <w:pPr>
        <w:spacing w:line="360" w:lineRule="auto"/>
        <w:ind w:firstLine="2415" w:firstLineChars="1150"/>
        <w:rPr>
          <w:rFonts w:hint="eastAsia"/>
          <w:color w:val="auto"/>
        </w:rPr>
      </w:pPr>
    </w:p>
    <w:p w14:paraId="536EE4C8">
      <w:pPr>
        <w:spacing w:line="360" w:lineRule="auto"/>
        <w:jc w:val="right"/>
        <w:rPr>
          <w:rFonts w:hint="eastAsia"/>
          <w:color w:val="auto"/>
        </w:rPr>
      </w:pPr>
      <w:bookmarkStart w:id="728" w:name="_Toc221950263"/>
      <w:r>
        <w:rPr>
          <w:rFonts w:hint="eastAsia"/>
          <w:color w:val="auto"/>
          <w:u w:val="single"/>
        </w:rPr>
        <w:t xml:space="preserve">       </w:t>
      </w:r>
      <w:r>
        <w:rPr>
          <w:rFonts w:hint="eastAsia"/>
          <w:color w:val="auto"/>
        </w:rPr>
        <w:t>年</w:t>
      </w:r>
      <w:r>
        <w:rPr>
          <w:rFonts w:hint="eastAsia"/>
          <w:color w:val="auto"/>
          <w:u w:val="single"/>
        </w:rPr>
        <w:t xml:space="preserve">     </w:t>
      </w:r>
      <w:r>
        <w:rPr>
          <w:rFonts w:hint="eastAsia"/>
          <w:color w:val="auto"/>
        </w:rPr>
        <w:t>月</w:t>
      </w:r>
      <w:r>
        <w:rPr>
          <w:rFonts w:hint="eastAsia"/>
          <w:color w:val="auto"/>
          <w:u w:val="single"/>
        </w:rPr>
        <w:t xml:space="preserve">     </w:t>
      </w:r>
      <w:r>
        <w:rPr>
          <w:rFonts w:hint="eastAsia"/>
          <w:color w:val="auto"/>
        </w:rPr>
        <w:t>日</w:t>
      </w:r>
      <w:bookmarkEnd w:id="728"/>
    </w:p>
    <w:p w14:paraId="3F4550A5">
      <w:pPr>
        <w:spacing w:line="360" w:lineRule="auto"/>
        <w:ind w:firstLine="2415" w:firstLineChars="1150"/>
        <w:rPr>
          <w:rFonts w:hint="eastAsia"/>
          <w:color w:val="auto"/>
        </w:rPr>
      </w:pPr>
    </w:p>
    <w:p w14:paraId="71C22175">
      <w:pPr>
        <w:spacing w:line="360" w:lineRule="auto"/>
        <w:ind w:firstLine="2415" w:firstLineChars="1150"/>
        <w:rPr>
          <w:rFonts w:hint="eastAsia"/>
          <w:color w:val="auto"/>
        </w:rPr>
      </w:pPr>
    </w:p>
    <w:p w14:paraId="3CFDC962">
      <w:pPr>
        <w:spacing w:line="360" w:lineRule="auto"/>
        <w:ind w:firstLine="2415" w:firstLineChars="1150"/>
        <w:rPr>
          <w:rFonts w:hint="eastAsia"/>
          <w:color w:val="auto"/>
        </w:rPr>
      </w:pPr>
    </w:p>
    <w:p w14:paraId="7FCF007D">
      <w:pPr>
        <w:spacing w:line="360" w:lineRule="auto"/>
        <w:ind w:firstLine="2415" w:firstLineChars="1150"/>
        <w:rPr>
          <w:rFonts w:hint="eastAsia"/>
          <w:color w:val="auto"/>
        </w:rPr>
      </w:pPr>
    </w:p>
    <w:p w14:paraId="59BF42D8">
      <w:pPr>
        <w:spacing w:line="360" w:lineRule="auto"/>
        <w:ind w:firstLine="2415" w:firstLineChars="1150"/>
        <w:rPr>
          <w:rFonts w:hint="eastAsia"/>
          <w:color w:val="auto"/>
        </w:rPr>
      </w:pPr>
    </w:p>
    <w:p w14:paraId="45554702">
      <w:pPr>
        <w:spacing w:line="360" w:lineRule="auto"/>
        <w:ind w:firstLine="2415" w:firstLineChars="1150"/>
        <w:rPr>
          <w:rFonts w:hint="eastAsia"/>
          <w:color w:val="auto"/>
        </w:rPr>
      </w:pPr>
    </w:p>
    <w:p w14:paraId="455AEE5D">
      <w:pPr>
        <w:spacing w:line="360" w:lineRule="auto"/>
        <w:rPr>
          <w:rFonts w:hint="eastAsia" w:ascii="宋体" w:hAnsi="宋体" w:cs="宋体"/>
          <w:color w:val="auto"/>
        </w:rPr>
      </w:pPr>
      <w:bookmarkStart w:id="729" w:name="_Toc221950264"/>
      <w:r>
        <w:rPr>
          <w:rFonts w:hint="eastAsia" w:ascii="宋体" w:hAnsi="宋体" w:cs="宋体"/>
          <w:color w:val="auto"/>
        </w:rPr>
        <w:t>备注:</w:t>
      </w:r>
      <w:bookmarkEnd w:id="729"/>
      <w:r>
        <w:rPr>
          <w:rFonts w:hint="eastAsia" w:ascii="宋体" w:hAnsi="宋体" w:cs="宋体"/>
          <w:color w:val="auto"/>
        </w:rPr>
        <w:t>投标人要求招标人澄清招标文件有关问题时，适用于本格式。</w:t>
      </w:r>
    </w:p>
    <w:p w14:paraId="52FE84C1">
      <w:pPr>
        <w:spacing w:line="360" w:lineRule="auto"/>
        <w:rPr>
          <w:rFonts w:hint="eastAsia"/>
          <w:color w:val="auto"/>
        </w:rPr>
      </w:pPr>
    </w:p>
    <w:p w14:paraId="1B5269DB">
      <w:pPr>
        <w:pStyle w:val="4"/>
        <w:spacing w:before="156"/>
        <w:rPr>
          <w:rFonts w:hint="eastAsia"/>
          <w:color w:val="auto"/>
          <w:sz w:val="24"/>
        </w:rPr>
      </w:pPr>
      <w:bookmarkStart w:id="730" w:name="_Toc221950265"/>
      <w:bookmarkStart w:id="731" w:name="_Toc387753568"/>
      <w:bookmarkStart w:id="732" w:name="_Toc456173257"/>
      <w:bookmarkStart w:id="733" w:name="_Toc18508"/>
      <w:bookmarkStart w:id="734" w:name="_Toc29344"/>
      <w:bookmarkStart w:id="735" w:name="_Toc154063447"/>
      <w:bookmarkStart w:id="736" w:name="_Toc22868"/>
      <w:bookmarkStart w:id="737" w:name="_Toc28517"/>
      <w:bookmarkStart w:id="738" w:name="_Toc519085335"/>
      <w:r>
        <w:rPr>
          <w:rFonts w:hint="eastAsia"/>
          <w:color w:val="auto"/>
          <w:sz w:val="24"/>
        </w:rPr>
        <w:t>附表二：</w:t>
      </w:r>
      <w:bookmarkEnd w:id="730"/>
      <w:bookmarkEnd w:id="731"/>
      <w:bookmarkStart w:id="739" w:name="_Toc221950266"/>
      <w:r>
        <w:rPr>
          <w:rFonts w:hint="eastAsia"/>
          <w:color w:val="auto"/>
          <w:sz w:val="24"/>
        </w:rPr>
        <w:t>招标文件澄清通知</w:t>
      </w:r>
      <w:bookmarkEnd w:id="732"/>
      <w:bookmarkEnd w:id="733"/>
      <w:bookmarkEnd w:id="734"/>
      <w:bookmarkEnd w:id="735"/>
      <w:bookmarkEnd w:id="736"/>
      <w:bookmarkEnd w:id="737"/>
      <w:bookmarkEnd w:id="738"/>
      <w:bookmarkEnd w:id="739"/>
    </w:p>
    <w:p w14:paraId="3C7FAD7A">
      <w:pPr>
        <w:rPr>
          <w:rFonts w:hint="eastAsia"/>
          <w:color w:val="auto"/>
        </w:rPr>
      </w:pPr>
    </w:p>
    <w:p w14:paraId="696C4B83">
      <w:pPr>
        <w:rPr>
          <w:rFonts w:hint="eastAsia"/>
          <w:color w:val="auto"/>
        </w:rPr>
      </w:pPr>
    </w:p>
    <w:p w14:paraId="117B8241">
      <w:pPr>
        <w:rPr>
          <w:rFonts w:hint="eastAsia"/>
          <w:color w:val="auto"/>
        </w:rPr>
      </w:pPr>
    </w:p>
    <w:p w14:paraId="69464172">
      <w:pPr>
        <w:rPr>
          <w:rFonts w:hint="eastAsia"/>
          <w:color w:val="auto"/>
        </w:rPr>
      </w:pPr>
    </w:p>
    <w:p w14:paraId="46EFB34D">
      <w:pPr>
        <w:jc w:val="center"/>
        <w:rPr>
          <w:rFonts w:hint="eastAsia" w:ascii="黑体" w:eastAsia="黑体"/>
          <w:color w:val="auto"/>
          <w:sz w:val="28"/>
          <w:szCs w:val="28"/>
        </w:rPr>
      </w:pPr>
      <w:r>
        <w:rPr>
          <w:rFonts w:hint="eastAsia" w:ascii="黑体" w:eastAsia="黑体"/>
          <w:color w:val="auto"/>
          <w:sz w:val="28"/>
          <w:szCs w:val="28"/>
        </w:rPr>
        <w:t>招标文件澄清通知</w:t>
      </w:r>
    </w:p>
    <w:p w14:paraId="75D4335A">
      <w:pPr>
        <w:jc w:val="center"/>
        <w:rPr>
          <w:rFonts w:hint="eastAsia"/>
          <w:color w:val="auto"/>
        </w:rPr>
      </w:pPr>
    </w:p>
    <w:p w14:paraId="60202768">
      <w:pPr>
        <w:spacing w:line="360" w:lineRule="auto"/>
        <w:ind w:right="420" w:firstLine="5985" w:firstLineChars="2850"/>
        <w:rPr>
          <w:rFonts w:hint="eastAsia"/>
          <w:color w:val="auto"/>
          <w:u w:val="single"/>
        </w:rPr>
      </w:pPr>
      <w:bookmarkStart w:id="740" w:name="_Toc221950267"/>
      <w:r>
        <w:rPr>
          <w:rFonts w:hint="eastAsia"/>
          <w:color w:val="auto"/>
        </w:rPr>
        <w:t>编号：</w:t>
      </w:r>
      <w:bookmarkEnd w:id="740"/>
      <w:r>
        <w:rPr>
          <w:rFonts w:hint="eastAsia"/>
          <w:color w:val="auto"/>
          <w:u w:val="single"/>
        </w:rPr>
        <w:t xml:space="preserve">             </w:t>
      </w:r>
    </w:p>
    <w:p w14:paraId="3FAC7DD5">
      <w:pPr>
        <w:spacing w:line="360" w:lineRule="auto"/>
        <w:ind w:right="420" w:firstLine="5985" w:firstLineChars="2850"/>
        <w:rPr>
          <w:color w:val="auto"/>
        </w:rPr>
      </w:pPr>
      <w:r>
        <w:rPr>
          <w:color w:val="auto"/>
        </w:rPr>
        <w:t xml:space="preserve"> </w:t>
      </w:r>
    </w:p>
    <w:p w14:paraId="2999D279">
      <w:pPr>
        <w:spacing w:line="360" w:lineRule="auto"/>
        <w:rPr>
          <w:color w:val="auto"/>
          <w:u w:val="single"/>
        </w:rPr>
      </w:pPr>
      <w:r>
        <w:rPr>
          <w:rFonts w:hint="eastAsia"/>
          <w:color w:val="auto"/>
        </w:rPr>
        <w:t>各投标人</w:t>
      </w:r>
      <w:r>
        <w:rPr>
          <w:color w:val="auto"/>
        </w:rPr>
        <w:t>：</w:t>
      </w:r>
    </w:p>
    <w:p w14:paraId="635F895E">
      <w:pPr>
        <w:spacing w:line="360" w:lineRule="auto"/>
        <w:ind w:firstLine="525" w:firstLineChars="250"/>
        <w:rPr>
          <w:color w:val="auto"/>
        </w:rPr>
      </w:pPr>
      <w:bookmarkStart w:id="741" w:name="_Toc221950269"/>
      <w:r>
        <w:rPr>
          <w:color w:val="auto"/>
        </w:rPr>
        <w:t>经研究，对</w:t>
      </w:r>
      <w:r>
        <w:rPr>
          <w:rFonts w:hint="eastAsia" w:ascii="宋体" w:hAnsi="宋体"/>
          <w:color w:val="auto"/>
          <w:u w:val="single"/>
        </w:rPr>
        <w:t xml:space="preserve">       </w:t>
      </w:r>
      <w:r>
        <w:rPr>
          <w:rFonts w:hint="eastAsia" w:ascii="宋体" w:hAnsi="宋体"/>
          <w:color w:val="auto"/>
        </w:rPr>
        <w:t>（项目名称）</w:t>
      </w:r>
      <w:r>
        <w:rPr>
          <w:rFonts w:hint="eastAsia" w:ascii="宋体" w:hAnsi="宋体"/>
          <w:color w:val="auto"/>
          <w:u w:val="single"/>
        </w:rPr>
        <w:t xml:space="preserve">    </w:t>
      </w:r>
      <w:r>
        <w:rPr>
          <w:rFonts w:hint="eastAsia" w:ascii="宋体" w:hAnsi="宋体"/>
          <w:color w:val="auto"/>
        </w:rPr>
        <w:t>（标段名称）工程总承包</w:t>
      </w:r>
      <w:r>
        <w:rPr>
          <w:color w:val="auto"/>
        </w:rPr>
        <w:t>招标文件，作如下澄清：</w:t>
      </w:r>
      <w:bookmarkEnd w:id="741"/>
    </w:p>
    <w:p w14:paraId="5B2C24A4">
      <w:pPr>
        <w:spacing w:line="360" w:lineRule="auto"/>
        <w:ind w:firstLine="525" w:firstLineChars="250"/>
        <w:rPr>
          <w:color w:val="auto"/>
        </w:rPr>
      </w:pPr>
      <w:bookmarkStart w:id="742" w:name="_Toc221950270"/>
      <w:r>
        <w:rPr>
          <w:color w:val="auto"/>
        </w:rPr>
        <w:t>1</w:t>
      </w:r>
      <w:bookmarkEnd w:id="742"/>
      <w:r>
        <w:rPr>
          <w:rFonts w:hint="eastAsia"/>
          <w:color w:val="auto"/>
          <w:szCs w:val="21"/>
        </w:rPr>
        <w:t>.……</w:t>
      </w:r>
    </w:p>
    <w:p w14:paraId="4D4C28C8">
      <w:pPr>
        <w:spacing w:line="360" w:lineRule="auto"/>
        <w:ind w:firstLine="525" w:firstLineChars="250"/>
        <w:rPr>
          <w:rFonts w:hint="eastAsia"/>
          <w:color w:val="auto"/>
          <w:szCs w:val="21"/>
        </w:rPr>
      </w:pPr>
      <w:bookmarkStart w:id="743" w:name="_Toc221950271"/>
      <w:r>
        <w:rPr>
          <w:color w:val="auto"/>
        </w:rPr>
        <w:t>2</w:t>
      </w:r>
      <w:bookmarkEnd w:id="743"/>
      <w:r>
        <w:rPr>
          <w:rFonts w:hint="eastAsia"/>
          <w:color w:val="auto"/>
          <w:szCs w:val="21"/>
        </w:rPr>
        <w:t>.……</w:t>
      </w:r>
    </w:p>
    <w:p w14:paraId="3C3059BF">
      <w:pPr>
        <w:spacing w:line="360" w:lineRule="auto"/>
        <w:ind w:firstLine="525" w:firstLineChars="250"/>
        <w:rPr>
          <w:color w:val="auto"/>
        </w:rPr>
      </w:pPr>
      <w:r>
        <w:rPr>
          <w:rFonts w:hint="eastAsia"/>
          <w:color w:val="auto"/>
          <w:szCs w:val="21"/>
        </w:rPr>
        <w:t>……</w:t>
      </w:r>
    </w:p>
    <w:p w14:paraId="796B321C">
      <w:pPr>
        <w:spacing w:line="360" w:lineRule="auto"/>
        <w:ind w:firstLine="2415" w:firstLineChars="1150"/>
        <w:rPr>
          <w:rFonts w:hint="eastAsia"/>
          <w:color w:val="auto"/>
        </w:rPr>
      </w:pPr>
    </w:p>
    <w:p w14:paraId="5D3846F2">
      <w:pPr>
        <w:spacing w:line="360" w:lineRule="auto"/>
        <w:ind w:firstLine="2415" w:firstLineChars="1150"/>
        <w:rPr>
          <w:rFonts w:hint="eastAsia"/>
          <w:color w:val="auto"/>
        </w:rPr>
      </w:pPr>
    </w:p>
    <w:p w14:paraId="3B7FA96D">
      <w:pPr>
        <w:spacing w:line="360" w:lineRule="auto"/>
        <w:rPr>
          <w:rFonts w:hint="eastAsia"/>
          <w:color w:val="auto"/>
        </w:rPr>
      </w:pPr>
      <w:r>
        <w:rPr>
          <w:rFonts w:hint="eastAsia"/>
          <w:color w:val="auto"/>
        </w:rPr>
        <w:t xml:space="preserve">    </w:t>
      </w:r>
    </w:p>
    <w:p w14:paraId="3F836B2A">
      <w:pPr>
        <w:spacing w:line="360" w:lineRule="auto"/>
        <w:rPr>
          <w:rFonts w:hint="eastAsia"/>
          <w:color w:val="auto"/>
        </w:rPr>
      </w:pPr>
    </w:p>
    <w:p w14:paraId="2AC61385">
      <w:pPr>
        <w:spacing w:line="360" w:lineRule="auto"/>
        <w:ind w:firstLine="2415" w:firstLineChars="1150"/>
        <w:rPr>
          <w:rFonts w:hint="eastAsia"/>
          <w:color w:val="auto"/>
        </w:rPr>
      </w:pPr>
    </w:p>
    <w:p w14:paraId="2573D55D">
      <w:pPr>
        <w:spacing w:line="360" w:lineRule="auto"/>
        <w:ind w:firstLine="2415" w:firstLineChars="1150"/>
        <w:jc w:val="right"/>
        <w:rPr>
          <w:rFonts w:hint="eastAsia"/>
          <w:color w:val="auto"/>
          <w:u w:val="single"/>
        </w:rPr>
      </w:pPr>
      <w:bookmarkStart w:id="744" w:name="_Toc221950273"/>
      <w:r>
        <w:rPr>
          <w:rFonts w:hint="eastAsia"/>
          <w:color w:val="auto"/>
        </w:rPr>
        <w:t>招标人：</w:t>
      </w:r>
      <w:r>
        <w:rPr>
          <w:rFonts w:hint="eastAsia"/>
          <w:color w:val="auto"/>
          <w:u w:val="single"/>
        </w:rPr>
        <w:t xml:space="preserve">                      </w:t>
      </w:r>
      <w:r>
        <w:rPr>
          <w:rFonts w:hint="eastAsia"/>
          <w:color w:val="auto"/>
        </w:rPr>
        <w:t>（盖单位章）</w:t>
      </w:r>
      <w:bookmarkEnd w:id="744"/>
    </w:p>
    <w:p w14:paraId="72C16719">
      <w:pPr>
        <w:spacing w:line="360" w:lineRule="auto"/>
        <w:ind w:firstLine="2415" w:firstLineChars="1150"/>
        <w:jc w:val="right"/>
        <w:rPr>
          <w:rFonts w:hint="eastAsia"/>
          <w:color w:val="auto"/>
        </w:rPr>
      </w:pPr>
    </w:p>
    <w:p w14:paraId="6072E779">
      <w:pPr>
        <w:spacing w:line="360" w:lineRule="auto"/>
        <w:ind w:firstLine="4095" w:firstLineChars="1950"/>
        <w:jc w:val="right"/>
        <w:rPr>
          <w:rFonts w:hint="eastAsia"/>
          <w:color w:val="auto"/>
        </w:rPr>
      </w:pPr>
      <w:bookmarkStart w:id="745" w:name="_Toc221950274"/>
      <w:r>
        <w:rPr>
          <w:rFonts w:hint="eastAsia"/>
          <w:color w:val="auto"/>
          <w:u w:val="single"/>
        </w:rPr>
        <w:t xml:space="preserve">         </w:t>
      </w:r>
      <w:r>
        <w:rPr>
          <w:rFonts w:hint="eastAsia"/>
          <w:color w:val="auto"/>
        </w:rPr>
        <w:t xml:space="preserve">年 </w:t>
      </w:r>
      <w:r>
        <w:rPr>
          <w:rFonts w:hint="eastAsia"/>
          <w:color w:val="auto"/>
          <w:u w:val="single"/>
        </w:rPr>
        <w:t xml:space="preserve">     </w:t>
      </w:r>
      <w:r>
        <w:rPr>
          <w:rFonts w:hint="eastAsia"/>
          <w:color w:val="auto"/>
        </w:rPr>
        <w:t xml:space="preserve"> 月</w:t>
      </w:r>
      <w:r>
        <w:rPr>
          <w:rFonts w:hint="eastAsia"/>
          <w:color w:val="auto"/>
          <w:u w:val="single"/>
        </w:rPr>
        <w:t xml:space="preserve">     </w:t>
      </w:r>
      <w:r>
        <w:rPr>
          <w:rFonts w:hint="eastAsia"/>
          <w:color w:val="auto"/>
        </w:rPr>
        <w:t>日</w:t>
      </w:r>
      <w:bookmarkEnd w:id="745"/>
    </w:p>
    <w:p w14:paraId="20EE9AA4">
      <w:pPr>
        <w:spacing w:line="360" w:lineRule="auto"/>
        <w:ind w:firstLine="2415" w:firstLineChars="1150"/>
        <w:rPr>
          <w:rFonts w:hint="eastAsia"/>
          <w:color w:val="auto"/>
        </w:rPr>
      </w:pPr>
    </w:p>
    <w:p w14:paraId="4D4C386C">
      <w:pPr>
        <w:spacing w:line="360" w:lineRule="auto"/>
        <w:rPr>
          <w:rFonts w:hint="eastAsia" w:ascii="华文仿宋" w:hAnsi="华文仿宋" w:eastAsia="华文仿宋"/>
          <w:color w:val="auto"/>
        </w:rPr>
      </w:pPr>
      <w:bookmarkStart w:id="746" w:name="_Toc221950275"/>
    </w:p>
    <w:p w14:paraId="39B7D7D7">
      <w:pPr>
        <w:spacing w:line="360" w:lineRule="auto"/>
        <w:rPr>
          <w:rFonts w:hint="eastAsia" w:ascii="华文仿宋" w:hAnsi="华文仿宋" w:eastAsia="华文仿宋"/>
          <w:color w:val="auto"/>
        </w:rPr>
      </w:pPr>
    </w:p>
    <w:p w14:paraId="7BDD9BE1">
      <w:pPr>
        <w:spacing w:line="360" w:lineRule="auto"/>
        <w:ind w:left="630" w:hanging="630" w:hangingChars="300"/>
        <w:rPr>
          <w:rFonts w:hint="eastAsia" w:ascii="宋体" w:hAnsi="宋体" w:cs="宋体"/>
          <w:color w:val="auto"/>
        </w:rPr>
      </w:pPr>
      <w:r>
        <w:rPr>
          <w:rFonts w:hint="eastAsia" w:ascii="宋体" w:hAnsi="宋体" w:cs="宋体"/>
          <w:color w:val="auto"/>
        </w:rPr>
        <w:t>备注:</w:t>
      </w:r>
      <w:bookmarkEnd w:id="746"/>
      <w:r>
        <w:rPr>
          <w:rFonts w:hint="eastAsia" w:ascii="宋体" w:hAnsi="宋体" w:cs="宋体"/>
          <w:color w:val="auto"/>
        </w:rPr>
        <w:t xml:space="preserve"> 招标人对招标文件有关问题澄清时，适用于本格式。招标人可根据需要将附表二与附表三内容合并发出。</w:t>
      </w:r>
    </w:p>
    <w:p w14:paraId="27E0E96D">
      <w:pPr>
        <w:spacing w:line="360" w:lineRule="auto"/>
        <w:ind w:firstLine="2415" w:firstLineChars="1150"/>
        <w:rPr>
          <w:rFonts w:hint="eastAsia"/>
          <w:color w:val="auto"/>
        </w:rPr>
      </w:pPr>
    </w:p>
    <w:p w14:paraId="15B1D9A1">
      <w:pPr>
        <w:pStyle w:val="4"/>
        <w:spacing w:before="156"/>
        <w:rPr>
          <w:rFonts w:hint="eastAsia"/>
          <w:color w:val="auto"/>
          <w:sz w:val="24"/>
        </w:rPr>
      </w:pPr>
      <w:bookmarkStart w:id="747" w:name="_Toc221950276"/>
      <w:bookmarkStart w:id="748" w:name="_Toc387753569"/>
      <w:bookmarkStart w:id="749" w:name="_Toc154063448"/>
      <w:bookmarkStart w:id="750" w:name="_Toc519085336"/>
      <w:bookmarkStart w:id="751" w:name="_Toc10406"/>
      <w:bookmarkStart w:id="752" w:name="_Toc23069"/>
      <w:bookmarkStart w:id="753" w:name="_Toc2597"/>
      <w:bookmarkStart w:id="754" w:name="_Toc456173258"/>
      <w:bookmarkStart w:id="755" w:name="_Toc913"/>
      <w:r>
        <w:rPr>
          <w:rFonts w:hint="eastAsia"/>
          <w:color w:val="auto"/>
          <w:sz w:val="24"/>
        </w:rPr>
        <w:t>附表三：</w:t>
      </w:r>
      <w:bookmarkEnd w:id="747"/>
      <w:bookmarkEnd w:id="748"/>
      <w:r>
        <w:rPr>
          <w:rFonts w:hint="eastAsia"/>
          <w:color w:val="auto"/>
          <w:sz w:val="24"/>
        </w:rPr>
        <w:t>招标文件修改通知</w:t>
      </w:r>
      <w:bookmarkEnd w:id="749"/>
      <w:bookmarkEnd w:id="750"/>
      <w:bookmarkEnd w:id="751"/>
      <w:bookmarkEnd w:id="752"/>
      <w:bookmarkEnd w:id="753"/>
      <w:bookmarkEnd w:id="754"/>
      <w:bookmarkEnd w:id="755"/>
    </w:p>
    <w:p w14:paraId="620F1395">
      <w:pPr>
        <w:rPr>
          <w:rFonts w:hint="eastAsia"/>
          <w:color w:val="auto"/>
        </w:rPr>
      </w:pPr>
    </w:p>
    <w:p w14:paraId="02E72E55">
      <w:pPr>
        <w:rPr>
          <w:rFonts w:hint="eastAsia"/>
          <w:color w:val="auto"/>
        </w:rPr>
      </w:pPr>
    </w:p>
    <w:p w14:paraId="20235422">
      <w:pPr>
        <w:rPr>
          <w:rFonts w:hint="eastAsia"/>
          <w:color w:val="auto"/>
        </w:rPr>
      </w:pPr>
    </w:p>
    <w:p w14:paraId="52C8C684">
      <w:pPr>
        <w:jc w:val="center"/>
        <w:rPr>
          <w:rFonts w:hint="eastAsia" w:ascii="黑体" w:eastAsia="黑体"/>
          <w:color w:val="auto"/>
          <w:sz w:val="28"/>
          <w:szCs w:val="28"/>
        </w:rPr>
      </w:pPr>
      <w:r>
        <w:rPr>
          <w:rFonts w:hint="eastAsia" w:ascii="黑体" w:eastAsia="黑体"/>
          <w:color w:val="auto"/>
          <w:sz w:val="28"/>
          <w:szCs w:val="28"/>
        </w:rPr>
        <w:t>招标文件修改通知</w:t>
      </w:r>
    </w:p>
    <w:p w14:paraId="0194EDDE">
      <w:pPr>
        <w:jc w:val="center"/>
        <w:rPr>
          <w:rFonts w:hint="eastAsia" w:ascii="黑体" w:eastAsia="黑体"/>
          <w:color w:val="auto"/>
          <w:sz w:val="28"/>
          <w:szCs w:val="28"/>
        </w:rPr>
      </w:pPr>
    </w:p>
    <w:p w14:paraId="40AF1699">
      <w:pPr>
        <w:jc w:val="center"/>
        <w:rPr>
          <w:rFonts w:hint="eastAsia"/>
          <w:color w:val="auto"/>
        </w:rPr>
      </w:pPr>
    </w:p>
    <w:p w14:paraId="4A5CFAF6">
      <w:pPr>
        <w:spacing w:line="360" w:lineRule="auto"/>
        <w:ind w:firstLine="5985" w:firstLineChars="2850"/>
        <w:rPr>
          <w:rFonts w:hint="eastAsia"/>
          <w:color w:val="auto"/>
          <w:u w:val="single"/>
        </w:rPr>
      </w:pPr>
      <w:r>
        <w:rPr>
          <w:rFonts w:hint="eastAsia"/>
          <w:color w:val="auto"/>
        </w:rPr>
        <w:t>编号：</w:t>
      </w:r>
      <w:r>
        <w:rPr>
          <w:rFonts w:hint="eastAsia"/>
          <w:color w:val="auto"/>
          <w:u w:val="single"/>
        </w:rPr>
        <w:t xml:space="preserve">             </w:t>
      </w:r>
    </w:p>
    <w:p w14:paraId="301B03E7">
      <w:pPr>
        <w:spacing w:line="360" w:lineRule="auto"/>
        <w:ind w:firstLine="5985" w:firstLineChars="2850"/>
        <w:rPr>
          <w:rFonts w:hint="eastAsia"/>
          <w:color w:val="auto"/>
          <w:u w:val="single"/>
        </w:rPr>
      </w:pPr>
    </w:p>
    <w:p w14:paraId="1D10E229">
      <w:pPr>
        <w:spacing w:line="560" w:lineRule="atLeast"/>
        <w:rPr>
          <w:rFonts w:hint="eastAsia" w:ascii="宋体" w:hAnsi="宋体"/>
          <w:color w:val="auto"/>
          <w:u w:val="single"/>
        </w:rPr>
      </w:pPr>
      <w:r>
        <w:rPr>
          <w:rFonts w:hint="eastAsia"/>
          <w:color w:val="auto"/>
        </w:rPr>
        <w:t>各</w:t>
      </w:r>
      <w:r>
        <w:rPr>
          <w:rFonts w:hint="eastAsia"/>
          <w:color w:val="auto"/>
          <w:szCs w:val="21"/>
        </w:rPr>
        <w:t>投标人：</w:t>
      </w:r>
    </w:p>
    <w:p w14:paraId="326A8918">
      <w:pPr>
        <w:spacing w:line="560" w:lineRule="atLeast"/>
        <w:ind w:firstLine="525" w:firstLineChars="250"/>
        <w:rPr>
          <w:rFonts w:hint="eastAsia" w:ascii="宋体" w:hAnsi="宋体"/>
          <w:color w:val="auto"/>
        </w:rPr>
      </w:pPr>
      <w:r>
        <w:rPr>
          <w:rFonts w:hint="eastAsia" w:ascii="宋体" w:hAnsi="宋体"/>
          <w:color w:val="auto"/>
        </w:rPr>
        <w:t>经研究，对</w:t>
      </w:r>
      <w:r>
        <w:rPr>
          <w:rFonts w:hint="eastAsia" w:ascii="宋体" w:hAnsi="宋体"/>
          <w:color w:val="auto"/>
          <w:u w:val="single"/>
        </w:rPr>
        <w:t xml:space="preserve">       </w:t>
      </w:r>
      <w:r>
        <w:rPr>
          <w:rFonts w:hint="eastAsia" w:ascii="宋体" w:hAnsi="宋体"/>
          <w:color w:val="auto"/>
        </w:rPr>
        <w:t>（项目名称）</w:t>
      </w:r>
      <w:r>
        <w:rPr>
          <w:rFonts w:hint="eastAsia" w:ascii="宋体" w:hAnsi="宋体"/>
          <w:color w:val="auto"/>
          <w:u w:val="single"/>
        </w:rPr>
        <w:t xml:space="preserve">    </w:t>
      </w:r>
      <w:r>
        <w:rPr>
          <w:rFonts w:hint="eastAsia" w:ascii="宋体" w:hAnsi="宋体"/>
          <w:color w:val="auto"/>
        </w:rPr>
        <w:t>（标段名称）工程总承包招标文件，作如下修改：</w:t>
      </w:r>
    </w:p>
    <w:p w14:paraId="3B391227">
      <w:pPr>
        <w:spacing w:line="560" w:lineRule="atLeast"/>
        <w:ind w:firstLine="525" w:firstLineChars="250"/>
        <w:rPr>
          <w:color w:val="auto"/>
        </w:rPr>
      </w:pPr>
      <w:r>
        <w:rPr>
          <w:color w:val="auto"/>
        </w:rPr>
        <w:t>1</w:t>
      </w:r>
      <w:r>
        <w:rPr>
          <w:rFonts w:hint="eastAsia"/>
          <w:color w:val="auto"/>
          <w:szCs w:val="21"/>
        </w:rPr>
        <w:t>.……</w:t>
      </w:r>
    </w:p>
    <w:p w14:paraId="31332AF6">
      <w:pPr>
        <w:spacing w:line="560" w:lineRule="atLeast"/>
        <w:ind w:firstLine="525" w:firstLineChars="250"/>
        <w:rPr>
          <w:color w:val="auto"/>
        </w:rPr>
      </w:pPr>
      <w:r>
        <w:rPr>
          <w:color w:val="auto"/>
        </w:rPr>
        <w:t>2</w:t>
      </w:r>
      <w:r>
        <w:rPr>
          <w:rFonts w:hint="eastAsia"/>
          <w:color w:val="auto"/>
          <w:szCs w:val="21"/>
        </w:rPr>
        <w:t>.……</w:t>
      </w:r>
    </w:p>
    <w:p w14:paraId="2E24E16C">
      <w:pPr>
        <w:spacing w:line="560" w:lineRule="atLeast"/>
        <w:ind w:firstLine="525" w:firstLineChars="250"/>
        <w:rPr>
          <w:color w:val="auto"/>
        </w:rPr>
      </w:pPr>
      <w:r>
        <w:rPr>
          <w:color w:val="auto"/>
        </w:rPr>
        <w:t>………</w:t>
      </w:r>
    </w:p>
    <w:p w14:paraId="740469EA">
      <w:pPr>
        <w:spacing w:line="360" w:lineRule="auto"/>
        <w:ind w:firstLine="2415" w:firstLineChars="1150"/>
        <w:rPr>
          <w:rFonts w:hint="eastAsia"/>
          <w:color w:val="auto"/>
        </w:rPr>
      </w:pPr>
    </w:p>
    <w:p w14:paraId="04C1B4DD">
      <w:pPr>
        <w:spacing w:line="360" w:lineRule="auto"/>
        <w:ind w:firstLine="2415" w:firstLineChars="1150"/>
        <w:rPr>
          <w:rFonts w:hint="eastAsia"/>
          <w:color w:val="auto"/>
        </w:rPr>
      </w:pPr>
    </w:p>
    <w:p w14:paraId="7027E2D1">
      <w:pPr>
        <w:spacing w:line="360" w:lineRule="auto"/>
        <w:rPr>
          <w:rFonts w:hint="eastAsia"/>
          <w:color w:val="auto"/>
        </w:rPr>
      </w:pPr>
      <w:r>
        <w:rPr>
          <w:rFonts w:hint="eastAsia"/>
          <w:color w:val="auto"/>
        </w:rPr>
        <w:t xml:space="preserve">   </w:t>
      </w:r>
    </w:p>
    <w:p w14:paraId="566FB484">
      <w:pPr>
        <w:spacing w:line="360" w:lineRule="auto"/>
        <w:ind w:firstLine="2415" w:firstLineChars="1150"/>
        <w:jc w:val="right"/>
        <w:rPr>
          <w:rFonts w:hint="eastAsia"/>
          <w:color w:val="auto"/>
          <w:u w:val="single"/>
        </w:rPr>
      </w:pPr>
      <w:r>
        <w:rPr>
          <w:rFonts w:hint="eastAsia"/>
          <w:color w:val="auto"/>
        </w:rPr>
        <w:t>招标人：</w:t>
      </w:r>
      <w:r>
        <w:rPr>
          <w:rFonts w:hint="eastAsia"/>
          <w:color w:val="auto"/>
          <w:u w:val="single"/>
        </w:rPr>
        <w:t xml:space="preserve">                      </w:t>
      </w:r>
      <w:r>
        <w:rPr>
          <w:rFonts w:hint="eastAsia"/>
          <w:color w:val="auto"/>
        </w:rPr>
        <w:t>（盖单位章）</w:t>
      </w:r>
    </w:p>
    <w:p w14:paraId="50CB29FC">
      <w:pPr>
        <w:spacing w:line="360" w:lineRule="auto"/>
        <w:ind w:firstLine="2415" w:firstLineChars="1150"/>
        <w:jc w:val="right"/>
        <w:rPr>
          <w:rFonts w:hint="eastAsia"/>
          <w:color w:val="auto"/>
        </w:rPr>
      </w:pPr>
    </w:p>
    <w:p w14:paraId="12E8F311">
      <w:pPr>
        <w:spacing w:line="360" w:lineRule="auto"/>
        <w:ind w:firstLine="4095" w:firstLineChars="1950"/>
        <w:jc w:val="right"/>
        <w:rPr>
          <w:rFonts w:hint="eastAsia"/>
          <w:color w:val="auto"/>
        </w:rPr>
      </w:pPr>
      <w:r>
        <w:rPr>
          <w:rFonts w:hint="eastAsia"/>
          <w:color w:val="auto"/>
          <w:u w:val="single"/>
        </w:rPr>
        <w:t xml:space="preserve">         </w:t>
      </w:r>
      <w:r>
        <w:rPr>
          <w:rFonts w:hint="eastAsia"/>
          <w:color w:val="auto"/>
        </w:rPr>
        <w:t xml:space="preserve">年 </w:t>
      </w:r>
      <w:r>
        <w:rPr>
          <w:rFonts w:hint="eastAsia"/>
          <w:color w:val="auto"/>
          <w:u w:val="single"/>
        </w:rPr>
        <w:t xml:space="preserve">     </w:t>
      </w:r>
      <w:r>
        <w:rPr>
          <w:rFonts w:hint="eastAsia"/>
          <w:color w:val="auto"/>
        </w:rPr>
        <w:t xml:space="preserve"> 月</w:t>
      </w:r>
      <w:r>
        <w:rPr>
          <w:rFonts w:hint="eastAsia"/>
          <w:color w:val="auto"/>
          <w:u w:val="single"/>
        </w:rPr>
        <w:t xml:space="preserve">     </w:t>
      </w:r>
      <w:r>
        <w:rPr>
          <w:rFonts w:hint="eastAsia"/>
          <w:color w:val="auto"/>
        </w:rPr>
        <w:t>日</w:t>
      </w:r>
    </w:p>
    <w:p w14:paraId="0382FD91">
      <w:pPr>
        <w:spacing w:line="360" w:lineRule="auto"/>
        <w:ind w:firstLine="2415" w:firstLineChars="1150"/>
        <w:rPr>
          <w:rFonts w:hint="eastAsia"/>
          <w:color w:val="auto"/>
        </w:rPr>
      </w:pPr>
    </w:p>
    <w:p w14:paraId="35105C58">
      <w:pPr>
        <w:spacing w:line="360" w:lineRule="auto"/>
        <w:ind w:firstLine="2415" w:firstLineChars="1150"/>
        <w:rPr>
          <w:rFonts w:hint="eastAsia"/>
          <w:color w:val="auto"/>
        </w:rPr>
      </w:pPr>
    </w:p>
    <w:p w14:paraId="4908C5E3">
      <w:pPr>
        <w:spacing w:line="360" w:lineRule="auto"/>
        <w:rPr>
          <w:rFonts w:hint="eastAsia" w:ascii="华文仿宋" w:hAnsi="华文仿宋" w:eastAsia="华文仿宋"/>
          <w:color w:val="auto"/>
        </w:rPr>
      </w:pPr>
    </w:p>
    <w:p w14:paraId="050EE6A4">
      <w:pPr>
        <w:spacing w:line="360" w:lineRule="auto"/>
        <w:rPr>
          <w:rFonts w:hint="eastAsia" w:ascii="宋体" w:hAnsi="宋体" w:cs="宋体"/>
          <w:color w:val="auto"/>
        </w:rPr>
      </w:pPr>
      <w:r>
        <w:rPr>
          <w:rFonts w:hint="eastAsia" w:ascii="宋体" w:hAnsi="宋体" w:cs="宋体"/>
          <w:color w:val="auto"/>
        </w:rPr>
        <w:t>备注:招标人对招标文件修改时，适用于本格式。</w:t>
      </w:r>
    </w:p>
    <w:p w14:paraId="23E23F4C">
      <w:pPr>
        <w:spacing w:line="360" w:lineRule="auto"/>
        <w:ind w:firstLine="2415" w:firstLineChars="1150"/>
        <w:rPr>
          <w:rFonts w:hint="eastAsia"/>
          <w:color w:val="auto"/>
        </w:rPr>
      </w:pPr>
    </w:p>
    <w:p w14:paraId="51D37582">
      <w:pPr>
        <w:spacing w:line="360" w:lineRule="auto"/>
        <w:ind w:firstLine="2415" w:firstLineChars="1150"/>
        <w:rPr>
          <w:rFonts w:hint="eastAsia"/>
          <w:color w:val="auto"/>
        </w:rPr>
      </w:pPr>
    </w:p>
    <w:p w14:paraId="2F8C14F9">
      <w:pPr>
        <w:spacing w:line="360" w:lineRule="auto"/>
        <w:ind w:firstLine="2415" w:firstLineChars="1150"/>
        <w:rPr>
          <w:rFonts w:hint="eastAsia"/>
          <w:color w:val="auto"/>
        </w:rPr>
      </w:pPr>
    </w:p>
    <w:p w14:paraId="4DBB266B">
      <w:pPr>
        <w:pStyle w:val="4"/>
        <w:spacing w:before="156"/>
        <w:rPr>
          <w:rFonts w:hint="eastAsia"/>
          <w:color w:val="auto"/>
          <w:sz w:val="24"/>
        </w:rPr>
      </w:pPr>
      <w:bookmarkStart w:id="756" w:name="_Toc30879"/>
      <w:bookmarkStart w:id="757" w:name="_Toc353544004"/>
      <w:bookmarkStart w:id="758" w:name="_Toc426495817"/>
      <w:bookmarkStart w:id="759" w:name="_Toc456173259"/>
      <w:bookmarkStart w:id="760" w:name="_Toc23177"/>
      <w:bookmarkStart w:id="761" w:name="_Toc519085337"/>
      <w:bookmarkStart w:id="762" w:name="_Toc24487"/>
      <w:bookmarkStart w:id="763" w:name="_Toc11583"/>
      <w:bookmarkStart w:id="764" w:name="_Toc154063449"/>
      <w:r>
        <w:rPr>
          <w:rFonts w:hint="eastAsia"/>
          <w:color w:val="auto"/>
          <w:sz w:val="24"/>
        </w:rPr>
        <w:t>附表四：投标文件递交签收凭证</w:t>
      </w:r>
      <w:bookmarkEnd w:id="756"/>
      <w:bookmarkEnd w:id="757"/>
      <w:bookmarkEnd w:id="758"/>
      <w:bookmarkEnd w:id="759"/>
      <w:bookmarkEnd w:id="760"/>
      <w:bookmarkEnd w:id="761"/>
      <w:bookmarkEnd w:id="762"/>
      <w:bookmarkEnd w:id="763"/>
      <w:bookmarkEnd w:id="764"/>
    </w:p>
    <w:p w14:paraId="1D54CA02">
      <w:pPr>
        <w:spacing w:before="312" w:beforeLines="100" w:after="312" w:afterLines="100" w:line="480" w:lineRule="exact"/>
        <w:jc w:val="center"/>
        <w:rPr>
          <w:rFonts w:hint="eastAsia" w:ascii="黑体" w:eastAsia="黑体"/>
          <w:color w:val="auto"/>
          <w:sz w:val="28"/>
          <w:szCs w:val="28"/>
        </w:rPr>
      </w:pPr>
      <w:r>
        <w:rPr>
          <w:rFonts w:hint="eastAsia" w:ascii="黑体" w:eastAsia="黑体"/>
          <w:color w:val="auto"/>
          <w:sz w:val="28"/>
          <w:szCs w:val="28"/>
        </w:rPr>
        <w:t>投标文件递交签收凭证</w:t>
      </w:r>
    </w:p>
    <w:p w14:paraId="2B017770">
      <w:pPr>
        <w:rPr>
          <w:rFonts w:hint="eastAsia" w:ascii="宋体" w:hAnsi="宋体" w:cs="宋体"/>
          <w:color w:val="auto"/>
          <w:kern w:val="0"/>
          <w:szCs w:val="21"/>
        </w:rPr>
      </w:pPr>
    </w:p>
    <w:p w14:paraId="3509621B">
      <w:pPr>
        <w:ind w:firstLine="6405" w:firstLineChars="3050"/>
        <w:rPr>
          <w:rFonts w:hint="eastAsia" w:ascii="宋体" w:hAnsi="宋体"/>
          <w:color w:val="auto"/>
          <w:sz w:val="28"/>
          <w:szCs w:val="28"/>
        </w:rPr>
      </w:pPr>
      <w:r>
        <w:rPr>
          <w:rFonts w:hint="eastAsia" w:ascii="宋体" w:hAnsi="宋体"/>
          <w:color w:val="auto"/>
        </w:rPr>
        <w:t>编号：</w:t>
      </w:r>
      <w:r>
        <w:rPr>
          <w:rFonts w:hint="eastAsia" w:ascii="宋体" w:hAnsi="宋体"/>
          <w:color w:val="auto"/>
          <w:u w:val="single"/>
        </w:rPr>
        <w:t xml:space="preserve">           </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6392"/>
      </w:tblGrid>
      <w:tr w14:paraId="516C2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5ACB4252">
            <w:pPr>
              <w:keepNext w:val="0"/>
              <w:keepLines w:val="0"/>
              <w:suppressLineNumbers w:val="0"/>
              <w:spacing w:before="0" w:beforeAutospacing="0" w:after="0" w:afterAutospacing="0"/>
              <w:ind w:left="0" w:right="0"/>
              <w:jc w:val="center"/>
              <w:rPr>
                <w:rFonts w:hint="eastAsia" w:ascii="宋体" w:hAnsi="宋体" w:eastAsia="宋体" w:cs="Times New Roman"/>
                <w:color w:val="auto"/>
              </w:rPr>
            </w:pPr>
            <w:r>
              <w:rPr>
                <w:rFonts w:hint="eastAsia" w:ascii="宋体" w:hAnsi="宋体" w:eastAsia="宋体" w:cs="Times New Roman"/>
                <w:color w:val="auto"/>
              </w:rPr>
              <w:t>工程名称</w:t>
            </w:r>
          </w:p>
        </w:tc>
        <w:tc>
          <w:tcPr>
            <w:tcW w:w="6392" w:type="dxa"/>
            <w:noWrap w:val="0"/>
            <w:vAlign w:val="center"/>
          </w:tcPr>
          <w:p w14:paraId="157E4320">
            <w:pPr>
              <w:keepNext w:val="0"/>
              <w:keepLines w:val="0"/>
              <w:suppressLineNumbers w:val="0"/>
              <w:spacing w:before="0" w:beforeAutospacing="0" w:after="0" w:afterAutospacing="0"/>
              <w:ind w:left="0" w:right="0"/>
              <w:rPr>
                <w:rFonts w:hint="eastAsia" w:ascii="宋体" w:hAnsi="宋体" w:eastAsia="宋体" w:cs="Times New Roman"/>
                <w:color w:val="auto"/>
              </w:rPr>
            </w:pPr>
            <w:r>
              <w:rPr>
                <w:rFonts w:hint="eastAsia" w:ascii="宋体" w:hAnsi="宋体" w:eastAsia="宋体" w:cs="Times New Roman"/>
                <w:color w:val="auto"/>
                <w:u w:val="single"/>
              </w:rPr>
              <w:t xml:space="preserve">       </w:t>
            </w:r>
            <w:r>
              <w:rPr>
                <w:rFonts w:hint="eastAsia" w:ascii="宋体" w:hAnsi="宋体" w:eastAsia="宋体" w:cs="Times New Roman"/>
                <w:color w:val="auto"/>
              </w:rPr>
              <w:t>（项目名称）</w:t>
            </w:r>
            <w:r>
              <w:rPr>
                <w:rFonts w:hint="eastAsia" w:ascii="宋体" w:hAnsi="宋体" w:eastAsia="宋体" w:cs="Times New Roman"/>
                <w:color w:val="auto"/>
                <w:u w:val="single"/>
              </w:rPr>
              <w:t xml:space="preserve">    </w:t>
            </w:r>
            <w:r>
              <w:rPr>
                <w:rFonts w:hint="eastAsia" w:ascii="宋体" w:hAnsi="宋体" w:eastAsia="宋体" w:cs="Times New Roman"/>
                <w:color w:val="auto"/>
              </w:rPr>
              <w:t>（标段名称）工程总承包</w:t>
            </w:r>
          </w:p>
        </w:tc>
      </w:tr>
      <w:tr w14:paraId="6CED1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3EBC08FF">
            <w:pPr>
              <w:keepNext w:val="0"/>
              <w:keepLines w:val="0"/>
              <w:suppressLineNumbers w:val="0"/>
              <w:spacing w:before="0" w:beforeAutospacing="0" w:after="0" w:afterAutospacing="0"/>
              <w:ind w:left="0" w:right="0"/>
              <w:jc w:val="center"/>
              <w:rPr>
                <w:rFonts w:hint="eastAsia" w:ascii="宋体" w:hAnsi="宋体" w:eastAsia="宋体" w:cs="Times New Roman"/>
                <w:color w:val="auto"/>
              </w:rPr>
            </w:pPr>
            <w:r>
              <w:rPr>
                <w:rFonts w:hint="eastAsia" w:ascii="宋体" w:hAnsi="宋体" w:eastAsia="宋体" w:cs="Times New Roman"/>
                <w:color w:val="auto"/>
              </w:rPr>
              <w:t>招标人</w:t>
            </w:r>
          </w:p>
        </w:tc>
        <w:tc>
          <w:tcPr>
            <w:tcW w:w="6392" w:type="dxa"/>
            <w:noWrap w:val="0"/>
            <w:vAlign w:val="center"/>
          </w:tcPr>
          <w:p w14:paraId="545810FC">
            <w:pPr>
              <w:keepNext w:val="0"/>
              <w:keepLines w:val="0"/>
              <w:suppressLineNumbers w:val="0"/>
              <w:spacing w:before="0" w:beforeAutospacing="0" w:after="0" w:afterAutospacing="0"/>
              <w:ind w:left="0" w:right="0"/>
              <w:jc w:val="center"/>
              <w:rPr>
                <w:rFonts w:hint="eastAsia" w:ascii="宋体" w:hAnsi="宋体" w:eastAsia="宋体" w:cs="Times New Roman"/>
                <w:color w:val="auto"/>
              </w:rPr>
            </w:pPr>
          </w:p>
        </w:tc>
      </w:tr>
      <w:tr w14:paraId="5694B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1C8B221F">
            <w:pPr>
              <w:keepNext w:val="0"/>
              <w:keepLines w:val="0"/>
              <w:suppressLineNumbers w:val="0"/>
              <w:spacing w:before="0" w:beforeAutospacing="0" w:after="0" w:afterAutospacing="0"/>
              <w:ind w:left="0" w:right="0"/>
              <w:jc w:val="center"/>
              <w:rPr>
                <w:rFonts w:hint="eastAsia" w:ascii="宋体" w:hAnsi="宋体" w:eastAsia="宋体" w:cs="Times New Roman"/>
                <w:color w:val="auto"/>
              </w:rPr>
            </w:pPr>
            <w:r>
              <w:rPr>
                <w:rFonts w:hint="eastAsia" w:ascii="宋体" w:hAnsi="宋体" w:eastAsia="宋体" w:cs="Times New Roman"/>
                <w:color w:val="auto"/>
              </w:rPr>
              <w:t>招标代理机构</w:t>
            </w:r>
          </w:p>
        </w:tc>
        <w:tc>
          <w:tcPr>
            <w:tcW w:w="6392" w:type="dxa"/>
            <w:noWrap w:val="0"/>
            <w:vAlign w:val="center"/>
          </w:tcPr>
          <w:p w14:paraId="2E652268">
            <w:pPr>
              <w:keepNext w:val="0"/>
              <w:keepLines w:val="0"/>
              <w:suppressLineNumbers w:val="0"/>
              <w:spacing w:before="0" w:beforeAutospacing="0" w:after="0" w:afterAutospacing="0"/>
              <w:ind w:left="0" w:right="0"/>
              <w:jc w:val="center"/>
              <w:rPr>
                <w:rFonts w:hint="eastAsia" w:ascii="宋体" w:hAnsi="宋体" w:eastAsia="宋体" w:cs="Times New Roman"/>
                <w:color w:val="auto"/>
              </w:rPr>
            </w:pPr>
          </w:p>
        </w:tc>
      </w:tr>
      <w:tr w14:paraId="7980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0FCE413B">
            <w:pPr>
              <w:keepNext w:val="0"/>
              <w:keepLines w:val="0"/>
              <w:suppressLineNumbers w:val="0"/>
              <w:spacing w:before="0" w:beforeAutospacing="0" w:after="0" w:afterAutospacing="0"/>
              <w:ind w:left="0" w:right="0"/>
              <w:jc w:val="center"/>
              <w:rPr>
                <w:rFonts w:hint="eastAsia" w:ascii="宋体" w:hAnsi="宋体" w:eastAsia="宋体" w:cs="Times New Roman"/>
                <w:color w:val="auto"/>
              </w:rPr>
            </w:pPr>
            <w:r>
              <w:rPr>
                <w:rFonts w:hint="eastAsia" w:ascii="宋体" w:hAnsi="宋体" w:eastAsia="宋体" w:cs="Times New Roman"/>
                <w:color w:val="auto"/>
              </w:rPr>
              <w:t>投标人</w:t>
            </w:r>
          </w:p>
        </w:tc>
        <w:tc>
          <w:tcPr>
            <w:tcW w:w="6392" w:type="dxa"/>
            <w:noWrap w:val="0"/>
            <w:vAlign w:val="center"/>
          </w:tcPr>
          <w:p w14:paraId="164455FD">
            <w:pPr>
              <w:keepNext w:val="0"/>
              <w:keepLines w:val="0"/>
              <w:suppressLineNumbers w:val="0"/>
              <w:spacing w:before="0" w:beforeAutospacing="0" w:after="0" w:afterAutospacing="0"/>
              <w:ind w:left="0" w:right="0"/>
              <w:jc w:val="center"/>
              <w:rPr>
                <w:rFonts w:hint="eastAsia" w:ascii="宋体" w:hAnsi="宋体" w:eastAsia="宋体" w:cs="Times New Roman"/>
                <w:color w:val="auto"/>
              </w:rPr>
            </w:pPr>
          </w:p>
        </w:tc>
      </w:tr>
      <w:tr w14:paraId="71AFD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3C8EAFD0">
            <w:pPr>
              <w:keepNext w:val="0"/>
              <w:keepLines w:val="0"/>
              <w:suppressLineNumbers w:val="0"/>
              <w:spacing w:before="0" w:beforeAutospacing="0" w:after="0" w:afterAutospacing="0"/>
              <w:ind w:left="0" w:right="0"/>
              <w:jc w:val="center"/>
              <w:rPr>
                <w:rFonts w:hint="eastAsia" w:ascii="宋体" w:hAnsi="宋体" w:eastAsia="宋体" w:cs="Times New Roman"/>
                <w:color w:val="auto"/>
              </w:rPr>
            </w:pPr>
            <w:r>
              <w:rPr>
                <w:rFonts w:hint="eastAsia" w:ascii="宋体" w:hAnsi="宋体" w:eastAsia="宋体" w:cs="Times New Roman"/>
                <w:color w:val="auto"/>
              </w:rPr>
              <w:t>投标文件递交时间</w:t>
            </w:r>
          </w:p>
        </w:tc>
        <w:tc>
          <w:tcPr>
            <w:tcW w:w="6392" w:type="dxa"/>
            <w:noWrap w:val="0"/>
            <w:vAlign w:val="center"/>
          </w:tcPr>
          <w:p w14:paraId="2C52ECD0">
            <w:pPr>
              <w:keepNext w:val="0"/>
              <w:keepLines w:val="0"/>
              <w:suppressLineNumbers w:val="0"/>
              <w:spacing w:before="0" w:beforeAutospacing="0" w:after="0" w:afterAutospacing="0"/>
              <w:ind w:left="0" w:right="0"/>
              <w:rPr>
                <w:rFonts w:hint="eastAsia" w:ascii="宋体" w:hAnsi="宋体" w:eastAsia="宋体" w:cs="Times New Roman"/>
                <w:color w:val="auto"/>
              </w:rPr>
            </w:pPr>
            <w:r>
              <w:rPr>
                <w:rFonts w:hint="eastAsia" w:ascii="宋体" w:hAnsi="宋体" w:eastAsia="宋体" w:cs="Times New Roman"/>
                <w:color w:val="auto"/>
                <w:u w:val="single"/>
              </w:rPr>
              <w:t xml:space="preserve">         </w:t>
            </w:r>
            <w:r>
              <w:rPr>
                <w:rFonts w:hint="eastAsia" w:ascii="宋体" w:hAnsi="宋体" w:eastAsia="宋体" w:cs="Times New Roman"/>
                <w:color w:val="auto"/>
              </w:rPr>
              <w:t>年</w:t>
            </w:r>
            <w:r>
              <w:rPr>
                <w:rFonts w:hint="eastAsia" w:ascii="宋体" w:hAnsi="宋体" w:eastAsia="宋体" w:cs="Times New Roman"/>
                <w:color w:val="auto"/>
                <w:u w:val="single"/>
              </w:rPr>
              <w:t xml:space="preserve">    </w:t>
            </w:r>
            <w:r>
              <w:rPr>
                <w:rFonts w:hint="eastAsia" w:ascii="宋体" w:hAnsi="宋体" w:eastAsia="宋体" w:cs="Times New Roman"/>
                <w:color w:val="auto"/>
              </w:rPr>
              <w:t>月</w:t>
            </w:r>
            <w:r>
              <w:rPr>
                <w:rFonts w:hint="eastAsia" w:ascii="宋体" w:hAnsi="宋体" w:eastAsia="宋体" w:cs="Times New Roman"/>
                <w:color w:val="auto"/>
                <w:u w:val="single"/>
              </w:rPr>
              <w:t xml:space="preserve">    </w:t>
            </w:r>
            <w:r>
              <w:rPr>
                <w:rFonts w:hint="eastAsia" w:ascii="宋体" w:hAnsi="宋体" w:eastAsia="宋体" w:cs="Times New Roman"/>
                <w:color w:val="auto"/>
              </w:rPr>
              <w:t>日</w:t>
            </w:r>
            <w:r>
              <w:rPr>
                <w:rFonts w:hint="eastAsia" w:ascii="宋体" w:hAnsi="宋体" w:eastAsia="宋体" w:cs="Times New Roman"/>
                <w:color w:val="auto"/>
                <w:u w:val="single"/>
              </w:rPr>
              <w:t xml:space="preserve">    </w:t>
            </w:r>
            <w:r>
              <w:rPr>
                <w:rFonts w:hint="eastAsia" w:ascii="宋体" w:hAnsi="宋体" w:eastAsia="宋体" w:cs="Times New Roman"/>
                <w:color w:val="auto"/>
              </w:rPr>
              <w:t>时</w:t>
            </w:r>
            <w:r>
              <w:rPr>
                <w:rFonts w:hint="eastAsia" w:ascii="宋体" w:hAnsi="宋体" w:eastAsia="宋体" w:cs="Times New Roman"/>
                <w:color w:val="auto"/>
                <w:u w:val="single"/>
              </w:rPr>
              <w:t xml:space="preserve">    </w:t>
            </w:r>
            <w:r>
              <w:rPr>
                <w:rFonts w:hint="eastAsia" w:ascii="宋体" w:hAnsi="宋体" w:eastAsia="宋体" w:cs="Times New Roman"/>
                <w:color w:val="auto"/>
              </w:rPr>
              <w:t>分</w:t>
            </w:r>
          </w:p>
        </w:tc>
      </w:tr>
      <w:tr w14:paraId="68234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10F2BAD0">
            <w:pPr>
              <w:keepNext w:val="0"/>
              <w:keepLines w:val="0"/>
              <w:suppressLineNumbers w:val="0"/>
              <w:spacing w:before="0" w:beforeAutospacing="0" w:after="0" w:afterAutospacing="0"/>
              <w:ind w:left="0" w:right="0"/>
              <w:jc w:val="center"/>
              <w:rPr>
                <w:rFonts w:hint="eastAsia" w:ascii="宋体" w:hAnsi="宋体" w:eastAsia="宋体" w:cs="Times New Roman"/>
                <w:color w:val="auto"/>
              </w:rPr>
            </w:pPr>
            <w:r>
              <w:rPr>
                <w:rFonts w:hint="eastAsia" w:ascii="宋体" w:hAnsi="宋体" w:eastAsia="宋体" w:cs="Times New Roman"/>
                <w:color w:val="auto"/>
              </w:rPr>
              <w:t>投标文件是否加密</w:t>
            </w:r>
          </w:p>
        </w:tc>
        <w:tc>
          <w:tcPr>
            <w:tcW w:w="6392" w:type="dxa"/>
            <w:noWrap w:val="0"/>
            <w:vAlign w:val="center"/>
          </w:tcPr>
          <w:p w14:paraId="7A0D179B">
            <w:pPr>
              <w:keepNext w:val="0"/>
              <w:keepLines w:val="0"/>
              <w:suppressLineNumbers w:val="0"/>
              <w:spacing w:before="0" w:beforeAutospacing="0" w:after="0" w:afterAutospacing="0"/>
              <w:ind w:left="0" w:right="0"/>
              <w:jc w:val="center"/>
              <w:rPr>
                <w:rFonts w:hint="eastAsia" w:ascii="宋体" w:hAnsi="宋体" w:eastAsia="宋体" w:cs="Times New Roman"/>
                <w:color w:val="auto"/>
              </w:rPr>
            </w:pPr>
          </w:p>
        </w:tc>
      </w:tr>
    </w:tbl>
    <w:p w14:paraId="0A109A4F">
      <w:pPr>
        <w:spacing w:before="93" w:beforeLines="30"/>
        <w:rPr>
          <w:rFonts w:hint="eastAsia" w:ascii="宋体" w:hAnsi="宋体"/>
          <w:color w:val="auto"/>
        </w:rPr>
      </w:pPr>
    </w:p>
    <w:p w14:paraId="4224A7FF">
      <w:pPr>
        <w:rPr>
          <w:rFonts w:hint="eastAsia"/>
          <w:color w:val="auto"/>
          <w:u w:val="single"/>
        </w:rPr>
      </w:pPr>
    </w:p>
    <w:p w14:paraId="390071C9">
      <w:pPr>
        <w:pStyle w:val="107"/>
        <w:rPr>
          <w:color w:val="auto"/>
        </w:rPr>
        <w:sectPr>
          <w:pgSz w:w="11906" w:h="16838"/>
          <w:pgMar w:top="1440" w:right="1800" w:bottom="1440" w:left="1800" w:header="851" w:footer="850" w:gutter="0"/>
          <w:cols w:space="720" w:num="1"/>
          <w:docGrid w:type="linesAndChars" w:linePitch="312" w:charSpace="0"/>
        </w:sectPr>
      </w:pPr>
    </w:p>
    <w:bookmarkEnd w:id="717"/>
    <w:bookmarkEnd w:id="718"/>
    <w:bookmarkEnd w:id="719"/>
    <w:bookmarkEnd w:id="720"/>
    <w:bookmarkEnd w:id="721"/>
    <w:p w14:paraId="13B990FD">
      <w:pPr>
        <w:pStyle w:val="4"/>
        <w:spacing w:before="159"/>
        <w:rPr>
          <w:color w:val="auto"/>
          <w:sz w:val="24"/>
        </w:rPr>
      </w:pPr>
      <w:bookmarkStart w:id="765" w:name="_Toc7319"/>
      <w:bookmarkStart w:id="766" w:name="_Toc17792"/>
      <w:bookmarkStart w:id="767" w:name="_Toc154063450"/>
      <w:bookmarkStart w:id="768" w:name="_Toc519085338"/>
      <w:bookmarkStart w:id="769" w:name="_Toc456173260"/>
      <w:bookmarkStart w:id="770" w:name="_Toc10524"/>
      <w:bookmarkStart w:id="771" w:name="_Toc20074"/>
      <w:r>
        <w:rPr>
          <w:rFonts w:hint="eastAsia"/>
          <w:color w:val="auto"/>
          <w:sz w:val="24"/>
        </w:rPr>
        <w:t>附表五：开标记录表</w:t>
      </w:r>
      <w:bookmarkEnd w:id="765"/>
      <w:bookmarkEnd w:id="766"/>
      <w:bookmarkEnd w:id="767"/>
      <w:bookmarkEnd w:id="768"/>
      <w:bookmarkEnd w:id="769"/>
      <w:bookmarkEnd w:id="770"/>
      <w:bookmarkEnd w:id="771"/>
    </w:p>
    <w:p w14:paraId="4A966978">
      <w:pPr>
        <w:spacing w:line="400" w:lineRule="exact"/>
        <w:rPr>
          <w:color w:val="auto"/>
        </w:rPr>
      </w:pPr>
    </w:p>
    <w:p w14:paraId="72904640">
      <w:pPr>
        <w:spacing w:line="400" w:lineRule="exact"/>
        <w:jc w:val="center"/>
        <w:rPr>
          <w:rFonts w:ascii="黑体" w:eastAsia="黑体"/>
          <w:color w:val="auto"/>
          <w:sz w:val="28"/>
          <w:szCs w:val="28"/>
        </w:rPr>
      </w:pPr>
      <w:r>
        <w:rPr>
          <w:rFonts w:hint="eastAsia" w:ascii="宋体" w:hAnsi="宋体"/>
          <w:color w:val="auto"/>
          <w:u w:val="single"/>
        </w:rPr>
        <w:t xml:space="preserve"> </w:t>
      </w:r>
      <w:r>
        <w:rPr>
          <w:rFonts w:hint="eastAsia" w:ascii="黑体" w:eastAsia="黑体"/>
          <w:color w:val="auto"/>
          <w:sz w:val="28"/>
          <w:szCs w:val="28"/>
          <w:u w:val="single"/>
        </w:rPr>
        <w:t xml:space="preserve">      </w:t>
      </w:r>
      <w:r>
        <w:rPr>
          <w:rFonts w:hint="eastAsia" w:ascii="黑体" w:eastAsia="黑体"/>
          <w:color w:val="auto"/>
          <w:sz w:val="28"/>
          <w:szCs w:val="28"/>
        </w:rPr>
        <w:t>（项目名称）</w:t>
      </w:r>
      <w:r>
        <w:rPr>
          <w:rFonts w:hint="eastAsia" w:ascii="黑体" w:eastAsia="黑体"/>
          <w:color w:val="auto"/>
          <w:sz w:val="28"/>
          <w:szCs w:val="28"/>
          <w:u w:val="single"/>
        </w:rPr>
        <w:t xml:space="preserve">    </w:t>
      </w:r>
      <w:r>
        <w:rPr>
          <w:rFonts w:hint="eastAsia" w:ascii="黑体" w:eastAsia="黑体"/>
          <w:color w:val="auto"/>
          <w:sz w:val="28"/>
          <w:szCs w:val="28"/>
        </w:rPr>
        <w:t>（标段名称）工程总承包招标开标记录表</w:t>
      </w:r>
    </w:p>
    <w:p w14:paraId="26119E36">
      <w:pPr>
        <w:spacing w:line="400" w:lineRule="exact"/>
        <w:ind w:firstLine="105" w:firstLineChars="50"/>
        <w:rPr>
          <w:rFonts w:ascii="宋体" w:hAnsi="宋体"/>
          <w:color w:val="auto"/>
        </w:rPr>
      </w:pPr>
      <w:bookmarkStart w:id="772" w:name="_Toc387753578"/>
      <w:bookmarkStart w:id="773" w:name="_Toc456173261"/>
      <w:bookmarkStart w:id="774" w:name="_Toc519085339"/>
      <w:bookmarkStart w:id="775" w:name="_Toc152042359"/>
      <w:bookmarkStart w:id="776" w:name="_Toc247527607"/>
      <w:bookmarkStart w:id="777" w:name="_Toc144974549"/>
      <w:bookmarkStart w:id="778" w:name="_Toc152045582"/>
      <w:bookmarkStart w:id="779" w:name="_Toc247514006"/>
      <w:r>
        <w:rPr>
          <w:rFonts w:hint="eastAsia" w:ascii="宋体" w:hAnsi="宋体"/>
          <w:color w:val="auto"/>
        </w:rPr>
        <w:t>开标时间：</w:t>
      </w:r>
      <w:r>
        <w:rPr>
          <w:rFonts w:hint="eastAsia" w:ascii="宋体" w:hAnsi="宋体"/>
          <w:color w:val="auto"/>
          <w:u w:val="single"/>
        </w:rPr>
        <w:t xml:space="preserve">      </w:t>
      </w:r>
      <w:r>
        <w:rPr>
          <w:rFonts w:hint="eastAsia" w:ascii="宋体" w:hAnsi="宋体"/>
          <w:color w:val="auto"/>
        </w:rPr>
        <w:t>年</w:t>
      </w:r>
      <w:r>
        <w:rPr>
          <w:rFonts w:hint="eastAsia" w:ascii="宋体" w:hAnsi="宋体"/>
          <w:color w:val="auto"/>
          <w:u w:val="single"/>
        </w:rPr>
        <w:t xml:space="preserve">    </w:t>
      </w:r>
      <w:r>
        <w:rPr>
          <w:rFonts w:hint="eastAsia" w:ascii="宋体" w:hAnsi="宋体"/>
          <w:color w:val="auto"/>
        </w:rPr>
        <w:t>月</w:t>
      </w:r>
      <w:r>
        <w:rPr>
          <w:rFonts w:hint="eastAsia" w:ascii="宋体" w:hAnsi="宋体"/>
          <w:color w:val="auto"/>
          <w:u w:val="single"/>
        </w:rPr>
        <w:t xml:space="preserve">    </w:t>
      </w:r>
      <w:r>
        <w:rPr>
          <w:rFonts w:hint="eastAsia" w:ascii="宋体" w:hAnsi="宋体"/>
          <w:color w:val="auto"/>
        </w:rPr>
        <w:t>日</w:t>
      </w:r>
      <w:r>
        <w:rPr>
          <w:rFonts w:hint="eastAsia" w:ascii="宋体" w:hAnsi="宋体"/>
          <w:color w:val="auto"/>
          <w:u w:val="single"/>
        </w:rPr>
        <w:t xml:space="preserve">    </w:t>
      </w:r>
      <w:r>
        <w:rPr>
          <w:rFonts w:hint="eastAsia" w:ascii="宋体" w:hAnsi="宋体"/>
          <w:color w:val="auto"/>
        </w:rPr>
        <w:t>时</w:t>
      </w:r>
      <w:r>
        <w:rPr>
          <w:rFonts w:hint="eastAsia" w:ascii="宋体" w:hAnsi="宋体"/>
          <w:color w:val="auto"/>
          <w:u w:val="single"/>
        </w:rPr>
        <w:t xml:space="preserve">    </w:t>
      </w:r>
      <w:r>
        <w:rPr>
          <w:rFonts w:hint="eastAsia" w:ascii="宋体" w:hAnsi="宋体"/>
          <w:color w:val="auto"/>
        </w:rPr>
        <w:t>分                                          开标地点：</w:t>
      </w:r>
      <w:r>
        <w:rPr>
          <w:rFonts w:hint="eastAsia" w:ascii="宋体" w:hAnsi="宋体"/>
          <w:color w:val="auto"/>
          <w:u w:val="single"/>
        </w:rPr>
        <w:t xml:space="preserve">                                </w:t>
      </w:r>
    </w:p>
    <w:tbl>
      <w:tblPr>
        <w:tblStyle w:val="41"/>
        <w:tblW w:w="14203" w:type="dxa"/>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2482"/>
        <w:gridCol w:w="850"/>
        <w:gridCol w:w="1418"/>
        <w:gridCol w:w="1134"/>
        <w:gridCol w:w="1134"/>
        <w:gridCol w:w="1134"/>
        <w:gridCol w:w="850"/>
        <w:gridCol w:w="1132"/>
        <w:gridCol w:w="1276"/>
        <w:gridCol w:w="992"/>
        <w:gridCol w:w="1134"/>
      </w:tblGrid>
      <w:tr w14:paraId="5FD64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67" w:type="dxa"/>
            <w:vMerge w:val="restart"/>
            <w:tcBorders>
              <w:top w:val="single" w:color="auto" w:sz="4" w:space="0"/>
              <w:left w:val="single" w:color="auto" w:sz="4" w:space="0"/>
              <w:bottom w:val="single" w:color="auto" w:sz="4" w:space="0"/>
              <w:right w:val="single" w:color="auto" w:sz="4" w:space="0"/>
            </w:tcBorders>
            <w:noWrap w:val="0"/>
            <w:vAlign w:val="center"/>
          </w:tcPr>
          <w:p w14:paraId="4501946D">
            <w:pPr>
              <w:keepNext w:val="0"/>
              <w:keepLines w:val="0"/>
              <w:suppressLineNumbers w:val="0"/>
              <w:spacing w:before="0" w:beforeAutospacing="0" w:after="0" w:afterAutospacing="0"/>
              <w:ind w:left="0" w:right="0"/>
              <w:jc w:val="center"/>
              <w:rPr>
                <w:rFonts w:ascii="宋体" w:hAnsi="宋体" w:eastAsia="宋体" w:cs="Times New Roman"/>
                <w:color w:val="auto"/>
              </w:rPr>
            </w:pPr>
            <w:r>
              <w:rPr>
                <w:rFonts w:hint="eastAsia" w:ascii="宋体" w:hAnsi="宋体" w:eastAsia="宋体" w:cs="Times New Roman"/>
                <w:color w:val="auto"/>
              </w:rPr>
              <w:t>序号</w:t>
            </w:r>
          </w:p>
        </w:tc>
        <w:tc>
          <w:tcPr>
            <w:tcW w:w="2482" w:type="dxa"/>
            <w:vMerge w:val="restart"/>
            <w:tcBorders>
              <w:top w:val="single" w:color="auto" w:sz="4" w:space="0"/>
              <w:left w:val="single" w:color="auto" w:sz="4" w:space="0"/>
              <w:bottom w:val="single" w:color="auto" w:sz="4" w:space="0"/>
              <w:right w:val="single" w:color="auto" w:sz="4" w:space="0"/>
            </w:tcBorders>
            <w:noWrap w:val="0"/>
            <w:vAlign w:val="center"/>
          </w:tcPr>
          <w:p w14:paraId="3F4DDE3F">
            <w:pPr>
              <w:keepNext w:val="0"/>
              <w:keepLines w:val="0"/>
              <w:suppressLineNumbers w:val="0"/>
              <w:spacing w:before="0" w:beforeAutospacing="0" w:after="0" w:afterAutospacing="0"/>
              <w:ind w:left="0" w:right="0"/>
              <w:jc w:val="center"/>
              <w:rPr>
                <w:rFonts w:ascii="宋体" w:hAnsi="宋体" w:eastAsia="宋体" w:cs="Times New Roman"/>
                <w:color w:val="auto"/>
              </w:rPr>
            </w:pPr>
            <w:r>
              <w:rPr>
                <w:rFonts w:hint="eastAsia" w:ascii="宋体" w:hAnsi="宋体" w:eastAsia="宋体" w:cs="Times New Roman"/>
                <w:color w:val="auto"/>
              </w:rPr>
              <w:t>投标人名称</w:t>
            </w:r>
          </w:p>
        </w:tc>
        <w:tc>
          <w:tcPr>
            <w:tcW w:w="850" w:type="dxa"/>
            <w:vMerge w:val="restart"/>
            <w:tcBorders>
              <w:top w:val="single" w:color="auto" w:sz="4" w:space="0"/>
              <w:left w:val="single" w:color="auto" w:sz="4" w:space="0"/>
              <w:bottom w:val="single" w:color="auto" w:sz="4" w:space="0"/>
              <w:right w:val="single" w:color="auto" w:sz="4" w:space="0"/>
            </w:tcBorders>
            <w:noWrap w:val="0"/>
            <w:vAlign w:val="center"/>
          </w:tcPr>
          <w:p w14:paraId="62EE6633">
            <w:pPr>
              <w:keepNext w:val="0"/>
              <w:keepLines w:val="0"/>
              <w:suppressLineNumbers w:val="0"/>
              <w:spacing w:before="0" w:beforeAutospacing="0" w:after="0" w:afterAutospacing="0"/>
              <w:ind w:left="0" w:right="0"/>
              <w:jc w:val="center"/>
              <w:rPr>
                <w:rFonts w:ascii="宋体" w:hAnsi="宋体" w:eastAsia="宋体" w:cs="Times New Roman"/>
                <w:color w:val="auto"/>
              </w:rPr>
            </w:pPr>
            <w:r>
              <w:rPr>
                <w:rFonts w:hint="eastAsia" w:ascii="宋体" w:hAnsi="宋体" w:eastAsia="宋体" w:cs="Times New Roman"/>
                <w:color w:val="auto"/>
              </w:rPr>
              <w:t>投标</w:t>
            </w:r>
          </w:p>
          <w:p w14:paraId="2622DD45">
            <w:pPr>
              <w:keepNext w:val="0"/>
              <w:keepLines w:val="0"/>
              <w:suppressLineNumbers w:val="0"/>
              <w:spacing w:before="0" w:beforeAutospacing="0" w:after="0" w:afterAutospacing="0"/>
              <w:ind w:left="0" w:right="0"/>
              <w:jc w:val="center"/>
              <w:rPr>
                <w:rFonts w:ascii="宋体" w:hAnsi="宋体" w:eastAsia="宋体" w:cs="Times New Roman"/>
                <w:color w:val="auto"/>
              </w:rPr>
            </w:pPr>
            <w:r>
              <w:rPr>
                <w:rFonts w:hint="eastAsia" w:ascii="宋体" w:hAnsi="宋体" w:eastAsia="宋体" w:cs="Times New Roman"/>
                <w:color w:val="auto"/>
              </w:rPr>
              <w:t>保证金</w:t>
            </w:r>
          </w:p>
        </w:tc>
        <w:tc>
          <w:tcPr>
            <w:tcW w:w="1418" w:type="dxa"/>
            <w:vMerge w:val="restart"/>
            <w:tcBorders>
              <w:top w:val="single" w:color="auto" w:sz="4" w:space="0"/>
              <w:left w:val="single" w:color="auto" w:sz="4" w:space="0"/>
              <w:bottom w:val="single" w:color="auto" w:sz="4" w:space="0"/>
              <w:right w:val="single" w:color="auto" w:sz="4" w:space="0"/>
            </w:tcBorders>
            <w:noWrap w:val="0"/>
            <w:vAlign w:val="center"/>
          </w:tcPr>
          <w:p w14:paraId="0ED9CB2B">
            <w:pPr>
              <w:keepNext w:val="0"/>
              <w:keepLines w:val="0"/>
              <w:suppressLineNumbers w:val="0"/>
              <w:spacing w:before="0" w:beforeAutospacing="0" w:after="0" w:afterAutospacing="0"/>
              <w:ind w:left="0" w:right="0"/>
              <w:jc w:val="center"/>
              <w:rPr>
                <w:rFonts w:ascii="宋体" w:hAnsi="宋体" w:eastAsia="宋体" w:cs="Times New Roman"/>
                <w:color w:val="auto"/>
              </w:rPr>
            </w:pPr>
            <w:r>
              <w:rPr>
                <w:rFonts w:hint="eastAsia" w:ascii="宋体" w:hAnsi="宋体" w:eastAsia="宋体" w:cs="Times New Roman"/>
                <w:color w:val="auto"/>
              </w:rPr>
              <w:t>投标报价（元）</w:t>
            </w:r>
          </w:p>
        </w:tc>
        <w:tc>
          <w:tcPr>
            <w:tcW w:w="1134" w:type="dxa"/>
            <w:vMerge w:val="restart"/>
            <w:tcBorders>
              <w:top w:val="single" w:color="auto" w:sz="4" w:space="0"/>
              <w:left w:val="single" w:color="auto" w:sz="4" w:space="0"/>
              <w:bottom w:val="single" w:color="auto" w:sz="4" w:space="0"/>
              <w:right w:val="single" w:color="auto" w:sz="4" w:space="0"/>
            </w:tcBorders>
            <w:noWrap w:val="0"/>
            <w:vAlign w:val="center"/>
          </w:tcPr>
          <w:p w14:paraId="587A5B8D">
            <w:pPr>
              <w:keepNext w:val="0"/>
              <w:keepLines w:val="0"/>
              <w:suppressLineNumbers w:val="0"/>
              <w:spacing w:before="0" w:beforeAutospacing="0" w:after="0" w:afterAutospacing="0"/>
              <w:ind w:left="0" w:right="0"/>
              <w:jc w:val="center"/>
              <w:rPr>
                <w:rFonts w:ascii="宋体" w:hAnsi="宋体" w:eastAsia="宋体" w:cs="Times New Roman"/>
                <w:color w:val="auto"/>
              </w:rPr>
            </w:pPr>
            <w:r>
              <w:rPr>
                <w:rFonts w:hint="eastAsia" w:ascii="宋体" w:hAnsi="宋体" w:eastAsia="宋体" w:cs="Times New Roman"/>
                <w:color w:val="auto"/>
              </w:rPr>
              <w:t>工期</w:t>
            </w:r>
          </w:p>
          <w:p w14:paraId="2037BA1C">
            <w:pPr>
              <w:keepNext w:val="0"/>
              <w:keepLines w:val="0"/>
              <w:suppressLineNumbers w:val="0"/>
              <w:spacing w:before="0" w:beforeAutospacing="0" w:after="0" w:afterAutospacing="0"/>
              <w:ind w:left="0" w:right="0"/>
              <w:jc w:val="center"/>
              <w:rPr>
                <w:rFonts w:ascii="宋体" w:hAnsi="宋体" w:eastAsia="宋体" w:cs="Times New Roman"/>
                <w:color w:val="auto"/>
              </w:rPr>
            </w:pPr>
            <w:r>
              <w:rPr>
                <w:rFonts w:hint="eastAsia" w:ascii="宋体" w:hAnsi="宋体" w:eastAsia="宋体" w:cs="Times New Roman"/>
                <w:color w:val="auto"/>
              </w:rPr>
              <w:t>（日历天）</w:t>
            </w:r>
          </w:p>
        </w:tc>
        <w:tc>
          <w:tcPr>
            <w:tcW w:w="1134" w:type="dxa"/>
            <w:vMerge w:val="restart"/>
            <w:tcBorders>
              <w:top w:val="single" w:color="auto" w:sz="4" w:space="0"/>
              <w:left w:val="single" w:color="auto" w:sz="4" w:space="0"/>
              <w:right w:val="single" w:color="auto" w:sz="4" w:space="0"/>
            </w:tcBorders>
            <w:noWrap w:val="0"/>
            <w:vAlign w:val="top"/>
          </w:tcPr>
          <w:p w14:paraId="6A636E9C">
            <w:pPr>
              <w:keepNext w:val="0"/>
              <w:keepLines w:val="0"/>
              <w:suppressLineNumbers w:val="0"/>
              <w:spacing w:before="0" w:beforeAutospacing="0" w:after="0" w:afterAutospacing="0"/>
              <w:ind w:left="0" w:right="0"/>
              <w:jc w:val="center"/>
              <w:rPr>
                <w:rFonts w:hint="eastAsia" w:ascii="宋体" w:hAnsi="宋体" w:eastAsia="宋体" w:cs="Times New Roman"/>
                <w:color w:val="auto"/>
              </w:rPr>
            </w:pPr>
            <w:r>
              <w:rPr>
                <w:rFonts w:hint="eastAsia" w:ascii="宋体" w:hAnsi="宋体" w:eastAsia="宋体" w:cs="Times New Roman"/>
                <w:color w:val="auto"/>
              </w:rPr>
              <w:t>设计质量目标</w:t>
            </w:r>
          </w:p>
        </w:tc>
        <w:tc>
          <w:tcPr>
            <w:tcW w:w="1134" w:type="dxa"/>
            <w:vMerge w:val="restar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74A232F">
            <w:pPr>
              <w:keepNext w:val="0"/>
              <w:keepLines w:val="0"/>
              <w:suppressLineNumbers w:val="0"/>
              <w:spacing w:before="0" w:beforeAutospacing="0" w:after="0" w:afterAutospacing="0"/>
              <w:ind w:left="0" w:right="0"/>
              <w:jc w:val="center"/>
              <w:rPr>
                <w:rFonts w:hint="eastAsia" w:ascii="宋体" w:hAnsi="宋体" w:eastAsia="宋体" w:cs="Times New Roman"/>
                <w:color w:val="auto"/>
              </w:rPr>
            </w:pPr>
            <w:r>
              <w:rPr>
                <w:rFonts w:hint="eastAsia" w:ascii="宋体" w:hAnsi="宋体" w:eastAsia="宋体" w:cs="Times New Roman"/>
                <w:color w:val="auto"/>
              </w:rPr>
              <w:t>施工质量</w:t>
            </w:r>
          </w:p>
          <w:p w14:paraId="7D54560D">
            <w:pPr>
              <w:keepNext w:val="0"/>
              <w:keepLines w:val="0"/>
              <w:suppressLineNumbers w:val="0"/>
              <w:spacing w:before="0" w:beforeAutospacing="0" w:after="0" w:afterAutospacing="0"/>
              <w:ind w:left="0" w:right="0"/>
              <w:jc w:val="center"/>
              <w:rPr>
                <w:rFonts w:ascii="宋体" w:hAnsi="宋体" w:eastAsia="宋体" w:cs="Times New Roman"/>
                <w:color w:val="auto"/>
              </w:rPr>
            </w:pPr>
            <w:r>
              <w:rPr>
                <w:rFonts w:hint="eastAsia" w:ascii="宋体" w:hAnsi="宋体" w:eastAsia="宋体" w:cs="Times New Roman"/>
                <w:color w:val="auto"/>
              </w:rPr>
              <w:t>目标</w:t>
            </w:r>
          </w:p>
        </w:tc>
        <w:tc>
          <w:tcPr>
            <w:tcW w:w="3258" w:type="dxa"/>
            <w:gridSpan w:val="3"/>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7A3F816">
            <w:pPr>
              <w:keepNext w:val="0"/>
              <w:keepLines w:val="0"/>
              <w:suppressLineNumbers w:val="0"/>
              <w:spacing w:before="0" w:beforeAutospacing="0" w:after="0" w:afterAutospacing="0"/>
              <w:ind w:left="0" w:right="0"/>
              <w:jc w:val="center"/>
              <w:rPr>
                <w:rFonts w:ascii="宋体" w:hAnsi="宋体" w:eastAsia="宋体" w:cs="Times New Roman"/>
                <w:color w:val="auto"/>
              </w:rPr>
            </w:pPr>
            <w:r>
              <w:rPr>
                <w:rFonts w:hint="eastAsia" w:ascii="宋体" w:hAnsi="宋体" w:eastAsia="宋体" w:cs="Times New Roman"/>
                <w:color w:val="auto"/>
              </w:rPr>
              <w:t>项目经理</w:t>
            </w:r>
          </w:p>
        </w:tc>
        <w:tc>
          <w:tcPr>
            <w:tcW w:w="992" w:type="dxa"/>
            <w:vMerge w:val="restar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9646D48">
            <w:pPr>
              <w:keepNext w:val="0"/>
              <w:keepLines w:val="0"/>
              <w:suppressLineNumbers w:val="0"/>
              <w:spacing w:before="0" w:beforeAutospacing="0" w:after="0" w:afterAutospacing="0"/>
              <w:ind w:left="0" w:right="0"/>
              <w:jc w:val="center"/>
              <w:rPr>
                <w:rFonts w:ascii="宋体" w:hAnsi="宋体" w:eastAsia="宋体" w:cs="Times New Roman"/>
                <w:color w:val="auto"/>
              </w:rPr>
            </w:pPr>
            <w:r>
              <w:rPr>
                <w:rFonts w:hint="eastAsia" w:ascii="宋体" w:hAnsi="宋体" w:eastAsia="宋体" w:cs="Times New Roman"/>
                <w:color w:val="auto"/>
              </w:rPr>
              <w:t>投标人</w:t>
            </w:r>
          </w:p>
          <w:p w14:paraId="480208CA">
            <w:pPr>
              <w:keepNext w:val="0"/>
              <w:keepLines w:val="0"/>
              <w:suppressLineNumbers w:val="0"/>
              <w:spacing w:before="0" w:beforeAutospacing="0" w:after="0" w:afterAutospacing="0"/>
              <w:ind w:left="0" w:right="0"/>
              <w:jc w:val="center"/>
              <w:rPr>
                <w:rFonts w:ascii="宋体" w:hAnsi="宋体" w:eastAsia="宋体" w:cs="Times New Roman"/>
                <w:color w:val="auto"/>
              </w:rPr>
            </w:pPr>
            <w:r>
              <w:rPr>
                <w:rFonts w:hint="eastAsia" w:ascii="宋体" w:hAnsi="宋体" w:eastAsia="宋体" w:cs="Times New Roman"/>
                <w:color w:val="auto"/>
              </w:rPr>
              <w:t>代表</w:t>
            </w:r>
          </w:p>
        </w:tc>
        <w:tc>
          <w:tcPr>
            <w:tcW w:w="1134" w:type="dxa"/>
            <w:vMerge w:val="restart"/>
            <w:tcBorders>
              <w:top w:val="single" w:color="auto" w:sz="4" w:space="0"/>
              <w:left w:val="single" w:color="auto" w:sz="4" w:space="0"/>
              <w:bottom w:val="single" w:color="auto" w:sz="4" w:space="0"/>
              <w:right w:val="single" w:color="auto" w:sz="4" w:space="0"/>
            </w:tcBorders>
            <w:noWrap w:val="0"/>
            <w:vAlign w:val="center"/>
          </w:tcPr>
          <w:p w14:paraId="3B5A6C2E">
            <w:pPr>
              <w:keepNext w:val="0"/>
              <w:keepLines w:val="0"/>
              <w:suppressLineNumbers w:val="0"/>
              <w:spacing w:before="0" w:beforeAutospacing="0" w:after="0" w:afterAutospacing="0"/>
              <w:ind w:left="0" w:right="0"/>
              <w:jc w:val="center"/>
              <w:rPr>
                <w:rFonts w:ascii="宋体" w:hAnsi="宋体" w:eastAsia="宋体" w:cs="Times New Roman"/>
                <w:color w:val="auto"/>
              </w:rPr>
            </w:pPr>
            <w:r>
              <w:rPr>
                <w:rFonts w:hint="eastAsia" w:ascii="宋体" w:hAnsi="宋体" w:eastAsia="宋体" w:cs="Times New Roman"/>
                <w:color w:val="auto"/>
              </w:rPr>
              <w:t>联系电话</w:t>
            </w:r>
          </w:p>
        </w:tc>
      </w:tr>
      <w:tr w14:paraId="1ED1B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67" w:type="dxa"/>
            <w:vMerge w:val="continue"/>
            <w:tcBorders>
              <w:top w:val="single" w:color="auto" w:sz="4" w:space="0"/>
              <w:left w:val="single" w:color="auto" w:sz="4" w:space="0"/>
              <w:bottom w:val="single" w:color="auto" w:sz="4" w:space="0"/>
              <w:right w:val="single" w:color="auto" w:sz="4" w:space="0"/>
            </w:tcBorders>
            <w:noWrap w:val="0"/>
            <w:vAlign w:val="center"/>
          </w:tcPr>
          <w:p w14:paraId="5E6EECEF">
            <w:pPr>
              <w:keepNext w:val="0"/>
              <w:keepLines w:val="0"/>
              <w:widowControl/>
              <w:suppressLineNumbers w:val="0"/>
              <w:spacing w:before="0" w:beforeAutospacing="0" w:after="0" w:afterAutospacing="0"/>
              <w:ind w:left="0" w:right="0"/>
              <w:jc w:val="left"/>
              <w:rPr>
                <w:rFonts w:ascii="宋体" w:hAnsi="宋体" w:eastAsia="宋体" w:cs="Times New Roman"/>
                <w:color w:val="auto"/>
              </w:rPr>
            </w:pPr>
          </w:p>
        </w:tc>
        <w:tc>
          <w:tcPr>
            <w:tcW w:w="2482" w:type="dxa"/>
            <w:vMerge w:val="continue"/>
            <w:tcBorders>
              <w:top w:val="single" w:color="auto" w:sz="4" w:space="0"/>
              <w:left w:val="single" w:color="auto" w:sz="4" w:space="0"/>
              <w:bottom w:val="single" w:color="auto" w:sz="4" w:space="0"/>
              <w:right w:val="single" w:color="auto" w:sz="4" w:space="0"/>
            </w:tcBorders>
            <w:noWrap w:val="0"/>
            <w:vAlign w:val="center"/>
          </w:tcPr>
          <w:p w14:paraId="26DA594B">
            <w:pPr>
              <w:keepNext w:val="0"/>
              <w:keepLines w:val="0"/>
              <w:widowControl/>
              <w:suppressLineNumbers w:val="0"/>
              <w:spacing w:before="0" w:beforeAutospacing="0" w:after="0" w:afterAutospacing="0"/>
              <w:ind w:left="0" w:right="0"/>
              <w:jc w:val="left"/>
              <w:rPr>
                <w:rFonts w:ascii="宋体" w:hAnsi="宋体" w:eastAsia="宋体" w:cs="Times New Roman"/>
                <w:color w:val="auto"/>
              </w:rPr>
            </w:pPr>
          </w:p>
        </w:tc>
        <w:tc>
          <w:tcPr>
            <w:tcW w:w="850" w:type="dxa"/>
            <w:vMerge w:val="continue"/>
            <w:tcBorders>
              <w:top w:val="single" w:color="auto" w:sz="4" w:space="0"/>
              <w:left w:val="single" w:color="auto" w:sz="4" w:space="0"/>
              <w:bottom w:val="single" w:color="auto" w:sz="4" w:space="0"/>
              <w:right w:val="single" w:color="auto" w:sz="4" w:space="0"/>
            </w:tcBorders>
            <w:noWrap w:val="0"/>
            <w:vAlign w:val="center"/>
          </w:tcPr>
          <w:p w14:paraId="280FB79A">
            <w:pPr>
              <w:keepNext w:val="0"/>
              <w:keepLines w:val="0"/>
              <w:widowControl/>
              <w:suppressLineNumbers w:val="0"/>
              <w:spacing w:before="0" w:beforeAutospacing="0" w:after="0" w:afterAutospacing="0"/>
              <w:ind w:left="0" w:right="0"/>
              <w:jc w:val="left"/>
              <w:rPr>
                <w:rFonts w:ascii="宋体" w:hAnsi="宋体" w:eastAsia="宋体" w:cs="Times New Roman"/>
                <w:color w:val="auto"/>
              </w:rPr>
            </w:pPr>
          </w:p>
        </w:tc>
        <w:tc>
          <w:tcPr>
            <w:tcW w:w="1418" w:type="dxa"/>
            <w:vMerge w:val="continue"/>
            <w:tcBorders>
              <w:top w:val="single" w:color="auto" w:sz="4" w:space="0"/>
              <w:left w:val="single" w:color="auto" w:sz="4" w:space="0"/>
              <w:bottom w:val="single" w:color="auto" w:sz="4" w:space="0"/>
              <w:right w:val="single" w:color="auto" w:sz="4" w:space="0"/>
            </w:tcBorders>
            <w:noWrap w:val="0"/>
            <w:vAlign w:val="center"/>
          </w:tcPr>
          <w:p w14:paraId="3B7DB1B3">
            <w:pPr>
              <w:keepNext w:val="0"/>
              <w:keepLines w:val="0"/>
              <w:widowControl/>
              <w:suppressLineNumbers w:val="0"/>
              <w:spacing w:before="0" w:beforeAutospacing="0" w:after="0" w:afterAutospacing="0"/>
              <w:ind w:left="0" w:right="0"/>
              <w:jc w:val="left"/>
              <w:rPr>
                <w:rFonts w:ascii="宋体" w:hAnsi="宋体" w:eastAsia="宋体" w:cs="Times New Roman"/>
                <w:color w:val="auto"/>
              </w:rPr>
            </w:pPr>
          </w:p>
        </w:tc>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14:paraId="298932A9">
            <w:pPr>
              <w:keepNext w:val="0"/>
              <w:keepLines w:val="0"/>
              <w:widowControl/>
              <w:suppressLineNumbers w:val="0"/>
              <w:spacing w:before="0" w:beforeAutospacing="0" w:after="0" w:afterAutospacing="0"/>
              <w:ind w:left="0" w:right="0"/>
              <w:jc w:val="left"/>
              <w:rPr>
                <w:rFonts w:ascii="宋体" w:hAnsi="宋体" w:eastAsia="宋体" w:cs="Times New Roman"/>
                <w:color w:val="auto"/>
              </w:rPr>
            </w:pPr>
          </w:p>
        </w:tc>
        <w:tc>
          <w:tcPr>
            <w:tcW w:w="1134" w:type="dxa"/>
            <w:vMerge w:val="continue"/>
            <w:tcBorders>
              <w:left w:val="single" w:color="auto" w:sz="4" w:space="0"/>
              <w:bottom w:val="single" w:color="auto" w:sz="4" w:space="0"/>
              <w:right w:val="single" w:color="auto" w:sz="4" w:space="0"/>
            </w:tcBorders>
            <w:noWrap w:val="0"/>
            <w:vAlign w:val="top"/>
          </w:tcPr>
          <w:p w14:paraId="49B35862">
            <w:pPr>
              <w:keepNext w:val="0"/>
              <w:keepLines w:val="0"/>
              <w:widowControl/>
              <w:suppressLineNumbers w:val="0"/>
              <w:spacing w:before="0" w:beforeAutospacing="0" w:after="0" w:afterAutospacing="0"/>
              <w:ind w:left="0" w:right="0"/>
              <w:jc w:val="left"/>
              <w:rPr>
                <w:rFonts w:ascii="宋体" w:hAnsi="宋体" w:eastAsia="宋体" w:cs="Times New Roman"/>
                <w:color w:val="auto"/>
              </w:rPr>
            </w:pPr>
          </w:p>
        </w:tc>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14:paraId="65E446F4">
            <w:pPr>
              <w:keepNext w:val="0"/>
              <w:keepLines w:val="0"/>
              <w:widowControl/>
              <w:suppressLineNumbers w:val="0"/>
              <w:spacing w:before="0" w:beforeAutospacing="0" w:after="0" w:afterAutospacing="0"/>
              <w:ind w:left="0" w:right="0"/>
              <w:jc w:val="left"/>
              <w:rPr>
                <w:rFonts w:ascii="宋体" w:hAnsi="宋体" w:eastAsia="宋体" w:cs="Times New Roman"/>
                <w:color w:val="auto"/>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BB68657">
            <w:pPr>
              <w:keepNext w:val="0"/>
              <w:keepLines w:val="0"/>
              <w:suppressLineNumbers w:val="0"/>
              <w:spacing w:before="0" w:beforeAutospacing="0" w:after="0" w:afterAutospacing="0"/>
              <w:ind w:left="0" w:right="0"/>
              <w:jc w:val="center"/>
              <w:rPr>
                <w:rFonts w:ascii="宋体" w:hAnsi="宋体" w:eastAsia="宋体" w:cs="Times New Roman"/>
                <w:color w:val="auto"/>
              </w:rPr>
            </w:pPr>
            <w:r>
              <w:rPr>
                <w:rFonts w:hint="eastAsia" w:ascii="宋体" w:hAnsi="宋体" w:eastAsia="宋体" w:cs="Times New Roman"/>
                <w:color w:val="auto"/>
              </w:rPr>
              <w:t>姓名</w:t>
            </w:r>
          </w:p>
        </w:tc>
        <w:tc>
          <w:tcPr>
            <w:tcW w:w="1132" w:type="dxa"/>
            <w:tcBorders>
              <w:top w:val="single" w:color="auto" w:sz="4" w:space="0"/>
              <w:left w:val="single" w:color="auto" w:sz="4" w:space="0"/>
              <w:bottom w:val="single" w:color="auto" w:sz="4" w:space="0"/>
              <w:right w:val="single" w:color="auto" w:sz="4" w:space="0"/>
            </w:tcBorders>
            <w:noWrap w:val="0"/>
            <w:vAlign w:val="center"/>
          </w:tcPr>
          <w:p w14:paraId="7310C5E5">
            <w:pPr>
              <w:keepNext w:val="0"/>
              <w:keepLines w:val="0"/>
              <w:suppressLineNumbers w:val="0"/>
              <w:spacing w:before="0" w:beforeAutospacing="0" w:after="0" w:afterAutospacing="0"/>
              <w:ind w:left="0" w:right="0"/>
              <w:jc w:val="center"/>
              <w:rPr>
                <w:rFonts w:ascii="宋体" w:hAnsi="宋体" w:eastAsia="宋体" w:cs="Times New Roman"/>
                <w:color w:val="auto"/>
              </w:rPr>
            </w:pPr>
            <w:r>
              <w:rPr>
                <w:rFonts w:hint="eastAsia" w:ascii="宋体" w:hAnsi="宋体" w:eastAsia="宋体" w:cs="Times New Roman"/>
                <w:color w:val="auto"/>
              </w:rPr>
              <w:t>证书名称</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4AF78C5">
            <w:pPr>
              <w:keepNext w:val="0"/>
              <w:keepLines w:val="0"/>
              <w:suppressLineNumbers w:val="0"/>
              <w:spacing w:before="0" w:beforeAutospacing="0" w:after="0" w:afterAutospacing="0"/>
              <w:ind w:left="0" w:right="0"/>
              <w:jc w:val="center"/>
              <w:rPr>
                <w:rFonts w:ascii="宋体" w:hAnsi="宋体" w:eastAsia="宋体" w:cs="Times New Roman"/>
                <w:color w:val="auto"/>
              </w:rPr>
            </w:pPr>
            <w:r>
              <w:rPr>
                <w:rFonts w:hint="eastAsia" w:ascii="宋体" w:hAnsi="宋体" w:eastAsia="宋体" w:cs="Times New Roman"/>
                <w:color w:val="auto"/>
              </w:rPr>
              <w:t>证书编号</w:t>
            </w:r>
          </w:p>
        </w:tc>
        <w:tc>
          <w:tcPr>
            <w:tcW w:w="992" w:type="dxa"/>
            <w:vMerge w:val="continue"/>
            <w:tcBorders>
              <w:top w:val="single" w:color="auto" w:sz="4" w:space="0"/>
              <w:left w:val="single" w:color="auto" w:sz="4" w:space="0"/>
              <w:bottom w:val="single" w:color="auto" w:sz="4" w:space="0"/>
              <w:right w:val="single" w:color="auto" w:sz="4" w:space="0"/>
            </w:tcBorders>
            <w:noWrap w:val="0"/>
            <w:vAlign w:val="center"/>
          </w:tcPr>
          <w:p w14:paraId="0D8A2CE6">
            <w:pPr>
              <w:keepNext w:val="0"/>
              <w:keepLines w:val="0"/>
              <w:widowControl/>
              <w:suppressLineNumbers w:val="0"/>
              <w:spacing w:before="0" w:beforeAutospacing="0" w:after="0" w:afterAutospacing="0"/>
              <w:ind w:left="0" w:right="0"/>
              <w:jc w:val="left"/>
              <w:rPr>
                <w:rFonts w:ascii="宋体" w:hAnsi="宋体" w:eastAsia="宋体" w:cs="Times New Roman"/>
                <w:color w:val="auto"/>
              </w:rPr>
            </w:pPr>
          </w:p>
        </w:tc>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14:paraId="648C4FE3">
            <w:pPr>
              <w:keepNext w:val="0"/>
              <w:keepLines w:val="0"/>
              <w:widowControl/>
              <w:suppressLineNumbers w:val="0"/>
              <w:spacing w:before="0" w:beforeAutospacing="0" w:after="0" w:afterAutospacing="0"/>
              <w:ind w:left="0" w:right="0"/>
              <w:jc w:val="left"/>
              <w:rPr>
                <w:rFonts w:ascii="宋体" w:hAnsi="宋体" w:eastAsia="宋体" w:cs="Times New Roman"/>
                <w:color w:val="auto"/>
              </w:rPr>
            </w:pPr>
          </w:p>
        </w:tc>
      </w:tr>
      <w:tr w14:paraId="1BCEB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6D060875">
            <w:pPr>
              <w:keepNext w:val="0"/>
              <w:keepLines w:val="0"/>
              <w:suppressLineNumbers w:val="0"/>
              <w:spacing w:before="0" w:beforeAutospacing="0" w:after="0" w:afterAutospacing="0"/>
              <w:ind w:left="0" w:right="0"/>
              <w:jc w:val="center"/>
              <w:rPr>
                <w:rFonts w:ascii="宋体" w:hAnsi="宋体" w:eastAsia="宋体" w:cs="Times New Roman"/>
                <w:color w:val="auto"/>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585BF8F1">
            <w:pPr>
              <w:keepNext w:val="0"/>
              <w:keepLines w:val="0"/>
              <w:suppressLineNumbers w:val="0"/>
              <w:spacing w:before="0" w:beforeAutospacing="0" w:after="0" w:afterAutospacing="0"/>
              <w:ind w:left="0" w:right="0"/>
              <w:jc w:val="center"/>
              <w:rPr>
                <w:rFonts w:ascii="宋体" w:hAnsi="宋体" w:eastAsia="宋体" w:cs="Times New Roman"/>
                <w:color w:val="auto"/>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5E01FF12">
            <w:pPr>
              <w:keepNext w:val="0"/>
              <w:keepLines w:val="0"/>
              <w:suppressLineNumbers w:val="0"/>
              <w:spacing w:before="0" w:beforeAutospacing="0" w:after="0" w:afterAutospacing="0"/>
              <w:ind w:left="0" w:right="0"/>
              <w:jc w:val="center"/>
              <w:rPr>
                <w:rFonts w:ascii="宋体" w:hAnsi="宋体" w:eastAsia="宋体" w:cs="Times New Roman"/>
                <w:color w:val="auto"/>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4F41A3AD">
            <w:pPr>
              <w:keepNext w:val="0"/>
              <w:keepLines w:val="0"/>
              <w:suppressLineNumbers w:val="0"/>
              <w:spacing w:before="0" w:beforeAutospacing="0" w:after="0" w:afterAutospacing="0"/>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A41A0F7">
            <w:pPr>
              <w:keepNext w:val="0"/>
              <w:keepLines w:val="0"/>
              <w:suppressLineNumbers w:val="0"/>
              <w:spacing w:before="0" w:beforeAutospacing="0" w:after="0" w:afterAutospacing="0"/>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43B9BF69">
            <w:pPr>
              <w:keepNext w:val="0"/>
              <w:keepLines w:val="0"/>
              <w:suppressLineNumbers w:val="0"/>
              <w:spacing w:before="0" w:beforeAutospacing="0" w:after="0" w:afterAutospacing="0"/>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25DCB3B">
            <w:pPr>
              <w:keepNext w:val="0"/>
              <w:keepLines w:val="0"/>
              <w:suppressLineNumbers w:val="0"/>
              <w:spacing w:before="0" w:beforeAutospacing="0" w:after="0" w:afterAutospacing="0"/>
              <w:ind w:left="0" w:right="0"/>
              <w:jc w:val="center"/>
              <w:rPr>
                <w:rFonts w:ascii="宋体" w:hAnsi="宋体" w:eastAsia="宋体" w:cs="Times New Roman"/>
                <w:color w:val="auto"/>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CB51999">
            <w:pPr>
              <w:keepNext w:val="0"/>
              <w:keepLines w:val="0"/>
              <w:suppressLineNumbers w:val="0"/>
              <w:spacing w:before="0" w:beforeAutospacing="0" w:after="0" w:afterAutospacing="0"/>
              <w:ind w:left="0" w:right="0"/>
              <w:jc w:val="center"/>
              <w:rPr>
                <w:rFonts w:ascii="宋体" w:hAnsi="宋体" w:eastAsia="宋体" w:cs="Times New Roman"/>
                <w:color w:val="auto"/>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167966BA">
            <w:pPr>
              <w:keepNext w:val="0"/>
              <w:keepLines w:val="0"/>
              <w:suppressLineNumbers w:val="0"/>
              <w:spacing w:before="0" w:beforeAutospacing="0" w:after="0" w:afterAutospacing="0"/>
              <w:ind w:left="0" w:right="0"/>
              <w:jc w:val="center"/>
              <w:rPr>
                <w:rFonts w:ascii="宋体" w:hAnsi="宋体" w:eastAsia="宋体" w:cs="Times New Roman"/>
                <w:color w:val="auto"/>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FF17D7B">
            <w:pPr>
              <w:keepNext w:val="0"/>
              <w:keepLines w:val="0"/>
              <w:suppressLineNumbers w:val="0"/>
              <w:spacing w:before="0" w:beforeAutospacing="0" w:after="0" w:afterAutospacing="0"/>
              <w:ind w:left="0" w:right="0"/>
              <w:jc w:val="center"/>
              <w:rPr>
                <w:rFonts w:ascii="宋体" w:hAnsi="宋体" w:eastAsia="宋体" w:cs="Times New Roman"/>
                <w:color w:val="auto"/>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785F322">
            <w:pPr>
              <w:keepNext w:val="0"/>
              <w:keepLines w:val="0"/>
              <w:suppressLineNumbers w:val="0"/>
              <w:spacing w:before="0" w:beforeAutospacing="0" w:after="0" w:afterAutospacing="0"/>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B38B835">
            <w:pPr>
              <w:keepNext w:val="0"/>
              <w:keepLines w:val="0"/>
              <w:suppressLineNumbers w:val="0"/>
              <w:spacing w:before="0" w:beforeAutospacing="0" w:after="0" w:afterAutospacing="0"/>
              <w:ind w:left="0" w:right="0"/>
              <w:jc w:val="center"/>
              <w:rPr>
                <w:rFonts w:ascii="宋体" w:hAnsi="宋体" w:eastAsia="宋体" w:cs="Times New Roman"/>
                <w:color w:val="auto"/>
              </w:rPr>
            </w:pPr>
          </w:p>
        </w:tc>
      </w:tr>
      <w:tr w14:paraId="5B8F6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23374CED">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603D7818">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09540B91">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4F557B57">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D5270AE">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5F3ABE02">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AEBF7CF">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BF23167">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573083B7">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EE9329C">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7AE5D1D">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9E68956">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r>
      <w:tr w14:paraId="14AC0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55382E56">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7B2162E7">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5D9F385C">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69261233">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BDF216E">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243A206B">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E756AF7">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49106DB">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741C1144">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32B0DA5">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A5A3CB5">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3DAABA2">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r>
      <w:tr w14:paraId="7F812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3CBBE6F3">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34A5D51D">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24B3916B">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3E2D3E66">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B13435A">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32831DDE">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485B2F0">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ED6D24A">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28F761F5">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9D8D833">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E50FF71">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DD12B95">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r>
      <w:tr w14:paraId="07094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54082E55">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2502D023">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77071E38">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27B09EFA">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BA5B7BC">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59E88107">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23737EF">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F2D06F9">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356B9083">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53E3EC7">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73623DC">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B7BDD75">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r>
      <w:tr w14:paraId="02990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523C942B">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5FAF1EB6">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1CEAE284">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28B2FB4D">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6374856">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0E3183A7">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B8E9004">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C1A238D">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2064EF8A">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45BDF07">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45BDF25">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486D5B4">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r>
      <w:tr w14:paraId="38BFD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6484C731">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6A07FC49">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79CCC58A">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474E0524">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C4FD6F7">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111F8D75">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5139FE2">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16636CB">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6F5D2860">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276F37C">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53D989B">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C121B59">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p>
        </w:tc>
      </w:tr>
      <w:tr w14:paraId="6EA8B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3149"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9659DA1">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r>
              <w:rPr>
                <w:rFonts w:hint="eastAsia" w:ascii="Calibri" w:hAnsi="Calibri" w:eastAsia="宋体" w:cs="Times New Roman"/>
                <w:color w:val="auto"/>
              </w:rPr>
              <w:t>最高投标限价</w:t>
            </w:r>
            <w:r>
              <w:rPr>
                <w:rFonts w:hint="eastAsia" w:ascii="宋体" w:hAnsi="宋体" w:eastAsia="宋体" w:cs="Times New Roman"/>
                <w:color w:val="auto"/>
              </w:rPr>
              <w:t>（元）</w:t>
            </w:r>
          </w:p>
        </w:tc>
        <w:tc>
          <w:tcPr>
            <w:tcW w:w="11054" w:type="dxa"/>
            <w:gridSpan w:val="10"/>
            <w:tcBorders>
              <w:top w:val="single" w:color="auto" w:sz="4" w:space="0"/>
              <w:left w:val="single" w:color="auto" w:sz="4" w:space="0"/>
              <w:bottom w:val="single" w:color="auto" w:sz="4" w:space="0"/>
              <w:right w:val="single" w:color="auto" w:sz="4" w:space="0"/>
            </w:tcBorders>
            <w:noWrap w:val="0"/>
            <w:vAlign w:val="top"/>
          </w:tcPr>
          <w:p w14:paraId="773EA3B1">
            <w:pPr>
              <w:keepNext w:val="0"/>
              <w:keepLines w:val="0"/>
              <w:suppressLineNumbers w:val="0"/>
              <w:spacing w:before="0" w:beforeAutospacing="0" w:after="0" w:afterAutospacing="0" w:line="400" w:lineRule="exact"/>
              <w:ind w:left="0" w:right="0"/>
              <w:rPr>
                <w:rFonts w:ascii="宋体" w:hAnsi="宋体" w:eastAsia="宋体" w:cs="Times New Roman"/>
                <w:color w:val="auto"/>
              </w:rPr>
            </w:pPr>
          </w:p>
        </w:tc>
      </w:tr>
      <w:tr w14:paraId="2035B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3149"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1588C25">
            <w:pPr>
              <w:keepNext w:val="0"/>
              <w:keepLines w:val="0"/>
              <w:suppressLineNumbers w:val="0"/>
              <w:spacing w:before="0" w:beforeAutospacing="0" w:after="0" w:afterAutospacing="0" w:line="400" w:lineRule="exact"/>
              <w:ind w:left="0" w:right="0"/>
              <w:jc w:val="center"/>
              <w:rPr>
                <w:rFonts w:ascii="宋体" w:hAnsi="宋体" w:eastAsia="宋体" w:cs="Times New Roman"/>
                <w:color w:val="auto"/>
              </w:rPr>
            </w:pPr>
            <w:r>
              <w:rPr>
                <w:rFonts w:hint="eastAsia" w:ascii="Calibri" w:hAnsi="Calibri" w:eastAsia="宋体" w:cs="Times New Roman"/>
                <w:color w:val="auto"/>
                <w:szCs w:val="21"/>
              </w:rPr>
              <w:t>开标过程需记录的其他事项</w:t>
            </w:r>
          </w:p>
        </w:tc>
        <w:tc>
          <w:tcPr>
            <w:tcW w:w="11054" w:type="dxa"/>
            <w:gridSpan w:val="10"/>
            <w:tcBorders>
              <w:top w:val="single" w:color="auto" w:sz="4" w:space="0"/>
              <w:left w:val="single" w:color="auto" w:sz="4" w:space="0"/>
              <w:bottom w:val="single" w:color="auto" w:sz="4" w:space="0"/>
              <w:right w:val="single" w:color="auto" w:sz="4" w:space="0"/>
            </w:tcBorders>
            <w:noWrap w:val="0"/>
            <w:vAlign w:val="top"/>
          </w:tcPr>
          <w:p w14:paraId="6D5959C4">
            <w:pPr>
              <w:keepNext w:val="0"/>
              <w:keepLines w:val="0"/>
              <w:suppressLineNumbers w:val="0"/>
              <w:spacing w:before="0" w:beforeAutospacing="0" w:after="0" w:afterAutospacing="0" w:line="400" w:lineRule="exact"/>
              <w:ind w:left="0" w:right="0"/>
              <w:rPr>
                <w:rFonts w:ascii="宋体" w:hAnsi="宋体" w:eastAsia="宋体" w:cs="Times New Roman"/>
                <w:color w:val="auto"/>
              </w:rPr>
            </w:pPr>
          </w:p>
          <w:p w14:paraId="769044F2">
            <w:pPr>
              <w:keepNext w:val="0"/>
              <w:keepLines w:val="0"/>
              <w:suppressLineNumbers w:val="0"/>
              <w:spacing w:before="0" w:beforeAutospacing="0" w:after="0" w:afterAutospacing="0" w:line="400" w:lineRule="exact"/>
              <w:ind w:left="0" w:right="0"/>
              <w:rPr>
                <w:rFonts w:ascii="宋体" w:hAnsi="宋体" w:eastAsia="宋体" w:cs="Times New Roman"/>
                <w:color w:val="auto"/>
              </w:rPr>
            </w:pPr>
          </w:p>
        </w:tc>
      </w:tr>
    </w:tbl>
    <w:p w14:paraId="4FFDB9F9">
      <w:pPr>
        <w:spacing w:line="400" w:lineRule="exact"/>
        <w:rPr>
          <w:rFonts w:hint="eastAsia" w:ascii="宋体" w:hAnsi="宋体"/>
          <w:color w:val="auto"/>
        </w:rPr>
      </w:pPr>
      <w:r>
        <w:rPr>
          <w:rFonts w:hint="eastAsia" w:ascii="宋体" w:hAnsi="宋体"/>
          <w:color w:val="auto"/>
        </w:rPr>
        <w:t xml:space="preserve">                                                     </w:t>
      </w:r>
    </w:p>
    <w:p w14:paraId="73FBBB3C">
      <w:pPr>
        <w:spacing w:line="400" w:lineRule="exact"/>
        <w:ind w:firstLine="5355" w:firstLineChars="2550"/>
        <w:rPr>
          <w:rFonts w:hint="eastAsia" w:ascii="宋体" w:hAnsi="宋体"/>
          <w:color w:val="auto"/>
          <w:u w:val="single"/>
        </w:rPr>
      </w:pPr>
      <w:r>
        <w:rPr>
          <w:rFonts w:hint="eastAsia"/>
          <w:color w:val="auto"/>
        </w:rPr>
        <w:t>主持人</w:t>
      </w:r>
      <w:r>
        <w:rPr>
          <w:rFonts w:hint="eastAsia" w:ascii="宋体" w:hAnsi="宋体"/>
          <w:color w:val="auto"/>
        </w:rPr>
        <w:t>：</w:t>
      </w:r>
      <w:r>
        <w:rPr>
          <w:rFonts w:hint="eastAsia" w:ascii="宋体" w:hAnsi="宋体"/>
          <w:color w:val="auto"/>
          <w:u w:val="single"/>
        </w:rPr>
        <w:t xml:space="preserve">                 </w:t>
      </w:r>
      <w:r>
        <w:rPr>
          <w:rFonts w:hint="eastAsia" w:ascii="宋体" w:hAnsi="宋体"/>
          <w:color w:val="auto"/>
        </w:rPr>
        <w:t>招标人代表：</w:t>
      </w:r>
      <w:r>
        <w:rPr>
          <w:rFonts w:hint="eastAsia" w:ascii="宋体" w:hAnsi="宋体"/>
          <w:color w:val="auto"/>
          <w:u w:val="single"/>
        </w:rPr>
        <w:t xml:space="preserve">                </w:t>
      </w:r>
      <w:r>
        <w:rPr>
          <w:rFonts w:hint="eastAsia" w:ascii="宋体" w:hAnsi="宋体"/>
          <w:color w:val="auto"/>
        </w:rPr>
        <w:t>监标人：</w:t>
      </w:r>
      <w:r>
        <w:rPr>
          <w:rFonts w:hint="eastAsia" w:ascii="宋体" w:hAnsi="宋体"/>
          <w:color w:val="auto"/>
          <w:u w:val="single"/>
        </w:rPr>
        <w:t xml:space="preserve">               </w:t>
      </w:r>
    </w:p>
    <w:p w14:paraId="6D95058D">
      <w:pPr>
        <w:pStyle w:val="93"/>
        <w:spacing w:before="63"/>
        <w:rPr>
          <w:rFonts w:hint="eastAsia"/>
          <w:color w:val="auto"/>
        </w:rPr>
        <w:sectPr>
          <w:footerReference r:id="rId6" w:type="default"/>
          <w:pgSz w:w="16838" w:h="11906" w:orient="landscape"/>
          <w:pgMar w:top="1803" w:right="1440" w:bottom="1803" w:left="1440" w:header="851" w:footer="992" w:gutter="0"/>
          <w:cols w:space="720" w:num="1"/>
          <w:docGrid w:type="lines" w:linePitch="319" w:charSpace="0"/>
        </w:sectPr>
      </w:pPr>
    </w:p>
    <w:p w14:paraId="2CF1CFF8">
      <w:pPr>
        <w:pStyle w:val="4"/>
        <w:spacing w:before="120"/>
        <w:rPr>
          <w:rFonts w:hint="eastAsia"/>
          <w:color w:val="auto"/>
          <w:sz w:val="24"/>
        </w:rPr>
      </w:pPr>
      <w:bookmarkStart w:id="780" w:name="_Toc21572"/>
      <w:bookmarkStart w:id="781" w:name="_Toc19449"/>
      <w:bookmarkStart w:id="782" w:name="_Toc154063451"/>
      <w:bookmarkStart w:id="783" w:name="_Toc22112"/>
      <w:bookmarkStart w:id="784" w:name="_Toc24036"/>
      <w:r>
        <w:rPr>
          <w:color w:val="auto"/>
          <w:sz w:val="24"/>
        </w:rPr>
        <w:t>附</w:t>
      </w:r>
      <w:r>
        <w:rPr>
          <w:rFonts w:hint="eastAsia"/>
          <w:color w:val="auto"/>
          <w:sz w:val="24"/>
        </w:rPr>
        <w:t>表六</w:t>
      </w:r>
      <w:r>
        <w:rPr>
          <w:color w:val="auto"/>
          <w:sz w:val="24"/>
        </w:rPr>
        <w:t>：</w:t>
      </w:r>
      <w:bookmarkEnd w:id="772"/>
      <w:r>
        <w:rPr>
          <w:rFonts w:hint="eastAsia"/>
          <w:color w:val="auto"/>
          <w:sz w:val="24"/>
        </w:rPr>
        <w:t>投标文件澄清通知</w:t>
      </w:r>
      <w:bookmarkEnd w:id="773"/>
      <w:bookmarkEnd w:id="774"/>
      <w:bookmarkEnd w:id="780"/>
      <w:bookmarkEnd w:id="781"/>
      <w:bookmarkEnd w:id="782"/>
      <w:bookmarkEnd w:id="783"/>
      <w:bookmarkEnd w:id="784"/>
    </w:p>
    <w:p w14:paraId="5DA43418">
      <w:pPr>
        <w:spacing w:line="440" w:lineRule="exact"/>
        <w:rPr>
          <w:rFonts w:hint="eastAsia"/>
          <w:color w:val="auto"/>
          <w:szCs w:val="21"/>
        </w:rPr>
      </w:pPr>
      <w:r>
        <w:rPr>
          <w:color w:val="auto"/>
          <w:szCs w:val="21"/>
        </w:rPr>
        <w:t xml:space="preserve">                              </w:t>
      </w:r>
    </w:p>
    <w:p w14:paraId="7216EF10">
      <w:pPr>
        <w:spacing w:before="240" w:beforeLines="100" w:after="240" w:afterLines="100" w:line="480" w:lineRule="exact"/>
        <w:jc w:val="center"/>
        <w:rPr>
          <w:rFonts w:hint="eastAsia" w:ascii="黑体" w:eastAsia="黑体"/>
          <w:color w:val="auto"/>
          <w:sz w:val="28"/>
          <w:szCs w:val="28"/>
        </w:rPr>
      </w:pPr>
      <w:r>
        <w:rPr>
          <w:rFonts w:hint="eastAsia" w:ascii="黑体" w:eastAsia="黑体"/>
          <w:color w:val="auto"/>
          <w:sz w:val="28"/>
          <w:szCs w:val="28"/>
        </w:rPr>
        <w:t>投标文件</w:t>
      </w:r>
      <w:r>
        <w:rPr>
          <w:rFonts w:eastAsia="黑体"/>
          <w:color w:val="auto"/>
          <w:sz w:val="28"/>
          <w:szCs w:val="28"/>
        </w:rPr>
        <w:t>问题</w:t>
      </w:r>
      <w:r>
        <w:rPr>
          <w:rFonts w:hint="eastAsia" w:ascii="黑体" w:eastAsia="黑体"/>
          <w:color w:val="auto"/>
          <w:sz w:val="28"/>
          <w:szCs w:val="28"/>
        </w:rPr>
        <w:t>澄清通知</w:t>
      </w:r>
    </w:p>
    <w:p w14:paraId="761FD13F">
      <w:pPr>
        <w:spacing w:line="440" w:lineRule="exact"/>
        <w:jc w:val="center"/>
        <w:rPr>
          <w:rFonts w:hint="eastAsia"/>
          <w:color w:val="auto"/>
          <w:szCs w:val="21"/>
          <w:u w:val="single"/>
        </w:rPr>
      </w:pPr>
      <w:r>
        <w:rPr>
          <w:rFonts w:hint="eastAsia"/>
          <w:color w:val="auto"/>
          <w:szCs w:val="21"/>
        </w:rPr>
        <w:t xml:space="preserve">                                            </w:t>
      </w:r>
      <w:r>
        <w:rPr>
          <w:color w:val="auto"/>
          <w:szCs w:val="21"/>
        </w:rPr>
        <w:t>编号：</w:t>
      </w:r>
      <w:r>
        <w:rPr>
          <w:rFonts w:hint="eastAsia"/>
          <w:color w:val="auto"/>
          <w:szCs w:val="21"/>
          <w:u w:val="single"/>
        </w:rPr>
        <w:t xml:space="preserve">                </w:t>
      </w:r>
    </w:p>
    <w:p w14:paraId="45148A2E">
      <w:pPr>
        <w:spacing w:line="440" w:lineRule="exact"/>
        <w:rPr>
          <w:color w:val="auto"/>
          <w:szCs w:val="21"/>
        </w:rPr>
      </w:pPr>
    </w:p>
    <w:p w14:paraId="68A737B6">
      <w:pPr>
        <w:spacing w:line="440" w:lineRule="exact"/>
        <w:rPr>
          <w:rFonts w:ascii="宋体" w:hAnsi="宋体"/>
          <w:color w:val="auto"/>
          <w:szCs w:val="21"/>
        </w:rPr>
      </w:pPr>
      <w:r>
        <w:rPr>
          <w:color w:val="auto"/>
          <w:szCs w:val="21"/>
        </w:rPr>
        <w:t xml:space="preserve"> </w:t>
      </w:r>
      <w:r>
        <w:rPr>
          <w:rFonts w:ascii="宋体" w:hAnsi="宋体"/>
          <w:color w:val="auto"/>
          <w:szCs w:val="21"/>
        </w:rPr>
        <w:t xml:space="preserve"> </w:t>
      </w:r>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投标人名称</w:t>
      </w:r>
      <w:r>
        <w:rPr>
          <w:rFonts w:ascii="宋体" w:hAnsi="宋体"/>
          <w:color w:val="auto"/>
          <w:szCs w:val="21"/>
        </w:rPr>
        <w:t>）：</w:t>
      </w:r>
    </w:p>
    <w:p w14:paraId="328B7C19">
      <w:pPr>
        <w:spacing w:line="440" w:lineRule="exact"/>
        <w:rPr>
          <w:rFonts w:ascii="宋体" w:hAnsi="宋体"/>
          <w:color w:val="auto"/>
          <w:szCs w:val="21"/>
        </w:rPr>
      </w:pPr>
    </w:p>
    <w:p w14:paraId="782DF380">
      <w:pPr>
        <w:spacing w:line="480" w:lineRule="exact"/>
        <w:ind w:firstLine="525" w:firstLineChars="250"/>
        <w:rPr>
          <w:rFonts w:hint="eastAsia"/>
          <w:color w:val="auto"/>
        </w:rPr>
      </w:pPr>
      <w:r>
        <w:rPr>
          <w:rFonts w:hint="eastAsia" w:ascii="宋体" w:hAnsi="宋体"/>
          <w:color w:val="auto"/>
          <w:u w:val="single"/>
        </w:rPr>
        <w:t xml:space="preserve">       </w:t>
      </w:r>
      <w:r>
        <w:rPr>
          <w:rFonts w:hint="eastAsia" w:ascii="宋体" w:hAnsi="宋体"/>
          <w:color w:val="auto"/>
        </w:rPr>
        <w:t>（项目名称）</w:t>
      </w:r>
      <w:r>
        <w:rPr>
          <w:rFonts w:hint="eastAsia" w:ascii="宋体" w:hAnsi="宋体"/>
          <w:color w:val="auto"/>
          <w:u w:val="single"/>
        </w:rPr>
        <w:t xml:space="preserve">    </w:t>
      </w:r>
      <w:r>
        <w:rPr>
          <w:rFonts w:hint="eastAsia" w:ascii="宋体" w:hAnsi="宋体"/>
          <w:color w:val="auto"/>
        </w:rPr>
        <w:t>（标段名称）工程总承包招标的</w:t>
      </w:r>
      <w:r>
        <w:rPr>
          <w:rFonts w:ascii="宋体" w:hAnsi="宋体"/>
          <w:color w:val="auto"/>
          <w:szCs w:val="21"/>
        </w:rPr>
        <w:t>评标委员会</w:t>
      </w:r>
      <w:r>
        <w:rPr>
          <w:rFonts w:hint="eastAsia" w:ascii="宋体" w:hAnsi="宋体"/>
          <w:color w:val="auto"/>
          <w:szCs w:val="21"/>
        </w:rPr>
        <w:t>，</w:t>
      </w:r>
      <w:r>
        <w:rPr>
          <w:rFonts w:hint="eastAsia"/>
          <w:color w:val="auto"/>
        </w:rPr>
        <w:t>对你方的投标文件进行了仔细的审查，现需你方对下列问题以书面形式予以澄清、说明或者补正，并将投标文件的澄清、说明或者补正于</w:t>
      </w:r>
      <w:r>
        <w:rPr>
          <w:rFonts w:hint="eastAsia"/>
          <w:color w:val="auto"/>
          <w:u w:val="single"/>
        </w:rPr>
        <w:t xml:space="preserve">     </w:t>
      </w:r>
      <w:r>
        <w:rPr>
          <w:rFonts w:hint="eastAsia"/>
          <w:color w:val="auto"/>
        </w:rPr>
        <w:t>年</w:t>
      </w:r>
      <w:r>
        <w:rPr>
          <w:rFonts w:hint="eastAsia"/>
          <w:color w:val="auto"/>
          <w:u w:val="single"/>
        </w:rPr>
        <w:t xml:space="preserve">   </w:t>
      </w:r>
      <w:r>
        <w:rPr>
          <w:rFonts w:hint="eastAsia"/>
          <w:color w:val="auto"/>
        </w:rPr>
        <w:t>月</w:t>
      </w:r>
      <w:r>
        <w:rPr>
          <w:rFonts w:hint="eastAsia"/>
          <w:color w:val="auto"/>
          <w:u w:val="single"/>
        </w:rPr>
        <w:t xml:space="preserve">   </w:t>
      </w:r>
      <w:r>
        <w:rPr>
          <w:rFonts w:hint="eastAsia"/>
          <w:color w:val="auto"/>
        </w:rPr>
        <w:t>日</w:t>
      </w:r>
      <w:r>
        <w:rPr>
          <w:rFonts w:hint="eastAsia"/>
          <w:color w:val="auto"/>
          <w:u w:val="single"/>
        </w:rPr>
        <w:t xml:space="preserve">  </w:t>
      </w:r>
      <w:r>
        <w:rPr>
          <w:rFonts w:hint="eastAsia"/>
          <w:color w:val="auto"/>
        </w:rPr>
        <w:t>时前，通过“电子交易平台”“投标文件澄清”菜单提交给本评标委员会。</w:t>
      </w:r>
    </w:p>
    <w:p w14:paraId="28723022">
      <w:pPr>
        <w:spacing w:line="440" w:lineRule="exact"/>
        <w:ind w:firstLine="420" w:firstLineChars="200"/>
        <w:rPr>
          <w:color w:val="auto"/>
        </w:rPr>
      </w:pPr>
      <w:r>
        <w:rPr>
          <w:color w:val="auto"/>
        </w:rPr>
        <w:t>1</w:t>
      </w:r>
      <w:r>
        <w:rPr>
          <w:rFonts w:hint="eastAsia"/>
          <w:color w:val="auto"/>
        </w:rPr>
        <w:t>、</w:t>
      </w:r>
      <w:r>
        <w:rPr>
          <w:color w:val="auto"/>
        </w:rPr>
        <w:t xml:space="preserve"> ......</w:t>
      </w:r>
    </w:p>
    <w:p w14:paraId="37175C82">
      <w:pPr>
        <w:spacing w:line="440" w:lineRule="exact"/>
        <w:rPr>
          <w:color w:val="auto"/>
        </w:rPr>
      </w:pPr>
      <w:r>
        <w:rPr>
          <w:color w:val="auto"/>
        </w:rPr>
        <w:t xml:space="preserve">    2</w:t>
      </w:r>
      <w:r>
        <w:rPr>
          <w:rFonts w:hint="eastAsia"/>
          <w:color w:val="auto"/>
        </w:rPr>
        <w:t>、</w:t>
      </w:r>
      <w:r>
        <w:rPr>
          <w:color w:val="auto"/>
        </w:rPr>
        <w:t xml:space="preserve"> ......</w:t>
      </w:r>
    </w:p>
    <w:p w14:paraId="319BD6BD">
      <w:pPr>
        <w:spacing w:line="440" w:lineRule="exact"/>
        <w:rPr>
          <w:color w:val="auto"/>
        </w:rPr>
      </w:pPr>
      <w:r>
        <w:rPr>
          <w:color w:val="auto"/>
        </w:rPr>
        <w:t xml:space="preserve">     ......   </w:t>
      </w:r>
    </w:p>
    <w:p w14:paraId="35E4F914">
      <w:pPr>
        <w:spacing w:line="440" w:lineRule="exact"/>
        <w:rPr>
          <w:rFonts w:ascii="宋体" w:hAnsi="宋体"/>
          <w:color w:val="auto"/>
          <w:szCs w:val="21"/>
        </w:rPr>
      </w:pPr>
    </w:p>
    <w:p w14:paraId="10539122">
      <w:pPr>
        <w:spacing w:line="440" w:lineRule="exact"/>
        <w:rPr>
          <w:rFonts w:hint="eastAsia" w:ascii="宋体" w:hAnsi="宋体"/>
          <w:color w:val="auto"/>
          <w:szCs w:val="21"/>
        </w:rPr>
      </w:pPr>
    </w:p>
    <w:p w14:paraId="17168AB6">
      <w:pPr>
        <w:spacing w:line="440" w:lineRule="exact"/>
        <w:rPr>
          <w:rFonts w:hint="eastAsia" w:ascii="宋体" w:hAnsi="宋体"/>
          <w:color w:val="auto"/>
          <w:szCs w:val="21"/>
        </w:rPr>
      </w:pPr>
    </w:p>
    <w:p w14:paraId="7383583C">
      <w:pPr>
        <w:spacing w:line="440" w:lineRule="exact"/>
        <w:rPr>
          <w:rFonts w:hint="eastAsia" w:ascii="宋体" w:hAnsi="宋体"/>
          <w:color w:val="auto"/>
          <w:szCs w:val="21"/>
        </w:rPr>
      </w:pPr>
    </w:p>
    <w:p w14:paraId="1A9C0C32">
      <w:pPr>
        <w:spacing w:line="440" w:lineRule="exact"/>
        <w:rPr>
          <w:rFonts w:hint="eastAsia" w:ascii="宋体" w:hAnsi="宋体"/>
          <w:color w:val="auto"/>
          <w:szCs w:val="21"/>
        </w:rPr>
      </w:pPr>
    </w:p>
    <w:p w14:paraId="5F7A2DEB">
      <w:pPr>
        <w:spacing w:line="440" w:lineRule="exact"/>
        <w:rPr>
          <w:rFonts w:hint="eastAsia" w:ascii="宋体" w:hAnsi="宋体"/>
          <w:color w:val="auto"/>
          <w:szCs w:val="21"/>
        </w:rPr>
      </w:pPr>
      <w:r>
        <w:rPr>
          <w:rFonts w:hint="eastAsia" w:ascii="宋体" w:hAnsi="宋体"/>
          <w:color w:val="auto"/>
          <w:szCs w:val="21"/>
        </w:rPr>
        <w:t xml:space="preserve">                    </w:t>
      </w:r>
      <w:r>
        <w:rPr>
          <w:rFonts w:hint="eastAsia" w:ascii="宋体" w:hAnsi="宋体"/>
          <w:color w:val="auto"/>
          <w:u w:val="single"/>
        </w:rPr>
        <w:t xml:space="preserve">       </w:t>
      </w:r>
      <w:r>
        <w:rPr>
          <w:rFonts w:hint="eastAsia" w:ascii="宋体" w:hAnsi="宋体"/>
          <w:color w:val="auto"/>
        </w:rPr>
        <w:t>（项目名称）</w:t>
      </w:r>
      <w:r>
        <w:rPr>
          <w:rFonts w:hint="eastAsia" w:ascii="宋体" w:hAnsi="宋体"/>
          <w:color w:val="auto"/>
          <w:u w:val="single"/>
        </w:rPr>
        <w:t xml:space="preserve">    </w:t>
      </w:r>
      <w:r>
        <w:rPr>
          <w:rFonts w:hint="eastAsia" w:ascii="宋体" w:hAnsi="宋体"/>
          <w:color w:val="auto"/>
        </w:rPr>
        <w:t>（标段名称）工程总承包招标</w:t>
      </w:r>
      <w:r>
        <w:rPr>
          <w:rFonts w:ascii="宋体" w:hAnsi="宋体"/>
          <w:color w:val="auto"/>
          <w:szCs w:val="21"/>
        </w:rPr>
        <w:t>评标委员会</w:t>
      </w:r>
    </w:p>
    <w:p w14:paraId="34780001">
      <w:pPr>
        <w:spacing w:line="480" w:lineRule="exact"/>
        <w:ind w:firstLine="2940" w:firstLineChars="1400"/>
        <w:rPr>
          <w:rFonts w:hint="eastAsia" w:ascii="宋体" w:hAnsi="宋体"/>
          <w:color w:val="auto"/>
          <w:szCs w:val="21"/>
        </w:rPr>
      </w:pPr>
      <w:r>
        <w:rPr>
          <w:color w:val="auto"/>
          <w:szCs w:val="21"/>
        </w:rPr>
        <w:t>评标</w:t>
      </w:r>
      <w:r>
        <w:rPr>
          <w:rFonts w:hint="eastAsia"/>
          <w:color w:val="auto"/>
          <w:szCs w:val="21"/>
        </w:rPr>
        <w:t>委员会授权的代表</w:t>
      </w:r>
      <w:r>
        <w:rPr>
          <w:color w:val="auto"/>
          <w:szCs w:val="21"/>
        </w:rPr>
        <w:t>：</w:t>
      </w:r>
      <w:r>
        <w:rPr>
          <w:color w:val="auto"/>
          <w:szCs w:val="21"/>
          <w:u w:val="single"/>
        </w:rPr>
        <w:t xml:space="preserve">           </w:t>
      </w:r>
      <w:r>
        <w:rPr>
          <w:color w:val="auto"/>
          <w:szCs w:val="21"/>
        </w:rPr>
        <w:t>（签字</w:t>
      </w:r>
      <w:r>
        <w:rPr>
          <w:rFonts w:hint="eastAsia"/>
          <w:color w:val="auto"/>
          <w:szCs w:val="21"/>
        </w:rPr>
        <w:t>或盖章</w:t>
      </w:r>
      <w:r>
        <w:rPr>
          <w:color w:val="auto"/>
          <w:szCs w:val="21"/>
        </w:rPr>
        <w:t>）</w:t>
      </w:r>
    </w:p>
    <w:p w14:paraId="058BFCCF">
      <w:pPr>
        <w:spacing w:line="440" w:lineRule="exact"/>
        <w:jc w:val="right"/>
        <w:rPr>
          <w:rFonts w:hint="eastAsia" w:ascii="宋体" w:hAnsi="宋体"/>
          <w:color w:val="auto"/>
          <w:szCs w:val="21"/>
        </w:rPr>
      </w:pPr>
    </w:p>
    <w:p w14:paraId="756C7C7D">
      <w:pPr>
        <w:spacing w:line="440" w:lineRule="exact"/>
        <w:jc w:val="right"/>
        <w:rPr>
          <w:rFonts w:ascii="宋体" w:hAnsi="宋体"/>
          <w:color w:val="auto"/>
          <w:szCs w:val="21"/>
        </w:rPr>
      </w:pPr>
      <w:r>
        <w:rPr>
          <w:rFonts w:ascii="宋体" w:hAnsi="宋体"/>
          <w:color w:val="auto"/>
          <w:szCs w:val="21"/>
        </w:rPr>
        <w:t xml:space="preserve">                                 </w:t>
      </w:r>
      <w:r>
        <w:rPr>
          <w:rFonts w:ascii="宋体" w:hAnsi="宋体"/>
          <w:color w:val="auto"/>
          <w:szCs w:val="21"/>
          <w:u w:val="single"/>
        </w:rPr>
        <w:t xml:space="preserve">        </w:t>
      </w:r>
      <w:r>
        <w:rPr>
          <w:rFonts w:ascii="宋体" w:hAnsi="宋体"/>
          <w:color w:val="auto"/>
          <w:szCs w:val="21"/>
        </w:rPr>
        <w:t xml:space="preserve"> 年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 xml:space="preserve">月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日</w:t>
      </w:r>
    </w:p>
    <w:p w14:paraId="40E9BCCD">
      <w:pPr>
        <w:spacing w:line="400" w:lineRule="exact"/>
        <w:jc w:val="right"/>
        <w:rPr>
          <w:rFonts w:hint="eastAsia"/>
          <w:color w:val="auto"/>
        </w:rPr>
      </w:pPr>
    </w:p>
    <w:p w14:paraId="7DFC0D5F">
      <w:pPr>
        <w:spacing w:line="400" w:lineRule="exact"/>
        <w:jc w:val="left"/>
        <w:rPr>
          <w:color w:val="auto"/>
          <w:szCs w:val="21"/>
        </w:rPr>
      </w:pPr>
      <w:r>
        <w:rPr>
          <w:rFonts w:hint="eastAsia"/>
          <w:color w:val="auto"/>
          <w:szCs w:val="21"/>
        </w:rPr>
        <w:t>备注：评标委员会要求投标人澄清投标文件有关问题时，适用于本格式。</w:t>
      </w:r>
    </w:p>
    <w:p w14:paraId="425C0CB7">
      <w:pPr>
        <w:spacing w:line="400" w:lineRule="exact"/>
        <w:jc w:val="left"/>
        <w:rPr>
          <w:rFonts w:hint="eastAsia"/>
          <w:color w:val="auto"/>
        </w:rPr>
      </w:pPr>
    </w:p>
    <w:p w14:paraId="4DEC5657">
      <w:pPr>
        <w:spacing w:line="400" w:lineRule="exact"/>
        <w:jc w:val="left"/>
        <w:rPr>
          <w:rFonts w:hint="eastAsia"/>
          <w:color w:val="auto"/>
        </w:rPr>
      </w:pPr>
    </w:p>
    <w:p w14:paraId="312C832F">
      <w:pPr>
        <w:spacing w:line="400" w:lineRule="exact"/>
        <w:jc w:val="left"/>
        <w:rPr>
          <w:rFonts w:hint="eastAsia"/>
          <w:color w:val="auto"/>
        </w:rPr>
      </w:pPr>
    </w:p>
    <w:p w14:paraId="17F5FC38">
      <w:pPr>
        <w:spacing w:line="400" w:lineRule="exact"/>
        <w:jc w:val="left"/>
        <w:rPr>
          <w:rFonts w:hint="eastAsia"/>
          <w:color w:val="auto"/>
        </w:rPr>
      </w:pPr>
    </w:p>
    <w:p w14:paraId="5D9C585E">
      <w:pPr>
        <w:spacing w:line="400" w:lineRule="exact"/>
        <w:jc w:val="left"/>
        <w:rPr>
          <w:rFonts w:hint="eastAsia"/>
          <w:color w:val="auto"/>
        </w:rPr>
      </w:pPr>
    </w:p>
    <w:p w14:paraId="3CF4D760">
      <w:pPr>
        <w:pStyle w:val="4"/>
        <w:spacing w:before="120"/>
        <w:rPr>
          <w:rFonts w:hint="eastAsia"/>
          <w:color w:val="auto"/>
          <w:sz w:val="24"/>
        </w:rPr>
      </w:pPr>
      <w:bookmarkStart w:id="785" w:name="_Toc387753579"/>
      <w:bookmarkStart w:id="786" w:name="_Toc20079"/>
      <w:bookmarkStart w:id="787" w:name="_Toc456173262"/>
      <w:bookmarkStart w:id="788" w:name="_Toc15332"/>
      <w:bookmarkStart w:id="789" w:name="_Toc519085340"/>
      <w:bookmarkStart w:id="790" w:name="_Toc15840"/>
      <w:bookmarkStart w:id="791" w:name="_Toc867"/>
      <w:bookmarkStart w:id="792" w:name="_Toc154063452"/>
      <w:r>
        <w:rPr>
          <w:rFonts w:hint="eastAsia"/>
          <w:color w:val="auto"/>
          <w:sz w:val="24"/>
        </w:rPr>
        <w:t>附表七：</w:t>
      </w:r>
      <w:bookmarkEnd w:id="785"/>
      <w:r>
        <w:rPr>
          <w:rFonts w:hint="eastAsia"/>
          <w:color w:val="auto"/>
          <w:sz w:val="24"/>
        </w:rPr>
        <w:t>投标文件问题的澄清</w:t>
      </w:r>
      <w:bookmarkEnd w:id="786"/>
      <w:bookmarkEnd w:id="787"/>
      <w:bookmarkEnd w:id="788"/>
      <w:bookmarkEnd w:id="789"/>
      <w:bookmarkEnd w:id="790"/>
      <w:bookmarkEnd w:id="791"/>
      <w:bookmarkEnd w:id="792"/>
    </w:p>
    <w:p w14:paraId="0B180314">
      <w:pPr>
        <w:spacing w:line="400" w:lineRule="exact"/>
        <w:jc w:val="center"/>
        <w:rPr>
          <w:rFonts w:hint="eastAsia" w:ascii="黑体" w:eastAsia="黑体"/>
          <w:color w:val="auto"/>
          <w:sz w:val="24"/>
        </w:rPr>
      </w:pPr>
    </w:p>
    <w:p w14:paraId="6A503794">
      <w:pPr>
        <w:spacing w:before="240" w:beforeLines="100" w:after="240" w:afterLines="100" w:line="480" w:lineRule="exact"/>
        <w:jc w:val="center"/>
        <w:rPr>
          <w:rFonts w:hint="eastAsia" w:ascii="黑体" w:eastAsia="黑体"/>
          <w:color w:val="auto"/>
          <w:sz w:val="28"/>
          <w:szCs w:val="28"/>
        </w:rPr>
      </w:pPr>
      <w:r>
        <w:rPr>
          <w:rFonts w:hint="eastAsia" w:ascii="黑体" w:eastAsia="黑体"/>
          <w:color w:val="auto"/>
          <w:sz w:val="28"/>
          <w:szCs w:val="28"/>
        </w:rPr>
        <w:t>投标文件问题的澄清</w:t>
      </w:r>
    </w:p>
    <w:p w14:paraId="14F0F000">
      <w:pPr>
        <w:spacing w:line="400" w:lineRule="exact"/>
        <w:ind w:firstLine="6930" w:firstLineChars="3300"/>
        <w:rPr>
          <w:rFonts w:hint="eastAsia"/>
          <w:color w:val="auto"/>
        </w:rPr>
      </w:pPr>
      <w:r>
        <w:rPr>
          <w:rFonts w:hint="eastAsia"/>
          <w:color w:val="auto"/>
        </w:rPr>
        <w:t>编号：</w:t>
      </w:r>
      <w:r>
        <w:rPr>
          <w:rFonts w:hint="eastAsia"/>
          <w:color w:val="auto"/>
          <w:u w:val="single"/>
        </w:rPr>
        <w:t xml:space="preserve">                </w:t>
      </w:r>
      <w:r>
        <w:rPr>
          <w:rFonts w:hint="eastAsia"/>
          <w:color w:val="auto"/>
        </w:rPr>
        <w:t xml:space="preserve"> </w:t>
      </w:r>
    </w:p>
    <w:p w14:paraId="5620BDD3">
      <w:pPr>
        <w:spacing w:line="400" w:lineRule="exact"/>
        <w:rPr>
          <w:color w:val="auto"/>
          <w:szCs w:val="21"/>
        </w:rPr>
      </w:pPr>
    </w:p>
    <w:p w14:paraId="4DC6BB6D">
      <w:pPr>
        <w:spacing w:line="560" w:lineRule="exact"/>
        <w:rPr>
          <w:rFonts w:ascii="宋体" w:hAnsi="宋体"/>
          <w:color w:val="auto"/>
          <w:szCs w:val="21"/>
        </w:rPr>
      </w:pPr>
      <w:r>
        <w:rPr>
          <w:rFonts w:hint="eastAsia" w:ascii="宋体" w:hAnsi="宋体"/>
          <w:color w:val="auto"/>
          <w:u w:val="single"/>
        </w:rPr>
        <w:t xml:space="preserve">       </w:t>
      </w:r>
      <w:r>
        <w:rPr>
          <w:rFonts w:hint="eastAsia" w:ascii="宋体" w:hAnsi="宋体"/>
          <w:color w:val="auto"/>
        </w:rPr>
        <w:t>（项目名称）</w:t>
      </w:r>
      <w:r>
        <w:rPr>
          <w:rFonts w:hint="eastAsia" w:ascii="宋体" w:hAnsi="宋体"/>
          <w:color w:val="auto"/>
          <w:u w:val="single"/>
        </w:rPr>
        <w:t xml:space="preserve">    </w:t>
      </w:r>
      <w:r>
        <w:rPr>
          <w:rFonts w:hint="eastAsia" w:ascii="宋体" w:hAnsi="宋体"/>
          <w:color w:val="auto"/>
        </w:rPr>
        <w:t>（标段名称）工程总承包招标</w:t>
      </w:r>
      <w:r>
        <w:rPr>
          <w:rFonts w:ascii="宋体" w:hAnsi="宋体"/>
          <w:color w:val="auto"/>
          <w:szCs w:val="21"/>
        </w:rPr>
        <w:t>评标委员会：</w:t>
      </w:r>
    </w:p>
    <w:p w14:paraId="5698C91D">
      <w:pPr>
        <w:spacing w:line="560" w:lineRule="exact"/>
        <w:rPr>
          <w:rFonts w:ascii="宋体" w:hAnsi="宋体"/>
          <w:color w:val="auto"/>
          <w:szCs w:val="21"/>
        </w:rPr>
      </w:pPr>
    </w:p>
    <w:p w14:paraId="7893DDE7">
      <w:pPr>
        <w:spacing w:line="560" w:lineRule="exact"/>
        <w:rPr>
          <w:rFonts w:ascii="宋体" w:hAnsi="宋体"/>
          <w:color w:val="auto"/>
          <w:szCs w:val="21"/>
        </w:rPr>
      </w:pPr>
      <w:r>
        <w:rPr>
          <w:rFonts w:ascii="宋体" w:hAnsi="宋体"/>
          <w:color w:val="auto"/>
          <w:szCs w:val="21"/>
        </w:rPr>
        <w:t>　　</w:t>
      </w:r>
      <w:r>
        <w:rPr>
          <w:rFonts w:hint="eastAsia" w:ascii="宋体" w:hAnsi="宋体"/>
          <w:color w:val="auto"/>
          <w:szCs w:val="21"/>
        </w:rPr>
        <w:t>投标文件问题澄清</w:t>
      </w:r>
      <w:r>
        <w:rPr>
          <w:rFonts w:ascii="宋体" w:hAnsi="宋体"/>
          <w:color w:val="auto"/>
          <w:szCs w:val="21"/>
        </w:rPr>
        <w:t>通知（编号：</w:t>
      </w:r>
      <w:r>
        <w:rPr>
          <w:rFonts w:ascii="宋体" w:hAnsi="宋体"/>
          <w:color w:val="auto"/>
          <w:szCs w:val="21"/>
          <w:u w:val="single"/>
        </w:rPr>
        <w:t xml:space="preserve">        </w:t>
      </w:r>
      <w:r>
        <w:rPr>
          <w:rFonts w:ascii="宋体" w:hAnsi="宋体"/>
          <w:color w:val="auto"/>
          <w:szCs w:val="21"/>
        </w:rPr>
        <w:t>）已收悉，现</w:t>
      </w:r>
      <w:r>
        <w:rPr>
          <w:color w:val="auto"/>
          <w:szCs w:val="21"/>
        </w:rPr>
        <w:t>澄清</w:t>
      </w:r>
      <w:r>
        <w:rPr>
          <w:rFonts w:hint="eastAsia"/>
          <w:color w:val="auto"/>
        </w:rPr>
        <w:t>、说明或者补正</w:t>
      </w:r>
      <w:r>
        <w:rPr>
          <w:color w:val="auto"/>
          <w:szCs w:val="21"/>
        </w:rPr>
        <w:t>如下</w:t>
      </w:r>
      <w:r>
        <w:rPr>
          <w:rFonts w:ascii="宋体" w:hAnsi="宋体"/>
          <w:color w:val="auto"/>
          <w:szCs w:val="21"/>
        </w:rPr>
        <w:t>：</w:t>
      </w:r>
    </w:p>
    <w:p w14:paraId="35926C47">
      <w:pPr>
        <w:spacing w:line="360" w:lineRule="auto"/>
        <w:rPr>
          <w:color w:val="auto"/>
          <w:szCs w:val="21"/>
        </w:rPr>
      </w:pPr>
      <w:r>
        <w:rPr>
          <w:color w:val="auto"/>
          <w:szCs w:val="21"/>
        </w:rPr>
        <w:t>　    1.</w:t>
      </w:r>
    </w:p>
    <w:p w14:paraId="13EDD5D4">
      <w:pPr>
        <w:spacing w:line="360" w:lineRule="auto"/>
        <w:rPr>
          <w:rFonts w:hint="eastAsia"/>
          <w:color w:val="auto"/>
          <w:szCs w:val="21"/>
        </w:rPr>
      </w:pPr>
      <w:r>
        <w:rPr>
          <w:color w:val="auto"/>
          <w:szCs w:val="21"/>
        </w:rPr>
        <w:t>　    2.</w:t>
      </w:r>
    </w:p>
    <w:p w14:paraId="62A8A973">
      <w:pPr>
        <w:spacing w:line="360" w:lineRule="auto"/>
        <w:rPr>
          <w:color w:val="auto"/>
          <w:szCs w:val="21"/>
        </w:rPr>
      </w:pPr>
      <w:r>
        <w:rPr>
          <w:color w:val="auto"/>
          <w:szCs w:val="21"/>
        </w:rPr>
        <w:t>　    .....</w:t>
      </w:r>
    </w:p>
    <w:p w14:paraId="6A726039">
      <w:pPr>
        <w:spacing w:line="360" w:lineRule="auto"/>
        <w:rPr>
          <w:rFonts w:hint="eastAsia"/>
          <w:color w:val="auto"/>
          <w:szCs w:val="21"/>
        </w:rPr>
      </w:pPr>
    </w:p>
    <w:p w14:paraId="23CAE0FC">
      <w:pPr>
        <w:spacing w:line="360" w:lineRule="auto"/>
        <w:ind w:firstLine="420" w:firstLineChars="200"/>
        <w:rPr>
          <w:rFonts w:hint="eastAsia"/>
          <w:color w:val="auto"/>
          <w:szCs w:val="21"/>
        </w:rPr>
      </w:pPr>
      <w:r>
        <w:rPr>
          <w:rFonts w:hint="eastAsia"/>
          <w:color w:val="auto"/>
          <w:szCs w:val="21"/>
        </w:rPr>
        <w:t>附件（如有）：</w:t>
      </w:r>
    </w:p>
    <w:p w14:paraId="04FD6E57">
      <w:pPr>
        <w:spacing w:line="360" w:lineRule="auto"/>
        <w:ind w:firstLine="735" w:firstLineChars="350"/>
        <w:rPr>
          <w:color w:val="auto"/>
          <w:szCs w:val="21"/>
        </w:rPr>
      </w:pPr>
      <w:r>
        <w:rPr>
          <w:color w:val="auto"/>
          <w:szCs w:val="21"/>
        </w:rPr>
        <w:t>1.</w:t>
      </w:r>
    </w:p>
    <w:p w14:paraId="5C1CD3B3">
      <w:pPr>
        <w:spacing w:line="360" w:lineRule="auto"/>
        <w:rPr>
          <w:color w:val="auto"/>
          <w:szCs w:val="21"/>
        </w:rPr>
      </w:pPr>
      <w:r>
        <w:rPr>
          <w:color w:val="auto"/>
          <w:szCs w:val="21"/>
        </w:rPr>
        <w:t>　     2.</w:t>
      </w:r>
    </w:p>
    <w:p w14:paraId="16AE17B1">
      <w:pPr>
        <w:spacing w:line="360" w:lineRule="auto"/>
        <w:ind w:firstLine="735" w:firstLineChars="350"/>
        <w:rPr>
          <w:color w:val="auto"/>
          <w:szCs w:val="21"/>
        </w:rPr>
      </w:pPr>
      <w:r>
        <w:rPr>
          <w:color w:val="auto"/>
          <w:szCs w:val="21"/>
        </w:rPr>
        <w:t>.....</w:t>
      </w:r>
    </w:p>
    <w:p w14:paraId="0CD95DFF">
      <w:pPr>
        <w:spacing w:line="560" w:lineRule="exact"/>
        <w:rPr>
          <w:rFonts w:hint="eastAsia"/>
          <w:color w:val="auto"/>
          <w:szCs w:val="21"/>
        </w:rPr>
      </w:pPr>
      <w:r>
        <w:rPr>
          <w:color w:val="auto"/>
          <w:szCs w:val="21"/>
        </w:rPr>
        <w:t xml:space="preserve">                       </w:t>
      </w:r>
    </w:p>
    <w:p w14:paraId="062679AA">
      <w:pPr>
        <w:spacing w:line="440" w:lineRule="exact"/>
        <w:rPr>
          <w:color w:val="auto"/>
          <w:szCs w:val="21"/>
        </w:rPr>
      </w:pPr>
    </w:p>
    <w:p w14:paraId="5D3545CE">
      <w:pPr>
        <w:spacing w:line="440" w:lineRule="exact"/>
        <w:rPr>
          <w:color w:val="auto"/>
          <w:szCs w:val="21"/>
        </w:rPr>
      </w:pPr>
    </w:p>
    <w:p w14:paraId="3E71C559">
      <w:pPr>
        <w:spacing w:line="440" w:lineRule="exact"/>
        <w:rPr>
          <w:color w:val="auto"/>
          <w:szCs w:val="21"/>
        </w:rPr>
      </w:pPr>
      <w:r>
        <w:rPr>
          <w:color w:val="auto"/>
          <w:szCs w:val="21"/>
        </w:rPr>
        <w:t>　　</w:t>
      </w:r>
      <w:r>
        <w:rPr>
          <w:rFonts w:hint="eastAsia"/>
          <w:color w:val="auto"/>
          <w:szCs w:val="21"/>
        </w:rPr>
        <w:t xml:space="preserve">                                        </w:t>
      </w:r>
      <w:r>
        <w:rPr>
          <w:color w:val="auto"/>
          <w:szCs w:val="21"/>
        </w:rPr>
        <w:t>投标人：</w:t>
      </w:r>
      <w:r>
        <w:rPr>
          <w:color w:val="auto"/>
          <w:szCs w:val="21"/>
          <w:u w:val="single"/>
        </w:rPr>
        <w:t xml:space="preserve">     </w:t>
      </w:r>
      <w:r>
        <w:rPr>
          <w:rFonts w:hint="eastAsia"/>
          <w:color w:val="auto"/>
          <w:szCs w:val="21"/>
          <w:u w:val="single"/>
        </w:rPr>
        <w:t xml:space="preserve">      </w:t>
      </w:r>
      <w:r>
        <w:rPr>
          <w:color w:val="auto"/>
          <w:szCs w:val="21"/>
          <w:u w:val="single"/>
        </w:rPr>
        <w:t xml:space="preserve">       </w:t>
      </w:r>
      <w:r>
        <w:rPr>
          <w:color w:val="auto"/>
          <w:szCs w:val="21"/>
        </w:rPr>
        <w:t>（盖单位章）</w:t>
      </w:r>
    </w:p>
    <w:p w14:paraId="47E46442">
      <w:pPr>
        <w:spacing w:line="440" w:lineRule="exact"/>
        <w:rPr>
          <w:color w:val="auto"/>
          <w:szCs w:val="21"/>
        </w:rPr>
      </w:pPr>
      <w:r>
        <w:rPr>
          <w:color w:val="auto"/>
          <w:szCs w:val="21"/>
        </w:rPr>
        <w:t>　　　　　　　　　　　　　　　　　　　</w:t>
      </w:r>
      <w:r>
        <w:rPr>
          <w:rFonts w:hint="eastAsia"/>
          <w:color w:val="auto"/>
          <w:szCs w:val="21"/>
        </w:rPr>
        <w:t xml:space="preserve">      </w:t>
      </w:r>
      <w:r>
        <w:rPr>
          <w:color w:val="auto"/>
          <w:szCs w:val="21"/>
        </w:rPr>
        <w:t>法定代表人：</w:t>
      </w:r>
      <w:r>
        <w:rPr>
          <w:color w:val="auto"/>
          <w:szCs w:val="21"/>
          <w:u w:val="single"/>
        </w:rPr>
        <w:t xml:space="preserve">     </w:t>
      </w:r>
      <w:r>
        <w:rPr>
          <w:rFonts w:hint="eastAsia"/>
          <w:color w:val="auto"/>
          <w:szCs w:val="21"/>
          <w:u w:val="single"/>
        </w:rPr>
        <w:t xml:space="preserve">      </w:t>
      </w:r>
      <w:r>
        <w:rPr>
          <w:color w:val="auto"/>
          <w:szCs w:val="21"/>
          <w:u w:val="single"/>
        </w:rPr>
        <w:t xml:space="preserve">     </w:t>
      </w:r>
      <w:r>
        <w:rPr>
          <w:color w:val="auto"/>
          <w:szCs w:val="21"/>
        </w:rPr>
        <w:t>（签字）</w:t>
      </w:r>
    </w:p>
    <w:p w14:paraId="5BCFF86F">
      <w:pPr>
        <w:spacing w:line="440" w:lineRule="exact"/>
        <w:jc w:val="right"/>
        <w:rPr>
          <w:color w:val="auto"/>
          <w:szCs w:val="21"/>
        </w:rPr>
      </w:pPr>
      <w:r>
        <w:rPr>
          <w:color w:val="auto"/>
          <w:szCs w:val="21"/>
        </w:rPr>
        <w:t>　　　　　　　　　　　　　　　</w:t>
      </w:r>
    </w:p>
    <w:p w14:paraId="4A3193F6">
      <w:pPr>
        <w:spacing w:line="440" w:lineRule="exact"/>
        <w:jc w:val="right"/>
        <w:rPr>
          <w:color w:val="auto"/>
          <w:szCs w:val="21"/>
        </w:rPr>
      </w:pPr>
      <w:r>
        <w:rPr>
          <w:color w:val="auto"/>
          <w:szCs w:val="21"/>
        </w:rPr>
        <w:t xml:space="preserve">　　　　　　　　　　　　　　　        </w:t>
      </w:r>
      <w:r>
        <w:rPr>
          <w:color w:val="auto"/>
          <w:szCs w:val="21"/>
          <w:u w:val="single"/>
        </w:rPr>
        <w:t xml:space="preserve">         </w:t>
      </w:r>
      <w:r>
        <w:rPr>
          <w:color w:val="auto"/>
          <w:szCs w:val="21"/>
        </w:rPr>
        <w:t>年</w:t>
      </w:r>
      <w:r>
        <w:rPr>
          <w:color w:val="auto"/>
          <w:szCs w:val="21"/>
          <w:u w:val="single"/>
        </w:rPr>
        <w:t xml:space="preserve">      </w:t>
      </w:r>
      <w:r>
        <w:rPr>
          <w:color w:val="auto"/>
          <w:szCs w:val="21"/>
        </w:rPr>
        <w:t>月</w:t>
      </w:r>
      <w:r>
        <w:rPr>
          <w:color w:val="auto"/>
          <w:szCs w:val="21"/>
          <w:u w:val="single"/>
        </w:rPr>
        <w:t xml:space="preserve">      </w:t>
      </w:r>
      <w:r>
        <w:rPr>
          <w:color w:val="auto"/>
          <w:szCs w:val="21"/>
        </w:rPr>
        <w:t>日</w:t>
      </w:r>
    </w:p>
    <w:p w14:paraId="7761B121">
      <w:pPr>
        <w:spacing w:line="400" w:lineRule="exact"/>
        <w:rPr>
          <w:rFonts w:hint="eastAsia"/>
          <w:color w:val="auto"/>
        </w:rPr>
      </w:pPr>
    </w:p>
    <w:p w14:paraId="245F7648">
      <w:pPr>
        <w:spacing w:line="400" w:lineRule="exact"/>
        <w:rPr>
          <w:rFonts w:hint="eastAsia"/>
          <w:color w:val="auto"/>
          <w:szCs w:val="21"/>
        </w:rPr>
      </w:pPr>
      <w:r>
        <w:rPr>
          <w:rFonts w:hint="eastAsia"/>
          <w:color w:val="auto"/>
          <w:szCs w:val="21"/>
        </w:rPr>
        <w:t>备注：投标人应评标委员会要求对投标文件有关问题澄清时，适用本格式。</w:t>
      </w:r>
    </w:p>
    <w:p w14:paraId="248B1277">
      <w:pPr>
        <w:spacing w:line="400" w:lineRule="exact"/>
        <w:rPr>
          <w:rFonts w:hint="eastAsia"/>
          <w:color w:val="auto"/>
          <w:szCs w:val="21"/>
        </w:rPr>
      </w:pPr>
    </w:p>
    <w:p w14:paraId="38706A38">
      <w:pPr>
        <w:spacing w:line="400" w:lineRule="exact"/>
        <w:rPr>
          <w:rFonts w:hint="eastAsia"/>
          <w:color w:val="auto"/>
          <w:szCs w:val="21"/>
        </w:rPr>
      </w:pPr>
    </w:p>
    <w:p w14:paraId="5F67B3F3">
      <w:pPr>
        <w:spacing w:line="400" w:lineRule="exact"/>
        <w:rPr>
          <w:rFonts w:hint="eastAsia"/>
          <w:color w:val="auto"/>
          <w:szCs w:val="21"/>
        </w:rPr>
      </w:pPr>
    </w:p>
    <w:p w14:paraId="4E043E00">
      <w:pPr>
        <w:spacing w:line="400" w:lineRule="exact"/>
        <w:rPr>
          <w:rFonts w:hint="eastAsia"/>
          <w:color w:val="auto"/>
          <w:szCs w:val="21"/>
        </w:rPr>
      </w:pPr>
    </w:p>
    <w:p w14:paraId="0A3BC42D">
      <w:pPr>
        <w:spacing w:line="400" w:lineRule="exact"/>
        <w:rPr>
          <w:rFonts w:hint="eastAsia"/>
          <w:color w:val="auto"/>
          <w:szCs w:val="21"/>
        </w:rPr>
      </w:pPr>
    </w:p>
    <w:p w14:paraId="6D7817B4">
      <w:pPr>
        <w:spacing w:line="400" w:lineRule="exact"/>
        <w:rPr>
          <w:rFonts w:hint="eastAsia"/>
          <w:color w:val="auto"/>
          <w:szCs w:val="21"/>
        </w:rPr>
      </w:pPr>
    </w:p>
    <w:p w14:paraId="7CD5F347">
      <w:pPr>
        <w:spacing w:line="400" w:lineRule="exact"/>
        <w:rPr>
          <w:rFonts w:hint="eastAsia"/>
          <w:color w:val="auto"/>
        </w:rPr>
      </w:pPr>
    </w:p>
    <w:p w14:paraId="4396B9C3">
      <w:pPr>
        <w:pStyle w:val="4"/>
        <w:spacing w:before="120"/>
        <w:rPr>
          <w:rFonts w:hint="eastAsia"/>
          <w:color w:val="auto"/>
          <w:sz w:val="24"/>
        </w:rPr>
      </w:pPr>
      <w:bookmarkStart w:id="793" w:name="_Toc456173263"/>
      <w:bookmarkStart w:id="794" w:name="_Toc30742"/>
      <w:bookmarkStart w:id="795" w:name="_Toc154063453"/>
      <w:bookmarkStart w:id="796" w:name="_Toc20142"/>
      <w:bookmarkStart w:id="797" w:name="_Toc12854"/>
      <w:bookmarkStart w:id="798" w:name="_Toc519085341"/>
      <w:bookmarkStart w:id="799" w:name="_Toc23202"/>
      <w:r>
        <w:rPr>
          <w:rFonts w:hint="eastAsia"/>
          <w:color w:val="auto"/>
          <w:sz w:val="24"/>
        </w:rPr>
        <w:t>附表八：</w:t>
      </w:r>
      <w:bookmarkStart w:id="800" w:name="_Toc221950336"/>
      <w:r>
        <w:rPr>
          <w:rFonts w:hint="eastAsia"/>
          <w:color w:val="auto"/>
          <w:sz w:val="24"/>
        </w:rPr>
        <w:t>中标通知书</w:t>
      </w:r>
      <w:bookmarkEnd w:id="793"/>
      <w:bookmarkEnd w:id="794"/>
      <w:bookmarkEnd w:id="795"/>
      <w:bookmarkEnd w:id="796"/>
      <w:bookmarkEnd w:id="797"/>
      <w:bookmarkEnd w:id="798"/>
      <w:bookmarkEnd w:id="799"/>
      <w:bookmarkEnd w:id="800"/>
    </w:p>
    <w:p w14:paraId="74D4D97B">
      <w:pPr>
        <w:spacing w:line="400" w:lineRule="exact"/>
        <w:jc w:val="center"/>
        <w:rPr>
          <w:rFonts w:hint="eastAsia" w:ascii="宋体" w:hAnsi="宋体"/>
          <w:color w:val="auto"/>
          <w:sz w:val="24"/>
        </w:rPr>
      </w:pPr>
    </w:p>
    <w:p w14:paraId="7C4FB5D6">
      <w:pPr>
        <w:spacing w:before="240" w:beforeLines="100" w:after="240" w:afterLines="100" w:line="480" w:lineRule="exact"/>
        <w:jc w:val="center"/>
        <w:rPr>
          <w:rFonts w:hint="eastAsia" w:ascii="黑体" w:eastAsia="黑体"/>
          <w:color w:val="auto"/>
          <w:sz w:val="28"/>
          <w:szCs w:val="28"/>
        </w:rPr>
      </w:pPr>
      <w:r>
        <w:rPr>
          <w:rFonts w:hint="eastAsia" w:ascii="黑体" w:eastAsia="黑体"/>
          <w:color w:val="auto"/>
          <w:sz w:val="28"/>
          <w:szCs w:val="28"/>
        </w:rPr>
        <w:t>中标通知书</w:t>
      </w:r>
    </w:p>
    <w:p w14:paraId="11B40969">
      <w:pPr>
        <w:spacing w:line="400" w:lineRule="exact"/>
        <w:jc w:val="center"/>
        <w:rPr>
          <w:rFonts w:hint="eastAsia" w:ascii="宋体" w:hAnsi="宋体"/>
          <w:color w:val="auto"/>
          <w:sz w:val="24"/>
          <w:u w:val="single"/>
        </w:rPr>
      </w:pPr>
      <w:r>
        <w:rPr>
          <w:rFonts w:hint="eastAsia" w:ascii="宋体" w:hAnsi="宋体"/>
          <w:color w:val="auto"/>
          <w:sz w:val="24"/>
        </w:rPr>
        <w:t xml:space="preserve">                                  编号：</w:t>
      </w:r>
      <w:r>
        <w:rPr>
          <w:rFonts w:hint="eastAsia" w:ascii="宋体" w:hAnsi="宋体"/>
          <w:color w:val="auto"/>
          <w:sz w:val="24"/>
          <w:u w:val="single"/>
        </w:rPr>
        <w:t xml:space="preserve">                    </w:t>
      </w:r>
    </w:p>
    <w:p w14:paraId="28AB5071">
      <w:pPr>
        <w:spacing w:line="400" w:lineRule="exact"/>
        <w:rPr>
          <w:color w:val="auto"/>
        </w:rPr>
      </w:pPr>
      <w:r>
        <w:rPr>
          <w:color w:val="auto"/>
        </w:rPr>
        <w:t xml:space="preserve">                              </w:t>
      </w:r>
    </w:p>
    <w:p w14:paraId="6AC0EA53">
      <w:pPr>
        <w:spacing w:line="560" w:lineRule="exact"/>
        <w:rPr>
          <w:color w:val="auto"/>
          <w:szCs w:val="21"/>
        </w:rPr>
      </w:pPr>
      <w:r>
        <w:rPr>
          <w:color w:val="auto"/>
          <w:szCs w:val="21"/>
          <w:u w:val="single"/>
        </w:rPr>
        <w:t xml:space="preserve">                   </w:t>
      </w:r>
      <w:bookmarkStart w:id="801" w:name="_Toc221950337"/>
      <w:r>
        <w:rPr>
          <w:color w:val="auto"/>
          <w:szCs w:val="21"/>
        </w:rPr>
        <w:t>（中标人名称）：</w:t>
      </w:r>
      <w:bookmarkEnd w:id="801"/>
    </w:p>
    <w:p w14:paraId="1383301D">
      <w:pPr>
        <w:spacing w:line="560" w:lineRule="exact"/>
        <w:rPr>
          <w:color w:val="auto"/>
          <w:szCs w:val="21"/>
        </w:rPr>
      </w:pPr>
    </w:p>
    <w:p w14:paraId="4DAC390F">
      <w:pPr>
        <w:spacing w:line="560" w:lineRule="exact"/>
        <w:rPr>
          <w:rFonts w:ascii="宋体" w:hAnsi="宋体"/>
          <w:color w:val="auto"/>
          <w:szCs w:val="21"/>
        </w:rPr>
      </w:pPr>
      <w:r>
        <w:rPr>
          <w:color w:val="auto"/>
          <w:szCs w:val="21"/>
        </w:rPr>
        <w:t>　</w:t>
      </w:r>
      <w:r>
        <w:rPr>
          <w:rFonts w:ascii="宋体" w:hAnsi="宋体"/>
          <w:color w:val="auto"/>
          <w:szCs w:val="21"/>
        </w:rPr>
        <w:t>　</w:t>
      </w:r>
      <w:bookmarkStart w:id="802" w:name="_Toc221950338"/>
      <w:r>
        <w:rPr>
          <w:rFonts w:ascii="宋体" w:hAnsi="宋体"/>
          <w:color w:val="auto"/>
          <w:szCs w:val="21"/>
        </w:rPr>
        <w:t>你方于</w:t>
      </w:r>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投标日期</w:t>
      </w:r>
      <w:r>
        <w:rPr>
          <w:rFonts w:ascii="宋体" w:hAnsi="宋体"/>
          <w:color w:val="auto"/>
          <w:szCs w:val="21"/>
        </w:rPr>
        <w:t>）所递交的</w:t>
      </w:r>
      <w:r>
        <w:rPr>
          <w:rFonts w:hint="eastAsia" w:ascii="宋体" w:hAnsi="宋体"/>
          <w:color w:val="auto"/>
          <w:u w:val="single"/>
        </w:rPr>
        <w:t xml:space="preserve">       </w:t>
      </w:r>
      <w:r>
        <w:rPr>
          <w:rFonts w:hint="eastAsia" w:ascii="宋体" w:hAnsi="宋体"/>
          <w:color w:val="auto"/>
        </w:rPr>
        <w:t>（项目名称）</w:t>
      </w:r>
      <w:r>
        <w:rPr>
          <w:rFonts w:hint="eastAsia" w:ascii="宋体" w:hAnsi="宋体"/>
          <w:color w:val="auto"/>
          <w:u w:val="single"/>
        </w:rPr>
        <w:t xml:space="preserve">    </w:t>
      </w:r>
      <w:r>
        <w:rPr>
          <w:rFonts w:hint="eastAsia" w:ascii="宋体" w:hAnsi="宋体"/>
          <w:color w:val="auto"/>
        </w:rPr>
        <w:t>（标段名称）工程总承包招标</w:t>
      </w:r>
      <w:r>
        <w:rPr>
          <w:rFonts w:hint="eastAsia"/>
          <w:color w:val="auto"/>
          <w:szCs w:val="21"/>
        </w:rPr>
        <w:t>的</w:t>
      </w:r>
      <w:r>
        <w:rPr>
          <w:color w:val="auto"/>
          <w:szCs w:val="21"/>
        </w:rPr>
        <w:t>投标</w:t>
      </w:r>
      <w:r>
        <w:rPr>
          <w:rFonts w:hint="eastAsia"/>
          <w:color w:val="auto"/>
          <w:szCs w:val="21"/>
        </w:rPr>
        <w:t>文件</w:t>
      </w:r>
      <w:r>
        <w:rPr>
          <w:rFonts w:ascii="宋体" w:hAnsi="宋体"/>
          <w:color w:val="auto"/>
          <w:szCs w:val="21"/>
        </w:rPr>
        <w:t>已被我方接受，被确定为中标人。</w:t>
      </w:r>
      <w:bookmarkEnd w:id="802"/>
    </w:p>
    <w:p w14:paraId="073671E7">
      <w:pPr>
        <w:spacing w:line="560" w:lineRule="exact"/>
        <w:rPr>
          <w:rFonts w:ascii="宋体" w:hAnsi="宋体"/>
          <w:color w:val="auto"/>
          <w:szCs w:val="21"/>
        </w:rPr>
      </w:pPr>
      <w:r>
        <w:rPr>
          <w:rFonts w:ascii="宋体" w:hAnsi="宋体"/>
          <w:color w:val="auto"/>
          <w:szCs w:val="21"/>
        </w:rPr>
        <w:t>　　</w:t>
      </w:r>
      <w:bookmarkStart w:id="803" w:name="_Toc221950339"/>
      <w:r>
        <w:rPr>
          <w:rFonts w:ascii="宋体" w:hAnsi="宋体"/>
          <w:color w:val="auto"/>
          <w:szCs w:val="21"/>
        </w:rPr>
        <w:t>中标价：</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元。</w:t>
      </w:r>
      <w:bookmarkEnd w:id="803"/>
    </w:p>
    <w:p w14:paraId="7ACC1B76">
      <w:pPr>
        <w:spacing w:line="560" w:lineRule="exact"/>
        <w:rPr>
          <w:rFonts w:ascii="宋体" w:hAnsi="宋体"/>
          <w:color w:val="auto"/>
          <w:szCs w:val="21"/>
        </w:rPr>
      </w:pPr>
      <w:r>
        <w:rPr>
          <w:rFonts w:ascii="宋体" w:hAnsi="宋体"/>
          <w:color w:val="auto"/>
          <w:szCs w:val="21"/>
        </w:rPr>
        <w:t>　　</w:t>
      </w:r>
      <w:bookmarkStart w:id="804" w:name="_Toc221950340"/>
      <w:r>
        <w:rPr>
          <w:rFonts w:ascii="宋体" w:hAnsi="宋体"/>
          <w:color w:val="auto"/>
          <w:szCs w:val="21"/>
        </w:rPr>
        <w:t>工期：</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日历天。</w:t>
      </w:r>
      <w:bookmarkEnd w:id="804"/>
    </w:p>
    <w:p w14:paraId="1037EFFD">
      <w:pPr>
        <w:spacing w:line="560" w:lineRule="exact"/>
        <w:rPr>
          <w:rFonts w:ascii="宋体" w:hAnsi="宋体"/>
          <w:color w:val="auto"/>
          <w:szCs w:val="21"/>
        </w:rPr>
      </w:pPr>
      <w:r>
        <w:rPr>
          <w:rFonts w:ascii="宋体" w:hAnsi="宋体"/>
          <w:color w:val="auto"/>
          <w:szCs w:val="21"/>
        </w:rPr>
        <w:t xml:space="preserve">　  </w:t>
      </w:r>
      <w:bookmarkStart w:id="805" w:name="_Toc221950341"/>
      <w:r>
        <w:rPr>
          <w:rFonts w:ascii="宋体" w:hAnsi="宋体"/>
          <w:color w:val="auto"/>
          <w:szCs w:val="21"/>
        </w:rPr>
        <w:t>质量标准：</w:t>
      </w:r>
      <w:r>
        <w:rPr>
          <w:rFonts w:ascii="宋体" w:hAnsi="宋体"/>
          <w:color w:val="auto"/>
          <w:szCs w:val="21"/>
          <w:u w:val="single"/>
        </w:rPr>
        <w:t xml:space="preserve">                      </w:t>
      </w:r>
      <w:r>
        <w:rPr>
          <w:rFonts w:ascii="宋体" w:hAnsi="宋体"/>
          <w:color w:val="auto"/>
          <w:szCs w:val="21"/>
        </w:rPr>
        <w:t>。</w:t>
      </w:r>
      <w:bookmarkEnd w:id="805"/>
    </w:p>
    <w:p w14:paraId="49E6B48E">
      <w:pPr>
        <w:spacing w:line="560" w:lineRule="exact"/>
        <w:rPr>
          <w:rFonts w:ascii="宋体" w:hAnsi="宋体"/>
          <w:color w:val="auto"/>
          <w:szCs w:val="21"/>
        </w:rPr>
      </w:pPr>
      <w:r>
        <w:rPr>
          <w:rFonts w:ascii="宋体" w:hAnsi="宋体"/>
          <w:color w:val="auto"/>
          <w:szCs w:val="21"/>
        </w:rPr>
        <w:t>　　</w:t>
      </w:r>
      <w:bookmarkStart w:id="806" w:name="_Toc221950342"/>
      <w:r>
        <w:rPr>
          <w:rFonts w:ascii="宋体" w:hAnsi="宋体"/>
          <w:color w:val="auto"/>
          <w:szCs w:val="21"/>
        </w:rPr>
        <w:t>项目经理：</w:t>
      </w:r>
      <w:r>
        <w:rPr>
          <w:rFonts w:ascii="宋体" w:hAnsi="宋体"/>
          <w:color w:val="auto"/>
          <w:szCs w:val="21"/>
          <w:u w:val="single"/>
        </w:rPr>
        <w:t xml:space="preserve">              </w:t>
      </w:r>
      <w:r>
        <w:rPr>
          <w:rFonts w:ascii="宋体" w:hAnsi="宋体"/>
          <w:color w:val="auto"/>
          <w:szCs w:val="21"/>
        </w:rPr>
        <w:t>（姓名）。</w:t>
      </w:r>
      <w:bookmarkEnd w:id="806"/>
    </w:p>
    <w:p w14:paraId="2DEC8C2E">
      <w:pPr>
        <w:spacing w:line="560" w:lineRule="exact"/>
        <w:rPr>
          <w:rFonts w:ascii="宋体" w:hAnsi="宋体"/>
          <w:color w:val="auto"/>
          <w:szCs w:val="21"/>
        </w:rPr>
      </w:pPr>
      <w:r>
        <w:rPr>
          <w:rFonts w:ascii="宋体" w:hAnsi="宋体"/>
          <w:color w:val="auto"/>
          <w:szCs w:val="21"/>
        </w:rPr>
        <w:t>　　</w:t>
      </w:r>
      <w:bookmarkStart w:id="807" w:name="_Toc221950343"/>
      <w:r>
        <w:rPr>
          <w:rFonts w:ascii="宋体" w:hAnsi="宋体"/>
          <w:color w:val="auto"/>
          <w:szCs w:val="21"/>
        </w:rPr>
        <w:t>请你方在接到本通知书后的</w:t>
      </w:r>
      <w:r>
        <w:rPr>
          <w:rFonts w:ascii="宋体" w:hAnsi="宋体"/>
          <w:color w:val="auto"/>
          <w:szCs w:val="21"/>
          <w:u w:val="single"/>
        </w:rPr>
        <w:t xml:space="preserve">     </w:t>
      </w:r>
      <w:r>
        <w:rPr>
          <w:rFonts w:ascii="宋体" w:hAnsi="宋体"/>
          <w:color w:val="auto"/>
          <w:szCs w:val="21"/>
        </w:rPr>
        <w:t>日内到</w:t>
      </w:r>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指定地点</w:t>
      </w:r>
      <w:r>
        <w:rPr>
          <w:rFonts w:ascii="宋体" w:hAnsi="宋体"/>
          <w:color w:val="auto"/>
          <w:szCs w:val="21"/>
        </w:rPr>
        <w:t>）与我方签订</w:t>
      </w:r>
      <w:r>
        <w:rPr>
          <w:rFonts w:hint="eastAsia" w:ascii="宋体" w:hAnsi="宋体"/>
          <w:color w:val="auto"/>
          <w:szCs w:val="21"/>
        </w:rPr>
        <w:t>工程总承包</w:t>
      </w:r>
      <w:r>
        <w:rPr>
          <w:rFonts w:ascii="宋体" w:hAnsi="宋体"/>
          <w:color w:val="auto"/>
          <w:szCs w:val="21"/>
        </w:rPr>
        <w:t>合同，在此之前按招标文件第</w:t>
      </w:r>
      <w:r>
        <w:rPr>
          <w:rFonts w:hint="eastAsia"/>
          <w:color w:val="auto"/>
          <w:szCs w:val="21"/>
        </w:rPr>
        <w:t>2</w:t>
      </w:r>
      <w:r>
        <w:rPr>
          <w:rFonts w:ascii="宋体" w:hAnsi="宋体"/>
          <w:color w:val="auto"/>
          <w:szCs w:val="21"/>
        </w:rPr>
        <w:t>章</w:t>
      </w:r>
      <w:r>
        <w:rPr>
          <w:rFonts w:hint="eastAsia" w:ascii="宋体" w:hAnsi="宋体"/>
          <w:color w:val="auto"/>
          <w:szCs w:val="21"/>
        </w:rPr>
        <w:t>“</w:t>
      </w:r>
      <w:r>
        <w:rPr>
          <w:rFonts w:ascii="宋体" w:hAnsi="宋体"/>
          <w:color w:val="auto"/>
          <w:szCs w:val="21"/>
        </w:rPr>
        <w:t>投标人须知</w:t>
      </w:r>
      <w:r>
        <w:rPr>
          <w:rFonts w:hint="eastAsia" w:ascii="宋体" w:hAnsi="宋体"/>
          <w:color w:val="auto"/>
          <w:szCs w:val="21"/>
        </w:rPr>
        <w:t>”第</w:t>
      </w:r>
      <w:r>
        <w:rPr>
          <w:rFonts w:hint="eastAsia"/>
          <w:color w:val="auto"/>
          <w:szCs w:val="21"/>
        </w:rPr>
        <w:t>7</w:t>
      </w:r>
      <w:r>
        <w:rPr>
          <w:rFonts w:hint="eastAsia" w:ascii="宋体" w:hAnsi="宋体"/>
          <w:color w:val="auto"/>
          <w:szCs w:val="21"/>
        </w:rPr>
        <w:t>.</w:t>
      </w:r>
      <w:r>
        <w:rPr>
          <w:rFonts w:hint="eastAsia"/>
          <w:color w:val="auto"/>
          <w:szCs w:val="21"/>
        </w:rPr>
        <w:t>3</w:t>
      </w:r>
      <w:r>
        <w:rPr>
          <w:rFonts w:hint="eastAsia" w:ascii="宋体" w:hAnsi="宋体"/>
          <w:color w:val="auto"/>
          <w:szCs w:val="21"/>
        </w:rPr>
        <w:t>款</w:t>
      </w:r>
      <w:r>
        <w:rPr>
          <w:rFonts w:ascii="宋体" w:hAnsi="宋体"/>
          <w:color w:val="auto"/>
          <w:szCs w:val="21"/>
        </w:rPr>
        <w:t>规定向我方提交履约</w:t>
      </w:r>
      <w:r>
        <w:rPr>
          <w:rFonts w:hint="eastAsia" w:ascii="宋体" w:hAnsi="宋体"/>
          <w:color w:val="auto"/>
          <w:szCs w:val="21"/>
        </w:rPr>
        <w:t>保证金</w:t>
      </w:r>
      <w:r>
        <w:rPr>
          <w:rFonts w:ascii="宋体" w:hAnsi="宋体"/>
          <w:color w:val="auto"/>
          <w:szCs w:val="21"/>
        </w:rPr>
        <w:t>。</w:t>
      </w:r>
      <w:bookmarkEnd w:id="807"/>
    </w:p>
    <w:p w14:paraId="4B7962B6">
      <w:pPr>
        <w:spacing w:line="560" w:lineRule="exact"/>
        <w:rPr>
          <w:rFonts w:hint="eastAsia"/>
          <w:color w:val="auto"/>
        </w:rPr>
      </w:pPr>
      <w:r>
        <w:rPr>
          <w:rFonts w:ascii="宋体" w:hAnsi="宋体"/>
          <w:color w:val="auto"/>
          <w:szCs w:val="21"/>
        </w:rPr>
        <w:t>　　</w:t>
      </w:r>
      <w:r>
        <w:rPr>
          <w:rFonts w:hint="eastAsia"/>
          <w:color w:val="auto"/>
        </w:rPr>
        <w:t>随附澄清、说明、补正事项纪要，是本中标通知书的组成部分。</w:t>
      </w:r>
    </w:p>
    <w:p w14:paraId="32E986BA">
      <w:pPr>
        <w:spacing w:line="560" w:lineRule="exact"/>
        <w:ind w:firstLine="420" w:firstLineChars="200"/>
        <w:rPr>
          <w:rFonts w:hint="eastAsia"/>
          <w:color w:val="auto"/>
        </w:rPr>
      </w:pPr>
      <w:r>
        <w:rPr>
          <w:rFonts w:hint="eastAsia"/>
          <w:color w:val="auto"/>
        </w:rPr>
        <w:t>特此通知。</w:t>
      </w:r>
    </w:p>
    <w:p w14:paraId="3C05E561">
      <w:pPr>
        <w:spacing w:line="560" w:lineRule="exact"/>
        <w:ind w:firstLine="420" w:firstLineChars="200"/>
        <w:rPr>
          <w:color w:val="auto"/>
          <w:szCs w:val="21"/>
        </w:rPr>
      </w:pPr>
      <w:r>
        <w:rPr>
          <w:color w:val="auto"/>
        </w:rPr>
        <w:t>附：澄清、说明、补正事项纪要</w:t>
      </w:r>
    </w:p>
    <w:p w14:paraId="0397156D">
      <w:pPr>
        <w:spacing w:line="540" w:lineRule="exact"/>
        <w:ind w:firstLine="3238" w:firstLineChars="1542"/>
        <w:jc w:val="right"/>
        <w:rPr>
          <w:rFonts w:hint="eastAsia"/>
          <w:color w:val="auto"/>
          <w:szCs w:val="21"/>
        </w:rPr>
      </w:pPr>
      <w:bookmarkStart w:id="808" w:name="_Toc221950345"/>
      <w:r>
        <w:rPr>
          <w:color w:val="auto"/>
          <w:szCs w:val="21"/>
        </w:rPr>
        <w:t>招标人：</w:t>
      </w:r>
      <w:r>
        <w:rPr>
          <w:color w:val="auto"/>
          <w:szCs w:val="21"/>
          <w:u w:val="single"/>
        </w:rPr>
        <w:t xml:space="preserve">            </w:t>
      </w:r>
      <w:r>
        <w:rPr>
          <w:color w:val="auto"/>
          <w:szCs w:val="21"/>
        </w:rPr>
        <w:t>（盖单位章）</w:t>
      </w:r>
      <w:bookmarkEnd w:id="808"/>
      <w:bookmarkStart w:id="809" w:name="_Toc221950346"/>
    </w:p>
    <w:p w14:paraId="1A1FBC05">
      <w:pPr>
        <w:spacing w:line="540" w:lineRule="exact"/>
        <w:ind w:firstLine="3238" w:firstLineChars="1542"/>
        <w:jc w:val="right"/>
        <w:rPr>
          <w:color w:val="auto"/>
          <w:szCs w:val="21"/>
        </w:rPr>
      </w:pPr>
      <w:r>
        <w:rPr>
          <w:color w:val="auto"/>
          <w:szCs w:val="21"/>
        </w:rPr>
        <w:t>法定代表人：</w:t>
      </w:r>
      <w:r>
        <w:rPr>
          <w:color w:val="auto"/>
          <w:szCs w:val="21"/>
          <w:u w:val="single"/>
        </w:rPr>
        <w:t xml:space="preserve">            </w:t>
      </w:r>
      <w:r>
        <w:rPr>
          <w:color w:val="auto"/>
          <w:szCs w:val="21"/>
        </w:rPr>
        <w:t>（签字）</w:t>
      </w:r>
      <w:bookmarkEnd w:id="809"/>
    </w:p>
    <w:p w14:paraId="092650D2">
      <w:pPr>
        <w:wordWrap w:val="0"/>
        <w:spacing w:line="540" w:lineRule="exact"/>
        <w:ind w:firstLine="3548" w:firstLineChars="1690"/>
        <w:jc w:val="right"/>
        <w:rPr>
          <w:rFonts w:hint="eastAsia"/>
          <w:color w:val="auto"/>
          <w:szCs w:val="21"/>
        </w:rPr>
      </w:pPr>
      <w:r>
        <w:rPr>
          <w:color w:val="auto"/>
          <w:szCs w:val="21"/>
        </w:rPr>
        <w:t xml:space="preserve"> </w:t>
      </w:r>
      <w:r>
        <w:rPr>
          <w:color w:val="auto"/>
          <w:szCs w:val="21"/>
          <w:u w:val="single"/>
        </w:rPr>
        <w:t xml:space="preserve">     </w:t>
      </w:r>
      <w:r>
        <w:rPr>
          <w:rFonts w:hint="eastAsia"/>
          <w:color w:val="auto"/>
          <w:szCs w:val="21"/>
          <w:u w:val="single"/>
        </w:rPr>
        <w:t xml:space="preserve">   </w:t>
      </w:r>
      <w:r>
        <w:rPr>
          <w:color w:val="auto"/>
          <w:szCs w:val="21"/>
          <w:u w:val="single"/>
        </w:rPr>
        <w:t xml:space="preserve">    </w:t>
      </w:r>
      <w:bookmarkStart w:id="810" w:name="_Toc221950347"/>
      <w:r>
        <w:rPr>
          <w:color w:val="auto"/>
          <w:szCs w:val="21"/>
        </w:rPr>
        <w:t>年</w:t>
      </w:r>
      <w:r>
        <w:rPr>
          <w:color w:val="auto"/>
          <w:szCs w:val="21"/>
          <w:u w:val="single"/>
        </w:rPr>
        <w:t xml:space="preserve">      </w:t>
      </w:r>
      <w:r>
        <w:rPr>
          <w:color w:val="auto"/>
          <w:szCs w:val="21"/>
        </w:rPr>
        <w:t xml:space="preserve">月 </w:t>
      </w:r>
      <w:r>
        <w:rPr>
          <w:color w:val="auto"/>
          <w:szCs w:val="21"/>
          <w:u w:val="single"/>
        </w:rPr>
        <w:t xml:space="preserve">     </w:t>
      </w:r>
      <w:r>
        <w:rPr>
          <w:color w:val="auto"/>
          <w:szCs w:val="21"/>
        </w:rPr>
        <w:t xml:space="preserve"> 日</w:t>
      </w:r>
      <w:bookmarkEnd w:id="810"/>
    </w:p>
    <w:p w14:paraId="7DB057EC">
      <w:pPr>
        <w:spacing w:line="540" w:lineRule="exact"/>
        <w:ind w:right="210"/>
        <w:rPr>
          <w:rFonts w:hint="eastAsia"/>
          <w:color w:val="auto"/>
        </w:rPr>
      </w:pPr>
      <w:r>
        <w:rPr>
          <w:rFonts w:hint="eastAsia"/>
          <w:color w:val="auto"/>
        </w:rPr>
        <w:t>备注：行政主管部门对中标通知书有备案管理程序的，从其规定。</w:t>
      </w:r>
      <w:bookmarkStart w:id="811" w:name="_Toc387753572"/>
      <w:bookmarkStart w:id="812" w:name="_Toc168475700"/>
      <w:bookmarkStart w:id="813" w:name="_Toc168476103"/>
      <w:bookmarkStart w:id="814" w:name="_Toc221950348"/>
      <w:bookmarkStart w:id="815" w:name="_Toc456173264"/>
      <w:bookmarkStart w:id="816" w:name="_Toc2428"/>
      <w:bookmarkStart w:id="817" w:name="_Toc519085342"/>
      <w:bookmarkStart w:id="818" w:name="_Toc22662"/>
      <w:bookmarkStart w:id="819" w:name="_Toc25477"/>
      <w:bookmarkStart w:id="820" w:name="_Toc16571"/>
    </w:p>
    <w:p w14:paraId="4E29F67F">
      <w:pPr>
        <w:spacing w:line="540" w:lineRule="exact"/>
        <w:ind w:right="210"/>
        <w:rPr>
          <w:rFonts w:hint="eastAsia"/>
          <w:color w:val="auto"/>
        </w:rPr>
      </w:pPr>
    </w:p>
    <w:p w14:paraId="52B6E21B">
      <w:pPr>
        <w:spacing w:line="540" w:lineRule="exact"/>
        <w:ind w:right="210"/>
        <w:rPr>
          <w:rFonts w:hint="eastAsia"/>
          <w:color w:val="auto"/>
        </w:rPr>
      </w:pPr>
    </w:p>
    <w:p w14:paraId="70A103B7">
      <w:pPr>
        <w:pStyle w:val="4"/>
        <w:spacing w:before="120"/>
        <w:rPr>
          <w:rFonts w:hint="eastAsia"/>
          <w:color w:val="auto"/>
          <w:sz w:val="24"/>
        </w:rPr>
      </w:pPr>
      <w:bookmarkStart w:id="821" w:name="_Toc154063454"/>
      <w:r>
        <w:rPr>
          <w:rFonts w:hint="eastAsia"/>
          <w:color w:val="auto"/>
          <w:sz w:val="24"/>
        </w:rPr>
        <w:t>附表九：</w:t>
      </w:r>
      <w:bookmarkEnd w:id="811"/>
      <w:bookmarkEnd w:id="812"/>
      <w:bookmarkEnd w:id="813"/>
      <w:bookmarkEnd w:id="814"/>
      <w:bookmarkStart w:id="822" w:name="_Toc221950349"/>
      <w:r>
        <w:rPr>
          <w:rFonts w:hint="eastAsia"/>
          <w:color w:val="auto"/>
          <w:sz w:val="24"/>
        </w:rPr>
        <w:t>中标结果通知书</w:t>
      </w:r>
      <w:bookmarkEnd w:id="815"/>
      <w:bookmarkEnd w:id="816"/>
      <w:bookmarkEnd w:id="817"/>
      <w:bookmarkEnd w:id="818"/>
      <w:bookmarkEnd w:id="819"/>
      <w:bookmarkEnd w:id="820"/>
      <w:bookmarkEnd w:id="821"/>
      <w:bookmarkEnd w:id="822"/>
    </w:p>
    <w:p w14:paraId="0276989A">
      <w:pPr>
        <w:spacing w:before="240" w:beforeLines="100" w:after="240" w:afterLines="100" w:line="480" w:lineRule="exact"/>
        <w:jc w:val="center"/>
        <w:rPr>
          <w:rFonts w:hint="eastAsia" w:ascii="黑体" w:eastAsia="黑体"/>
          <w:color w:val="auto"/>
          <w:sz w:val="28"/>
          <w:szCs w:val="28"/>
        </w:rPr>
      </w:pPr>
      <w:r>
        <w:rPr>
          <w:rFonts w:hint="eastAsia" w:ascii="黑体" w:eastAsia="黑体"/>
          <w:color w:val="auto"/>
          <w:sz w:val="28"/>
          <w:szCs w:val="28"/>
        </w:rPr>
        <w:t>中标结果通知书</w:t>
      </w:r>
    </w:p>
    <w:p w14:paraId="477CAE2C">
      <w:pPr>
        <w:spacing w:line="400" w:lineRule="exact"/>
        <w:jc w:val="center"/>
        <w:rPr>
          <w:rFonts w:hint="eastAsia" w:ascii="宋体" w:hAnsi="宋体"/>
          <w:color w:val="auto"/>
          <w:sz w:val="24"/>
          <w:u w:val="single"/>
        </w:rPr>
      </w:pPr>
      <w:r>
        <w:rPr>
          <w:rFonts w:hint="eastAsia" w:ascii="宋体" w:hAnsi="宋体"/>
          <w:color w:val="auto"/>
          <w:sz w:val="24"/>
        </w:rPr>
        <w:t xml:space="preserve">                                              编号：</w:t>
      </w:r>
      <w:r>
        <w:rPr>
          <w:rFonts w:hint="eastAsia" w:ascii="宋体" w:hAnsi="宋体"/>
          <w:color w:val="auto"/>
          <w:sz w:val="24"/>
          <w:u w:val="single"/>
        </w:rPr>
        <w:t xml:space="preserve">            </w:t>
      </w:r>
    </w:p>
    <w:p w14:paraId="2EA98AF7">
      <w:pPr>
        <w:spacing w:line="400" w:lineRule="exact"/>
        <w:rPr>
          <w:color w:val="auto"/>
        </w:rPr>
      </w:pPr>
    </w:p>
    <w:p w14:paraId="0F01FD22">
      <w:pPr>
        <w:spacing w:line="440" w:lineRule="exact"/>
        <w:rPr>
          <w:color w:val="auto"/>
          <w:szCs w:val="21"/>
        </w:rPr>
      </w:pPr>
      <w:r>
        <w:rPr>
          <w:color w:val="auto"/>
          <w:szCs w:val="21"/>
          <w:u w:val="single"/>
        </w:rPr>
        <w:t xml:space="preserve">                  </w:t>
      </w:r>
      <w:bookmarkStart w:id="823" w:name="_Toc221950350"/>
      <w:r>
        <w:rPr>
          <w:color w:val="auto"/>
          <w:szCs w:val="21"/>
        </w:rPr>
        <w:t>（未中标人名称）：</w:t>
      </w:r>
      <w:bookmarkEnd w:id="823"/>
    </w:p>
    <w:p w14:paraId="3FF69324">
      <w:pPr>
        <w:spacing w:line="440" w:lineRule="exact"/>
        <w:rPr>
          <w:color w:val="auto"/>
          <w:szCs w:val="21"/>
        </w:rPr>
      </w:pPr>
      <w:r>
        <w:rPr>
          <w:color w:val="auto"/>
          <w:szCs w:val="21"/>
        </w:rPr>
        <w:t xml:space="preserve">    </w:t>
      </w:r>
    </w:p>
    <w:p w14:paraId="4D041F5B">
      <w:pPr>
        <w:spacing w:line="440" w:lineRule="exact"/>
        <w:rPr>
          <w:rFonts w:ascii="宋体" w:hAnsi="宋体"/>
          <w:color w:val="auto"/>
          <w:szCs w:val="21"/>
        </w:rPr>
      </w:pPr>
      <w:r>
        <w:rPr>
          <w:rFonts w:ascii="宋体" w:hAnsi="宋体"/>
          <w:color w:val="auto"/>
          <w:szCs w:val="21"/>
        </w:rPr>
        <w:t>　　</w:t>
      </w:r>
      <w:bookmarkStart w:id="824" w:name="_Toc221950351"/>
      <w:r>
        <w:rPr>
          <w:rFonts w:ascii="宋体" w:hAnsi="宋体"/>
          <w:color w:val="auto"/>
          <w:szCs w:val="21"/>
        </w:rPr>
        <w:t>我方已接受</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 xml:space="preserve"> （</w:t>
      </w:r>
      <w:r>
        <w:rPr>
          <w:rFonts w:hint="eastAsia" w:ascii="宋体" w:hAnsi="宋体"/>
          <w:color w:val="auto"/>
          <w:szCs w:val="21"/>
        </w:rPr>
        <w:t>中标人名称</w:t>
      </w:r>
      <w:r>
        <w:rPr>
          <w:rFonts w:ascii="宋体" w:hAnsi="宋体"/>
          <w:color w:val="auto"/>
          <w:szCs w:val="21"/>
        </w:rPr>
        <w:t>）于</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投标日期</w:t>
      </w:r>
      <w:r>
        <w:rPr>
          <w:rFonts w:ascii="宋体" w:hAnsi="宋体"/>
          <w:color w:val="auto"/>
          <w:szCs w:val="21"/>
        </w:rPr>
        <w:t>）所递交的</w:t>
      </w:r>
      <w:r>
        <w:rPr>
          <w:rFonts w:ascii="宋体" w:hAnsi="宋体"/>
          <w:color w:val="auto"/>
          <w:szCs w:val="21"/>
          <w:u w:val="single"/>
        </w:rPr>
        <w:t xml:space="preserve">            </w:t>
      </w:r>
      <w:r>
        <w:rPr>
          <w:rFonts w:hint="eastAsia" w:ascii="宋体" w:hAnsi="宋体"/>
          <w:color w:val="auto"/>
          <w:u w:val="single"/>
        </w:rPr>
        <w:t xml:space="preserve">       </w:t>
      </w:r>
      <w:r>
        <w:rPr>
          <w:rFonts w:hint="eastAsia" w:ascii="宋体" w:hAnsi="宋体"/>
          <w:color w:val="auto"/>
        </w:rPr>
        <w:t>（项目名称）</w:t>
      </w:r>
      <w:r>
        <w:rPr>
          <w:rFonts w:hint="eastAsia" w:ascii="宋体" w:hAnsi="宋体"/>
          <w:color w:val="auto"/>
          <w:u w:val="single"/>
        </w:rPr>
        <w:t xml:space="preserve">    </w:t>
      </w:r>
      <w:r>
        <w:rPr>
          <w:rFonts w:hint="eastAsia" w:ascii="宋体" w:hAnsi="宋体"/>
          <w:color w:val="auto"/>
        </w:rPr>
        <w:t>（标段名称）</w:t>
      </w:r>
      <w:r>
        <w:rPr>
          <w:rFonts w:hint="eastAsia" w:ascii="宋体" w:hAnsi="宋体"/>
          <w:color w:val="auto"/>
          <w:szCs w:val="21"/>
        </w:rPr>
        <w:t>工程总承包的</w:t>
      </w:r>
      <w:r>
        <w:rPr>
          <w:rFonts w:ascii="宋体" w:hAnsi="宋体"/>
          <w:color w:val="auto"/>
          <w:szCs w:val="21"/>
        </w:rPr>
        <w:t>投标文件，确定</w:t>
      </w:r>
      <w:r>
        <w:rPr>
          <w:rFonts w:hint="eastAsia" w:ascii="宋体" w:hAnsi="宋体"/>
          <w:color w:val="auto"/>
          <w:szCs w:val="21"/>
        </w:rPr>
        <w:t>其</w:t>
      </w:r>
      <w:r>
        <w:rPr>
          <w:rFonts w:ascii="宋体" w:hAnsi="宋体"/>
          <w:color w:val="auto"/>
          <w:szCs w:val="21"/>
        </w:rPr>
        <w:t>为中标人。</w:t>
      </w:r>
      <w:bookmarkEnd w:id="824"/>
    </w:p>
    <w:p w14:paraId="07A1351D">
      <w:pPr>
        <w:spacing w:line="440" w:lineRule="exact"/>
        <w:rPr>
          <w:rFonts w:ascii="宋体" w:hAnsi="宋体"/>
          <w:color w:val="auto"/>
          <w:szCs w:val="21"/>
        </w:rPr>
      </w:pPr>
      <w:r>
        <w:rPr>
          <w:rFonts w:ascii="宋体" w:hAnsi="宋体"/>
          <w:color w:val="auto"/>
          <w:szCs w:val="21"/>
        </w:rPr>
        <w:t>　　</w:t>
      </w:r>
    </w:p>
    <w:p w14:paraId="361E00A5">
      <w:pPr>
        <w:spacing w:line="440" w:lineRule="exact"/>
        <w:rPr>
          <w:rFonts w:ascii="宋体" w:hAnsi="宋体"/>
          <w:color w:val="auto"/>
          <w:szCs w:val="21"/>
        </w:rPr>
      </w:pPr>
      <w:r>
        <w:rPr>
          <w:rFonts w:ascii="宋体" w:hAnsi="宋体"/>
          <w:color w:val="auto"/>
          <w:szCs w:val="21"/>
        </w:rPr>
        <w:t>　　</w:t>
      </w:r>
      <w:bookmarkStart w:id="825" w:name="_Toc221950352"/>
      <w:r>
        <w:rPr>
          <w:rFonts w:ascii="宋体" w:hAnsi="宋体"/>
          <w:color w:val="auto"/>
          <w:szCs w:val="21"/>
        </w:rPr>
        <w:t>感谢你单位对我们工作的大力支持！</w:t>
      </w:r>
      <w:bookmarkEnd w:id="825"/>
    </w:p>
    <w:p w14:paraId="28F5FB60">
      <w:pPr>
        <w:spacing w:line="440" w:lineRule="exact"/>
        <w:rPr>
          <w:color w:val="auto"/>
          <w:szCs w:val="21"/>
        </w:rPr>
      </w:pPr>
    </w:p>
    <w:p w14:paraId="7342125E">
      <w:pPr>
        <w:spacing w:line="440" w:lineRule="exact"/>
        <w:rPr>
          <w:rFonts w:hint="eastAsia"/>
          <w:color w:val="auto"/>
          <w:szCs w:val="21"/>
        </w:rPr>
      </w:pPr>
    </w:p>
    <w:p w14:paraId="40670D3C">
      <w:pPr>
        <w:spacing w:line="440" w:lineRule="exact"/>
        <w:rPr>
          <w:rFonts w:hint="eastAsia"/>
          <w:color w:val="auto"/>
          <w:szCs w:val="21"/>
        </w:rPr>
      </w:pPr>
    </w:p>
    <w:p w14:paraId="7AC31595">
      <w:pPr>
        <w:spacing w:line="440" w:lineRule="exact"/>
        <w:rPr>
          <w:rFonts w:hint="eastAsia"/>
          <w:color w:val="auto"/>
          <w:szCs w:val="21"/>
        </w:rPr>
      </w:pPr>
    </w:p>
    <w:p w14:paraId="6C1A4428">
      <w:pPr>
        <w:spacing w:line="440" w:lineRule="exact"/>
        <w:jc w:val="right"/>
        <w:rPr>
          <w:rFonts w:hint="eastAsia"/>
          <w:color w:val="auto"/>
          <w:szCs w:val="21"/>
        </w:rPr>
      </w:pPr>
      <w:r>
        <w:rPr>
          <w:color w:val="auto"/>
          <w:szCs w:val="21"/>
        </w:rPr>
        <w:t xml:space="preserve">                                </w:t>
      </w:r>
      <w:bookmarkStart w:id="826" w:name="_Toc221950353"/>
      <w:r>
        <w:rPr>
          <w:color w:val="auto"/>
          <w:szCs w:val="21"/>
        </w:rPr>
        <w:t>招标人：</w:t>
      </w:r>
      <w:r>
        <w:rPr>
          <w:color w:val="auto"/>
          <w:szCs w:val="21"/>
          <w:u w:val="single"/>
        </w:rPr>
        <w:t xml:space="preserve">             </w:t>
      </w:r>
      <w:r>
        <w:rPr>
          <w:rFonts w:hint="eastAsia"/>
          <w:color w:val="auto"/>
          <w:szCs w:val="21"/>
          <w:u w:val="single"/>
        </w:rPr>
        <w:t xml:space="preserve">   </w:t>
      </w:r>
      <w:r>
        <w:rPr>
          <w:color w:val="auto"/>
          <w:szCs w:val="21"/>
        </w:rPr>
        <w:t>（盖单位章）</w:t>
      </w:r>
      <w:bookmarkEnd w:id="826"/>
    </w:p>
    <w:p w14:paraId="151AD77B">
      <w:pPr>
        <w:spacing w:line="440" w:lineRule="exact"/>
        <w:jc w:val="right"/>
        <w:rPr>
          <w:rFonts w:hint="eastAsia"/>
          <w:color w:val="auto"/>
          <w:szCs w:val="21"/>
        </w:rPr>
      </w:pPr>
      <w:r>
        <w:rPr>
          <w:color w:val="auto"/>
          <w:szCs w:val="21"/>
        </w:rPr>
        <w:t xml:space="preserve">                                </w:t>
      </w:r>
      <w:bookmarkStart w:id="827" w:name="_Toc221950354"/>
      <w:r>
        <w:rPr>
          <w:color w:val="auto"/>
          <w:szCs w:val="21"/>
        </w:rPr>
        <w:t>法定代表人：</w:t>
      </w:r>
      <w:r>
        <w:rPr>
          <w:color w:val="auto"/>
          <w:szCs w:val="21"/>
          <w:u w:val="single"/>
        </w:rPr>
        <w:t xml:space="preserve">               </w:t>
      </w:r>
      <w:r>
        <w:rPr>
          <w:rFonts w:hint="eastAsia"/>
          <w:color w:val="auto"/>
          <w:szCs w:val="21"/>
          <w:u w:val="single"/>
        </w:rPr>
        <w:t xml:space="preserve"> </w:t>
      </w:r>
      <w:r>
        <w:rPr>
          <w:color w:val="auto"/>
          <w:szCs w:val="21"/>
        </w:rPr>
        <w:t>（签字）</w:t>
      </w:r>
      <w:bookmarkEnd w:id="827"/>
    </w:p>
    <w:p w14:paraId="41080B6F">
      <w:pPr>
        <w:wordWrap w:val="0"/>
        <w:spacing w:line="440" w:lineRule="exact"/>
        <w:jc w:val="right"/>
        <w:rPr>
          <w:rFonts w:hint="eastAsia"/>
          <w:color w:val="auto"/>
          <w:szCs w:val="21"/>
        </w:rPr>
      </w:pPr>
      <w:r>
        <w:rPr>
          <w:color w:val="auto"/>
          <w:szCs w:val="21"/>
        </w:rPr>
        <w:t xml:space="preserve">                                    </w:t>
      </w:r>
      <w:r>
        <w:rPr>
          <w:color w:val="auto"/>
          <w:szCs w:val="21"/>
          <w:u w:val="single"/>
        </w:rPr>
        <w:t xml:space="preserve">     </w:t>
      </w:r>
      <w:r>
        <w:rPr>
          <w:rFonts w:hint="eastAsia"/>
          <w:color w:val="auto"/>
          <w:szCs w:val="21"/>
          <w:u w:val="single"/>
        </w:rPr>
        <w:t xml:space="preserve">      </w:t>
      </w:r>
      <w:r>
        <w:rPr>
          <w:color w:val="auto"/>
          <w:szCs w:val="21"/>
          <w:u w:val="single"/>
        </w:rPr>
        <w:t xml:space="preserve">  </w:t>
      </w:r>
      <w:r>
        <w:rPr>
          <w:color w:val="auto"/>
          <w:szCs w:val="21"/>
        </w:rPr>
        <w:t xml:space="preserve"> </w:t>
      </w:r>
      <w:bookmarkStart w:id="828" w:name="_Toc221950355"/>
      <w:r>
        <w:rPr>
          <w:color w:val="auto"/>
          <w:szCs w:val="21"/>
        </w:rPr>
        <w:t>年</w:t>
      </w:r>
      <w:r>
        <w:rPr>
          <w:color w:val="auto"/>
          <w:szCs w:val="21"/>
          <w:u w:val="single"/>
        </w:rPr>
        <w:t xml:space="preserve">     </w:t>
      </w:r>
      <w:r>
        <w:rPr>
          <w:color w:val="auto"/>
          <w:szCs w:val="21"/>
        </w:rPr>
        <w:t>月</w:t>
      </w:r>
      <w:r>
        <w:rPr>
          <w:color w:val="auto"/>
          <w:szCs w:val="21"/>
          <w:u w:val="single"/>
        </w:rPr>
        <w:t xml:space="preserve">     </w:t>
      </w:r>
      <w:r>
        <w:rPr>
          <w:color w:val="auto"/>
          <w:szCs w:val="21"/>
        </w:rPr>
        <w:t>日</w:t>
      </w:r>
      <w:bookmarkEnd w:id="828"/>
    </w:p>
    <w:p w14:paraId="12F82F26">
      <w:pPr>
        <w:spacing w:line="440" w:lineRule="exact"/>
        <w:jc w:val="right"/>
        <w:rPr>
          <w:rFonts w:hint="eastAsia"/>
          <w:color w:val="auto"/>
          <w:szCs w:val="21"/>
        </w:rPr>
      </w:pPr>
    </w:p>
    <w:p w14:paraId="5ACED188">
      <w:pPr>
        <w:spacing w:line="440" w:lineRule="exact"/>
        <w:jc w:val="right"/>
        <w:rPr>
          <w:rFonts w:hint="eastAsia"/>
          <w:color w:val="auto"/>
          <w:szCs w:val="21"/>
        </w:rPr>
      </w:pPr>
    </w:p>
    <w:p w14:paraId="10C20CB0">
      <w:pPr>
        <w:spacing w:line="440" w:lineRule="exact"/>
        <w:jc w:val="right"/>
        <w:rPr>
          <w:rFonts w:hint="eastAsia"/>
          <w:color w:val="auto"/>
          <w:szCs w:val="21"/>
        </w:rPr>
      </w:pPr>
    </w:p>
    <w:p w14:paraId="0E874E9F">
      <w:pPr>
        <w:spacing w:line="440" w:lineRule="exact"/>
        <w:jc w:val="right"/>
        <w:rPr>
          <w:rFonts w:hint="eastAsia"/>
          <w:color w:val="auto"/>
          <w:szCs w:val="21"/>
        </w:rPr>
      </w:pPr>
    </w:p>
    <w:p w14:paraId="77A02275">
      <w:pPr>
        <w:spacing w:line="440" w:lineRule="exact"/>
        <w:jc w:val="right"/>
        <w:rPr>
          <w:rFonts w:hint="eastAsia"/>
          <w:color w:val="auto"/>
          <w:szCs w:val="21"/>
        </w:rPr>
      </w:pPr>
    </w:p>
    <w:p w14:paraId="64506BBD">
      <w:pPr>
        <w:spacing w:line="440" w:lineRule="exact"/>
        <w:jc w:val="right"/>
        <w:rPr>
          <w:rFonts w:hint="eastAsia"/>
          <w:color w:val="auto"/>
          <w:szCs w:val="21"/>
        </w:rPr>
      </w:pPr>
    </w:p>
    <w:p w14:paraId="53A91E3B">
      <w:pPr>
        <w:spacing w:line="440" w:lineRule="exact"/>
        <w:jc w:val="right"/>
        <w:rPr>
          <w:rFonts w:hint="eastAsia"/>
          <w:color w:val="auto"/>
          <w:szCs w:val="21"/>
        </w:rPr>
      </w:pPr>
    </w:p>
    <w:p w14:paraId="728F1B4E">
      <w:pPr>
        <w:spacing w:line="440" w:lineRule="exact"/>
        <w:jc w:val="right"/>
        <w:rPr>
          <w:rFonts w:hint="eastAsia"/>
          <w:color w:val="auto"/>
          <w:szCs w:val="21"/>
        </w:rPr>
      </w:pPr>
    </w:p>
    <w:p w14:paraId="61E7AF18">
      <w:pPr>
        <w:spacing w:line="440" w:lineRule="exact"/>
        <w:jc w:val="right"/>
        <w:rPr>
          <w:rFonts w:hint="eastAsia"/>
          <w:color w:val="auto"/>
          <w:szCs w:val="21"/>
        </w:rPr>
      </w:pPr>
    </w:p>
    <w:p w14:paraId="2604A24A">
      <w:pPr>
        <w:spacing w:line="440" w:lineRule="exact"/>
        <w:jc w:val="right"/>
        <w:rPr>
          <w:rFonts w:hint="eastAsia"/>
          <w:color w:val="auto"/>
          <w:szCs w:val="21"/>
        </w:rPr>
      </w:pPr>
    </w:p>
    <w:p w14:paraId="52706758">
      <w:pPr>
        <w:spacing w:line="440" w:lineRule="exact"/>
        <w:jc w:val="right"/>
        <w:rPr>
          <w:rFonts w:hint="eastAsia"/>
          <w:color w:val="auto"/>
          <w:szCs w:val="21"/>
        </w:rPr>
      </w:pPr>
    </w:p>
    <w:p w14:paraId="702EE295">
      <w:pPr>
        <w:spacing w:line="440" w:lineRule="exact"/>
        <w:jc w:val="right"/>
        <w:rPr>
          <w:rFonts w:hint="eastAsia"/>
          <w:color w:val="auto"/>
          <w:szCs w:val="21"/>
        </w:rPr>
      </w:pPr>
    </w:p>
    <w:p w14:paraId="41180DF7">
      <w:pPr>
        <w:spacing w:line="440" w:lineRule="exact"/>
        <w:jc w:val="left"/>
        <w:rPr>
          <w:rFonts w:hint="eastAsia"/>
          <w:color w:val="auto"/>
          <w:szCs w:val="21"/>
        </w:rPr>
      </w:pPr>
    </w:p>
    <w:p w14:paraId="476E1BEF">
      <w:pPr>
        <w:pStyle w:val="4"/>
        <w:spacing w:before="120"/>
        <w:rPr>
          <w:rFonts w:hint="eastAsia"/>
          <w:color w:val="auto"/>
          <w:sz w:val="24"/>
        </w:rPr>
      </w:pPr>
      <w:bookmarkStart w:id="829" w:name="_Toc154063455"/>
      <w:bookmarkStart w:id="830" w:name="_Toc30541"/>
      <w:bookmarkStart w:id="831" w:name="_Toc32459"/>
      <w:bookmarkStart w:id="832" w:name="_Toc426495824"/>
      <w:bookmarkStart w:id="833" w:name="_Toc12206"/>
      <w:bookmarkStart w:id="834" w:name="_Toc456173265"/>
      <w:bookmarkStart w:id="835" w:name="_Toc519085343"/>
      <w:bookmarkStart w:id="836" w:name="_Toc12514"/>
      <w:r>
        <w:rPr>
          <w:rFonts w:hint="eastAsia"/>
          <w:color w:val="auto"/>
          <w:sz w:val="24"/>
        </w:rPr>
        <w:t>附表十：异议函</w:t>
      </w:r>
      <w:bookmarkEnd w:id="829"/>
      <w:bookmarkEnd w:id="830"/>
      <w:bookmarkEnd w:id="831"/>
      <w:bookmarkEnd w:id="832"/>
      <w:bookmarkEnd w:id="833"/>
      <w:bookmarkEnd w:id="834"/>
      <w:bookmarkEnd w:id="835"/>
      <w:bookmarkEnd w:id="836"/>
    </w:p>
    <w:p w14:paraId="57870F10">
      <w:pPr>
        <w:spacing w:line="720" w:lineRule="auto"/>
        <w:jc w:val="center"/>
        <w:rPr>
          <w:rFonts w:hint="eastAsia" w:ascii="仿宋_GB2312" w:eastAsia="仿宋_GB2312"/>
          <w:b/>
          <w:color w:val="auto"/>
          <w:sz w:val="28"/>
          <w:szCs w:val="28"/>
        </w:rPr>
      </w:pPr>
    </w:p>
    <w:p w14:paraId="7BB8A26E">
      <w:pPr>
        <w:spacing w:before="240" w:beforeLines="100" w:after="240" w:afterLines="100" w:line="480" w:lineRule="exact"/>
        <w:jc w:val="center"/>
        <w:rPr>
          <w:rFonts w:hint="eastAsia" w:ascii="黑体" w:eastAsia="黑体"/>
          <w:color w:val="auto"/>
          <w:sz w:val="28"/>
          <w:szCs w:val="28"/>
        </w:rPr>
      </w:pPr>
      <w:r>
        <w:rPr>
          <w:rFonts w:hint="eastAsia" w:ascii="黑体" w:eastAsia="黑体"/>
          <w:color w:val="auto"/>
          <w:sz w:val="28"/>
          <w:szCs w:val="28"/>
        </w:rPr>
        <w:t>异议函</w:t>
      </w:r>
    </w:p>
    <w:p w14:paraId="6C417AE3">
      <w:pPr>
        <w:spacing w:line="360" w:lineRule="auto"/>
        <w:ind w:firstLine="420"/>
        <w:rPr>
          <w:rFonts w:hint="eastAsia" w:ascii="宋体" w:hAnsi="宋体"/>
          <w:color w:val="auto"/>
          <w:szCs w:val="21"/>
        </w:rPr>
      </w:pPr>
    </w:p>
    <w:p w14:paraId="343B2623">
      <w:pPr>
        <w:spacing w:line="360" w:lineRule="auto"/>
        <w:ind w:firstLine="420"/>
        <w:rPr>
          <w:rFonts w:hint="eastAsia" w:ascii="宋体" w:hAnsi="宋体"/>
          <w:color w:val="auto"/>
          <w:szCs w:val="21"/>
        </w:rPr>
      </w:pPr>
      <w:r>
        <w:rPr>
          <w:rFonts w:hint="eastAsia" w:ascii="宋体" w:hAnsi="宋体"/>
          <w:color w:val="auto"/>
          <w:szCs w:val="21"/>
        </w:rPr>
        <w:t xml:space="preserve">                                                              编号：</w:t>
      </w:r>
      <w:r>
        <w:rPr>
          <w:rFonts w:hint="eastAsia" w:ascii="宋体" w:hAnsi="宋体"/>
          <w:color w:val="auto"/>
          <w:szCs w:val="21"/>
          <w:u w:val="single"/>
        </w:rPr>
        <w:t>　        　</w:t>
      </w:r>
    </w:p>
    <w:p w14:paraId="6173F88F">
      <w:pPr>
        <w:spacing w:line="360" w:lineRule="auto"/>
        <w:rPr>
          <w:rFonts w:hint="eastAsia" w:ascii="宋体" w:hAnsi="宋体"/>
          <w:color w:val="auto"/>
          <w:szCs w:val="21"/>
        </w:rPr>
      </w:pPr>
      <w:r>
        <w:rPr>
          <w:rFonts w:hint="eastAsia" w:ascii="宋体" w:hAnsi="宋体"/>
          <w:color w:val="auto"/>
          <w:szCs w:val="21"/>
          <w:u w:val="single"/>
        </w:rPr>
        <w:t>　　　　   　　　　</w:t>
      </w:r>
      <w:r>
        <w:rPr>
          <w:rFonts w:hint="eastAsia" w:ascii="宋体" w:hAnsi="宋体"/>
          <w:color w:val="auto"/>
          <w:szCs w:val="21"/>
        </w:rPr>
        <w:t>(招标人名称)：</w:t>
      </w:r>
    </w:p>
    <w:p w14:paraId="615511A0">
      <w:pPr>
        <w:spacing w:line="360" w:lineRule="auto"/>
        <w:ind w:firstLine="420"/>
        <w:rPr>
          <w:rFonts w:hint="eastAsia" w:ascii="宋体" w:hAnsi="宋体"/>
          <w:color w:val="auto"/>
          <w:szCs w:val="21"/>
        </w:rPr>
      </w:pPr>
      <w:r>
        <w:rPr>
          <w:rFonts w:hint="eastAsia" w:ascii="宋体" w:hAnsi="宋体"/>
          <w:color w:val="auto"/>
          <w:szCs w:val="21"/>
        </w:rPr>
        <w:t>我方已研究（看到）你方发出的</w:t>
      </w:r>
      <w:r>
        <w:rPr>
          <w:rFonts w:hint="eastAsia" w:ascii="宋体" w:hAnsi="宋体"/>
          <w:color w:val="auto"/>
          <w:u w:val="single"/>
        </w:rPr>
        <w:t xml:space="preserve">       </w:t>
      </w:r>
      <w:r>
        <w:rPr>
          <w:rFonts w:hint="eastAsia" w:ascii="宋体" w:hAnsi="宋体"/>
          <w:color w:val="auto"/>
        </w:rPr>
        <w:t>（项目名称）</w:t>
      </w:r>
      <w:r>
        <w:rPr>
          <w:rFonts w:hint="eastAsia" w:ascii="宋体" w:hAnsi="宋体"/>
          <w:color w:val="auto"/>
          <w:u w:val="single"/>
        </w:rPr>
        <w:t xml:space="preserve">    </w:t>
      </w:r>
      <w:r>
        <w:rPr>
          <w:rFonts w:hint="eastAsia" w:ascii="宋体" w:hAnsi="宋体"/>
          <w:color w:val="auto"/>
        </w:rPr>
        <w:t>（标段名称）</w:t>
      </w:r>
      <w:r>
        <w:rPr>
          <w:rFonts w:hint="eastAsia" w:ascii="宋体" w:hAnsi="宋体"/>
          <w:color w:val="auto"/>
          <w:szCs w:val="21"/>
        </w:rPr>
        <w:t>工程总承包招标文件（或评标结果公示），现对下列问题提出异议，请予以解释：</w:t>
      </w:r>
    </w:p>
    <w:p w14:paraId="4E8C3996">
      <w:pPr>
        <w:spacing w:line="360" w:lineRule="auto"/>
        <w:ind w:firstLine="420"/>
        <w:rPr>
          <w:color w:val="auto"/>
          <w:szCs w:val="21"/>
        </w:rPr>
      </w:pPr>
      <w:r>
        <w:rPr>
          <w:color w:val="auto"/>
          <w:szCs w:val="21"/>
        </w:rPr>
        <w:t>　　1</w:t>
      </w:r>
      <w:r>
        <w:rPr>
          <w:rFonts w:hint="eastAsia"/>
          <w:color w:val="auto"/>
          <w:szCs w:val="21"/>
        </w:rPr>
        <w:t>.……</w:t>
      </w:r>
    </w:p>
    <w:p w14:paraId="5248D25C">
      <w:pPr>
        <w:spacing w:line="360" w:lineRule="auto"/>
        <w:ind w:firstLine="420"/>
        <w:rPr>
          <w:color w:val="auto"/>
          <w:szCs w:val="21"/>
        </w:rPr>
      </w:pPr>
      <w:r>
        <w:rPr>
          <w:color w:val="auto"/>
          <w:szCs w:val="21"/>
        </w:rPr>
        <w:t>　　2</w:t>
      </w:r>
      <w:r>
        <w:rPr>
          <w:rFonts w:hint="eastAsia"/>
          <w:color w:val="auto"/>
          <w:szCs w:val="21"/>
        </w:rPr>
        <w:t>.……</w:t>
      </w:r>
    </w:p>
    <w:p w14:paraId="5D792F5B">
      <w:pPr>
        <w:spacing w:line="360" w:lineRule="auto"/>
        <w:ind w:firstLine="420"/>
        <w:rPr>
          <w:rFonts w:hint="eastAsia" w:ascii="宋体" w:hAnsi="宋体"/>
          <w:color w:val="auto"/>
          <w:szCs w:val="21"/>
        </w:rPr>
      </w:pPr>
    </w:p>
    <w:p w14:paraId="5BED1C87">
      <w:pPr>
        <w:spacing w:line="360" w:lineRule="auto"/>
        <w:ind w:firstLine="420"/>
        <w:rPr>
          <w:rFonts w:hint="eastAsia" w:ascii="宋体" w:hAnsi="宋体"/>
          <w:color w:val="auto"/>
          <w:szCs w:val="21"/>
        </w:rPr>
      </w:pPr>
    </w:p>
    <w:p w14:paraId="516FF29B">
      <w:pPr>
        <w:spacing w:line="360" w:lineRule="auto"/>
        <w:rPr>
          <w:rFonts w:hint="eastAsia" w:ascii="宋体" w:hAnsi="宋体"/>
          <w:color w:val="auto"/>
          <w:szCs w:val="21"/>
        </w:rPr>
      </w:pPr>
    </w:p>
    <w:p w14:paraId="3E6E79F6">
      <w:pPr>
        <w:spacing w:line="360" w:lineRule="auto"/>
        <w:ind w:firstLine="420"/>
        <w:jc w:val="right"/>
        <w:rPr>
          <w:rFonts w:hint="eastAsia" w:ascii="宋体" w:hAnsi="宋体"/>
          <w:color w:val="auto"/>
          <w:szCs w:val="21"/>
        </w:rPr>
      </w:pPr>
      <w:r>
        <w:rPr>
          <w:rFonts w:hint="eastAsia" w:ascii="宋体" w:hAnsi="宋体"/>
          <w:color w:val="auto"/>
          <w:szCs w:val="21"/>
        </w:rPr>
        <w:t>　　　　　　　　　　　　　　　投标人或利害关系人：</w:t>
      </w:r>
      <w:r>
        <w:rPr>
          <w:rFonts w:hint="eastAsia" w:ascii="宋体" w:hAnsi="宋体"/>
          <w:color w:val="auto"/>
          <w:szCs w:val="21"/>
          <w:u w:val="single"/>
        </w:rPr>
        <w:t xml:space="preserve">　　        　  </w:t>
      </w:r>
      <w:r>
        <w:rPr>
          <w:rFonts w:hint="eastAsia" w:ascii="宋体" w:hAnsi="宋体"/>
          <w:color w:val="auto"/>
          <w:szCs w:val="21"/>
        </w:rPr>
        <w:t>(盖单位章)</w:t>
      </w:r>
    </w:p>
    <w:p w14:paraId="493C3F0E">
      <w:pPr>
        <w:wordWrap w:val="0"/>
        <w:spacing w:line="360" w:lineRule="auto"/>
        <w:ind w:firstLine="420"/>
        <w:jc w:val="right"/>
        <w:rPr>
          <w:rFonts w:hint="eastAsia" w:ascii="宋体" w:hAnsi="宋体"/>
          <w:color w:val="auto"/>
          <w:szCs w:val="21"/>
        </w:rPr>
      </w:pPr>
      <w:r>
        <w:rPr>
          <w:rFonts w:hint="eastAsia" w:ascii="宋体" w:hAnsi="宋体"/>
          <w:color w:val="auto"/>
          <w:szCs w:val="21"/>
        </w:rPr>
        <w:t>　　　　　　　　　　　　　　　法定代表人：</w:t>
      </w:r>
      <w:r>
        <w:rPr>
          <w:rFonts w:hint="eastAsia" w:ascii="宋体" w:hAnsi="宋体"/>
          <w:color w:val="auto"/>
          <w:szCs w:val="21"/>
          <w:u w:val="single"/>
        </w:rPr>
        <w:t>　　             　　　　　</w:t>
      </w:r>
      <w:r>
        <w:rPr>
          <w:rFonts w:hint="eastAsia" w:ascii="宋体" w:hAnsi="宋体"/>
          <w:color w:val="auto"/>
          <w:szCs w:val="21"/>
        </w:rPr>
        <w:t>(签字)</w:t>
      </w:r>
    </w:p>
    <w:p w14:paraId="59F818EC">
      <w:pPr>
        <w:spacing w:line="360" w:lineRule="auto"/>
        <w:ind w:firstLine="420"/>
        <w:jc w:val="right"/>
        <w:rPr>
          <w:rFonts w:hint="eastAsia" w:ascii="宋体" w:hAnsi="宋体"/>
          <w:color w:val="auto"/>
          <w:szCs w:val="21"/>
        </w:rPr>
      </w:pPr>
      <w:r>
        <w:rPr>
          <w:rFonts w:hint="eastAsia" w:ascii="宋体" w:hAnsi="宋体"/>
          <w:color w:val="auto"/>
          <w:szCs w:val="21"/>
        </w:rPr>
        <w:t xml:space="preserve">　　　　　　　　　　　　　　　　　　　　　　　　   </w:t>
      </w:r>
      <w:r>
        <w:rPr>
          <w:rFonts w:hint="eastAsia" w:ascii="宋体" w:hAnsi="宋体"/>
          <w:color w:val="auto"/>
          <w:szCs w:val="21"/>
          <w:u w:val="single"/>
        </w:rPr>
        <w:t>　　  　　</w:t>
      </w:r>
      <w:r>
        <w:rPr>
          <w:rFonts w:hint="eastAsia" w:ascii="宋体" w:hAnsi="宋体"/>
          <w:color w:val="auto"/>
          <w:szCs w:val="21"/>
        </w:rPr>
        <w:t>年</w:t>
      </w:r>
      <w:r>
        <w:rPr>
          <w:rFonts w:hint="eastAsia" w:ascii="宋体" w:hAnsi="宋体"/>
          <w:color w:val="auto"/>
          <w:szCs w:val="21"/>
          <w:u w:val="single"/>
        </w:rPr>
        <w:t>　　</w:t>
      </w:r>
      <w:r>
        <w:rPr>
          <w:rFonts w:hint="eastAsia" w:ascii="宋体" w:hAnsi="宋体"/>
          <w:color w:val="auto"/>
          <w:szCs w:val="21"/>
        </w:rPr>
        <w:t>月</w:t>
      </w:r>
      <w:r>
        <w:rPr>
          <w:rFonts w:hint="eastAsia" w:ascii="宋体" w:hAnsi="宋体"/>
          <w:color w:val="auto"/>
          <w:szCs w:val="21"/>
          <w:u w:val="single"/>
        </w:rPr>
        <w:t>　　</w:t>
      </w:r>
      <w:r>
        <w:rPr>
          <w:rFonts w:hint="eastAsia" w:ascii="宋体" w:hAnsi="宋体"/>
          <w:color w:val="auto"/>
          <w:szCs w:val="21"/>
        </w:rPr>
        <w:t>日</w:t>
      </w:r>
    </w:p>
    <w:p w14:paraId="261667BD">
      <w:pPr>
        <w:spacing w:line="560" w:lineRule="exact"/>
        <w:rPr>
          <w:rFonts w:hint="eastAsia"/>
          <w:color w:val="auto"/>
          <w:szCs w:val="21"/>
        </w:rPr>
      </w:pPr>
    </w:p>
    <w:p w14:paraId="5DEA3930">
      <w:pPr>
        <w:ind w:firstLine="420"/>
        <w:jc w:val="right"/>
        <w:rPr>
          <w:rFonts w:hint="eastAsia" w:ascii="仿宋_GB2312" w:eastAsia="仿宋_GB2312"/>
          <w:color w:val="auto"/>
          <w:szCs w:val="21"/>
        </w:rPr>
      </w:pPr>
    </w:p>
    <w:p w14:paraId="7E22EB32">
      <w:pPr>
        <w:ind w:firstLine="420"/>
        <w:jc w:val="right"/>
        <w:rPr>
          <w:rFonts w:hint="eastAsia" w:ascii="仿宋_GB2312" w:eastAsia="仿宋_GB2312"/>
          <w:color w:val="auto"/>
          <w:szCs w:val="21"/>
        </w:rPr>
      </w:pPr>
    </w:p>
    <w:p w14:paraId="337DD468">
      <w:pPr>
        <w:ind w:firstLine="420"/>
        <w:jc w:val="right"/>
        <w:rPr>
          <w:rFonts w:hint="eastAsia" w:ascii="仿宋_GB2312" w:eastAsia="仿宋_GB2312"/>
          <w:color w:val="auto"/>
          <w:szCs w:val="21"/>
        </w:rPr>
      </w:pPr>
    </w:p>
    <w:p w14:paraId="4E332A56">
      <w:pPr>
        <w:ind w:firstLine="420"/>
        <w:jc w:val="right"/>
        <w:rPr>
          <w:rFonts w:hint="eastAsia" w:ascii="仿宋_GB2312" w:eastAsia="仿宋_GB2312"/>
          <w:color w:val="auto"/>
          <w:szCs w:val="21"/>
        </w:rPr>
      </w:pPr>
    </w:p>
    <w:p w14:paraId="31F4DFDA">
      <w:pPr>
        <w:ind w:firstLine="420"/>
        <w:jc w:val="right"/>
        <w:rPr>
          <w:rFonts w:hint="eastAsia" w:ascii="仿宋_GB2312" w:eastAsia="仿宋_GB2312"/>
          <w:color w:val="auto"/>
          <w:szCs w:val="21"/>
        </w:rPr>
      </w:pPr>
    </w:p>
    <w:p w14:paraId="4CC463E5">
      <w:pPr>
        <w:ind w:left="630" w:hanging="630" w:hangingChars="300"/>
        <w:rPr>
          <w:rFonts w:hint="eastAsia"/>
          <w:color w:val="auto"/>
          <w:szCs w:val="21"/>
        </w:rPr>
      </w:pPr>
      <w:r>
        <w:rPr>
          <w:rFonts w:hint="eastAsia" w:ascii="宋体" w:hAnsi="宋体"/>
          <w:color w:val="auto"/>
          <w:szCs w:val="21"/>
        </w:rPr>
        <w:t>备注</w:t>
      </w:r>
      <w:r>
        <w:rPr>
          <w:rFonts w:hint="eastAsia"/>
          <w:color w:val="auto"/>
        </w:rPr>
        <w:t>：</w:t>
      </w:r>
      <w:r>
        <w:rPr>
          <w:rFonts w:hint="eastAsia"/>
          <w:color w:val="auto"/>
          <w:szCs w:val="21"/>
        </w:rPr>
        <w:t>投标人或利害关系人对招标文件的内容或对</w:t>
      </w:r>
      <w:r>
        <w:rPr>
          <w:rFonts w:hint="eastAsia"/>
          <w:color w:val="auto"/>
        </w:rPr>
        <w:t>评标结果有异议，</w:t>
      </w:r>
      <w:r>
        <w:rPr>
          <w:rFonts w:hint="eastAsia"/>
          <w:color w:val="auto"/>
          <w:szCs w:val="21"/>
        </w:rPr>
        <w:t>要求招标人解释的，适用本格式。</w:t>
      </w:r>
    </w:p>
    <w:p w14:paraId="64A55307">
      <w:pPr>
        <w:ind w:left="630" w:hanging="630" w:hangingChars="300"/>
        <w:rPr>
          <w:rFonts w:hint="eastAsia"/>
          <w:color w:val="auto"/>
          <w:szCs w:val="21"/>
        </w:rPr>
      </w:pPr>
    </w:p>
    <w:p w14:paraId="5E8B559A">
      <w:pPr>
        <w:ind w:left="630" w:hanging="630" w:hangingChars="300"/>
        <w:rPr>
          <w:rFonts w:hint="eastAsia"/>
          <w:color w:val="auto"/>
          <w:szCs w:val="21"/>
        </w:rPr>
      </w:pPr>
    </w:p>
    <w:p w14:paraId="520ED76F">
      <w:pPr>
        <w:ind w:left="630" w:hanging="630" w:hangingChars="300"/>
        <w:rPr>
          <w:rFonts w:hint="eastAsia"/>
          <w:color w:val="auto"/>
          <w:szCs w:val="21"/>
        </w:rPr>
      </w:pPr>
    </w:p>
    <w:p w14:paraId="7A44112E">
      <w:pPr>
        <w:ind w:left="630" w:hanging="630" w:hangingChars="300"/>
        <w:rPr>
          <w:rFonts w:hint="eastAsia"/>
          <w:color w:val="auto"/>
          <w:szCs w:val="21"/>
        </w:rPr>
      </w:pPr>
    </w:p>
    <w:p w14:paraId="1E51E0EB">
      <w:pPr>
        <w:ind w:left="630" w:hanging="630" w:hangingChars="300"/>
        <w:rPr>
          <w:rFonts w:hint="eastAsia"/>
          <w:color w:val="auto"/>
          <w:szCs w:val="21"/>
        </w:rPr>
      </w:pPr>
    </w:p>
    <w:p w14:paraId="04C3F03F">
      <w:pPr>
        <w:ind w:left="630" w:hanging="630" w:hangingChars="300"/>
        <w:rPr>
          <w:rFonts w:hint="eastAsia"/>
          <w:color w:val="auto"/>
          <w:szCs w:val="21"/>
        </w:rPr>
      </w:pPr>
    </w:p>
    <w:p w14:paraId="088409C3">
      <w:pPr>
        <w:ind w:left="630" w:hanging="630" w:hangingChars="300"/>
        <w:rPr>
          <w:rFonts w:hint="eastAsia"/>
          <w:color w:val="auto"/>
          <w:szCs w:val="21"/>
        </w:rPr>
      </w:pPr>
    </w:p>
    <w:p w14:paraId="05873657">
      <w:pPr>
        <w:ind w:left="630" w:hanging="630" w:hangingChars="300"/>
        <w:rPr>
          <w:rFonts w:hint="eastAsia"/>
          <w:color w:val="auto"/>
          <w:szCs w:val="21"/>
        </w:rPr>
      </w:pPr>
    </w:p>
    <w:p w14:paraId="1F1B4CC7">
      <w:pPr>
        <w:ind w:left="630" w:hanging="630" w:hangingChars="300"/>
        <w:rPr>
          <w:rFonts w:hint="eastAsia"/>
          <w:color w:val="auto"/>
          <w:szCs w:val="21"/>
        </w:rPr>
      </w:pPr>
    </w:p>
    <w:p w14:paraId="306C0ED3">
      <w:pPr>
        <w:ind w:left="630" w:hanging="630" w:hangingChars="300"/>
        <w:rPr>
          <w:rFonts w:hint="eastAsia"/>
          <w:color w:val="auto"/>
          <w:szCs w:val="21"/>
        </w:rPr>
      </w:pPr>
    </w:p>
    <w:p w14:paraId="4AA499FA">
      <w:pPr>
        <w:ind w:left="630" w:hanging="630" w:hangingChars="300"/>
        <w:rPr>
          <w:color w:val="auto"/>
          <w:szCs w:val="21"/>
        </w:rPr>
      </w:pPr>
    </w:p>
    <w:p w14:paraId="7A2D4130">
      <w:pPr>
        <w:pStyle w:val="4"/>
        <w:spacing w:before="120"/>
        <w:rPr>
          <w:rFonts w:hint="eastAsia"/>
          <w:color w:val="auto"/>
          <w:sz w:val="24"/>
        </w:rPr>
      </w:pPr>
      <w:bookmarkStart w:id="837" w:name="_Toc426495825"/>
      <w:bookmarkStart w:id="838" w:name="_Toc519085344"/>
      <w:bookmarkStart w:id="839" w:name="_Toc353544011"/>
      <w:bookmarkStart w:id="840" w:name="_Toc9672"/>
      <w:bookmarkStart w:id="841" w:name="_Toc24384"/>
      <w:bookmarkStart w:id="842" w:name="_Toc154063456"/>
      <w:bookmarkStart w:id="843" w:name="_Toc456173266"/>
      <w:r>
        <w:rPr>
          <w:rFonts w:hint="eastAsia"/>
          <w:color w:val="auto"/>
          <w:sz w:val="24"/>
        </w:rPr>
        <w:t>附表十一：异议答复函</w:t>
      </w:r>
      <w:bookmarkEnd w:id="837"/>
      <w:bookmarkEnd w:id="838"/>
      <w:bookmarkEnd w:id="839"/>
      <w:bookmarkEnd w:id="840"/>
      <w:bookmarkEnd w:id="841"/>
      <w:bookmarkEnd w:id="842"/>
      <w:bookmarkEnd w:id="843"/>
    </w:p>
    <w:p w14:paraId="381AE7FF">
      <w:pPr>
        <w:jc w:val="center"/>
        <w:rPr>
          <w:rFonts w:hint="eastAsia" w:hAnsi="黑体" w:eastAsia="黑体"/>
          <w:b/>
          <w:color w:val="auto"/>
          <w:sz w:val="28"/>
          <w:szCs w:val="28"/>
        </w:rPr>
      </w:pPr>
    </w:p>
    <w:p w14:paraId="26AAB4CE">
      <w:pPr>
        <w:jc w:val="center"/>
        <w:rPr>
          <w:rFonts w:hint="eastAsia" w:hAnsi="黑体" w:eastAsia="黑体"/>
          <w:b/>
          <w:color w:val="auto"/>
          <w:sz w:val="28"/>
          <w:szCs w:val="28"/>
        </w:rPr>
      </w:pPr>
    </w:p>
    <w:p w14:paraId="16E35B93">
      <w:pPr>
        <w:jc w:val="center"/>
        <w:rPr>
          <w:rFonts w:hint="eastAsia" w:hAnsi="黑体" w:eastAsia="黑体"/>
          <w:b/>
          <w:color w:val="auto"/>
          <w:sz w:val="28"/>
          <w:szCs w:val="28"/>
        </w:rPr>
      </w:pPr>
    </w:p>
    <w:p w14:paraId="3FB57AA7">
      <w:pPr>
        <w:spacing w:before="240" w:beforeLines="100" w:after="240" w:afterLines="100" w:line="480" w:lineRule="exact"/>
        <w:jc w:val="center"/>
        <w:rPr>
          <w:rFonts w:hint="eastAsia" w:ascii="黑体" w:eastAsia="黑体"/>
          <w:color w:val="auto"/>
          <w:sz w:val="28"/>
          <w:szCs w:val="28"/>
        </w:rPr>
      </w:pPr>
      <w:r>
        <w:rPr>
          <w:rFonts w:hint="eastAsia" w:ascii="黑体" w:eastAsia="黑体"/>
          <w:color w:val="auto"/>
          <w:sz w:val="28"/>
          <w:szCs w:val="28"/>
        </w:rPr>
        <w:t>异议答复函</w:t>
      </w:r>
    </w:p>
    <w:p w14:paraId="6766A87D">
      <w:pPr>
        <w:spacing w:line="360" w:lineRule="auto"/>
        <w:ind w:firstLine="420"/>
        <w:rPr>
          <w:rFonts w:hint="eastAsia" w:ascii="宋体" w:hAnsi="宋体"/>
          <w:color w:val="auto"/>
          <w:szCs w:val="21"/>
        </w:rPr>
      </w:pPr>
    </w:p>
    <w:p w14:paraId="3CDF7BBF">
      <w:pPr>
        <w:spacing w:line="360" w:lineRule="auto"/>
        <w:ind w:firstLine="420"/>
        <w:rPr>
          <w:rFonts w:hint="eastAsia" w:ascii="宋体" w:hAnsi="宋体"/>
          <w:color w:val="auto"/>
          <w:szCs w:val="21"/>
        </w:rPr>
      </w:pPr>
      <w:r>
        <w:rPr>
          <w:rFonts w:hint="eastAsia" w:ascii="宋体" w:hAnsi="宋体"/>
          <w:color w:val="auto"/>
          <w:szCs w:val="21"/>
        </w:rPr>
        <w:t xml:space="preserve">                                                          编号：</w:t>
      </w:r>
      <w:r>
        <w:rPr>
          <w:rFonts w:hint="eastAsia" w:ascii="宋体" w:hAnsi="宋体"/>
          <w:color w:val="auto"/>
          <w:szCs w:val="21"/>
          <w:u w:val="single"/>
        </w:rPr>
        <w:t>　        　</w:t>
      </w:r>
    </w:p>
    <w:p w14:paraId="545DF122">
      <w:pPr>
        <w:spacing w:line="360" w:lineRule="auto"/>
        <w:rPr>
          <w:rFonts w:hint="eastAsia" w:ascii="宋体" w:hAnsi="宋体"/>
          <w:color w:val="auto"/>
          <w:szCs w:val="21"/>
        </w:rPr>
      </w:pPr>
      <w:r>
        <w:rPr>
          <w:rFonts w:hint="eastAsia" w:ascii="宋体" w:hAnsi="宋体"/>
          <w:color w:val="auto"/>
          <w:szCs w:val="21"/>
          <w:u w:val="single"/>
        </w:rPr>
        <w:t>　　　　   　　　　</w:t>
      </w:r>
      <w:r>
        <w:rPr>
          <w:rFonts w:hint="eastAsia" w:ascii="宋体" w:hAnsi="宋体"/>
          <w:color w:val="auto"/>
          <w:szCs w:val="21"/>
        </w:rPr>
        <w:t>(投标人或利害关系人名称)：</w:t>
      </w:r>
    </w:p>
    <w:p w14:paraId="46925347">
      <w:pPr>
        <w:spacing w:line="360" w:lineRule="auto"/>
        <w:ind w:firstLine="420"/>
        <w:rPr>
          <w:rFonts w:hint="eastAsia" w:ascii="宋体" w:hAnsi="宋体"/>
          <w:color w:val="auto"/>
          <w:szCs w:val="21"/>
        </w:rPr>
      </w:pPr>
      <w:r>
        <w:rPr>
          <w:rFonts w:hint="eastAsia" w:ascii="宋体" w:hAnsi="宋体"/>
          <w:color w:val="auto"/>
          <w:szCs w:val="21"/>
        </w:rPr>
        <w:t>你方提出的有关</w:t>
      </w:r>
      <w:r>
        <w:rPr>
          <w:rFonts w:hint="eastAsia" w:ascii="宋体" w:hAnsi="宋体"/>
          <w:color w:val="auto"/>
          <w:u w:val="single"/>
        </w:rPr>
        <w:t xml:space="preserve">       </w:t>
      </w:r>
      <w:r>
        <w:rPr>
          <w:rFonts w:hint="eastAsia" w:ascii="宋体" w:hAnsi="宋体"/>
          <w:color w:val="auto"/>
        </w:rPr>
        <w:t>（项目名称）</w:t>
      </w:r>
      <w:r>
        <w:rPr>
          <w:rFonts w:hint="eastAsia" w:ascii="宋体" w:hAnsi="宋体"/>
          <w:color w:val="auto"/>
          <w:u w:val="single"/>
        </w:rPr>
        <w:t xml:space="preserve">    </w:t>
      </w:r>
      <w:r>
        <w:rPr>
          <w:rFonts w:hint="eastAsia" w:ascii="宋体" w:hAnsi="宋体"/>
          <w:color w:val="auto"/>
        </w:rPr>
        <w:t>（标段名称）</w:t>
      </w:r>
      <w:r>
        <w:rPr>
          <w:rFonts w:hint="eastAsia" w:ascii="宋体" w:hAnsi="宋体"/>
          <w:color w:val="auto"/>
          <w:szCs w:val="21"/>
        </w:rPr>
        <w:t>工程总承包招标文件（或评标结果公示）的异议</w:t>
      </w:r>
      <w:r>
        <w:rPr>
          <w:rFonts w:ascii="宋体" w:hAnsi="宋体"/>
          <w:color w:val="auto"/>
          <w:szCs w:val="21"/>
        </w:rPr>
        <w:t>已收悉</w:t>
      </w:r>
      <w:r>
        <w:rPr>
          <w:rFonts w:hint="eastAsia" w:ascii="宋体" w:hAnsi="宋体"/>
          <w:color w:val="auto"/>
          <w:szCs w:val="21"/>
        </w:rPr>
        <w:t>，</w:t>
      </w:r>
      <w:r>
        <w:rPr>
          <w:rFonts w:ascii="宋体" w:hAnsi="宋体"/>
          <w:color w:val="auto"/>
          <w:szCs w:val="21"/>
        </w:rPr>
        <w:t>现</w:t>
      </w:r>
      <w:r>
        <w:rPr>
          <w:rFonts w:hint="eastAsia" w:ascii="宋体" w:hAnsi="宋体"/>
          <w:color w:val="auto"/>
          <w:szCs w:val="21"/>
        </w:rPr>
        <w:t>答复如下：</w:t>
      </w:r>
    </w:p>
    <w:p w14:paraId="4A7427B6">
      <w:pPr>
        <w:spacing w:line="360" w:lineRule="auto"/>
        <w:ind w:firstLine="420"/>
        <w:rPr>
          <w:rFonts w:hint="eastAsia" w:ascii="宋体" w:hAnsi="宋体"/>
          <w:color w:val="auto"/>
          <w:szCs w:val="21"/>
        </w:rPr>
      </w:pPr>
      <w:r>
        <w:rPr>
          <w:rFonts w:hint="eastAsia"/>
          <w:color w:val="auto"/>
          <w:szCs w:val="21"/>
        </w:rPr>
        <w:t>1</w:t>
      </w:r>
      <w:r>
        <w:rPr>
          <w:rFonts w:hint="eastAsia" w:ascii="宋体" w:hAnsi="宋体"/>
          <w:color w:val="auto"/>
          <w:szCs w:val="21"/>
        </w:rPr>
        <w:t>.……</w:t>
      </w:r>
    </w:p>
    <w:p w14:paraId="3BA4F01D">
      <w:pPr>
        <w:spacing w:line="360" w:lineRule="auto"/>
        <w:ind w:firstLine="420"/>
        <w:rPr>
          <w:rFonts w:hint="eastAsia" w:ascii="宋体" w:hAnsi="宋体"/>
          <w:color w:val="auto"/>
          <w:szCs w:val="21"/>
        </w:rPr>
      </w:pPr>
      <w:r>
        <w:rPr>
          <w:rFonts w:hint="eastAsia"/>
          <w:color w:val="auto"/>
          <w:szCs w:val="21"/>
        </w:rPr>
        <w:t>2</w:t>
      </w:r>
      <w:r>
        <w:rPr>
          <w:rFonts w:hint="eastAsia" w:ascii="宋体" w:hAnsi="宋体"/>
          <w:color w:val="auto"/>
          <w:szCs w:val="21"/>
        </w:rPr>
        <w:t>.……</w:t>
      </w:r>
    </w:p>
    <w:p w14:paraId="60EED142">
      <w:pPr>
        <w:spacing w:line="360" w:lineRule="auto"/>
        <w:ind w:firstLine="420"/>
        <w:rPr>
          <w:rFonts w:hint="eastAsia" w:ascii="宋体" w:hAnsi="宋体"/>
          <w:color w:val="auto"/>
          <w:szCs w:val="21"/>
        </w:rPr>
      </w:pPr>
      <w:r>
        <w:rPr>
          <w:rFonts w:hint="eastAsia" w:ascii="宋体" w:hAnsi="宋体"/>
          <w:color w:val="auto"/>
          <w:szCs w:val="21"/>
        </w:rPr>
        <w:t>……</w:t>
      </w:r>
    </w:p>
    <w:p w14:paraId="1D5AD011">
      <w:pPr>
        <w:spacing w:line="360" w:lineRule="auto"/>
        <w:ind w:firstLine="420"/>
        <w:rPr>
          <w:rFonts w:hint="eastAsia" w:ascii="宋体" w:hAnsi="宋体"/>
          <w:color w:val="auto"/>
          <w:szCs w:val="21"/>
        </w:rPr>
      </w:pPr>
    </w:p>
    <w:p w14:paraId="46C7608F">
      <w:pPr>
        <w:spacing w:line="360" w:lineRule="auto"/>
        <w:ind w:firstLine="420"/>
        <w:rPr>
          <w:rFonts w:hint="eastAsia" w:ascii="宋体" w:hAnsi="宋体"/>
          <w:color w:val="auto"/>
          <w:szCs w:val="21"/>
        </w:rPr>
      </w:pPr>
    </w:p>
    <w:p w14:paraId="22B7334B">
      <w:pPr>
        <w:spacing w:line="360" w:lineRule="auto"/>
        <w:ind w:firstLine="420"/>
        <w:rPr>
          <w:rFonts w:hint="eastAsia" w:ascii="宋体" w:hAnsi="宋体"/>
          <w:color w:val="auto"/>
          <w:szCs w:val="21"/>
        </w:rPr>
      </w:pPr>
    </w:p>
    <w:p w14:paraId="0CD29CBC">
      <w:pPr>
        <w:spacing w:line="360" w:lineRule="auto"/>
        <w:ind w:firstLine="420"/>
        <w:rPr>
          <w:rFonts w:hint="eastAsia" w:ascii="宋体" w:hAnsi="宋体"/>
          <w:color w:val="auto"/>
          <w:szCs w:val="21"/>
        </w:rPr>
      </w:pPr>
    </w:p>
    <w:p w14:paraId="1AF6A6C5">
      <w:pPr>
        <w:spacing w:line="360" w:lineRule="auto"/>
        <w:ind w:firstLine="420"/>
        <w:rPr>
          <w:rFonts w:hint="eastAsia" w:ascii="宋体" w:hAnsi="宋体"/>
          <w:color w:val="auto"/>
          <w:szCs w:val="21"/>
        </w:rPr>
      </w:pPr>
    </w:p>
    <w:p w14:paraId="2CA3DEC3">
      <w:pPr>
        <w:spacing w:line="360" w:lineRule="auto"/>
        <w:ind w:firstLine="420"/>
        <w:rPr>
          <w:rFonts w:ascii="宋体" w:hAnsi="宋体"/>
          <w:color w:val="auto"/>
          <w:szCs w:val="21"/>
        </w:rPr>
      </w:pPr>
    </w:p>
    <w:p w14:paraId="423AF2E6">
      <w:pPr>
        <w:spacing w:line="360" w:lineRule="auto"/>
        <w:ind w:firstLine="420"/>
        <w:rPr>
          <w:rFonts w:ascii="宋体" w:hAnsi="宋体"/>
          <w:color w:val="auto"/>
          <w:szCs w:val="21"/>
        </w:rPr>
      </w:pP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招标人： </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szCs w:val="21"/>
        </w:rPr>
        <w:t xml:space="preserve"> </w:t>
      </w:r>
      <w:r>
        <w:rPr>
          <w:rFonts w:ascii="宋体" w:hAnsi="宋体"/>
          <w:color w:val="auto"/>
          <w:szCs w:val="21"/>
        </w:rPr>
        <w:t>（盖单位章）</w:t>
      </w:r>
    </w:p>
    <w:p w14:paraId="6D64E90E">
      <w:pPr>
        <w:spacing w:line="360" w:lineRule="auto"/>
        <w:ind w:firstLine="420"/>
        <w:rPr>
          <w:rFonts w:ascii="宋体" w:hAnsi="宋体"/>
          <w:color w:val="auto"/>
          <w:szCs w:val="21"/>
        </w:rPr>
      </w:pPr>
    </w:p>
    <w:p w14:paraId="1883AC03">
      <w:pPr>
        <w:spacing w:line="360" w:lineRule="auto"/>
        <w:ind w:firstLine="420"/>
        <w:rPr>
          <w:rFonts w:hint="eastAsia" w:ascii="宋体" w:hAnsi="宋体"/>
          <w:color w:val="auto"/>
          <w:szCs w:val="21"/>
        </w:rPr>
      </w:pP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年</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月</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日</w:t>
      </w:r>
      <w:r>
        <w:rPr>
          <w:rFonts w:hint="eastAsia" w:ascii="宋体" w:hAnsi="宋体"/>
          <w:color w:val="auto"/>
          <w:szCs w:val="21"/>
        </w:rPr>
        <w:t xml:space="preserve"> </w:t>
      </w:r>
    </w:p>
    <w:bookmarkEnd w:id="775"/>
    <w:bookmarkEnd w:id="776"/>
    <w:bookmarkEnd w:id="777"/>
    <w:bookmarkEnd w:id="778"/>
    <w:bookmarkEnd w:id="779"/>
    <w:p w14:paraId="459E622F">
      <w:pPr>
        <w:spacing w:line="400" w:lineRule="exact"/>
        <w:rPr>
          <w:rFonts w:hint="eastAsia"/>
          <w:color w:val="auto"/>
        </w:rPr>
      </w:pPr>
    </w:p>
    <w:p w14:paraId="23E41020">
      <w:pPr>
        <w:spacing w:line="400" w:lineRule="exact"/>
        <w:rPr>
          <w:rFonts w:hint="eastAsia"/>
          <w:color w:val="auto"/>
        </w:rPr>
      </w:pPr>
    </w:p>
    <w:p w14:paraId="6CC9D880">
      <w:pPr>
        <w:spacing w:line="400" w:lineRule="exact"/>
        <w:rPr>
          <w:rFonts w:hint="eastAsia"/>
          <w:color w:val="auto"/>
        </w:rPr>
      </w:pPr>
    </w:p>
    <w:p w14:paraId="41DDF8CE">
      <w:pPr>
        <w:spacing w:line="400" w:lineRule="exact"/>
        <w:rPr>
          <w:rFonts w:hint="eastAsia"/>
          <w:color w:val="auto"/>
        </w:rPr>
      </w:pPr>
    </w:p>
    <w:p w14:paraId="3618DC3E">
      <w:pPr>
        <w:spacing w:line="400" w:lineRule="exact"/>
        <w:rPr>
          <w:rFonts w:hint="eastAsia"/>
          <w:color w:val="auto"/>
        </w:rPr>
      </w:pPr>
    </w:p>
    <w:p w14:paraId="04967BB2">
      <w:pPr>
        <w:spacing w:line="400" w:lineRule="exact"/>
        <w:rPr>
          <w:rFonts w:hint="eastAsia"/>
          <w:color w:val="auto"/>
        </w:rPr>
      </w:pPr>
    </w:p>
    <w:p w14:paraId="1310E4ED">
      <w:pPr>
        <w:spacing w:line="400" w:lineRule="exact"/>
        <w:rPr>
          <w:rFonts w:hint="eastAsia"/>
          <w:color w:val="auto"/>
        </w:rPr>
      </w:pPr>
    </w:p>
    <w:p w14:paraId="0435718F">
      <w:pPr>
        <w:spacing w:line="400" w:lineRule="exact"/>
        <w:rPr>
          <w:rFonts w:hint="eastAsia"/>
          <w:color w:val="auto"/>
        </w:rPr>
      </w:pPr>
    </w:p>
    <w:p w14:paraId="0A505A8B">
      <w:pPr>
        <w:spacing w:line="400" w:lineRule="exact"/>
        <w:rPr>
          <w:rFonts w:hint="eastAsia"/>
          <w:color w:val="auto"/>
        </w:rPr>
      </w:pPr>
    </w:p>
    <w:p w14:paraId="755E9BBB">
      <w:pPr>
        <w:spacing w:line="400" w:lineRule="exact"/>
        <w:rPr>
          <w:rFonts w:hint="eastAsia"/>
          <w:color w:val="auto"/>
        </w:rPr>
      </w:pPr>
    </w:p>
    <w:p w14:paraId="0F7F0DE5">
      <w:pPr>
        <w:spacing w:line="400" w:lineRule="exact"/>
        <w:rPr>
          <w:rFonts w:hint="eastAsia"/>
          <w:color w:val="auto"/>
        </w:rPr>
      </w:pPr>
    </w:p>
    <w:p w14:paraId="25044CA3">
      <w:pPr>
        <w:pStyle w:val="4"/>
        <w:spacing w:before="120"/>
        <w:rPr>
          <w:color w:val="auto"/>
          <w:sz w:val="24"/>
        </w:rPr>
      </w:pPr>
      <w:bookmarkStart w:id="844" w:name="_Toc154063457"/>
      <w:bookmarkStart w:id="845" w:name="_Toc29659"/>
      <w:bookmarkStart w:id="846" w:name="_Toc25895"/>
      <w:r>
        <w:rPr>
          <w:rFonts w:hint="eastAsia" w:cs="黑体"/>
          <w:color w:val="auto"/>
          <w:sz w:val="24"/>
        </w:rPr>
        <w:t>附表十二：授权委托书</w:t>
      </w:r>
      <w:bookmarkEnd w:id="844"/>
      <w:bookmarkEnd w:id="845"/>
      <w:bookmarkEnd w:id="846"/>
    </w:p>
    <w:p w14:paraId="7D9429DB">
      <w:pPr>
        <w:spacing w:line="420" w:lineRule="exact"/>
        <w:jc w:val="center"/>
        <w:rPr>
          <w:rFonts w:hint="eastAsia" w:ascii="楷体_GB2312" w:eastAsia="楷体_GB2312" w:cs="楷体_GB2312"/>
          <w:color w:val="auto"/>
        </w:rPr>
      </w:pPr>
    </w:p>
    <w:p w14:paraId="1F2E860B">
      <w:pPr>
        <w:spacing w:before="240" w:beforeLines="100" w:after="240" w:afterLines="100" w:line="480" w:lineRule="exact"/>
        <w:jc w:val="center"/>
        <w:rPr>
          <w:rFonts w:hint="eastAsia" w:ascii="黑体" w:eastAsia="黑体" w:cs="黑体"/>
          <w:color w:val="auto"/>
          <w:sz w:val="28"/>
          <w:szCs w:val="28"/>
        </w:rPr>
      </w:pPr>
      <w:bookmarkStart w:id="847" w:name="_Toc493254945"/>
      <w:r>
        <w:rPr>
          <w:rFonts w:hint="eastAsia" w:ascii="黑体" w:eastAsia="黑体" w:cs="黑体"/>
          <w:color w:val="auto"/>
          <w:sz w:val="28"/>
          <w:szCs w:val="28"/>
          <w:lang w:bidi="ar"/>
        </w:rPr>
        <w:t>授权委托书</w:t>
      </w:r>
      <w:bookmarkEnd w:id="847"/>
    </w:p>
    <w:p w14:paraId="7BAC930B">
      <w:pPr>
        <w:spacing w:before="240" w:beforeLines="100" w:after="240" w:afterLines="100" w:line="480" w:lineRule="exact"/>
        <w:jc w:val="center"/>
        <w:rPr>
          <w:rFonts w:hint="eastAsia" w:ascii="黑体" w:hAnsi="宋体" w:cs="黑体"/>
          <w:color w:val="auto"/>
          <w:szCs w:val="28"/>
        </w:rPr>
      </w:pPr>
    </w:p>
    <w:p w14:paraId="4102B2E5">
      <w:pPr>
        <w:spacing w:line="500" w:lineRule="exact"/>
        <w:ind w:firstLine="420" w:firstLineChars="200"/>
        <w:rPr>
          <w:rFonts w:hint="eastAsia" w:ascii="宋体" w:hAnsi="宋体" w:cs="宋体"/>
          <w:color w:val="auto"/>
          <w:szCs w:val="21"/>
        </w:rPr>
      </w:pPr>
      <w:r>
        <w:rPr>
          <w:rFonts w:hint="eastAsia" w:ascii="宋体" w:hAnsi="宋体" w:cs="宋体"/>
          <w:color w:val="auto"/>
          <w:szCs w:val="21"/>
          <w:lang w:bidi="ar"/>
        </w:rPr>
        <w:t>本人</w:t>
      </w:r>
      <w:r>
        <w:rPr>
          <w:rFonts w:hint="eastAsia" w:ascii="宋体" w:hAnsi="宋体" w:cs="宋体"/>
          <w:color w:val="auto"/>
          <w:szCs w:val="21"/>
          <w:u w:val="single"/>
          <w:lang w:bidi="ar"/>
        </w:rPr>
        <w:t xml:space="preserve">     </w:t>
      </w:r>
      <w:r>
        <w:rPr>
          <w:rFonts w:hint="eastAsia" w:ascii="宋体" w:hAnsi="宋体" w:cs="宋体"/>
          <w:color w:val="auto"/>
          <w:szCs w:val="21"/>
          <w:lang w:bidi="ar"/>
        </w:rPr>
        <w:t>（姓名）系</w:t>
      </w:r>
      <w:r>
        <w:rPr>
          <w:rFonts w:hint="eastAsia" w:ascii="宋体" w:hAnsi="宋体" w:cs="宋体"/>
          <w:color w:val="auto"/>
          <w:szCs w:val="21"/>
          <w:u w:val="single"/>
          <w:lang w:bidi="ar"/>
        </w:rPr>
        <w:t xml:space="preserve">      </w:t>
      </w:r>
      <w:r>
        <w:rPr>
          <w:rFonts w:hint="eastAsia" w:ascii="宋体" w:hAnsi="宋体" w:cs="宋体"/>
          <w:color w:val="auto"/>
          <w:szCs w:val="21"/>
          <w:lang w:bidi="ar"/>
        </w:rPr>
        <w:t>（投标人名称）的法定代表人，现委托</w:t>
      </w:r>
      <w:r>
        <w:rPr>
          <w:rFonts w:hint="eastAsia" w:ascii="宋体" w:hAnsi="宋体" w:cs="宋体"/>
          <w:color w:val="auto"/>
          <w:szCs w:val="21"/>
          <w:u w:val="single"/>
          <w:lang w:bidi="ar"/>
        </w:rPr>
        <w:t xml:space="preserve">     </w:t>
      </w:r>
      <w:r>
        <w:rPr>
          <w:rFonts w:hint="eastAsia" w:ascii="宋体" w:hAnsi="宋体" w:cs="宋体"/>
          <w:color w:val="auto"/>
          <w:szCs w:val="21"/>
          <w:lang w:bidi="ar"/>
        </w:rPr>
        <w:t>（姓名）为我方代理人。代理人根据授权，以我方名义签署、澄清、说明、补正、递交、撤回、修改</w:t>
      </w:r>
      <w:r>
        <w:rPr>
          <w:rFonts w:hint="eastAsia" w:ascii="宋体" w:hAnsi="宋体" w:cs="宋体"/>
          <w:color w:val="auto"/>
          <w:szCs w:val="21"/>
          <w:u w:val="single"/>
          <w:lang w:bidi="ar"/>
        </w:rPr>
        <w:t xml:space="preserve">    </w:t>
      </w:r>
      <w:r>
        <w:rPr>
          <w:rFonts w:hint="eastAsia" w:ascii="宋体" w:hAnsi="宋体" w:cs="宋体"/>
          <w:color w:val="auto"/>
          <w:szCs w:val="21"/>
          <w:lang w:bidi="ar"/>
        </w:rPr>
        <w:t>（项目名称）</w:t>
      </w:r>
      <w:r>
        <w:rPr>
          <w:rFonts w:hint="eastAsia" w:ascii="宋体" w:hAnsi="宋体" w:cs="宋体"/>
          <w:color w:val="auto"/>
          <w:szCs w:val="21"/>
          <w:u w:val="single"/>
          <w:lang w:bidi="ar"/>
        </w:rPr>
        <w:t xml:space="preserve">     </w:t>
      </w:r>
      <w:r>
        <w:rPr>
          <w:rFonts w:hint="eastAsia" w:ascii="宋体" w:hAnsi="宋体" w:cs="宋体"/>
          <w:color w:val="auto"/>
          <w:szCs w:val="21"/>
          <w:lang w:bidi="ar"/>
        </w:rPr>
        <w:t>（标段名称）</w:t>
      </w:r>
      <w:r>
        <w:rPr>
          <w:rFonts w:hint="eastAsia" w:ascii="宋体" w:hAnsi="宋体"/>
          <w:color w:val="auto"/>
          <w:szCs w:val="21"/>
        </w:rPr>
        <w:t>工程总承包的</w:t>
      </w:r>
      <w:r>
        <w:rPr>
          <w:rFonts w:hint="eastAsia" w:ascii="宋体" w:hAnsi="宋体" w:cs="宋体"/>
          <w:color w:val="auto"/>
          <w:szCs w:val="21"/>
          <w:lang w:bidi="ar"/>
        </w:rPr>
        <w:t>投标文件、签订合同和处理有关事宜，其法律后果由我方承担。</w:t>
      </w:r>
    </w:p>
    <w:p w14:paraId="63C5B157">
      <w:pPr>
        <w:spacing w:before="120" w:beforeLines="50" w:line="500" w:lineRule="exact"/>
        <w:ind w:firstLine="420" w:firstLineChars="200"/>
        <w:rPr>
          <w:rFonts w:hint="eastAsia" w:ascii="宋体" w:hAnsi="宋体" w:cs="宋体"/>
          <w:color w:val="auto"/>
          <w:szCs w:val="21"/>
        </w:rPr>
      </w:pPr>
      <w:r>
        <w:rPr>
          <w:rFonts w:hint="eastAsia" w:ascii="宋体" w:hAnsi="宋体" w:cs="宋体"/>
          <w:color w:val="auto"/>
          <w:szCs w:val="21"/>
          <w:lang w:bidi="ar"/>
        </w:rPr>
        <w:t>委托期限：</w:t>
      </w:r>
      <w:r>
        <w:rPr>
          <w:rFonts w:hint="eastAsia" w:ascii="宋体" w:hAnsi="宋体" w:cs="宋体"/>
          <w:color w:val="auto"/>
          <w:szCs w:val="21"/>
          <w:u w:val="single"/>
          <w:lang w:bidi="ar"/>
        </w:rPr>
        <w:t xml:space="preserve">                                                          </w:t>
      </w:r>
    </w:p>
    <w:p w14:paraId="345C33A4">
      <w:pPr>
        <w:spacing w:line="500" w:lineRule="exact"/>
        <w:ind w:firstLine="1260" w:firstLineChars="600"/>
        <w:rPr>
          <w:rFonts w:hint="eastAsia" w:ascii="宋体" w:hAnsi="宋体" w:cs="宋体"/>
          <w:color w:val="auto"/>
          <w:szCs w:val="21"/>
        </w:rPr>
      </w:pPr>
      <w:r>
        <w:rPr>
          <w:rFonts w:hint="eastAsia" w:ascii="宋体" w:hAnsi="宋体" w:cs="宋体"/>
          <w:color w:val="auto"/>
          <w:szCs w:val="21"/>
          <w:lang w:bidi="ar"/>
        </w:rPr>
        <w:t xml:space="preserve">  </w:t>
      </w:r>
      <w:r>
        <w:rPr>
          <w:rFonts w:hint="eastAsia" w:ascii="宋体" w:hAnsi="宋体" w:cs="宋体"/>
          <w:color w:val="auto"/>
          <w:szCs w:val="21"/>
          <w:u w:val="single"/>
          <w:lang w:bidi="ar"/>
        </w:rPr>
        <w:t xml:space="preserve">                                                         </w:t>
      </w:r>
      <w:r>
        <w:rPr>
          <w:rFonts w:hint="eastAsia" w:ascii="宋体" w:hAnsi="宋体" w:cs="宋体"/>
          <w:color w:val="auto"/>
          <w:szCs w:val="21"/>
          <w:lang w:bidi="ar"/>
        </w:rPr>
        <w:t>。</w:t>
      </w:r>
    </w:p>
    <w:p w14:paraId="1F240207">
      <w:pPr>
        <w:spacing w:before="240" w:beforeLines="100" w:after="240" w:afterLines="100" w:line="500" w:lineRule="exact"/>
        <w:ind w:firstLine="420" w:firstLineChars="200"/>
        <w:rPr>
          <w:rFonts w:hint="eastAsia" w:ascii="宋体" w:hAnsi="宋体" w:cs="宋体"/>
          <w:color w:val="auto"/>
          <w:szCs w:val="21"/>
        </w:rPr>
      </w:pPr>
      <w:r>
        <w:rPr>
          <w:rFonts w:hint="eastAsia" w:ascii="宋体" w:hAnsi="宋体" w:cs="宋体"/>
          <w:color w:val="auto"/>
          <w:szCs w:val="21"/>
          <w:lang w:bidi="ar"/>
        </w:rPr>
        <w:t>代理人无转委托权。</w:t>
      </w:r>
    </w:p>
    <w:p w14:paraId="4D05022A">
      <w:pPr>
        <w:spacing w:after="240" w:afterLines="100" w:line="500" w:lineRule="exact"/>
        <w:ind w:firstLine="420" w:firstLineChars="200"/>
        <w:rPr>
          <w:rFonts w:hint="eastAsia" w:ascii="宋体" w:hAnsi="宋体" w:cs="宋体"/>
          <w:color w:val="auto"/>
          <w:szCs w:val="21"/>
        </w:rPr>
      </w:pPr>
      <w:r>
        <w:rPr>
          <w:rFonts w:hint="eastAsia" w:ascii="宋体" w:hAnsi="宋体" w:cs="宋体"/>
          <w:color w:val="auto"/>
          <w:szCs w:val="21"/>
          <w:lang w:bidi="ar"/>
        </w:rPr>
        <w:t>附：法定代表人身份证明</w:t>
      </w:r>
    </w:p>
    <w:p w14:paraId="2B55E42E">
      <w:pPr>
        <w:spacing w:line="400" w:lineRule="exact"/>
        <w:ind w:firstLine="3570" w:firstLineChars="1700"/>
        <w:rPr>
          <w:rFonts w:hint="eastAsia" w:ascii="宋体" w:hAnsi="宋体" w:cs="宋体"/>
          <w:color w:val="auto"/>
          <w:szCs w:val="21"/>
        </w:rPr>
      </w:pPr>
    </w:p>
    <w:p w14:paraId="367784F7">
      <w:pPr>
        <w:spacing w:line="400" w:lineRule="exact"/>
        <w:ind w:firstLine="3570" w:firstLineChars="1700"/>
        <w:rPr>
          <w:rFonts w:hint="eastAsia" w:ascii="宋体" w:hAnsi="宋体" w:cs="宋体"/>
          <w:color w:val="auto"/>
          <w:szCs w:val="21"/>
        </w:rPr>
      </w:pPr>
      <w:r>
        <w:rPr>
          <w:rFonts w:hint="eastAsia" w:ascii="宋体" w:hAnsi="宋体" w:cs="宋体"/>
          <w:color w:val="auto"/>
          <w:szCs w:val="21"/>
          <w:lang w:bidi="ar"/>
        </w:rPr>
        <w:t>投  标  人：</w:t>
      </w:r>
      <w:r>
        <w:rPr>
          <w:rFonts w:hint="eastAsia" w:ascii="宋体" w:hAnsi="宋体" w:cs="宋体"/>
          <w:color w:val="auto"/>
          <w:szCs w:val="21"/>
          <w:u w:val="single"/>
          <w:lang w:bidi="ar"/>
        </w:rPr>
        <w:t xml:space="preserve">                        </w:t>
      </w:r>
      <w:r>
        <w:rPr>
          <w:rFonts w:hint="eastAsia" w:ascii="宋体" w:hAnsi="宋体" w:cs="宋体"/>
          <w:color w:val="auto"/>
          <w:szCs w:val="21"/>
          <w:lang w:bidi="ar"/>
        </w:rPr>
        <w:t>（盖单位章）</w:t>
      </w:r>
    </w:p>
    <w:p w14:paraId="206B562E">
      <w:pPr>
        <w:spacing w:line="400" w:lineRule="exact"/>
        <w:ind w:firstLine="3570" w:firstLineChars="1700"/>
        <w:rPr>
          <w:rFonts w:hint="eastAsia" w:ascii="宋体" w:hAnsi="宋体" w:cs="宋体"/>
          <w:color w:val="auto"/>
          <w:szCs w:val="21"/>
        </w:rPr>
      </w:pPr>
    </w:p>
    <w:p w14:paraId="6AC375D1">
      <w:pPr>
        <w:spacing w:line="400" w:lineRule="exact"/>
        <w:ind w:firstLine="3570" w:firstLineChars="1700"/>
        <w:rPr>
          <w:rFonts w:hint="eastAsia" w:ascii="宋体" w:hAnsi="宋体" w:cs="宋体"/>
          <w:color w:val="auto"/>
          <w:szCs w:val="21"/>
        </w:rPr>
      </w:pPr>
      <w:r>
        <w:rPr>
          <w:rFonts w:hint="eastAsia" w:ascii="宋体" w:hAnsi="宋体" w:cs="宋体"/>
          <w:color w:val="auto"/>
          <w:szCs w:val="21"/>
          <w:lang w:bidi="ar"/>
        </w:rPr>
        <w:t>法定代表人：</w:t>
      </w:r>
      <w:r>
        <w:rPr>
          <w:rFonts w:hint="eastAsia" w:ascii="宋体" w:hAnsi="宋体" w:cs="宋体"/>
          <w:color w:val="auto"/>
          <w:szCs w:val="21"/>
          <w:u w:val="single"/>
          <w:lang w:bidi="ar"/>
        </w:rPr>
        <w:t xml:space="preserve">                            </w:t>
      </w:r>
      <w:r>
        <w:rPr>
          <w:rFonts w:hint="eastAsia" w:ascii="宋体" w:hAnsi="宋体" w:cs="宋体"/>
          <w:color w:val="auto"/>
          <w:szCs w:val="21"/>
          <w:lang w:bidi="ar"/>
        </w:rPr>
        <w:t>（签字）</w:t>
      </w:r>
    </w:p>
    <w:p w14:paraId="763C23A5">
      <w:pPr>
        <w:spacing w:line="400" w:lineRule="exact"/>
        <w:ind w:firstLine="3570" w:firstLineChars="1700"/>
        <w:rPr>
          <w:rFonts w:hint="eastAsia" w:ascii="宋体" w:hAnsi="宋体" w:cs="宋体"/>
          <w:color w:val="auto"/>
          <w:szCs w:val="21"/>
        </w:rPr>
      </w:pPr>
    </w:p>
    <w:p w14:paraId="6624F270">
      <w:pPr>
        <w:spacing w:line="400" w:lineRule="exact"/>
        <w:ind w:firstLine="3570" w:firstLineChars="1700"/>
        <w:rPr>
          <w:rFonts w:hint="eastAsia" w:ascii="宋体" w:hAnsi="宋体" w:cs="宋体"/>
          <w:color w:val="auto"/>
          <w:szCs w:val="21"/>
          <w:u w:val="single"/>
        </w:rPr>
      </w:pPr>
      <w:r>
        <w:rPr>
          <w:rFonts w:hint="eastAsia" w:ascii="宋体" w:hAnsi="宋体" w:cs="宋体"/>
          <w:color w:val="auto"/>
          <w:szCs w:val="21"/>
          <w:lang w:bidi="ar"/>
        </w:rPr>
        <w:t>身份证号码：</w:t>
      </w:r>
      <w:r>
        <w:rPr>
          <w:rFonts w:hint="eastAsia" w:ascii="宋体" w:hAnsi="宋体" w:cs="宋体"/>
          <w:color w:val="auto"/>
          <w:szCs w:val="21"/>
          <w:u w:val="single"/>
          <w:lang w:bidi="ar"/>
        </w:rPr>
        <w:t xml:space="preserve">                                   </w:t>
      </w:r>
    </w:p>
    <w:p w14:paraId="3DD823AF">
      <w:pPr>
        <w:spacing w:line="400" w:lineRule="exact"/>
        <w:ind w:firstLine="3570" w:firstLineChars="1700"/>
        <w:rPr>
          <w:rFonts w:hint="eastAsia" w:ascii="宋体" w:hAnsi="宋体" w:cs="宋体"/>
          <w:color w:val="auto"/>
          <w:szCs w:val="21"/>
          <w:u w:val="single"/>
        </w:rPr>
      </w:pPr>
    </w:p>
    <w:p w14:paraId="0634E154">
      <w:pPr>
        <w:spacing w:line="400" w:lineRule="exact"/>
        <w:ind w:firstLine="3570" w:firstLineChars="1700"/>
        <w:rPr>
          <w:rFonts w:hint="eastAsia" w:ascii="宋体" w:hAnsi="宋体" w:cs="宋体"/>
          <w:color w:val="auto"/>
          <w:szCs w:val="21"/>
        </w:rPr>
      </w:pPr>
      <w:r>
        <w:rPr>
          <w:rFonts w:hint="eastAsia" w:ascii="宋体" w:hAnsi="宋体" w:cs="宋体"/>
          <w:color w:val="auto"/>
          <w:szCs w:val="21"/>
          <w:lang w:bidi="ar"/>
        </w:rPr>
        <w:t>委托代理人：</w:t>
      </w:r>
      <w:r>
        <w:rPr>
          <w:rFonts w:hint="eastAsia" w:ascii="宋体" w:hAnsi="宋体" w:cs="宋体"/>
          <w:color w:val="auto"/>
          <w:szCs w:val="21"/>
          <w:u w:val="single"/>
          <w:lang w:bidi="ar"/>
        </w:rPr>
        <w:t xml:space="preserve">                            </w:t>
      </w:r>
      <w:r>
        <w:rPr>
          <w:rFonts w:hint="eastAsia" w:ascii="宋体" w:hAnsi="宋体" w:cs="宋体"/>
          <w:color w:val="auto"/>
          <w:szCs w:val="21"/>
          <w:lang w:bidi="ar"/>
        </w:rPr>
        <w:t>（签字）</w:t>
      </w:r>
    </w:p>
    <w:p w14:paraId="24168057">
      <w:pPr>
        <w:spacing w:line="400" w:lineRule="exact"/>
        <w:ind w:firstLine="3570" w:firstLineChars="1700"/>
        <w:rPr>
          <w:rFonts w:hint="eastAsia" w:ascii="宋体" w:hAnsi="宋体" w:cs="宋体"/>
          <w:color w:val="auto"/>
          <w:szCs w:val="21"/>
        </w:rPr>
      </w:pPr>
    </w:p>
    <w:p w14:paraId="748506E4">
      <w:pPr>
        <w:spacing w:line="400" w:lineRule="exact"/>
        <w:ind w:firstLine="3570" w:firstLineChars="1700"/>
        <w:rPr>
          <w:rFonts w:hint="eastAsia" w:ascii="宋体" w:hAnsi="宋体" w:cs="宋体"/>
          <w:color w:val="auto"/>
          <w:szCs w:val="21"/>
          <w:u w:val="single"/>
        </w:rPr>
      </w:pPr>
      <w:r>
        <w:rPr>
          <w:rFonts w:hint="eastAsia" w:ascii="宋体" w:hAnsi="宋体" w:cs="宋体"/>
          <w:color w:val="auto"/>
          <w:szCs w:val="21"/>
          <w:lang w:bidi="ar"/>
        </w:rPr>
        <w:t>身份证号码：</w:t>
      </w:r>
      <w:r>
        <w:rPr>
          <w:rFonts w:hint="eastAsia" w:ascii="宋体" w:hAnsi="宋体" w:cs="宋体"/>
          <w:color w:val="auto"/>
          <w:szCs w:val="21"/>
          <w:u w:val="single"/>
          <w:lang w:bidi="ar"/>
        </w:rPr>
        <w:t xml:space="preserve">                                   </w:t>
      </w:r>
    </w:p>
    <w:p w14:paraId="508CB347">
      <w:pPr>
        <w:spacing w:line="400" w:lineRule="exact"/>
        <w:ind w:firstLine="3570" w:firstLineChars="1700"/>
        <w:rPr>
          <w:rFonts w:hint="eastAsia" w:ascii="宋体" w:hAnsi="宋体" w:cs="宋体"/>
          <w:color w:val="auto"/>
          <w:szCs w:val="21"/>
        </w:rPr>
      </w:pPr>
    </w:p>
    <w:p w14:paraId="7A39B257">
      <w:pPr>
        <w:spacing w:line="400" w:lineRule="exact"/>
        <w:ind w:firstLine="4830" w:firstLineChars="2300"/>
        <w:rPr>
          <w:rFonts w:hint="eastAsia" w:ascii="宋体" w:hAnsi="宋体" w:cs="宋体"/>
          <w:color w:val="auto"/>
          <w:szCs w:val="21"/>
        </w:rPr>
      </w:pPr>
      <w:r>
        <w:rPr>
          <w:rFonts w:hint="eastAsia" w:ascii="宋体" w:hAnsi="宋体" w:cs="宋体"/>
          <w:color w:val="auto"/>
          <w:szCs w:val="21"/>
          <w:u w:val="single"/>
          <w:lang w:bidi="ar"/>
        </w:rPr>
        <w:t xml:space="preserve">        </w:t>
      </w:r>
      <w:r>
        <w:rPr>
          <w:rFonts w:hint="eastAsia" w:ascii="宋体" w:hAnsi="宋体" w:cs="宋体"/>
          <w:color w:val="auto"/>
          <w:szCs w:val="21"/>
          <w:lang w:bidi="ar"/>
        </w:rPr>
        <w:t>年</w:t>
      </w:r>
      <w:r>
        <w:rPr>
          <w:rFonts w:hint="eastAsia" w:ascii="宋体" w:hAnsi="宋体" w:cs="宋体"/>
          <w:color w:val="auto"/>
          <w:szCs w:val="21"/>
          <w:u w:val="single"/>
          <w:lang w:bidi="ar"/>
        </w:rPr>
        <w:t xml:space="preserve">        </w:t>
      </w:r>
      <w:r>
        <w:rPr>
          <w:rFonts w:hint="eastAsia" w:ascii="宋体" w:hAnsi="宋体" w:cs="宋体"/>
          <w:color w:val="auto"/>
          <w:szCs w:val="21"/>
          <w:lang w:bidi="ar"/>
        </w:rPr>
        <w:t>月</w:t>
      </w:r>
      <w:r>
        <w:rPr>
          <w:rFonts w:hint="eastAsia" w:ascii="宋体" w:hAnsi="宋体" w:cs="宋体"/>
          <w:color w:val="auto"/>
          <w:szCs w:val="21"/>
          <w:u w:val="single"/>
          <w:lang w:bidi="ar"/>
        </w:rPr>
        <w:t xml:space="preserve">        </w:t>
      </w:r>
      <w:r>
        <w:rPr>
          <w:rFonts w:hint="eastAsia" w:ascii="宋体" w:hAnsi="宋体" w:cs="宋体"/>
          <w:color w:val="auto"/>
          <w:szCs w:val="21"/>
          <w:lang w:bidi="ar"/>
        </w:rPr>
        <w:t>日</w:t>
      </w:r>
    </w:p>
    <w:p w14:paraId="7B62055C">
      <w:pPr>
        <w:pStyle w:val="100"/>
        <w:rPr>
          <w:color w:val="auto"/>
        </w:rPr>
      </w:pPr>
      <w:bookmarkStart w:id="848" w:name="_Toc519085345"/>
      <w:bookmarkStart w:id="849" w:name="_Toc152042375"/>
      <w:bookmarkStart w:id="850" w:name="_Toc247514022"/>
      <w:bookmarkStart w:id="851" w:name="_Toc152045598"/>
      <w:bookmarkStart w:id="852" w:name="_Toc144974565"/>
      <w:bookmarkStart w:id="853" w:name="_Toc247527623"/>
      <w:r>
        <w:rPr>
          <w:rFonts w:hint="eastAsia"/>
          <w:color w:val="auto"/>
        </w:rPr>
        <w:br w:type="page"/>
      </w:r>
      <w:bookmarkStart w:id="854" w:name="_Toc14438"/>
      <w:bookmarkStart w:id="855" w:name="_Toc4652"/>
      <w:bookmarkStart w:id="856" w:name="_Toc14079"/>
      <w:bookmarkStart w:id="857" w:name="_Toc10267"/>
      <w:bookmarkStart w:id="858" w:name="_Toc154063458"/>
      <w:r>
        <w:rPr>
          <w:rFonts w:hint="eastAsia"/>
          <w:color w:val="auto"/>
        </w:rPr>
        <w:t>第三章 评标办法（综合评估法）</w:t>
      </w:r>
      <w:bookmarkEnd w:id="848"/>
      <w:bookmarkEnd w:id="849"/>
      <w:bookmarkEnd w:id="850"/>
      <w:bookmarkEnd w:id="851"/>
      <w:bookmarkEnd w:id="852"/>
      <w:bookmarkEnd w:id="853"/>
      <w:bookmarkEnd w:id="854"/>
      <w:bookmarkEnd w:id="855"/>
      <w:bookmarkEnd w:id="856"/>
      <w:bookmarkEnd w:id="857"/>
      <w:bookmarkEnd w:id="858"/>
    </w:p>
    <w:p w14:paraId="6C38C28E">
      <w:pPr>
        <w:rPr>
          <w:rFonts w:hint="eastAsia"/>
          <w:color w:val="auto"/>
        </w:rPr>
      </w:pPr>
      <w:bookmarkStart w:id="859" w:name="_Toc152045599"/>
      <w:bookmarkStart w:id="860" w:name="_Toc247527624"/>
      <w:bookmarkStart w:id="861" w:name="_Toc247514023"/>
      <w:bookmarkStart w:id="862" w:name="_Toc152042376"/>
      <w:bookmarkStart w:id="863" w:name="_Toc144974566"/>
    </w:p>
    <w:p w14:paraId="75E2A5DC">
      <w:pPr>
        <w:pStyle w:val="107"/>
        <w:rPr>
          <w:rFonts w:hint="eastAsia"/>
          <w:color w:val="auto"/>
        </w:rPr>
      </w:pPr>
      <w:bookmarkStart w:id="864" w:name="_Toc519085346"/>
      <w:bookmarkStart w:id="865" w:name="_Toc1354"/>
      <w:bookmarkStart w:id="866" w:name="_Toc13091"/>
      <w:bookmarkStart w:id="867" w:name="_Toc154063459"/>
      <w:bookmarkStart w:id="868" w:name="_Toc13058"/>
      <w:bookmarkStart w:id="869" w:name="_Toc31792"/>
      <w:r>
        <w:rPr>
          <w:rFonts w:hint="eastAsia"/>
          <w:color w:val="auto"/>
        </w:rPr>
        <w:t>评标办法前附表</w:t>
      </w:r>
      <w:bookmarkEnd w:id="859"/>
      <w:bookmarkEnd w:id="860"/>
      <w:bookmarkEnd w:id="861"/>
      <w:bookmarkEnd w:id="862"/>
      <w:bookmarkEnd w:id="863"/>
      <w:bookmarkEnd w:id="864"/>
      <w:bookmarkEnd w:id="865"/>
      <w:bookmarkEnd w:id="866"/>
      <w:bookmarkEnd w:id="867"/>
      <w:bookmarkEnd w:id="868"/>
      <w:bookmarkEnd w:id="869"/>
    </w:p>
    <w:tbl>
      <w:tblPr>
        <w:tblStyle w:val="41"/>
        <w:tblW w:w="9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2"/>
        <w:gridCol w:w="1124"/>
        <w:gridCol w:w="2476"/>
        <w:gridCol w:w="5261"/>
      </w:tblGrid>
      <w:tr w14:paraId="5A0534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56" w:type="dxa"/>
            <w:gridSpan w:val="2"/>
            <w:tcBorders>
              <w:top w:val="single" w:color="auto" w:sz="4" w:space="0"/>
              <w:bottom w:val="single" w:color="auto" w:sz="4" w:space="0"/>
              <w:right w:val="single" w:color="auto" w:sz="4" w:space="0"/>
            </w:tcBorders>
            <w:noWrap w:val="0"/>
            <w:vAlign w:val="center"/>
          </w:tcPr>
          <w:p w14:paraId="3C21DE37">
            <w:pPr>
              <w:keepNext w:val="0"/>
              <w:keepLines w:val="0"/>
              <w:suppressLineNumbers w:val="0"/>
              <w:spacing w:before="0" w:beforeAutospacing="0" w:after="0" w:afterAutospacing="0" w:line="440" w:lineRule="exact"/>
              <w:ind w:left="0" w:right="0"/>
              <w:jc w:val="center"/>
              <w:rPr>
                <w:rFonts w:ascii="Calibri" w:hAnsi="Calibri" w:eastAsia="宋体" w:cs="Times New Roman"/>
                <w:b/>
                <w:color w:val="auto"/>
                <w:szCs w:val="21"/>
              </w:rPr>
            </w:pPr>
            <w:r>
              <w:rPr>
                <w:rFonts w:ascii="Calibri" w:hAnsi="Calibri" w:eastAsia="宋体" w:cs="Times New Roman"/>
                <w:b/>
                <w:color w:val="auto"/>
                <w:szCs w:val="21"/>
              </w:rPr>
              <w:t>条款号</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2CBE1BF0">
            <w:pPr>
              <w:keepNext w:val="0"/>
              <w:keepLines w:val="0"/>
              <w:suppressLineNumbers w:val="0"/>
              <w:spacing w:before="0" w:beforeAutospacing="0" w:after="0" w:afterAutospacing="0" w:line="440" w:lineRule="exact"/>
              <w:ind w:left="0" w:right="0"/>
              <w:jc w:val="center"/>
              <w:rPr>
                <w:rFonts w:ascii="Calibri" w:hAnsi="Calibri" w:eastAsia="宋体" w:cs="Times New Roman"/>
                <w:b/>
                <w:color w:val="auto"/>
                <w:szCs w:val="21"/>
              </w:rPr>
            </w:pPr>
            <w:r>
              <w:rPr>
                <w:rFonts w:ascii="Calibri" w:hAnsi="Calibri" w:eastAsia="宋体" w:cs="Times New Roman"/>
                <w:b/>
                <w:color w:val="auto"/>
                <w:szCs w:val="21"/>
              </w:rPr>
              <w:t>评审因素</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391A7C03">
            <w:pPr>
              <w:keepNext w:val="0"/>
              <w:keepLines w:val="0"/>
              <w:suppressLineNumbers w:val="0"/>
              <w:spacing w:before="0" w:beforeAutospacing="0" w:after="0" w:afterAutospacing="0" w:line="440" w:lineRule="exact"/>
              <w:ind w:left="0" w:right="0"/>
              <w:jc w:val="center"/>
              <w:rPr>
                <w:rFonts w:ascii="Calibri" w:hAnsi="Calibri" w:eastAsia="宋体" w:cs="Times New Roman"/>
                <w:b/>
                <w:color w:val="auto"/>
                <w:szCs w:val="21"/>
              </w:rPr>
            </w:pPr>
            <w:r>
              <w:rPr>
                <w:rFonts w:ascii="Calibri" w:hAnsi="Calibri" w:eastAsia="宋体" w:cs="Times New Roman"/>
                <w:b/>
                <w:color w:val="auto"/>
                <w:szCs w:val="21"/>
              </w:rPr>
              <w:t>评审标准</w:t>
            </w:r>
          </w:p>
        </w:tc>
      </w:tr>
      <w:tr w14:paraId="6AEEF0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2" w:type="dxa"/>
            <w:vMerge w:val="restart"/>
            <w:tcBorders>
              <w:top w:val="single" w:color="auto" w:sz="4" w:space="0"/>
              <w:right w:val="single" w:color="auto" w:sz="4" w:space="0"/>
            </w:tcBorders>
            <w:noWrap w:val="0"/>
            <w:vAlign w:val="center"/>
          </w:tcPr>
          <w:p w14:paraId="4563A359">
            <w:pPr>
              <w:keepNext w:val="0"/>
              <w:keepLines w:val="0"/>
              <w:pageBreakBefore w:val="0"/>
              <w:widowControl w:val="0"/>
              <w:suppressLineNumbers w:val="0"/>
              <w:kinsoku/>
              <w:wordWrap/>
              <w:overflowPunct/>
              <w:topLinePunct w:val="0"/>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r>
              <w:rPr>
                <w:rFonts w:hint="eastAsia" w:ascii="宋体" w:hAnsi="宋体" w:eastAsia="宋体" w:cs="宋体"/>
                <w:color w:val="auto"/>
                <w:szCs w:val="21"/>
              </w:rPr>
              <w:t>2.1.1</w:t>
            </w:r>
          </w:p>
        </w:tc>
        <w:tc>
          <w:tcPr>
            <w:tcW w:w="1124" w:type="dxa"/>
            <w:vMerge w:val="restart"/>
            <w:tcBorders>
              <w:top w:val="single" w:color="auto" w:sz="4" w:space="0"/>
              <w:right w:val="single" w:color="auto" w:sz="4" w:space="0"/>
            </w:tcBorders>
            <w:noWrap w:val="0"/>
            <w:vAlign w:val="center"/>
          </w:tcPr>
          <w:p w14:paraId="6B67E32A">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形式</w:t>
            </w:r>
          </w:p>
          <w:p w14:paraId="6210C751">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评审</w:t>
            </w:r>
          </w:p>
          <w:p w14:paraId="15812C9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标准</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2AF6BAC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jc w:val="center"/>
              <w:textAlignment w:val="auto"/>
              <w:rPr>
                <w:rFonts w:hint="eastAsia" w:ascii="宋体" w:hAnsi="宋体" w:eastAsia="宋体" w:cs="宋体"/>
                <w:color w:val="auto"/>
                <w:szCs w:val="21"/>
              </w:rPr>
            </w:pPr>
            <w:r>
              <w:rPr>
                <w:rFonts w:hint="eastAsia" w:ascii="宋体" w:hAnsi="宋体" w:eastAsia="宋体" w:cs="宋体"/>
                <w:color w:val="auto"/>
                <w:szCs w:val="21"/>
              </w:rPr>
              <w:t>投标文件</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020BC71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textAlignment w:val="auto"/>
              <w:rPr>
                <w:rFonts w:hint="eastAsia" w:ascii="宋体" w:hAnsi="宋体" w:eastAsia="宋体" w:cs="宋体"/>
                <w:color w:val="auto"/>
                <w:szCs w:val="21"/>
              </w:rPr>
            </w:pPr>
            <w:r>
              <w:rPr>
                <w:rFonts w:hint="eastAsia" w:ascii="宋体" w:hAnsi="宋体" w:eastAsia="宋体" w:cs="宋体"/>
                <w:color w:val="auto"/>
                <w:szCs w:val="21"/>
              </w:rPr>
              <w:t>投标文件能正常</w:t>
            </w:r>
            <w:r>
              <w:rPr>
                <w:rFonts w:hint="eastAsia" w:ascii="宋体" w:hAnsi="宋体" w:eastAsia="宋体" w:cs="宋体"/>
                <w:color w:val="auto"/>
              </w:rPr>
              <w:t>打开</w:t>
            </w:r>
          </w:p>
        </w:tc>
      </w:tr>
      <w:tr w14:paraId="65A05F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2" w:type="dxa"/>
            <w:vMerge w:val="continue"/>
            <w:tcBorders>
              <w:right w:val="single" w:color="auto" w:sz="4" w:space="0"/>
            </w:tcBorders>
            <w:noWrap w:val="0"/>
            <w:vAlign w:val="center"/>
          </w:tcPr>
          <w:p w14:paraId="6B876A87">
            <w:pPr>
              <w:keepNext w:val="0"/>
              <w:keepLines w:val="0"/>
              <w:pageBreakBefore w:val="0"/>
              <w:widowControl w:val="0"/>
              <w:suppressLineNumbers w:val="0"/>
              <w:kinsoku/>
              <w:wordWrap/>
              <w:overflowPunct/>
              <w:topLinePunct w:val="0"/>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right w:val="single" w:color="auto" w:sz="4" w:space="0"/>
            </w:tcBorders>
            <w:noWrap w:val="0"/>
            <w:vAlign w:val="center"/>
          </w:tcPr>
          <w:p w14:paraId="67535606">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7C3887E3">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jc w:val="center"/>
              <w:textAlignment w:val="auto"/>
              <w:rPr>
                <w:rFonts w:hint="eastAsia" w:ascii="宋体" w:hAnsi="宋体" w:eastAsia="宋体" w:cs="宋体"/>
                <w:color w:val="auto"/>
                <w:szCs w:val="21"/>
              </w:rPr>
            </w:pPr>
            <w:r>
              <w:rPr>
                <w:rFonts w:hint="eastAsia" w:ascii="宋体" w:hAnsi="宋体" w:eastAsia="宋体" w:cs="宋体"/>
                <w:color w:val="auto"/>
                <w:szCs w:val="21"/>
              </w:rPr>
              <w:t>投标人名称</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52AABA5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textAlignment w:val="auto"/>
              <w:rPr>
                <w:rFonts w:hint="eastAsia" w:ascii="宋体" w:hAnsi="宋体" w:eastAsia="宋体" w:cs="宋体"/>
                <w:color w:val="auto"/>
                <w:szCs w:val="21"/>
              </w:rPr>
            </w:pPr>
            <w:r>
              <w:rPr>
                <w:rFonts w:hint="eastAsia" w:ascii="宋体" w:hAnsi="宋体" w:eastAsia="宋体" w:cs="宋体"/>
                <w:color w:val="auto"/>
                <w:szCs w:val="21"/>
              </w:rPr>
              <w:t>与营业执照、资质证书、安全生产许可证（如有）一致</w:t>
            </w:r>
          </w:p>
        </w:tc>
      </w:tr>
      <w:tr w14:paraId="3D416E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2" w:type="dxa"/>
            <w:vMerge w:val="continue"/>
            <w:tcBorders>
              <w:right w:val="single" w:color="auto" w:sz="4" w:space="0"/>
            </w:tcBorders>
            <w:noWrap w:val="0"/>
            <w:vAlign w:val="center"/>
          </w:tcPr>
          <w:p w14:paraId="06BB95CC">
            <w:pPr>
              <w:keepNext w:val="0"/>
              <w:keepLines w:val="0"/>
              <w:pageBreakBefore w:val="0"/>
              <w:widowControl w:val="0"/>
              <w:suppressLineNumbers w:val="0"/>
              <w:kinsoku/>
              <w:wordWrap/>
              <w:overflowPunct/>
              <w:topLinePunct w:val="0"/>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right w:val="single" w:color="auto" w:sz="4" w:space="0"/>
            </w:tcBorders>
            <w:noWrap w:val="0"/>
            <w:vAlign w:val="center"/>
          </w:tcPr>
          <w:p w14:paraId="462FDF80">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671285F3">
            <w:pPr>
              <w:keepNext w:val="0"/>
              <w:keepLines w:val="0"/>
              <w:pageBreakBefore w:val="0"/>
              <w:widowControl w:val="0"/>
              <w:suppressLineNumbers w:val="0"/>
              <w:kinsoku/>
              <w:wordWrap/>
              <w:overflowPunct/>
              <w:topLinePunct w:val="0"/>
              <w:autoSpaceDE/>
              <w:autoSpaceDN/>
              <w:bidi w:val="0"/>
              <w:adjustRightInd/>
              <w:spacing w:before="72" w:beforeLines="30" w:beforeAutospacing="0" w:after="0" w:afterAutospacing="0" w:line="440" w:lineRule="exact"/>
              <w:ind w:left="0" w:right="0"/>
              <w:jc w:val="center"/>
              <w:textAlignment w:val="auto"/>
              <w:rPr>
                <w:rFonts w:hint="eastAsia" w:ascii="宋体" w:hAnsi="宋体" w:eastAsia="宋体" w:cs="宋体"/>
                <w:color w:val="auto"/>
                <w:szCs w:val="21"/>
              </w:rPr>
            </w:pPr>
            <w:r>
              <w:rPr>
                <w:rFonts w:hint="eastAsia" w:ascii="宋体" w:hAnsi="宋体" w:eastAsia="宋体" w:cs="宋体"/>
                <w:color w:val="auto"/>
                <w:szCs w:val="21"/>
              </w:rPr>
              <w:t>投标文件签字盖章</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1254780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left="0" w:right="0"/>
              <w:textAlignment w:val="auto"/>
              <w:rPr>
                <w:rFonts w:hint="eastAsia" w:ascii="宋体" w:hAnsi="宋体" w:eastAsia="宋体" w:cs="宋体"/>
                <w:color w:val="auto"/>
                <w:szCs w:val="21"/>
              </w:rPr>
            </w:pPr>
            <w:r>
              <w:rPr>
                <w:rFonts w:hint="eastAsia" w:ascii="宋体" w:hAnsi="宋体" w:eastAsia="宋体" w:cs="宋体"/>
                <w:color w:val="auto"/>
                <w:szCs w:val="21"/>
              </w:rPr>
              <w:t>符合第二章“投标人须知”第3.7.3（4）目规定</w:t>
            </w:r>
          </w:p>
        </w:tc>
      </w:tr>
      <w:tr w14:paraId="05A6D7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2" w:type="dxa"/>
            <w:vMerge w:val="continue"/>
            <w:tcBorders>
              <w:right w:val="single" w:color="auto" w:sz="4" w:space="0"/>
            </w:tcBorders>
            <w:noWrap w:val="0"/>
            <w:vAlign w:val="center"/>
          </w:tcPr>
          <w:p w14:paraId="36C00198">
            <w:pPr>
              <w:keepNext w:val="0"/>
              <w:keepLines w:val="0"/>
              <w:pageBreakBefore w:val="0"/>
              <w:widowControl w:val="0"/>
              <w:suppressLineNumbers w:val="0"/>
              <w:kinsoku/>
              <w:wordWrap/>
              <w:overflowPunct/>
              <w:topLinePunct w:val="0"/>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right w:val="single" w:color="auto" w:sz="4" w:space="0"/>
            </w:tcBorders>
            <w:noWrap w:val="0"/>
            <w:vAlign w:val="center"/>
          </w:tcPr>
          <w:p w14:paraId="36439F9F">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23F14F5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left="0" w:right="0"/>
              <w:jc w:val="center"/>
              <w:textAlignment w:val="auto"/>
              <w:rPr>
                <w:rFonts w:hint="eastAsia" w:ascii="宋体" w:hAnsi="宋体" w:eastAsia="宋体" w:cs="宋体"/>
                <w:color w:val="auto"/>
                <w:szCs w:val="21"/>
              </w:rPr>
            </w:pPr>
            <w:r>
              <w:rPr>
                <w:rFonts w:hint="eastAsia" w:ascii="宋体" w:hAnsi="宋体" w:eastAsia="宋体" w:cs="宋体"/>
                <w:color w:val="auto"/>
                <w:szCs w:val="21"/>
              </w:rPr>
              <w:t>投标文件格式、内容</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0A7C7A8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textAlignment w:val="auto"/>
              <w:rPr>
                <w:rFonts w:hint="eastAsia" w:ascii="宋体" w:hAnsi="宋体" w:eastAsia="宋体" w:cs="宋体"/>
                <w:color w:val="auto"/>
                <w:szCs w:val="21"/>
              </w:rPr>
            </w:pPr>
            <w:r>
              <w:rPr>
                <w:rFonts w:hint="eastAsia" w:ascii="宋体" w:hAnsi="宋体" w:eastAsia="宋体" w:cs="宋体"/>
                <w:color w:val="auto"/>
                <w:szCs w:val="21"/>
              </w:rPr>
              <w:t>符合第七章“投标文件格式”的要求，实质性内容齐全、关键字迹清晰可辨</w:t>
            </w:r>
          </w:p>
        </w:tc>
      </w:tr>
      <w:tr w14:paraId="0E0727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2" w:type="dxa"/>
            <w:vMerge w:val="continue"/>
            <w:tcBorders>
              <w:right w:val="single" w:color="auto" w:sz="4" w:space="0"/>
            </w:tcBorders>
            <w:noWrap w:val="0"/>
            <w:vAlign w:val="center"/>
          </w:tcPr>
          <w:p w14:paraId="3EA515B2">
            <w:pPr>
              <w:keepNext w:val="0"/>
              <w:keepLines w:val="0"/>
              <w:pageBreakBefore w:val="0"/>
              <w:widowControl w:val="0"/>
              <w:suppressLineNumbers w:val="0"/>
              <w:kinsoku/>
              <w:wordWrap/>
              <w:overflowPunct/>
              <w:topLinePunct w:val="0"/>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right w:val="single" w:color="auto" w:sz="4" w:space="0"/>
            </w:tcBorders>
            <w:noWrap w:val="0"/>
            <w:vAlign w:val="center"/>
          </w:tcPr>
          <w:p w14:paraId="6DE57A5D">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2C6896B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jc w:val="center"/>
              <w:textAlignment w:val="auto"/>
              <w:rPr>
                <w:rFonts w:hint="eastAsia" w:ascii="宋体" w:hAnsi="宋体" w:eastAsia="宋体" w:cs="宋体"/>
                <w:color w:val="auto"/>
                <w:szCs w:val="21"/>
              </w:rPr>
            </w:pPr>
            <w:r>
              <w:rPr>
                <w:rFonts w:hint="eastAsia" w:ascii="宋体" w:hAnsi="宋体" w:eastAsia="宋体" w:cs="宋体"/>
                <w:color w:val="auto"/>
                <w:szCs w:val="21"/>
              </w:rPr>
              <w:t>联合体投标人（如有）</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2457A09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textAlignment w:val="auto"/>
              <w:rPr>
                <w:rFonts w:hint="eastAsia" w:ascii="宋体" w:hAnsi="宋体" w:eastAsia="宋体" w:cs="宋体"/>
                <w:color w:val="auto"/>
                <w:szCs w:val="21"/>
              </w:rPr>
            </w:pPr>
            <w:r>
              <w:rPr>
                <w:rFonts w:hint="eastAsia" w:ascii="宋体" w:hAnsi="宋体" w:eastAsia="宋体" w:cs="宋体"/>
                <w:color w:val="auto"/>
                <w:szCs w:val="21"/>
              </w:rPr>
              <w:t>提交联合体协议书，并明确联合体牵头人</w:t>
            </w:r>
          </w:p>
        </w:tc>
      </w:tr>
      <w:tr w14:paraId="72D6CA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2" w:type="dxa"/>
            <w:vMerge w:val="continue"/>
            <w:tcBorders>
              <w:right w:val="single" w:color="auto" w:sz="4" w:space="0"/>
            </w:tcBorders>
            <w:noWrap w:val="0"/>
            <w:vAlign w:val="center"/>
          </w:tcPr>
          <w:p w14:paraId="48E7622B">
            <w:pPr>
              <w:keepNext w:val="0"/>
              <w:keepLines w:val="0"/>
              <w:pageBreakBefore w:val="0"/>
              <w:widowControl w:val="0"/>
              <w:suppressLineNumbers w:val="0"/>
              <w:kinsoku/>
              <w:wordWrap/>
              <w:overflowPunct/>
              <w:topLinePunct w:val="0"/>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right w:val="single" w:color="auto" w:sz="4" w:space="0"/>
            </w:tcBorders>
            <w:noWrap w:val="0"/>
            <w:vAlign w:val="center"/>
          </w:tcPr>
          <w:p w14:paraId="196D216B">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1FD3CE2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jc w:val="center"/>
              <w:textAlignment w:val="auto"/>
              <w:rPr>
                <w:rFonts w:hint="eastAsia" w:ascii="宋体" w:hAnsi="宋体" w:eastAsia="宋体" w:cs="宋体"/>
                <w:color w:val="auto"/>
                <w:szCs w:val="21"/>
              </w:rPr>
            </w:pPr>
            <w:r>
              <w:rPr>
                <w:rFonts w:hint="eastAsia" w:ascii="宋体" w:hAnsi="宋体" w:eastAsia="宋体" w:cs="宋体"/>
                <w:color w:val="auto"/>
                <w:szCs w:val="21"/>
              </w:rPr>
              <w:t>报价唯一</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60FD1B65">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textAlignment w:val="auto"/>
              <w:rPr>
                <w:rFonts w:hint="eastAsia" w:ascii="宋体" w:hAnsi="宋体" w:eastAsia="宋体" w:cs="宋体"/>
                <w:color w:val="auto"/>
                <w:szCs w:val="21"/>
              </w:rPr>
            </w:pPr>
            <w:r>
              <w:rPr>
                <w:rFonts w:hint="eastAsia" w:ascii="宋体" w:hAnsi="宋体" w:eastAsia="宋体" w:cs="宋体"/>
                <w:color w:val="auto"/>
                <w:szCs w:val="21"/>
              </w:rPr>
              <w:t>只能有一个有效报价</w:t>
            </w:r>
          </w:p>
        </w:tc>
      </w:tr>
      <w:tr w14:paraId="00A641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2" w:type="dxa"/>
            <w:vMerge w:val="continue"/>
            <w:tcBorders>
              <w:right w:val="single" w:color="auto" w:sz="4" w:space="0"/>
            </w:tcBorders>
            <w:noWrap w:val="0"/>
            <w:vAlign w:val="center"/>
          </w:tcPr>
          <w:p w14:paraId="416875C0">
            <w:pPr>
              <w:keepNext w:val="0"/>
              <w:keepLines w:val="0"/>
              <w:pageBreakBefore w:val="0"/>
              <w:widowControl w:val="0"/>
              <w:suppressLineNumbers w:val="0"/>
              <w:kinsoku/>
              <w:wordWrap/>
              <w:overflowPunct/>
              <w:topLinePunct w:val="0"/>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right w:val="single" w:color="auto" w:sz="4" w:space="0"/>
            </w:tcBorders>
            <w:noWrap w:val="0"/>
            <w:vAlign w:val="center"/>
          </w:tcPr>
          <w:p w14:paraId="424A7843">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7DCD36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jc w:val="center"/>
              <w:textAlignment w:val="auto"/>
              <w:rPr>
                <w:rFonts w:hint="eastAsia" w:ascii="宋体" w:hAnsi="宋体" w:eastAsia="宋体" w:cs="宋体"/>
                <w:color w:val="auto"/>
                <w:szCs w:val="21"/>
              </w:rPr>
            </w:pPr>
            <w:r>
              <w:rPr>
                <w:rFonts w:hint="eastAsia" w:ascii="宋体" w:hAnsi="宋体" w:eastAsia="宋体" w:cs="宋体"/>
                <w:color w:val="auto"/>
                <w:szCs w:val="21"/>
              </w:rPr>
              <w:t>多标段投标</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2B8708E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textAlignment w:val="auto"/>
              <w:rPr>
                <w:rFonts w:hint="eastAsia" w:ascii="宋体" w:hAnsi="宋体" w:eastAsia="宋体" w:cs="宋体"/>
                <w:color w:val="auto"/>
                <w:szCs w:val="21"/>
              </w:rPr>
            </w:pPr>
            <w:r>
              <w:rPr>
                <w:rFonts w:hint="eastAsia" w:ascii="宋体" w:hAnsi="宋体" w:eastAsia="宋体" w:cs="宋体"/>
                <w:color w:val="auto"/>
                <w:szCs w:val="21"/>
              </w:rPr>
              <w:t>符合第二章“投标人须知”第10.1款规定</w:t>
            </w:r>
          </w:p>
        </w:tc>
      </w:tr>
      <w:tr w14:paraId="3E1135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2" w:type="dxa"/>
            <w:vMerge w:val="restart"/>
            <w:tcBorders>
              <w:top w:val="single" w:color="auto" w:sz="4" w:space="0"/>
              <w:right w:val="single" w:color="auto" w:sz="4" w:space="0"/>
            </w:tcBorders>
            <w:noWrap w:val="0"/>
            <w:vAlign w:val="center"/>
          </w:tcPr>
          <w:p w14:paraId="53983666">
            <w:pPr>
              <w:keepNext w:val="0"/>
              <w:keepLines w:val="0"/>
              <w:pageBreakBefore w:val="0"/>
              <w:widowControl w:val="0"/>
              <w:suppressLineNumbers w:val="0"/>
              <w:kinsoku/>
              <w:wordWrap/>
              <w:overflowPunct/>
              <w:topLinePunct w:val="0"/>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r>
              <w:rPr>
                <w:rFonts w:hint="eastAsia" w:ascii="宋体" w:hAnsi="宋体" w:eastAsia="宋体" w:cs="宋体"/>
                <w:color w:val="auto"/>
                <w:szCs w:val="21"/>
              </w:rPr>
              <w:t>2.1.2</w:t>
            </w:r>
          </w:p>
        </w:tc>
        <w:tc>
          <w:tcPr>
            <w:tcW w:w="1124" w:type="dxa"/>
            <w:vMerge w:val="restart"/>
            <w:tcBorders>
              <w:top w:val="single" w:color="auto" w:sz="4" w:space="0"/>
              <w:right w:val="single" w:color="auto" w:sz="4" w:space="0"/>
            </w:tcBorders>
            <w:noWrap w:val="0"/>
            <w:vAlign w:val="center"/>
          </w:tcPr>
          <w:p w14:paraId="44C158C9">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资格</w:t>
            </w:r>
          </w:p>
          <w:p w14:paraId="109FE12E">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评审</w:t>
            </w:r>
          </w:p>
          <w:p w14:paraId="74E29E11">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标准</w:t>
            </w:r>
          </w:p>
          <w:p w14:paraId="0867B298">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（后审）</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492C59CA">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jc w:val="center"/>
              <w:textAlignment w:val="auto"/>
              <w:rPr>
                <w:rFonts w:hint="eastAsia" w:ascii="宋体" w:hAnsi="宋体" w:eastAsia="宋体" w:cs="宋体"/>
                <w:color w:val="auto"/>
                <w:szCs w:val="21"/>
              </w:rPr>
            </w:pPr>
            <w:r>
              <w:rPr>
                <w:rFonts w:hint="eastAsia" w:ascii="宋体" w:hAnsi="宋体" w:eastAsia="宋体" w:cs="宋体"/>
                <w:color w:val="auto"/>
                <w:szCs w:val="21"/>
              </w:rPr>
              <w:t>营业执照</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107750AF">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textAlignment w:val="auto"/>
              <w:rPr>
                <w:rFonts w:hint="eastAsia" w:ascii="宋体" w:hAnsi="宋体" w:eastAsia="宋体" w:cs="宋体"/>
                <w:color w:val="auto"/>
                <w:szCs w:val="21"/>
              </w:rPr>
            </w:pPr>
            <w:r>
              <w:rPr>
                <w:rFonts w:hint="eastAsia" w:ascii="宋体" w:hAnsi="宋体" w:eastAsia="宋体" w:cs="宋体"/>
                <w:color w:val="auto"/>
                <w:szCs w:val="21"/>
              </w:rPr>
              <w:t>具备有效的营业执照</w:t>
            </w:r>
          </w:p>
        </w:tc>
      </w:tr>
      <w:tr w14:paraId="5B63D4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2" w:type="dxa"/>
            <w:vMerge w:val="continue"/>
            <w:tcBorders>
              <w:right w:val="single" w:color="auto" w:sz="4" w:space="0"/>
            </w:tcBorders>
            <w:noWrap w:val="0"/>
            <w:vAlign w:val="center"/>
          </w:tcPr>
          <w:p w14:paraId="026FA1A4">
            <w:pPr>
              <w:keepNext w:val="0"/>
              <w:keepLines w:val="0"/>
              <w:pageBreakBefore w:val="0"/>
              <w:widowControl w:val="0"/>
              <w:suppressLineNumbers w:val="0"/>
              <w:kinsoku/>
              <w:wordWrap/>
              <w:overflowPunct/>
              <w:topLinePunct w:val="0"/>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right w:val="single" w:color="auto" w:sz="4" w:space="0"/>
            </w:tcBorders>
            <w:noWrap w:val="0"/>
            <w:vAlign w:val="center"/>
          </w:tcPr>
          <w:p w14:paraId="01C33791">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3FAB923A">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jc w:val="center"/>
              <w:textAlignment w:val="auto"/>
              <w:rPr>
                <w:rFonts w:hint="eastAsia" w:ascii="宋体" w:hAnsi="宋体" w:eastAsia="宋体" w:cs="宋体"/>
                <w:color w:val="auto"/>
                <w:szCs w:val="21"/>
              </w:rPr>
            </w:pPr>
            <w:r>
              <w:rPr>
                <w:rFonts w:hint="eastAsia" w:ascii="宋体" w:hAnsi="宋体" w:eastAsia="宋体" w:cs="宋体"/>
                <w:color w:val="auto"/>
                <w:szCs w:val="21"/>
              </w:rPr>
              <w:t>资质等级</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36E74B6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textAlignment w:val="auto"/>
              <w:rPr>
                <w:rFonts w:hint="eastAsia" w:ascii="宋体" w:hAnsi="宋体" w:eastAsia="宋体" w:cs="宋体"/>
                <w:color w:val="auto"/>
                <w:szCs w:val="21"/>
              </w:rPr>
            </w:pPr>
            <w:r>
              <w:rPr>
                <w:rFonts w:hint="eastAsia" w:ascii="宋体" w:hAnsi="宋体" w:eastAsia="宋体" w:cs="宋体"/>
                <w:color w:val="auto"/>
                <w:szCs w:val="21"/>
              </w:rPr>
              <w:t>符合第二章“投标人须知”第1.4.1项规定</w:t>
            </w:r>
          </w:p>
        </w:tc>
      </w:tr>
      <w:tr w14:paraId="1FFA22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2" w:type="dxa"/>
            <w:vMerge w:val="continue"/>
            <w:tcBorders>
              <w:right w:val="single" w:color="auto" w:sz="4" w:space="0"/>
            </w:tcBorders>
            <w:noWrap w:val="0"/>
            <w:vAlign w:val="center"/>
          </w:tcPr>
          <w:p w14:paraId="246540B5">
            <w:pPr>
              <w:keepNext w:val="0"/>
              <w:keepLines w:val="0"/>
              <w:pageBreakBefore w:val="0"/>
              <w:widowControl w:val="0"/>
              <w:suppressLineNumbers w:val="0"/>
              <w:kinsoku/>
              <w:wordWrap/>
              <w:overflowPunct/>
              <w:topLinePunct w:val="0"/>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right w:val="single" w:color="auto" w:sz="4" w:space="0"/>
            </w:tcBorders>
            <w:noWrap w:val="0"/>
            <w:vAlign w:val="center"/>
          </w:tcPr>
          <w:p w14:paraId="5F7C8A1D">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11357B59">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jc w:val="center"/>
              <w:textAlignment w:val="auto"/>
              <w:rPr>
                <w:rFonts w:hint="eastAsia" w:ascii="宋体" w:hAnsi="宋体" w:eastAsia="宋体" w:cs="宋体"/>
                <w:color w:val="auto"/>
                <w:szCs w:val="21"/>
              </w:rPr>
            </w:pPr>
            <w:r>
              <w:rPr>
                <w:rFonts w:hint="eastAsia" w:ascii="宋体" w:hAnsi="宋体" w:eastAsia="宋体" w:cs="宋体"/>
                <w:color w:val="auto"/>
                <w:szCs w:val="21"/>
              </w:rPr>
              <w:t>财务状况</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3D40A2EE">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textAlignment w:val="auto"/>
              <w:rPr>
                <w:rFonts w:hint="eastAsia" w:ascii="宋体" w:hAnsi="宋体" w:eastAsia="宋体" w:cs="宋体"/>
                <w:color w:val="auto"/>
                <w:szCs w:val="21"/>
              </w:rPr>
            </w:pPr>
            <w:r>
              <w:rPr>
                <w:rFonts w:hint="eastAsia" w:ascii="宋体" w:hAnsi="宋体" w:eastAsia="宋体" w:cs="宋体"/>
                <w:color w:val="auto"/>
                <w:szCs w:val="21"/>
              </w:rPr>
              <w:t>符合第二章“投标人须知”第1.4.1项规定</w:t>
            </w:r>
          </w:p>
        </w:tc>
      </w:tr>
      <w:tr w14:paraId="6F184D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2" w:type="dxa"/>
            <w:vMerge w:val="continue"/>
            <w:tcBorders>
              <w:right w:val="single" w:color="auto" w:sz="4" w:space="0"/>
            </w:tcBorders>
            <w:noWrap w:val="0"/>
            <w:vAlign w:val="center"/>
          </w:tcPr>
          <w:p w14:paraId="64E0B52D">
            <w:pPr>
              <w:keepNext w:val="0"/>
              <w:keepLines w:val="0"/>
              <w:pageBreakBefore w:val="0"/>
              <w:widowControl w:val="0"/>
              <w:suppressLineNumbers w:val="0"/>
              <w:kinsoku/>
              <w:wordWrap/>
              <w:overflowPunct/>
              <w:topLinePunct w:val="0"/>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right w:val="single" w:color="auto" w:sz="4" w:space="0"/>
            </w:tcBorders>
            <w:noWrap w:val="0"/>
            <w:vAlign w:val="center"/>
          </w:tcPr>
          <w:p w14:paraId="3F1B5E41">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630DAC5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jc w:val="center"/>
              <w:textAlignment w:val="auto"/>
              <w:rPr>
                <w:rFonts w:hint="eastAsia" w:ascii="宋体" w:hAnsi="宋体" w:eastAsia="宋体" w:cs="宋体"/>
                <w:color w:val="auto"/>
                <w:szCs w:val="21"/>
              </w:rPr>
            </w:pPr>
            <w:r>
              <w:rPr>
                <w:rFonts w:hint="eastAsia" w:ascii="宋体" w:hAnsi="宋体" w:eastAsia="宋体" w:cs="宋体"/>
                <w:color w:val="auto"/>
              </w:rPr>
              <w:t>类似</w:t>
            </w:r>
            <w:r>
              <w:rPr>
                <w:rFonts w:hint="eastAsia" w:ascii="宋体" w:hAnsi="宋体" w:eastAsia="宋体" w:cs="宋体"/>
                <w:color w:val="auto"/>
                <w:szCs w:val="21"/>
              </w:rPr>
              <w:t>业绩</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06F87A56">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textAlignment w:val="auto"/>
              <w:rPr>
                <w:rFonts w:hint="eastAsia" w:ascii="宋体" w:hAnsi="宋体" w:eastAsia="宋体" w:cs="宋体"/>
                <w:color w:val="auto"/>
                <w:szCs w:val="21"/>
              </w:rPr>
            </w:pPr>
            <w:r>
              <w:rPr>
                <w:rFonts w:hint="eastAsia" w:ascii="宋体" w:hAnsi="宋体" w:eastAsia="宋体" w:cs="宋体"/>
                <w:color w:val="auto"/>
                <w:szCs w:val="21"/>
              </w:rPr>
              <w:t>符合第二章“投标人须知”第1.4.1项规定</w:t>
            </w:r>
          </w:p>
        </w:tc>
      </w:tr>
      <w:tr w14:paraId="2D32A7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732" w:type="dxa"/>
            <w:vMerge w:val="continue"/>
            <w:tcBorders>
              <w:right w:val="single" w:color="auto" w:sz="4" w:space="0"/>
            </w:tcBorders>
            <w:noWrap w:val="0"/>
            <w:vAlign w:val="center"/>
          </w:tcPr>
          <w:p w14:paraId="4F0DC2BB">
            <w:pPr>
              <w:keepNext w:val="0"/>
              <w:keepLines w:val="0"/>
              <w:pageBreakBefore w:val="0"/>
              <w:widowControl w:val="0"/>
              <w:suppressLineNumbers w:val="0"/>
              <w:kinsoku/>
              <w:wordWrap/>
              <w:overflowPunct/>
              <w:topLinePunct w:val="0"/>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right w:val="single" w:color="auto" w:sz="4" w:space="0"/>
            </w:tcBorders>
            <w:noWrap w:val="0"/>
            <w:vAlign w:val="center"/>
          </w:tcPr>
          <w:p w14:paraId="1972BF11">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42165449">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jc w:val="center"/>
              <w:textAlignment w:val="auto"/>
              <w:rPr>
                <w:rFonts w:hint="eastAsia" w:ascii="宋体" w:hAnsi="宋体" w:eastAsia="宋体" w:cs="宋体"/>
                <w:color w:val="auto"/>
                <w:szCs w:val="21"/>
              </w:rPr>
            </w:pPr>
            <w:r>
              <w:rPr>
                <w:rFonts w:hint="eastAsia" w:ascii="宋体" w:hAnsi="宋体" w:eastAsia="宋体" w:cs="宋体"/>
                <w:color w:val="auto"/>
                <w:szCs w:val="21"/>
              </w:rPr>
              <w:t>信誉</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12FE45BA">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textAlignment w:val="auto"/>
              <w:rPr>
                <w:rFonts w:hint="eastAsia" w:ascii="宋体" w:hAnsi="宋体" w:eastAsia="宋体" w:cs="宋体"/>
                <w:color w:val="auto"/>
                <w:szCs w:val="21"/>
              </w:rPr>
            </w:pPr>
            <w:r>
              <w:rPr>
                <w:rFonts w:hint="eastAsia" w:ascii="宋体" w:hAnsi="宋体" w:eastAsia="宋体" w:cs="宋体"/>
                <w:color w:val="auto"/>
                <w:szCs w:val="21"/>
              </w:rPr>
              <w:t>符合第二章“投标人须知”第1.4.1项规定</w:t>
            </w:r>
          </w:p>
        </w:tc>
      </w:tr>
      <w:tr w14:paraId="7257D9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2" w:type="dxa"/>
            <w:vMerge w:val="continue"/>
            <w:tcBorders>
              <w:right w:val="single" w:color="auto" w:sz="4" w:space="0"/>
            </w:tcBorders>
            <w:noWrap w:val="0"/>
            <w:vAlign w:val="center"/>
          </w:tcPr>
          <w:p w14:paraId="5DA82115">
            <w:pPr>
              <w:keepNext w:val="0"/>
              <w:keepLines w:val="0"/>
              <w:pageBreakBefore w:val="0"/>
              <w:widowControl w:val="0"/>
              <w:suppressLineNumbers w:val="0"/>
              <w:kinsoku/>
              <w:wordWrap/>
              <w:overflowPunct/>
              <w:topLinePunct w:val="0"/>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right w:val="single" w:color="auto" w:sz="4" w:space="0"/>
            </w:tcBorders>
            <w:noWrap w:val="0"/>
            <w:vAlign w:val="center"/>
          </w:tcPr>
          <w:p w14:paraId="3909EB77">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051B22F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jc w:val="center"/>
              <w:textAlignment w:val="auto"/>
              <w:rPr>
                <w:rFonts w:hint="eastAsia" w:ascii="宋体" w:hAnsi="宋体" w:eastAsia="宋体" w:cs="宋体"/>
                <w:color w:val="auto"/>
                <w:szCs w:val="21"/>
              </w:rPr>
            </w:pPr>
            <w:r>
              <w:rPr>
                <w:rFonts w:hint="eastAsia" w:ascii="宋体" w:hAnsi="宋体" w:eastAsia="宋体" w:cs="宋体"/>
                <w:color w:val="auto"/>
                <w:szCs w:val="21"/>
              </w:rPr>
              <w:t>项目经理</w:t>
            </w:r>
            <w:r>
              <w:rPr>
                <w:rFonts w:hint="eastAsia" w:ascii="宋体" w:hAnsi="宋体" w:eastAsia="宋体" w:cs="宋体"/>
                <w:color w:val="auto"/>
              </w:rPr>
              <w:t>资格</w:t>
            </w:r>
            <w:r>
              <w:rPr>
                <w:rFonts w:hint="eastAsia" w:ascii="宋体" w:hAnsi="宋体" w:eastAsia="宋体" w:cs="宋体"/>
                <w:color w:val="auto"/>
                <w:szCs w:val="21"/>
              </w:rPr>
              <w:t xml:space="preserve"> </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7709945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textAlignment w:val="auto"/>
              <w:rPr>
                <w:rFonts w:hint="eastAsia" w:ascii="宋体" w:hAnsi="宋体" w:eastAsia="宋体" w:cs="宋体"/>
                <w:color w:val="auto"/>
                <w:szCs w:val="21"/>
              </w:rPr>
            </w:pPr>
            <w:r>
              <w:rPr>
                <w:rFonts w:hint="eastAsia" w:ascii="宋体" w:hAnsi="宋体" w:eastAsia="宋体" w:cs="宋体"/>
                <w:color w:val="auto"/>
                <w:szCs w:val="21"/>
              </w:rPr>
              <w:t>符合第二章“投标人须知”第1.4.1项规定</w:t>
            </w:r>
          </w:p>
        </w:tc>
      </w:tr>
      <w:tr w14:paraId="46667A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2" w:type="dxa"/>
            <w:vMerge w:val="continue"/>
            <w:tcBorders>
              <w:right w:val="single" w:color="auto" w:sz="4" w:space="0"/>
            </w:tcBorders>
            <w:noWrap w:val="0"/>
            <w:vAlign w:val="center"/>
          </w:tcPr>
          <w:p w14:paraId="37CE5831">
            <w:pPr>
              <w:keepNext w:val="0"/>
              <w:keepLines w:val="0"/>
              <w:pageBreakBefore w:val="0"/>
              <w:widowControl w:val="0"/>
              <w:suppressLineNumbers w:val="0"/>
              <w:kinsoku/>
              <w:wordWrap/>
              <w:overflowPunct/>
              <w:topLinePunct w:val="0"/>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right w:val="single" w:color="auto" w:sz="4" w:space="0"/>
            </w:tcBorders>
            <w:noWrap w:val="0"/>
            <w:vAlign w:val="center"/>
          </w:tcPr>
          <w:p w14:paraId="57A411A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220FC906">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jc w:val="center"/>
              <w:textAlignment w:val="auto"/>
              <w:rPr>
                <w:rFonts w:hint="eastAsia" w:ascii="宋体" w:hAnsi="宋体" w:eastAsia="宋体" w:cs="宋体"/>
                <w:color w:val="auto"/>
                <w:szCs w:val="21"/>
              </w:rPr>
            </w:pPr>
            <w:r>
              <w:rPr>
                <w:rFonts w:hint="eastAsia" w:ascii="宋体" w:hAnsi="宋体" w:eastAsia="宋体" w:cs="宋体"/>
                <w:color w:val="auto"/>
                <w:szCs w:val="21"/>
              </w:rPr>
              <w:t>设计负责人</w:t>
            </w:r>
            <w:r>
              <w:rPr>
                <w:rFonts w:hint="eastAsia" w:ascii="宋体" w:hAnsi="宋体" w:eastAsia="宋体" w:cs="宋体"/>
                <w:color w:val="auto"/>
              </w:rPr>
              <w:t>资格</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0B6EB69A">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textAlignment w:val="auto"/>
              <w:rPr>
                <w:rFonts w:hint="eastAsia" w:ascii="宋体" w:hAnsi="宋体" w:eastAsia="宋体" w:cs="宋体"/>
                <w:color w:val="auto"/>
                <w:szCs w:val="21"/>
              </w:rPr>
            </w:pPr>
            <w:r>
              <w:rPr>
                <w:rFonts w:hint="eastAsia" w:ascii="宋体" w:hAnsi="宋体" w:eastAsia="宋体" w:cs="宋体"/>
                <w:color w:val="auto"/>
                <w:szCs w:val="21"/>
              </w:rPr>
              <w:t>符合第二章“投标人须知”第1.4.1项规定</w:t>
            </w:r>
          </w:p>
        </w:tc>
      </w:tr>
      <w:tr w14:paraId="0D0484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2" w:type="dxa"/>
            <w:vMerge w:val="continue"/>
            <w:tcBorders>
              <w:right w:val="single" w:color="auto" w:sz="4" w:space="0"/>
            </w:tcBorders>
            <w:noWrap w:val="0"/>
            <w:vAlign w:val="center"/>
          </w:tcPr>
          <w:p w14:paraId="67F03BA3">
            <w:pPr>
              <w:keepNext w:val="0"/>
              <w:keepLines w:val="0"/>
              <w:pageBreakBefore w:val="0"/>
              <w:widowControl w:val="0"/>
              <w:suppressLineNumbers w:val="0"/>
              <w:kinsoku/>
              <w:wordWrap/>
              <w:overflowPunct/>
              <w:topLinePunct w:val="0"/>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right w:val="single" w:color="auto" w:sz="4" w:space="0"/>
            </w:tcBorders>
            <w:noWrap w:val="0"/>
            <w:vAlign w:val="center"/>
          </w:tcPr>
          <w:p w14:paraId="677FAE47">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6C42FFE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jc w:val="center"/>
              <w:textAlignment w:val="auto"/>
              <w:rPr>
                <w:rFonts w:hint="eastAsia" w:ascii="宋体" w:hAnsi="宋体" w:eastAsia="宋体" w:cs="宋体"/>
                <w:color w:val="auto"/>
                <w:szCs w:val="21"/>
              </w:rPr>
            </w:pPr>
            <w:r>
              <w:rPr>
                <w:rFonts w:hint="eastAsia" w:ascii="宋体" w:hAnsi="宋体" w:eastAsia="宋体" w:cs="宋体"/>
                <w:color w:val="auto"/>
                <w:szCs w:val="21"/>
              </w:rPr>
              <w:t>施工负责人</w:t>
            </w:r>
            <w:r>
              <w:rPr>
                <w:rFonts w:hint="eastAsia" w:ascii="宋体" w:hAnsi="宋体" w:eastAsia="宋体" w:cs="宋体"/>
                <w:color w:val="auto"/>
              </w:rPr>
              <w:t>资格</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08A6E6B9">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textAlignment w:val="auto"/>
              <w:rPr>
                <w:rFonts w:hint="eastAsia" w:ascii="宋体" w:hAnsi="宋体" w:eastAsia="宋体" w:cs="宋体"/>
                <w:color w:val="auto"/>
                <w:szCs w:val="21"/>
              </w:rPr>
            </w:pPr>
            <w:r>
              <w:rPr>
                <w:rFonts w:hint="eastAsia" w:ascii="宋体" w:hAnsi="宋体" w:eastAsia="宋体" w:cs="宋体"/>
                <w:color w:val="auto"/>
                <w:szCs w:val="21"/>
              </w:rPr>
              <w:t>符合第二章“投标人须知”第1.4.1项规定</w:t>
            </w:r>
          </w:p>
        </w:tc>
      </w:tr>
      <w:tr w14:paraId="2BA4FC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2" w:type="dxa"/>
            <w:vMerge w:val="continue"/>
            <w:tcBorders>
              <w:right w:val="single" w:color="auto" w:sz="4" w:space="0"/>
            </w:tcBorders>
            <w:noWrap w:val="0"/>
            <w:vAlign w:val="center"/>
          </w:tcPr>
          <w:p w14:paraId="6444F173">
            <w:pPr>
              <w:keepNext w:val="0"/>
              <w:keepLines w:val="0"/>
              <w:pageBreakBefore w:val="0"/>
              <w:widowControl w:val="0"/>
              <w:suppressLineNumbers w:val="0"/>
              <w:kinsoku/>
              <w:wordWrap/>
              <w:overflowPunct/>
              <w:topLinePunct w:val="0"/>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right w:val="single" w:color="auto" w:sz="4" w:space="0"/>
            </w:tcBorders>
            <w:noWrap w:val="0"/>
            <w:vAlign w:val="center"/>
          </w:tcPr>
          <w:p w14:paraId="4A0978D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0A246D96">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jc w:val="center"/>
              <w:textAlignment w:val="auto"/>
              <w:rPr>
                <w:rFonts w:hint="eastAsia" w:ascii="宋体" w:hAnsi="宋体" w:eastAsia="宋体" w:cs="宋体"/>
                <w:color w:val="auto"/>
                <w:szCs w:val="21"/>
              </w:rPr>
            </w:pPr>
            <w:r>
              <w:rPr>
                <w:rFonts w:hint="eastAsia" w:ascii="宋体" w:hAnsi="宋体" w:eastAsia="宋体" w:cs="宋体"/>
                <w:color w:val="auto"/>
                <w:szCs w:val="21"/>
              </w:rPr>
              <w:t>施工机械设备</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31900726">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textAlignment w:val="auto"/>
              <w:rPr>
                <w:rFonts w:hint="eastAsia" w:ascii="宋体" w:hAnsi="宋体" w:eastAsia="宋体" w:cs="宋体"/>
                <w:color w:val="auto"/>
                <w:szCs w:val="21"/>
              </w:rPr>
            </w:pPr>
            <w:r>
              <w:rPr>
                <w:rFonts w:hint="eastAsia" w:ascii="宋体" w:hAnsi="宋体" w:eastAsia="宋体" w:cs="宋体"/>
                <w:color w:val="auto"/>
                <w:szCs w:val="21"/>
              </w:rPr>
              <w:t>符合第二章“投标人须知”第1.4.1项规定</w:t>
            </w:r>
          </w:p>
        </w:tc>
      </w:tr>
      <w:tr w14:paraId="0B7EF9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2" w:type="dxa"/>
            <w:vMerge w:val="continue"/>
            <w:tcBorders>
              <w:right w:val="single" w:color="auto" w:sz="4" w:space="0"/>
            </w:tcBorders>
            <w:noWrap w:val="0"/>
            <w:vAlign w:val="center"/>
          </w:tcPr>
          <w:p w14:paraId="2C38EE54">
            <w:pPr>
              <w:keepNext w:val="0"/>
              <w:keepLines w:val="0"/>
              <w:pageBreakBefore w:val="0"/>
              <w:widowControl w:val="0"/>
              <w:suppressLineNumbers w:val="0"/>
              <w:kinsoku/>
              <w:wordWrap/>
              <w:overflowPunct/>
              <w:topLinePunct w:val="0"/>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right w:val="single" w:color="auto" w:sz="4" w:space="0"/>
            </w:tcBorders>
            <w:noWrap w:val="0"/>
            <w:vAlign w:val="center"/>
          </w:tcPr>
          <w:p w14:paraId="1EBA720D">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22E893F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jc w:val="center"/>
              <w:textAlignment w:val="auto"/>
              <w:rPr>
                <w:rFonts w:hint="eastAsia" w:ascii="宋体" w:hAnsi="宋体" w:eastAsia="宋体" w:cs="宋体"/>
                <w:color w:val="auto"/>
                <w:szCs w:val="21"/>
              </w:rPr>
            </w:pPr>
            <w:r>
              <w:rPr>
                <w:rFonts w:hint="eastAsia" w:ascii="宋体" w:hAnsi="宋体" w:eastAsia="宋体" w:cs="宋体"/>
                <w:color w:val="auto"/>
                <w:szCs w:val="21"/>
              </w:rPr>
              <w:t>项目管理机构及人员</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1452F6C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textAlignment w:val="auto"/>
              <w:rPr>
                <w:rFonts w:hint="eastAsia" w:ascii="宋体" w:hAnsi="宋体" w:eastAsia="宋体" w:cs="宋体"/>
                <w:color w:val="auto"/>
                <w:szCs w:val="21"/>
              </w:rPr>
            </w:pPr>
            <w:r>
              <w:rPr>
                <w:rFonts w:hint="eastAsia" w:ascii="宋体" w:hAnsi="宋体" w:eastAsia="宋体" w:cs="宋体"/>
                <w:color w:val="auto"/>
                <w:szCs w:val="21"/>
              </w:rPr>
              <w:t>符合第二章“投标人须知”第1.4.1项规定</w:t>
            </w:r>
          </w:p>
        </w:tc>
      </w:tr>
      <w:tr w14:paraId="571F56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2" w:type="dxa"/>
            <w:vMerge w:val="continue"/>
            <w:tcBorders>
              <w:right w:val="single" w:color="auto" w:sz="4" w:space="0"/>
            </w:tcBorders>
            <w:noWrap w:val="0"/>
            <w:vAlign w:val="center"/>
          </w:tcPr>
          <w:p w14:paraId="19871D24">
            <w:pPr>
              <w:keepNext w:val="0"/>
              <w:keepLines w:val="0"/>
              <w:pageBreakBefore w:val="0"/>
              <w:widowControl w:val="0"/>
              <w:suppressLineNumbers w:val="0"/>
              <w:kinsoku/>
              <w:wordWrap/>
              <w:overflowPunct/>
              <w:topLinePunct w:val="0"/>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right w:val="single" w:color="auto" w:sz="4" w:space="0"/>
            </w:tcBorders>
            <w:noWrap w:val="0"/>
            <w:vAlign w:val="center"/>
          </w:tcPr>
          <w:p w14:paraId="7BFD03B6">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4900E656">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jc w:val="center"/>
              <w:textAlignment w:val="auto"/>
              <w:rPr>
                <w:rFonts w:hint="eastAsia" w:ascii="宋体" w:hAnsi="宋体" w:eastAsia="宋体" w:cs="宋体"/>
                <w:color w:val="auto"/>
                <w:szCs w:val="21"/>
              </w:rPr>
            </w:pPr>
            <w:r>
              <w:rPr>
                <w:rFonts w:hint="eastAsia" w:ascii="宋体" w:hAnsi="宋体" w:eastAsia="宋体" w:cs="宋体"/>
                <w:color w:val="auto"/>
                <w:szCs w:val="21"/>
              </w:rPr>
              <w:t>其他要求</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1E3C3A5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textAlignment w:val="auto"/>
              <w:rPr>
                <w:rFonts w:hint="eastAsia" w:ascii="宋体" w:hAnsi="宋体" w:eastAsia="宋体" w:cs="宋体"/>
                <w:color w:val="auto"/>
                <w:szCs w:val="21"/>
              </w:rPr>
            </w:pPr>
            <w:r>
              <w:rPr>
                <w:rFonts w:hint="eastAsia" w:ascii="宋体" w:hAnsi="宋体" w:eastAsia="宋体" w:cs="宋体"/>
                <w:color w:val="auto"/>
                <w:szCs w:val="21"/>
              </w:rPr>
              <w:t>符合第二章“投标人须知”第1.4.1项规定</w:t>
            </w:r>
          </w:p>
        </w:tc>
      </w:tr>
      <w:tr w14:paraId="415017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2" w:type="dxa"/>
            <w:vMerge w:val="continue"/>
            <w:tcBorders>
              <w:right w:val="single" w:color="auto" w:sz="4" w:space="0"/>
            </w:tcBorders>
            <w:noWrap w:val="0"/>
            <w:vAlign w:val="center"/>
          </w:tcPr>
          <w:p w14:paraId="31A364D7">
            <w:pPr>
              <w:keepNext w:val="0"/>
              <w:keepLines w:val="0"/>
              <w:pageBreakBefore w:val="0"/>
              <w:widowControl w:val="0"/>
              <w:suppressLineNumbers w:val="0"/>
              <w:kinsoku/>
              <w:wordWrap/>
              <w:overflowPunct/>
              <w:topLinePunct w:val="0"/>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right w:val="single" w:color="auto" w:sz="4" w:space="0"/>
            </w:tcBorders>
            <w:noWrap w:val="0"/>
            <w:vAlign w:val="center"/>
          </w:tcPr>
          <w:p w14:paraId="42B200C0">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7D8E54A3">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jc w:val="center"/>
              <w:textAlignment w:val="auto"/>
              <w:rPr>
                <w:rFonts w:hint="eastAsia" w:ascii="宋体" w:hAnsi="宋体" w:eastAsia="宋体" w:cs="宋体"/>
                <w:color w:val="auto"/>
                <w:szCs w:val="21"/>
              </w:rPr>
            </w:pPr>
            <w:r>
              <w:rPr>
                <w:rFonts w:hint="eastAsia" w:ascii="宋体" w:hAnsi="宋体" w:eastAsia="宋体" w:cs="宋体"/>
                <w:color w:val="auto"/>
                <w:szCs w:val="21"/>
              </w:rPr>
              <w:t>联合体投标人（如有）</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014DA409">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40" w:lineRule="exact"/>
              <w:ind w:left="0" w:right="0"/>
              <w:textAlignment w:val="auto"/>
              <w:rPr>
                <w:rFonts w:hint="eastAsia" w:ascii="宋体" w:hAnsi="宋体" w:eastAsia="宋体" w:cs="宋体"/>
                <w:color w:val="auto"/>
                <w:szCs w:val="21"/>
              </w:rPr>
            </w:pPr>
            <w:r>
              <w:rPr>
                <w:rFonts w:hint="eastAsia" w:ascii="宋体" w:hAnsi="宋体" w:eastAsia="宋体" w:cs="宋体"/>
                <w:color w:val="auto"/>
                <w:szCs w:val="21"/>
              </w:rPr>
              <w:t>符合第二章“投标人须知”第1.4.2项规定</w:t>
            </w:r>
          </w:p>
        </w:tc>
      </w:tr>
      <w:tr w14:paraId="783555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2" w:type="dxa"/>
            <w:vMerge w:val="continue"/>
            <w:tcBorders>
              <w:right w:val="single" w:color="auto" w:sz="4" w:space="0"/>
            </w:tcBorders>
            <w:noWrap w:val="0"/>
            <w:vAlign w:val="center"/>
          </w:tcPr>
          <w:p w14:paraId="473802B1">
            <w:pPr>
              <w:keepNext w:val="0"/>
              <w:keepLines w:val="0"/>
              <w:pageBreakBefore w:val="0"/>
              <w:widowControl w:val="0"/>
              <w:suppressLineNumbers w:val="0"/>
              <w:kinsoku/>
              <w:wordWrap/>
              <w:overflowPunct/>
              <w:topLinePunct w:val="0"/>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right w:val="single" w:color="auto" w:sz="4" w:space="0"/>
            </w:tcBorders>
            <w:noWrap w:val="0"/>
            <w:vAlign w:val="center"/>
          </w:tcPr>
          <w:p w14:paraId="0CC1D28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right w:val="single" w:color="auto" w:sz="4" w:space="0"/>
            </w:tcBorders>
            <w:noWrap w:val="0"/>
            <w:vAlign w:val="center"/>
          </w:tcPr>
          <w:p w14:paraId="233CCA47">
            <w:pPr>
              <w:keepNext w:val="0"/>
              <w:keepLines w:val="0"/>
              <w:suppressLineNumbers w:val="0"/>
              <w:autoSpaceDE w:val="0"/>
              <w:autoSpaceDN w:val="0"/>
              <w:adjustRightInd w:val="0"/>
              <w:spacing w:before="0" w:beforeAutospacing="0" w:after="0" w:afterAutospacing="0" w:line="360" w:lineRule="auto"/>
              <w:ind w:left="0" w:right="0"/>
              <w:rPr>
                <w:rFonts w:hint="eastAsia" w:ascii="宋体" w:hAnsi="宋体" w:eastAsia="宋体" w:cs="宋体"/>
                <w:color w:val="auto"/>
                <w:szCs w:val="21"/>
              </w:rPr>
            </w:pPr>
            <w:r>
              <w:rPr>
                <w:rFonts w:hint="eastAsia" w:ascii="宋体" w:hAnsi="宋体" w:eastAsia="宋体" w:cs="宋体"/>
                <w:color w:val="auto"/>
              </w:rPr>
              <w:t>不存在禁止投标的情形</w:t>
            </w:r>
          </w:p>
        </w:tc>
        <w:tc>
          <w:tcPr>
            <w:tcW w:w="5261" w:type="dxa"/>
            <w:tcBorders>
              <w:top w:val="single" w:color="auto" w:sz="4" w:space="0"/>
              <w:left w:val="single" w:color="auto" w:sz="4" w:space="0"/>
              <w:right w:val="single" w:color="auto" w:sz="4" w:space="0"/>
            </w:tcBorders>
            <w:noWrap w:val="0"/>
            <w:vAlign w:val="center"/>
          </w:tcPr>
          <w:p w14:paraId="04BB9AB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left="0" w:right="0"/>
              <w:textAlignment w:val="auto"/>
              <w:rPr>
                <w:rFonts w:hint="eastAsia" w:ascii="宋体" w:hAnsi="宋体" w:eastAsia="宋体" w:cs="宋体"/>
                <w:color w:val="auto"/>
                <w:szCs w:val="21"/>
              </w:rPr>
            </w:pPr>
            <w:r>
              <w:rPr>
                <w:rFonts w:hint="eastAsia" w:ascii="宋体" w:hAnsi="宋体" w:eastAsia="宋体" w:cs="宋体"/>
                <w:color w:val="auto"/>
                <w:szCs w:val="21"/>
              </w:rPr>
              <w:t>不存在第二章“投标人须知”第1.4.3项规定的任何一种情形</w:t>
            </w:r>
          </w:p>
        </w:tc>
      </w:tr>
      <w:tr w14:paraId="27F5C1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7971ECC3">
            <w:pPr>
              <w:keepNext w:val="0"/>
              <w:keepLines w:val="0"/>
              <w:pageBreakBefore w:val="0"/>
              <w:widowControl w:val="0"/>
              <w:suppressLineNumbers w:val="0"/>
              <w:kinsoku/>
              <w:wordWrap/>
              <w:overflowPunct/>
              <w:topLinePunct w:val="0"/>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r>
              <w:rPr>
                <w:rFonts w:hint="eastAsia" w:ascii="宋体" w:hAnsi="宋体" w:eastAsia="宋体" w:cs="宋体"/>
                <w:color w:val="auto"/>
                <w:szCs w:val="21"/>
              </w:rPr>
              <w:t>2.1.2</w:t>
            </w:r>
          </w:p>
        </w:tc>
        <w:tc>
          <w:tcPr>
            <w:tcW w:w="1124" w:type="dxa"/>
            <w:tcBorders>
              <w:top w:val="single" w:color="auto" w:sz="4" w:space="0"/>
              <w:left w:val="single" w:color="auto" w:sz="4" w:space="0"/>
              <w:bottom w:val="single" w:color="auto" w:sz="4" w:space="0"/>
              <w:right w:val="single" w:color="auto" w:sz="4" w:space="0"/>
            </w:tcBorders>
            <w:noWrap w:val="0"/>
            <w:vAlign w:val="center"/>
          </w:tcPr>
          <w:p w14:paraId="22C530CA">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102" w:firstLineChars="49"/>
              <w:textAlignment w:val="auto"/>
              <w:rPr>
                <w:rFonts w:hint="eastAsia" w:ascii="宋体" w:hAnsi="宋体" w:eastAsia="宋体" w:cs="宋体"/>
                <w:color w:val="auto"/>
                <w:szCs w:val="21"/>
              </w:rPr>
            </w:pPr>
            <w:r>
              <w:rPr>
                <w:rFonts w:hint="eastAsia" w:ascii="宋体" w:hAnsi="宋体" w:eastAsia="宋体" w:cs="宋体"/>
                <w:color w:val="auto"/>
                <w:szCs w:val="21"/>
              </w:rPr>
              <w:t>资格评</w:t>
            </w:r>
          </w:p>
          <w:p w14:paraId="18D8D207">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102" w:firstLineChars="49"/>
              <w:textAlignment w:val="auto"/>
              <w:rPr>
                <w:rFonts w:hint="eastAsia" w:ascii="宋体" w:hAnsi="宋体" w:eastAsia="宋体" w:cs="宋体"/>
                <w:color w:val="auto"/>
                <w:szCs w:val="21"/>
              </w:rPr>
            </w:pPr>
            <w:r>
              <w:rPr>
                <w:rFonts w:hint="eastAsia" w:ascii="宋体" w:hAnsi="宋体" w:eastAsia="宋体" w:cs="宋体"/>
                <w:color w:val="auto"/>
                <w:szCs w:val="21"/>
              </w:rPr>
              <w:t>审标准</w:t>
            </w:r>
          </w:p>
          <w:p w14:paraId="08C23D5D">
            <w:pPr>
              <w:keepNext w:val="0"/>
              <w:keepLines w:val="0"/>
              <w:pageBreakBefore w:val="0"/>
              <w:widowControl w:val="0"/>
              <w:suppressLineNumbers w:val="0"/>
              <w:kinsoku/>
              <w:wordWrap/>
              <w:overflowPunct/>
              <w:topLinePunct w:val="0"/>
              <w:bidi w:val="0"/>
              <w:snapToGrid/>
              <w:spacing w:before="0" w:beforeAutospacing="0" w:after="0" w:afterAutospacing="0" w:line="360" w:lineRule="exact"/>
              <w:ind w:left="0" w:right="0"/>
              <w:jc w:val="center"/>
              <w:textAlignment w:val="auto"/>
              <w:rPr>
                <w:rFonts w:hint="eastAsia" w:ascii="宋体" w:hAnsi="宋体" w:eastAsia="宋体" w:cs="宋体"/>
                <w:color w:val="auto"/>
                <w:szCs w:val="21"/>
              </w:rPr>
            </w:pPr>
            <w:r>
              <w:rPr>
                <w:rFonts w:hint="eastAsia" w:ascii="宋体" w:hAnsi="宋体" w:eastAsia="宋体" w:cs="宋体"/>
                <w:color w:val="auto"/>
                <w:szCs w:val="21"/>
              </w:rPr>
              <w:t>（预审）</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45F94010">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rPr>
              <w:t>见本项目资格预审文件第三章“资格审查办法”</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432301B1">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rPr>
              <w:t>满足本项目资格预审文件第三章“资格审查办法”的审查标准并且不影响本次招标的公正性。</w:t>
            </w:r>
          </w:p>
        </w:tc>
      </w:tr>
      <w:tr w14:paraId="6FE9DC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2" w:type="dxa"/>
            <w:vMerge w:val="restart"/>
            <w:tcBorders>
              <w:top w:val="single" w:color="auto" w:sz="4" w:space="0"/>
              <w:right w:val="single" w:color="auto" w:sz="4" w:space="0"/>
            </w:tcBorders>
            <w:noWrap w:val="0"/>
            <w:vAlign w:val="center"/>
          </w:tcPr>
          <w:p w14:paraId="76D18BF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r>
              <w:rPr>
                <w:rFonts w:hint="eastAsia" w:ascii="宋体" w:hAnsi="宋体" w:eastAsia="宋体" w:cs="宋体"/>
                <w:color w:val="auto"/>
                <w:szCs w:val="21"/>
              </w:rPr>
              <w:t>2.1.3</w:t>
            </w:r>
          </w:p>
        </w:tc>
        <w:tc>
          <w:tcPr>
            <w:tcW w:w="1124" w:type="dxa"/>
            <w:vMerge w:val="restart"/>
            <w:tcBorders>
              <w:top w:val="single" w:color="auto" w:sz="4" w:space="0"/>
              <w:right w:val="single" w:color="auto" w:sz="4" w:space="0"/>
            </w:tcBorders>
            <w:noWrap w:val="0"/>
            <w:vAlign w:val="center"/>
          </w:tcPr>
          <w:p w14:paraId="0D9496E0">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p w14:paraId="617039BB">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响应性</w:t>
            </w:r>
          </w:p>
          <w:p w14:paraId="2DAFB700">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评审</w:t>
            </w:r>
          </w:p>
          <w:p w14:paraId="41A793B7">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标准</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67E9F7A1">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投标报价</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25E67A73">
            <w:pPr>
              <w:keepNext w:val="0"/>
              <w:keepLines w:val="0"/>
              <w:suppressLineNumbers w:val="0"/>
              <w:spacing w:before="0" w:beforeAutospacing="0" w:after="0" w:afterAutospacing="0" w:line="440" w:lineRule="exact"/>
              <w:ind w:left="0" w:right="0"/>
              <w:rPr>
                <w:rFonts w:hint="eastAsia" w:ascii="宋体" w:hAnsi="宋体" w:eastAsia="宋体" w:cs="宋体"/>
                <w:color w:val="auto"/>
                <w:szCs w:val="21"/>
              </w:rPr>
            </w:pPr>
            <w:r>
              <w:rPr>
                <w:rFonts w:hint="eastAsia" w:ascii="宋体" w:hAnsi="宋体" w:eastAsia="宋体" w:cs="宋体"/>
                <w:color w:val="auto"/>
                <w:szCs w:val="21"/>
              </w:rPr>
              <w:t>符合第二章“投标人须知”第3.2.4项规定</w:t>
            </w:r>
          </w:p>
        </w:tc>
      </w:tr>
      <w:tr w14:paraId="32A721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2" w:type="dxa"/>
            <w:vMerge w:val="continue"/>
            <w:tcBorders>
              <w:top w:val="single" w:color="auto" w:sz="4" w:space="0"/>
              <w:right w:val="single" w:color="auto" w:sz="4" w:space="0"/>
            </w:tcBorders>
            <w:noWrap w:val="0"/>
            <w:vAlign w:val="center"/>
          </w:tcPr>
          <w:p w14:paraId="5EC82EC7">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1124" w:type="dxa"/>
            <w:vMerge w:val="continue"/>
            <w:tcBorders>
              <w:top w:val="single" w:color="auto" w:sz="4" w:space="0"/>
              <w:right w:val="single" w:color="auto" w:sz="4" w:space="0"/>
            </w:tcBorders>
            <w:noWrap w:val="0"/>
            <w:vAlign w:val="center"/>
          </w:tcPr>
          <w:p w14:paraId="7B30D27A">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6F5E92E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投标内容</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365DC0E5">
            <w:pPr>
              <w:keepNext w:val="0"/>
              <w:keepLines w:val="0"/>
              <w:suppressLineNumbers w:val="0"/>
              <w:spacing w:before="0" w:beforeAutospacing="0" w:after="0" w:afterAutospacing="0" w:line="440" w:lineRule="exact"/>
              <w:ind w:left="0" w:right="0"/>
              <w:rPr>
                <w:rFonts w:hint="eastAsia" w:ascii="宋体" w:hAnsi="宋体" w:eastAsia="宋体" w:cs="宋体"/>
                <w:color w:val="auto"/>
                <w:szCs w:val="21"/>
              </w:rPr>
            </w:pPr>
            <w:r>
              <w:rPr>
                <w:rFonts w:hint="eastAsia" w:ascii="宋体" w:hAnsi="宋体" w:eastAsia="宋体" w:cs="宋体"/>
                <w:color w:val="auto"/>
                <w:szCs w:val="21"/>
              </w:rPr>
              <w:t>符合第二章“投标人须知”第1.3.1项规定</w:t>
            </w:r>
          </w:p>
        </w:tc>
      </w:tr>
      <w:tr w14:paraId="4564C8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2" w:type="dxa"/>
            <w:vMerge w:val="continue"/>
            <w:tcBorders>
              <w:right w:val="single" w:color="auto" w:sz="4" w:space="0"/>
            </w:tcBorders>
            <w:noWrap w:val="0"/>
            <w:vAlign w:val="center"/>
          </w:tcPr>
          <w:p w14:paraId="0E111CF6">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1124" w:type="dxa"/>
            <w:vMerge w:val="continue"/>
            <w:tcBorders>
              <w:right w:val="single" w:color="auto" w:sz="4" w:space="0"/>
            </w:tcBorders>
            <w:noWrap w:val="0"/>
            <w:vAlign w:val="center"/>
          </w:tcPr>
          <w:p w14:paraId="68841AFD">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96C961D">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工期</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0A2DC627">
            <w:pPr>
              <w:keepNext w:val="0"/>
              <w:keepLines w:val="0"/>
              <w:suppressLineNumbers w:val="0"/>
              <w:spacing w:before="0" w:beforeAutospacing="0" w:after="0" w:afterAutospacing="0" w:line="440" w:lineRule="exact"/>
              <w:ind w:left="0" w:right="0"/>
              <w:rPr>
                <w:rFonts w:hint="eastAsia" w:ascii="宋体" w:hAnsi="宋体" w:eastAsia="宋体" w:cs="宋体"/>
                <w:color w:val="auto"/>
                <w:szCs w:val="21"/>
              </w:rPr>
            </w:pPr>
            <w:r>
              <w:rPr>
                <w:rFonts w:hint="eastAsia" w:ascii="宋体" w:hAnsi="宋体" w:eastAsia="宋体" w:cs="宋体"/>
                <w:color w:val="auto"/>
                <w:szCs w:val="21"/>
              </w:rPr>
              <w:t>符合第二章“投标人须知”第1.3.2项规定</w:t>
            </w:r>
          </w:p>
        </w:tc>
      </w:tr>
      <w:tr w14:paraId="04A681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2" w:type="dxa"/>
            <w:vMerge w:val="continue"/>
            <w:tcBorders>
              <w:right w:val="single" w:color="auto" w:sz="4" w:space="0"/>
            </w:tcBorders>
            <w:noWrap w:val="0"/>
            <w:vAlign w:val="center"/>
          </w:tcPr>
          <w:p w14:paraId="33FE04C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1124" w:type="dxa"/>
            <w:vMerge w:val="continue"/>
            <w:tcBorders>
              <w:right w:val="single" w:color="auto" w:sz="4" w:space="0"/>
            </w:tcBorders>
            <w:noWrap w:val="0"/>
            <w:vAlign w:val="center"/>
          </w:tcPr>
          <w:p w14:paraId="28FBAEC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794CD303">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质量标准</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566BF616">
            <w:pPr>
              <w:keepNext w:val="0"/>
              <w:keepLines w:val="0"/>
              <w:suppressLineNumbers w:val="0"/>
              <w:spacing w:before="0" w:beforeAutospacing="0" w:after="0" w:afterAutospacing="0" w:line="440" w:lineRule="exact"/>
              <w:ind w:left="0" w:right="0"/>
              <w:rPr>
                <w:rFonts w:hint="eastAsia" w:ascii="宋体" w:hAnsi="宋体" w:eastAsia="宋体" w:cs="宋体"/>
                <w:color w:val="auto"/>
                <w:szCs w:val="21"/>
              </w:rPr>
            </w:pPr>
            <w:r>
              <w:rPr>
                <w:rFonts w:hint="eastAsia" w:ascii="宋体" w:hAnsi="宋体" w:eastAsia="宋体" w:cs="宋体"/>
                <w:color w:val="auto"/>
                <w:szCs w:val="21"/>
              </w:rPr>
              <w:t>符合第二章“投标人须知”第1.3.3项规定</w:t>
            </w:r>
          </w:p>
        </w:tc>
      </w:tr>
      <w:tr w14:paraId="11CBA1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2" w:type="dxa"/>
            <w:vMerge w:val="continue"/>
            <w:tcBorders>
              <w:right w:val="single" w:color="auto" w:sz="4" w:space="0"/>
            </w:tcBorders>
            <w:noWrap w:val="0"/>
            <w:vAlign w:val="center"/>
          </w:tcPr>
          <w:p w14:paraId="159B7819">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1124" w:type="dxa"/>
            <w:vMerge w:val="continue"/>
            <w:tcBorders>
              <w:right w:val="single" w:color="auto" w:sz="4" w:space="0"/>
            </w:tcBorders>
            <w:noWrap w:val="0"/>
            <w:vAlign w:val="center"/>
          </w:tcPr>
          <w:p w14:paraId="1B1EA5BE">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24C1C8C9">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投标有效期</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50DA6154">
            <w:pPr>
              <w:keepNext w:val="0"/>
              <w:keepLines w:val="0"/>
              <w:suppressLineNumbers w:val="0"/>
              <w:spacing w:before="0" w:beforeAutospacing="0" w:after="0" w:afterAutospacing="0" w:line="440" w:lineRule="exact"/>
              <w:ind w:left="0" w:right="0"/>
              <w:rPr>
                <w:rFonts w:hint="eastAsia" w:ascii="宋体" w:hAnsi="宋体" w:eastAsia="宋体" w:cs="宋体"/>
                <w:color w:val="auto"/>
                <w:szCs w:val="21"/>
              </w:rPr>
            </w:pPr>
            <w:r>
              <w:rPr>
                <w:rFonts w:hint="eastAsia" w:ascii="宋体" w:hAnsi="宋体" w:eastAsia="宋体" w:cs="宋体"/>
                <w:color w:val="auto"/>
                <w:szCs w:val="21"/>
              </w:rPr>
              <w:t>符合第二章“投标人须知”第3.3.1项规定</w:t>
            </w:r>
          </w:p>
        </w:tc>
      </w:tr>
      <w:tr w14:paraId="6A0D63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2" w:type="dxa"/>
            <w:vMerge w:val="continue"/>
            <w:tcBorders>
              <w:right w:val="single" w:color="auto" w:sz="4" w:space="0"/>
            </w:tcBorders>
            <w:noWrap w:val="0"/>
            <w:vAlign w:val="center"/>
          </w:tcPr>
          <w:p w14:paraId="63C11FC3">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1124" w:type="dxa"/>
            <w:vMerge w:val="continue"/>
            <w:tcBorders>
              <w:right w:val="single" w:color="auto" w:sz="4" w:space="0"/>
            </w:tcBorders>
            <w:noWrap w:val="0"/>
            <w:vAlign w:val="center"/>
          </w:tcPr>
          <w:p w14:paraId="06B8DFF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04C4EFBC">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投标保证金</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7DB51C16">
            <w:pPr>
              <w:keepNext w:val="0"/>
              <w:keepLines w:val="0"/>
              <w:suppressLineNumbers w:val="0"/>
              <w:spacing w:before="0" w:beforeAutospacing="0" w:after="0" w:afterAutospacing="0" w:line="440" w:lineRule="exact"/>
              <w:ind w:left="0" w:right="0"/>
              <w:rPr>
                <w:rFonts w:hint="eastAsia" w:ascii="宋体" w:hAnsi="宋体" w:eastAsia="宋体" w:cs="宋体"/>
                <w:color w:val="auto"/>
                <w:szCs w:val="21"/>
              </w:rPr>
            </w:pPr>
            <w:r>
              <w:rPr>
                <w:rFonts w:hint="eastAsia" w:ascii="宋体" w:hAnsi="宋体" w:eastAsia="宋体" w:cs="宋体"/>
                <w:color w:val="auto"/>
                <w:szCs w:val="21"/>
              </w:rPr>
              <w:t>符合第二章“投标人须知”第3.4款规定</w:t>
            </w:r>
          </w:p>
        </w:tc>
      </w:tr>
      <w:tr w14:paraId="4B9F8D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2" w:type="dxa"/>
            <w:vMerge w:val="continue"/>
            <w:tcBorders>
              <w:right w:val="single" w:color="auto" w:sz="4" w:space="0"/>
            </w:tcBorders>
            <w:noWrap w:val="0"/>
            <w:vAlign w:val="center"/>
          </w:tcPr>
          <w:p w14:paraId="5519D22D">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1124" w:type="dxa"/>
            <w:vMerge w:val="continue"/>
            <w:tcBorders>
              <w:right w:val="single" w:color="auto" w:sz="4" w:space="0"/>
            </w:tcBorders>
            <w:noWrap w:val="0"/>
            <w:vAlign w:val="center"/>
          </w:tcPr>
          <w:p w14:paraId="16982D91">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7915388B">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权利义务</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74F6278E">
            <w:pPr>
              <w:keepNext w:val="0"/>
              <w:keepLines w:val="0"/>
              <w:suppressLineNumbers w:val="0"/>
              <w:spacing w:before="0" w:beforeAutospacing="0" w:after="0" w:afterAutospacing="0" w:line="440" w:lineRule="exact"/>
              <w:ind w:left="0" w:right="0"/>
              <w:rPr>
                <w:rFonts w:hint="eastAsia" w:ascii="宋体" w:hAnsi="宋体" w:eastAsia="宋体" w:cs="宋体"/>
                <w:color w:val="auto"/>
                <w:szCs w:val="21"/>
              </w:rPr>
            </w:pPr>
            <w:r>
              <w:rPr>
                <w:rFonts w:hint="eastAsia" w:ascii="宋体" w:hAnsi="宋体" w:eastAsia="宋体" w:cs="宋体"/>
                <w:color w:val="auto"/>
                <w:szCs w:val="21"/>
              </w:rPr>
              <w:t>符合第四章“合同条款及格式”规定的权利义务</w:t>
            </w:r>
          </w:p>
        </w:tc>
      </w:tr>
      <w:tr w14:paraId="7C0F08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2" w:type="dxa"/>
            <w:vMerge w:val="continue"/>
            <w:tcBorders>
              <w:right w:val="single" w:color="auto" w:sz="4" w:space="0"/>
            </w:tcBorders>
            <w:noWrap w:val="0"/>
            <w:vAlign w:val="center"/>
          </w:tcPr>
          <w:p w14:paraId="48D6E0FC">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1124" w:type="dxa"/>
            <w:vMerge w:val="continue"/>
            <w:tcBorders>
              <w:right w:val="single" w:color="auto" w:sz="4" w:space="0"/>
            </w:tcBorders>
            <w:noWrap w:val="0"/>
            <w:vAlign w:val="center"/>
          </w:tcPr>
          <w:p w14:paraId="37A5C3F1">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6B680D9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承包人建议</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46A41397">
            <w:pPr>
              <w:keepNext w:val="0"/>
              <w:keepLines w:val="0"/>
              <w:suppressLineNumbers w:val="0"/>
              <w:spacing w:before="0" w:beforeAutospacing="0" w:after="0" w:afterAutospacing="0" w:line="440" w:lineRule="exact"/>
              <w:ind w:left="0" w:right="0"/>
              <w:rPr>
                <w:rFonts w:hint="eastAsia" w:ascii="宋体" w:hAnsi="宋体" w:eastAsia="宋体" w:cs="宋体"/>
                <w:color w:val="auto"/>
                <w:szCs w:val="21"/>
              </w:rPr>
            </w:pPr>
            <w:r>
              <w:rPr>
                <w:rFonts w:hint="eastAsia" w:ascii="宋体" w:hAnsi="宋体" w:eastAsia="宋体" w:cs="宋体"/>
                <w:color w:val="auto"/>
                <w:szCs w:val="21"/>
              </w:rPr>
              <w:t>符合第五章“发包人要求”的规定</w:t>
            </w:r>
          </w:p>
        </w:tc>
      </w:tr>
      <w:tr w14:paraId="68B0DE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2" w:type="dxa"/>
            <w:vMerge w:val="continue"/>
            <w:tcBorders>
              <w:bottom w:val="single" w:color="auto" w:sz="4" w:space="0"/>
              <w:right w:val="single" w:color="auto" w:sz="4" w:space="0"/>
            </w:tcBorders>
            <w:noWrap w:val="0"/>
            <w:vAlign w:val="center"/>
          </w:tcPr>
          <w:p w14:paraId="0EF010AC">
            <w:pPr>
              <w:keepNext w:val="0"/>
              <w:keepLines w:val="0"/>
              <w:suppressLineNumbers w:val="0"/>
              <w:spacing w:before="0" w:beforeAutospacing="0" w:after="0" w:afterAutospacing="0" w:line="440" w:lineRule="exact"/>
              <w:ind w:left="0" w:right="0"/>
              <w:rPr>
                <w:rFonts w:hint="eastAsia" w:ascii="宋体" w:hAnsi="宋体" w:eastAsia="宋体" w:cs="宋体"/>
                <w:color w:val="auto"/>
                <w:szCs w:val="21"/>
              </w:rPr>
            </w:pPr>
          </w:p>
        </w:tc>
        <w:tc>
          <w:tcPr>
            <w:tcW w:w="1124" w:type="dxa"/>
            <w:vMerge w:val="continue"/>
            <w:tcBorders>
              <w:bottom w:val="single" w:color="auto" w:sz="4" w:space="0"/>
              <w:right w:val="single" w:color="auto" w:sz="4" w:space="0"/>
            </w:tcBorders>
            <w:noWrap w:val="0"/>
            <w:vAlign w:val="center"/>
          </w:tcPr>
          <w:p w14:paraId="56FB8B81">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6CE132C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7227C196">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w:t>
            </w:r>
          </w:p>
        </w:tc>
      </w:tr>
      <w:tr w14:paraId="26F4D2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56" w:type="dxa"/>
            <w:gridSpan w:val="2"/>
            <w:tcBorders>
              <w:bottom w:val="single" w:color="auto" w:sz="4" w:space="0"/>
              <w:right w:val="single" w:color="auto" w:sz="4" w:space="0"/>
            </w:tcBorders>
            <w:noWrap w:val="0"/>
            <w:vAlign w:val="center"/>
          </w:tcPr>
          <w:p w14:paraId="024B5B05">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eastAsia="宋体" w:cs="宋体"/>
                <w:color w:val="auto"/>
                <w:szCs w:val="21"/>
              </w:rPr>
            </w:pPr>
            <w:r>
              <w:rPr>
                <w:rFonts w:hint="eastAsia" w:ascii="宋体" w:hAnsi="宋体" w:eastAsia="宋体" w:cs="宋体"/>
                <w:color w:val="auto"/>
                <w:szCs w:val="21"/>
              </w:rPr>
              <w:t>3.1.2</w:t>
            </w:r>
          </w:p>
        </w:tc>
        <w:tc>
          <w:tcPr>
            <w:tcW w:w="7737" w:type="dxa"/>
            <w:gridSpan w:val="2"/>
            <w:tcBorders>
              <w:top w:val="single" w:color="auto" w:sz="4" w:space="0"/>
              <w:left w:val="single" w:color="auto" w:sz="4" w:space="0"/>
              <w:bottom w:val="single" w:color="auto" w:sz="4" w:space="0"/>
              <w:right w:val="single" w:color="auto" w:sz="4" w:space="0"/>
            </w:tcBorders>
            <w:noWrap w:val="0"/>
            <w:vAlign w:val="center"/>
          </w:tcPr>
          <w:p w14:paraId="5C261A7B">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00" w:lineRule="exact"/>
              <w:ind w:left="0" w:right="0"/>
              <w:textAlignment w:val="auto"/>
              <w:rPr>
                <w:rFonts w:hint="eastAsia" w:ascii="宋体" w:hAnsi="宋体" w:eastAsia="宋体" w:cs="宋体"/>
                <w:color w:val="auto"/>
              </w:rPr>
            </w:pPr>
            <w:r>
              <w:rPr>
                <w:rFonts w:hint="eastAsia" w:ascii="宋体" w:hAnsi="宋体" w:eastAsia="宋体" w:cs="宋体"/>
                <w:color w:val="auto"/>
              </w:rPr>
              <w:t>投标人不得存在的其他情形：</w:t>
            </w:r>
          </w:p>
          <w:p w14:paraId="01119BB5">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00" w:lineRule="exact"/>
              <w:ind w:left="0" w:right="0"/>
              <w:textAlignment w:val="auto"/>
              <w:rPr>
                <w:rFonts w:hint="eastAsia" w:ascii="宋体" w:hAnsi="宋体" w:eastAsia="宋体" w:cs="宋体"/>
                <w:color w:val="auto"/>
              </w:rPr>
            </w:pPr>
            <w:r>
              <w:rPr>
                <w:rFonts w:hint="eastAsia" w:ascii="宋体" w:hAnsi="宋体" w:eastAsia="宋体" w:cs="宋体"/>
                <w:color w:val="auto"/>
              </w:rPr>
              <w:t>（1）不按评标委员会要求澄清或说明；</w:t>
            </w:r>
          </w:p>
          <w:p w14:paraId="5DF8C790">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00" w:lineRule="exact"/>
              <w:ind w:left="0" w:right="0"/>
              <w:textAlignment w:val="auto"/>
              <w:rPr>
                <w:rFonts w:hint="eastAsia" w:ascii="宋体" w:hAnsi="宋体" w:eastAsia="宋体" w:cs="宋体"/>
                <w:color w:val="auto"/>
                <w:szCs w:val="21"/>
              </w:rPr>
            </w:pPr>
            <w:r>
              <w:rPr>
                <w:rFonts w:hint="eastAsia" w:ascii="宋体" w:hAnsi="宋体" w:eastAsia="宋体" w:cs="宋体"/>
                <w:color w:val="auto"/>
              </w:rPr>
              <w:t>（2）串通投标、</w:t>
            </w:r>
            <w:r>
              <w:rPr>
                <w:rFonts w:hint="eastAsia" w:ascii="宋体" w:hAnsi="宋体" w:eastAsia="宋体" w:cs="宋体"/>
                <w:color w:val="auto"/>
                <w:szCs w:val="21"/>
              </w:rPr>
              <w:t>弄虚作假、行贿或有其他违法违规行为</w:t>
            </w:r>
            <w:r>
              <w:rPr>
                <w:rFonts w:hint="eastAsia" w:ascii="宋体" w:hAnsi="宋体" w:eastAsia="宋体" w:cs="宋体"/>
                <w:color w:val="auto"/>
              </w:rPr>
              <w:t>。</w:t>
            </w:r>
          </w:p>
        </w:tc>
      </w:tr>
      <w:tr w14:paraId="194C25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56" w:type="dxa"/>
            <w:gridSpan w:val="2"/>
            <w:tcBorders>
              <w:bottom w:val="single" w:color="auto" w:sz="4" w:space="0"/>
              <w:right w:val="single" w:color="auto" w:sz="4" w:space="0"/>
            </w:tcBorders>
            <w:noWrap w:val="0"/>
            <w:vAlign w:val="center"/>
          </w:tcPr>
          <w:p w14:paraId="7E4D5561">
            <w:pPr>
              <w:keepNext w:val="0"/>
              <w:keepLines w:val="0"/>
              <w:suppressLineNumbers w:val="0"/>
              <w:spacing w:before="0" w:beforeAutospacing="0" w:after="0" w:afterAutospacing="0" w:line="440" w:lineRule="exact"/>
              <w:ind w:left="0" w:right="0"/>
              <w:jc w:val="center"/>
              <w:rPr>
                <w:rFonts w:hint="eastAsia" w:ascii="宋体" w:hAnsi="宋体" w:eastAsia="宋体" w:cs="宋体"/>
                <w:b/>
                <w:color w:val="auto"/>
                <w:szCs w:val="21"/>
              </w:rPr>
            </w:pPr>
            <w:r>
              <w:rPr>
                <w:rFonts w:hint="eastAsia" w:ascii="宋体" w:hAnsi="宋体" w:eastAsia="宋体" w:cs="宋体"/>
                <w:b/>
                <w:color w:val="auto"/>
                <w:szCs w:val="21"/>
              </w:rPr>
              <w:t>条款号</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40A96AB">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条款内容</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3B0ED1E4">
            <w:pPr>
              <w:keepNext w:val="0"/>
              <w:keepLines w:val="0"/>
              <w:suppressLineNumbers w:val="0"/>
              <w:spacing w:before="0" w:beforeAutospacing="0" w:after="0" w:afterAutospacing="0" w:line="440" w:lineRule="exact"/>
              <w:ind w:left="0" w:right="0"/>
              <w:jc w:val="center"/>
              <w:rPr>
                <w:rFonts w:hint="eastAsia" w:ascii="宋体" w:hAnsi="宋体" w:eastAsia="宋体" w:cs="宋体"/>
                <w:b/>
                <w:color w:val="auto"/>
                <w:szCs w:val="21"/>
              </w:rPr>
            </w:pPr>
            <w:r>
              <w:rPr>
                <w:rFonts w:hint="eastAsia" w:ascii="宋体" w:hAnsi="宋体" w:eastAsia="宋体" w:cs="宋体"/>
                <w:b/>
                <w:color w:val="auto"/>
                <w:szCs w:val="21"/>
              </w:rPr>
              <w:t>编列内容</w:t>
            </w:r>
          </w:p>
        </w:tc>
      </w:tr>
      <w:tr w14:paraId="371992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56" w:type="dxa"/>
            <w:gridSpan w:val="2"/>
            <w:tcBorders>
              <w:bottom w:val="single" w:color="auto" w:sz="4" w:space="0"/>
              <w:right w:val="single" w:color="auto" w:sz="4" w:space="0"/>
            </w:tcBorders>
            <w:noWrap w:val="0"/>
            <w:vAlign w:val="center"/>
          </w:tcPr>
          <w:p w14:paraId="3924895E">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2.2.1</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9479168">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分值构成</w:t>
            </w:r>
          </w:p>
          <w:p w14:paraId="1E5DB5C7">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(总分100分)</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6FEED384">
            <w:pPr>
              <w:keepNext w:val="0"/>
              <w:keepLines w:val="0"/>
              <w:suppressLineNumbers w:val="0"/>
              <w:spacing w:before="0" w:beforeAutospacing="0" w:after="0" w:afterAutospacing="0" w:line="440" w:lineRule="exact"/>
              <w:ind w:left="0" w:right="0"/>
              <w:rPr>
                <w:rFonts w:hint="eastAsia" w:ascii="宋体" w:hAnsi="宋体" w:eastAsia="宋体" w:cs="宋体"/>
                <w:color w:val="auto"/>
                <w:szCs w:val="21"/>
              </w:rPr>
            </w:pPr>
            <w:r>
              <w:rPr>
                <w:rFonts w:hint="eastAsia" w:ascii="宋体" w:hAnsi="宋体" w:eastAsia="宋体" w:cs="宋体"/>
                <w:color w:val="auto"/>
                <w:szCs w:val="21"/>
              </w:rPr>
              <w:t>承包人建议书：</w:t>
            </w:r>
            <w:r>
              <w:rPr>
                <w:rFonts w:hint="eastAsia" w:ascii="宋体" w:hAnsi="宋体" w:eastAsia="宋体" w:cs="宋体"/>
                <w:color w:val="auto"/>
                <w:szCs w:val="21"/>
                <w:u w:val="single"/>
              </w:rPr>
              <w:t xml:space="preserve">  </w:t>
            </w:r>
            <w:r>
              <w:rPr>
                <w:rFonts w:hint="eastAsia" w:ascii="宋体" w:hAnsi="宋体" w:cs="宋体"/>
                <w:color w:val="auto"/>
                <w:sz w:val="24"/>
                <w:szCs w:val="24"/>
                <w:u w:val="single"/>
                <w:lang w:val="en-US" w:eastAsia="zh-CN"/>
              </w:rPr>
              <w:t>15</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分</w:t>
            </w:r>
          </w:p>
          <w:p w14:paraId="2396028D">
            <w:pPr>
              <w:keepNext w:val="0"/>
              <w:keepLines w:val="0"/>
              <w:suppressLineNumbers w:val="0"/>
              <w:spacing w:before="0" w:beforeAutospacing="0" w:after="0" w:afterAutospacing="0" w:line="440" w:lineRule="exact"/>
              <w:ind w:left="0" w:right="0"/>
              <w:rPr>
                <w:rFonts w:hint="eastAsia" w:ascii="宋体" w:hAnsi="宋体" w:eastAsia="宋体" w:cs="宋体"/>
                <w:color w:val="auto"/>
                <w:szCs w:val="21"/>
              </w:rPr>
            </w:pPr>
            <w:r>
              <w:rPr>
                <w:rFonts w:hint="eastAsia" w:ascii="宋体" w:hAnsi="宋体" w:eastAsia="宋体" w:cs="宋体"/>
                <w:color w:val="auto"/>
                <w:szCs w:val="21"/>
              </w:rPr>
              <w:t>资信业绩部分：</w:t>
            </w:r>
            <w:r>
              <w:rPr>
                <w:rFonts w:hint="eastAsia" w:ascii="宋体" w:hAnsi="宋体" w:eastAsia="宋体" w:cs="宋体"/>
                <w:color w:val="auto"/>
                <w:szCs w:val="21"/>
                <w:u w:val="single"/>
              </w:rPr>
              <w:t xml:space="preserve">  </w:t>
            </w:r>
            <w:r>
              <w:rPr>
                <w:rFonts w:hint="eastAsia" w:ascii="宋体" w:hAnsi="宋体" w:cs="宋体"/>
                <w:color w:val="auto"/>
                <w:sz w:val="24"/>
                <w:szCs w:val="24"/>
                <w:u w:val="single"/>
                <w:lang w:val="en-US" w:eastAsia="zh-CN"/>
              </w:rPr>
              <w:t>20</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分</w:t>
            </w:r>
          </w:p>
          <w:p w14:paraId="0071EF48">
            <w:pPr>
              <w:keepNext w:val="0"/>
              <w:keepLines w:val="0"/>
              <w:suppressLineNumbers w:val="0"/>
              <w:spacing w:before="0" w:beforeAutospacing="0" w:after="0" w:afterAutospacing="0" w:line="440" w:lineRule="exact"/>
              <w:ind w:left="0" w:right="0"/>
              <w:rPr>
                <w:rFonts w:hint="eastAsia" w:ascii="宋体" w:hAnsi="宋体" w:eastAsia="宋体" w:cs="宋体"/>
                <w:color w:val="auto"/>
                <w:szCs w:val="21"/>
              </w:rPr>
            </w:pPr>
            <w:r>
              <w:rPr>
                <w:rFonts w:hint="eastAsia" w:ascii="宋体" w:hAnsi="宋体" w:eastAsia="宋体" w:cs="宋体"/>
                <w:color w:val="auto"/>
                <w:szCs w:val="21"/>
              </w:rPr>
              <w:t>承包人实施方案：</w:t>
            </w:r>
            <w:r>
              <w:rPr>
                <w:rFonts w:hint="eastAsia" w:ascii="宋体" w:hAnsi="宋体" w:eastAsia="宋体" w:cs="宋体"/>
                <w:color w:val="auto"/>
                <w:szCs w:val="21"/>
                <w:u w:val="single"/>
              </w:rPr>
              <w:t xml:space="preserve">  </w:t>
            </w:r>
            <w:r>
              <w:rPr>
                <w:rFonts w:hint="eastAsia" w:ascii="宋体" w:hAnsi="宋体" w:eastAsia="宋体" w:cs="宋体"/>
                <w:color w:val="auto"/>
                <w:sz w:val="24"/>
                <w:szCs w:val="24"/>
                <w:u w:val="single"/>
                <w:lang w:val="en-US" w:eastAsia="zh-CN"/>
              </w:rPr>
              <w:t>1</w:t>
            </w:r>
            <w:r>
              <w:rPr>
                <w:rFonts w:hint="eastAsia" w:ascii="宋体" w:hAnsi="宋体" w:cs="宋体"/>
                <w:color w:val="auto"/>
                <w:sz w:val="24"/>
                <w:szCs w:val="24"/>
                <w:u w:val="single"/>
                <w:lang w:val="en-US" w:eastAsia="zh-CN"/>
              </w:rPr>
              <w:t>5</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分</w:t>
            </w:r>
          </w:p>
          <w:p w14:paraId="57F31882">
            <w:pPr>
              <w:keepNext w:val="0"/>
              <w:keepLines w:val="0"/>
              <w:suppressLineNumbers w:val="0"/>
              <w:spacing w:before="0" w:beforeAutospacing="0" w:after="0" w:afterAutospacing="0" w:line="440" w:lineRule="exact"/>
              <w:ind w:left="0" w:right="0"/>
              <w:rPr>
                <w:rFonts w:hint="eastAsia" w:ascii="宋体" w:hAnsi="宋体" w:eastAsia="宋体" w:cs="宋体"/>
                <w:color w:val="auto"/>
                <w:szCs w:val="21"/>
              </w:rPr>
            </w:pPr>
            <w:r>
              <w:rPr>
                <w:rFonts w:hint="eastAsia" w:ascii="宋体" w:hAnsi="宋体" w:eastAsia="宋体" w:cs="宋体"/>
                <w:color w:val="auto"/>
                <w:szCs w:val="21"/>
              </w:rPr>
              <w:t>投标报价：</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 xml:space="preserve"> </w:t>
            </w:r>
            <w:r>
              <w:rPr>
                <w:rFonts w:hint="eastAsia" w:ascii="宋体" w:hAnsi="宋体" w:eastAsia="宋体" w:cs="宋体"/>
                <w:color w:val="auto"/>
                <w:sz w:val="24"/>
                <w:szCs w:val="24"/>
                <w:u w:val="single"/>
                <w:lang w:val="en-US" w:eastAsia="zh-CN"/>
              </w:rPr>
              <w:t>50</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分</w:t>
            </w:r>
          </w:p>
          <w:p w14:paraId="0775AF19">
            <w:pPr>
              <w:keepNext w:val="0"/>
              <w:keepLines w:val="0"/>
              <w:suppressLineNumbers w:val="0"/>
              <w:spacing w:before="0" w:beforeAutospacing="0" w:after="0" w:afterAutospacing="0" w:line="440" w:lineRule="exact"/>
              <w:ind w:left="0" w:right="0"/>
              <w:rPr>
                <w:rFonts w:hint="eastAsia" w:ascii="宋体" w:hAnsi="宋体" w:eastAsia="宋体" w:cs="宋体"/>
                <w:color w:val="auto"/>
                <w:szCs w:val="21"/>
              </w:rPr>
            </w:pPr>
            <w:r>
              <w:rPr>
                <w:rFonts w:hint="eastAsia" w:ascii="宋体" w:hAnsi="宋体" w:eastAsia="宋体" w:cs="宋体"/>
                <w:color w:val="auto"/>
                <w:szCs w:val="21"/>
              </w:rPr>
              <w:t>其他评分因素：</w:t>
            </w:r>
            <w:r>
              <w:rPr>
                <w:rFonts w:hint="eastAsia" w:ascii="宋体" w:hAnsi="宋体" w:eastAsia="宋体" w:cs="宋体"/>
                <w:color w:val="auto"/>
                <w:szCs w:val="21"/>
                <w:u w:val="single"/>
              </w:rPr>
              <w:t xml:space="preserve">  </w:t>
            </w:r>
            <w:r>
              <w:rPr>
                <w:rFonts w:hint="eastAsia" w:ascii="宋体" w:hAnsi="宋体" w:cs="宋体"/>
                <w:color w:val="auto"/>
                <w:sz w:val="24"/>
                <w:szCs w:val="24"/>
                <w:u w:val="single"/>
                <w:lang w:val="en-US" w:eastAsia="zh-CN"/>
              </w:rPr>
              <w:t>/</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分</w:t>
            </w:r>
          </w:p>
        </w:tc>
      </w:tr>
      <w:tr w14:paraId="4895B2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56" w:type="dxa"/>
            <w:gridSpan w:val="2"/>
            <w:tcBorders>
              <w:top w:val="single" w:color="auto" w:sz="4" w:space="0"/>
              <w:bottom w:val="single" w:color="auto" w:sz="4" w:space="0"/>
              <w:right w:val="single" w:color="auto" w:sz="4" w:space="0"/>
            </w:tcBorders>
            <w:noWrap w:val="0"/>
            <w:vAlign w:val="center"/>
          </w:tcPr>
          <w:p w14:paraId="5B3BC66F">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2.2.2</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6771887F">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评标基准价计算方法</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7E4D6C31">
            <w:pPr>
              <w:keepNext w:val="0"/>
              <w:keepLines w:val="0"/>
              <w:suppressLineNumbers w:val="0"/>
              <w:spacing w:before="0" w:beforeAutospacing="0" w:after="0" w:afterAutospacing="0" w:line="440" w:lineRule="exact"/>
              <w:ind w:left="0" w:right="0"/>
              <w:rPr>
                <w:rFonts w:hint="eastAsia" w:ascii="宋体" w:hAnsi="宋体" w:eastAsia="宋体" w:cs="宋体"/>
                <w:color w:val="auto"/>
                <w:szCs w:val="21"/>
              </w:rPr>
            </w:pPr>
            <w:r>
              <w:rPr>
                <w:rFonts w:hint="eastAsia" w:ascii="宋体" w:hAnsi="宋体" w:eastAsia="宋体" w:cs="宋体"/>
                <w:color w:val="auto"/>
                <w:szCs w:val="21"/>
              </w:rPr>
              <w:t>评标基准价为各有效投标的投标报价中，去掉一个最高报价和一个最低报价后的算术平均值。若有效投标少于5家（不含5家），则以所有有效投标的投标报价的算术平均值为评标基准价。投标人有效投标报价等于评标基准价计满分。</w:t>
            </w:r>
          </w:p>
        </w:tc>
      </w:tr>
      <w:tr w14:paraId="135D23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2" w:hRule="atLeast"/>
          <w:jc w:val="center"/>
        </w:trPr>
        <w:tc>
          <w:tcPr>
            <w:tcW w:w="1856" w:type="dxa"/>
            <w:gridSpan w:val="2"/>
            <w:tcBorders>
              <w:top w:val="single" w:color="auto" w:sz="4" w:space="0"/>
              <w:bottom w:val="single" w:color="auto" w:sz="4" w:space="0"/>
              <w:right w:val="single" w:color="auto" w:sz="4" w:space="0"/>
            </w:tcBorders>
            <w:noWrap w:val="0"/>
            <w:vAlign w:val="center"/>
          </w:tcPr>
          <w:p w14:paraId="06861C28">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2.2.3</w:t>
            </w:r>
          </w:p>
        </w:tc>
        <w:tc>
          <w:tcPr>
            <w:tcW w:w="2476" w:type="dxa"/>
            <w:tcBorders>
              <w:top w:val="single" w:color="auto" w:sz="4" w:space="0"/>
              <w:left w:val="single" w:color="auto" w:sz="4" w:space="0"/>
              <w:right w:val="single" w:color="auto" w:sz="4" w:space="0"/>
            </w:tcBorders>
            <w:noWrap w:val="0"/>
            <w:vAlign w:val="center"/>
          </w:tcPr>
          <w:p w14:paraId="7A6531F3">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投标报价的偏差率</w:t>
            </w:r>
          </w:p>
          <w:p w14:paraId="298C9660">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计算公式</w:t>
            </w:r>
          </w:p>
        </w:tc>
        <w:tc>
          <w:tcPr>
            <w:tcW w:w="5261" w:type="dxa"/>
            <w:tcBorders>
              <w:top w:val="single" w:color="auto" w:sz="4" w:space="0"/>
              <w:left w:val="single" w:color="auto" w:sz="4" w:space="0"/>
              <w:right w:val="single" w:color="auto" w:sz="4" w:space="0"/>
            </w:tcBorders>
            <w:noWrap w:val="0"/>
            <w:vAlign w:val="center"/>
          </w:tcPr>
          <w:p w14:paraId="5FC3BAD5">
            <w:pPr>
              <w:keepNext w:val="0"/>
              <w:keepLines w:val="0"/>
              <w:suppressLineNumbers w:val="0"/>
              <w:spacing w:before="0" w:beforeAutospacing="0" w:after="0" w:afterAutospacing="0" w:line="440" w:lineRule="exact"/>
              <w:ind w:left="0" w:right="0"/>
              <w:rPr>
                <w:rFonts w:hint="eastAsia" w:ascii="宋体" w:hAnsi="宋体" w:eastAsia="宋体" w:cs="宋体"/>
                <w:color w:val="auto"/>
                <w:szCs w:val="21"/>
              </w:rPr>
            </w:pPr>
            <w:r>
              <w:rPr>
                <w:rFonts w:hint="eastAsia" w:ascii="宋体" w:hAnsi="宋体" w:eastAsia="宋体" w:cs="宋体"/>
                <w:color w:val="auto"/>
                <w:szCs w:val="21"/>
              </w:rPr>
              <w:t>偏差率=100%×（投标人报价－评标基准价）/评标基准价</w:t>
            </w:r>
          </w:p>
        </w:tc>
      </w:tr>
      <w:tr w14:paraId="0B3701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856" w:type="dxa"/>
            <w:gridSpan w:val="2"/>
            <w:tcBorders>
              <w:top w:val="nil"/>
              <w:bottom w:val="single" w:color="auto" w:sz="4" w:space="0"/>
              <w:right w:val="single" w:color="auto" w:sz="4" w:space="0"/>
            </w:tcBorders>
            <w:noWrap w:val="0"/>
            <w:vAlign w:val="center"/>
          </w:tcPr>
          <w:p w14:paraId="6D19083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b/>
                <w:color w:val="auto"/>
                <w:szCs w:val="21"/>
              </w:rPr>
              <w:t>条款号</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36C83463">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评分因素（偏差率）</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6B31E759">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b/>
                <w:color w:val="auto"/>
                <w:szCs w:val="21"/>
              </w:rPr>
              <w:t>评分标准</w:t>
            </w:r>
          </w:p>
        </w:tc>
      </w:tr>
      <w:tr w14:paraId="7BDBB3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92" w:hRule="atLeast"/>
          <w:jc w:val="center"/>
        </w:trPr>
        <w:tc>
          <w:tcPr>
            <w:tcW w:w="732" w:type="dxa"/>
            <w:vMerge w:val="restart"/>
            <w:tcBorders>
              <w:top w:val="single" w:color="auto" w:sz="4" w:space="0"/>
              <w:bottom w:val="single" w:color="auto" w:sz="4" w:space="0"/>
              <w:right w:val="single" w:color="auto" w:sz="4" w:space="0"/>
            </w:tcBorders>
            <w:noWrap w:val="0"/>
            <w:vAlign w:val="center"/>
          </w:tcPr>
          <w:p w14:paraId="7A3219E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r>
              <w:rPr>
                <w:rFonts w:hint="eastAsia" w:ascii="宋体" w:hAnsi="宋体" w:eastAsia="宋体" w:cs="宋体"/>
                <w:color w:val="auto"/>
                <w:szCs w:val="21"/>
              </w:rPr>
              <w:t>2.2.4（1）</w:t>
            </w:r>
          </w:p>
        </w:tc>
        <w:tc>
          <w:tcPr>
            <w:tcW w:w="1124" w:type="dxa"/>
            <w:vMerge w:val="restart"/>
            <w:tcBorders>
              <w:top w:val="single" w:color="auto" w:sz="4" w:space="0"/>
              <w:left w:val="single" w:color="auto" w:sz="4" w:space="0"/>
              <w:bottom w:val="single" w:color="auto" w:sz="4" w:space="0"/>
              <w:right w:val="single" w:color="auto" w:sz="4" w:space="0"/>
            </w:tcBorders>
            <w:noWrap w:val="0"/>
            <w:vAlign w:val="center"/>
          </w:tcPr>
          <w:p w14:paraId="30049B6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承包人</w:t>
            </w:r>
          </w:p>
          <w:p w14:paraId="4ED8103E">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建议书</w:t>
            </w:r>
          </w:p>
          <w:p w14:paraId="0A90662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评分标准</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63124BD4">
            <w:pPr>
              <w:keepNext w:val="0"/>
              <w:keepLines w:val="0"/>
              <w:pageBreakBefore w:val="0"/>
              <w:widowControl w:val="0"/>
              <w:suppressLineNumbers w:val="0"/>
              <w:kinsoku/>
              <w:wordWrap/>
              <w:overflowPunct/>
              <w:topLinePunct w:val="0"/>
              <w:bidi w:val="0"/>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color w:val="auto"/>
                <w:szCs w:val="21"/>
              </w:rPr>
            </w:pPr>
            <w:r>
              <w:rPr>
                <w:rFonts w:hint="eastAsia" w:ascii="宋体" w:hAnsi="宋体" w:eastAsia="宋体" w:cs="宋体"/>
                <w:color w:val="auto"/>
                <w:szCs w:val="21"/>
              </w:rPr>
              <w:t>对项目的了解程度及总体设计思路（</w:t>
            </w:r>
            <w:r>
              <w:rPr>
                <w:rFonts w:hint="eastAsia" w:ascii="宋体" w:hAnsi="宋体" w:cs="宋体"/>
                <w:color w:val="auto"/>
                <w:szCs w:val="21"/>
                <w:lang w:val="en-US" w:eastAsia="zh-CN"/>
              </w:rPr>
              <w:t>3</w:t>
            </w:r>
            <w:r>
              <w:rPr>
                <w:rFonts w:hint="eastAsia" w:ascii="宋体" w:hAnsi="宋体" w:eastAsia="宋体" w:cs="宋体"/>
                <w:color w:val="auto"/>
                <w:szCs w:val="21"/>
              </w:rPr>
              <w:t>分）</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76ECF53A">
            <w:pPr>
              <w:keepNext w:val="0"/>
              <w:keepLines w:val="0"/>
              <w:pageBreakBefore w:val="0"/>
              <w:widowControl w:val="0"/>
              <w:suppressLineNumbers w:val="0"/>
              <w:kinsoku/>
              <w:wordWrap/>
              <w:overflowPunct/>
              <w:topLinePunct w:val="0"/>
              <w:bidi w:val="0"/>
              <w:spacing w:before="0" w:beforeAutospacing="0" w:after="0" w:afterAutospacing="0" w:line="360" w:lineRule="exact"/>
              <w:ind w:left="0" w:right="0" w:firstLine="0" w:firstLineChars="0"/>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根据项目实际情况，对项目所在地有深入了解，对</w:t>
            </w:r>
            <w:r>
              <w:rPr>
                <w:rFonts w:hint="eastAsia" w:ascii="宋体" w:hAnsi="宋体" w:cs="宋体"/>
                <w:color w:val="auto"/>
                <w:szCs w:val="21"/>
                <w:highlight w:val="none"/>
                <w:lang w:val="en-US" w:eastAsia="zh-CN"/>
              </w:rPr>
              <w:t>现状排水系统及项目所在地周边情况</w:t>
            </w:r>
            <w:r>
              <w:rPr>
                <w:rFonts w:hint="eastAsia" w:ascii="宋体" w:hAnsi="宋体" w:eastAsia="宋体" w:cs="宋体"/>
                <w:color w:val="auto"/>
                <w:szCs w:val="21"/>
                <w:highlight w:val="none"/>
              </w:rPr>
              <w:t>等资料调查详实，对项目所涉及内容的设计的理解、满足招标人需求，思路非常清晰合理，技术可行，可实施性强，经济合理得</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分；对项目实际情况了解</w:t>
            </w:r>
            <w:r>
              <w:rPr>
                <w:rFonts w:hint="eastAsia" w:ascii="宋体" w:hAnsi="宋体" w:cs="宋体"/>
                <w:color w:val="auto"/>
                <w:szCs w:val="21"/>
                <w:highlight w:val="none"/>
                <w:lang w:val="en-US" w:eastAsia="zh-CN"/>
              </w:rPr>
              <w:t>全面</w:t>
            </w:r>
            <w:r>
              <w:rPr>
                <w:rFonts w:hint="eastAsia" w:ascii="宋体" w:hAnsi="宋体" w:eastAsia="宋体" w:cs="宋体"/>
                <w:color w:val="auto"/>
                <w:szCs w:val="21"/>
                <w:highlight w:val="none"/>
              </w:rPr>
              <w:t>，基础资料调查一般，对项目的理解、总体思路基本清晰合理，得</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分；对项目实际情况、基础资料及对项目的理解、总体思路的理解较差的得0-</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分。</w:t>
            </w:r>
          </w:p>
        </w:tc>
      </w:tr>
      <w:tr w14:paraId="4F35BC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8" w:hRule="atLeast"/>
          <w:jc w:val="center"/>
        </w:trPr>
        <w:tc>
          <w:tcPr>
            <w:tcW w:w="732" w:type="dxa"/>
            <w:vMerge w:val="continue"/>
            <w:tcBorders>
              <w:right w:val="single" w:color="auto" w:sz="4" w:space="0"/>
            </w:tcBorders>
            <w:noWrap w:val="0"/>
            <w:vAlign w:val="center"/>
          </w:tcPr>
          <w:p w14:paraId="43E28F0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left w:val="single" w:color="auto" w:sz="4" w:space="0"/>
              <w:right w:val="single" w:color="auto" w:sz="4" w:space="0"/>
            </w:tcBorders>
            <w:noWrap w:val="0"/>
            <w:vAlign w:val="center"/>
          </w:tcPr>
          <w:p w14:paraId="15AD565B">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37594B09">
            <w:pPr>
              <w:keepNext w:val="0"/>
              <w:keepLines w:val="0"/>
              <w:pageBreakBefore w:val="0"/>
              <w:widowControl w:val="0"/>
              <w:suppressLineNumbers w:val="0"/>
              <w:kinsoku/>
              <w:wordWrap/>
              <w:overflowPunct/>
              <w:topLinePunct w:val="0"/>
              <w:bidi w:val="0"/>
              <w:spacing w:before="0" w:beforeAutospacing="0" w:after="0" w:afterAutospacing="0" w:line="360" w:lineRule="exact"/>
              <w:ind w:left="0" w:leftChars="0" w:right="0" w:rightChars="0" w:firstLine="0" w:firstLineChars="0"/>
              <w:jc w:val="center"/>
              <w:textAlignment w:val="auto"/>
              <w:rPr>
                <w:rFonts w:hint="default" w:ascii="宋体" w:hAnsi="宋体" w:eastAsia="宋体" w:cs="宋体"/>
                <w:color w:val="auto"/>
                <w:szCs w:val="21"/>
                <w:lang w:val="en-US" w:eastAsia="zh-CN"/>
              </w:rPr>
            </w:pPr>
            <w:r>
              <w:rPr>
                <w:rFonts w:hint="eastAsia" w:ascii="宋体" w:hAnsi="宋体" w:cs="宋体"/>
                <w:color w:val="auto"/>
                <w:szCs w:val="21"/>
                <w:lang w:val="en-US" w:eastAsia="zh-CN"/>
              </w:rPr>
              <w:t>重难点分析（3分）</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7DBBB4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0" w:lineRule="exact"/>
              <w:ind w:left="0" w:right="0" w:firstLine="0" w:firstLineChars="0"/>
              <w:jc w:val="both"/>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对本项目在实施过程中的重难点分析透彻，应对措施科学、合理、针对性强的得2-3分，合理可行的得1-2分，一般的得0-1分，未提供不得分。</w:t>
            </w:r>
          </w:p>
        </w:tc>
      </w:tr>
      <w:tr w14:paraId="51A0CA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2" w:type="dxa"/>
            <w:vMerge w:val="continue"/>
            <w:tcBorders>
              <w:top w:val="single" w:color="auto" w:sz="4" w:space="0"/>
              <w:bottom w:val="single" w:color="auto" w:sz="4" w:space="0"/>
              <w:right w:val="single" w:color="auto" w:sz="4" w:space="0"/>
            </w:tcBorders>
            <w:noWrap w:val="0"/>
            <w:vAlign w:val="center"/>
          </w:tcPr>
          <w:p w14:paraId="6B20DC0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top w:val="single" w:color="auto" w:sz="4" w:space="0"/>
              <w:left w:val="single" w:color="auto" w:sz="4" w:space="0"/>
              <w:bottom w:val="single" w:color="auto" w:sz="4" w:space="0"/>
              <w:right w:val="single" w:color="auto" w:sz="4" w:space="0"/>
            </w:tcBorders>
            <w:noWrap w:val="0"/>
            <w:vAlign w:val="center"/>
          </w:tcPr>
          <w:p w14:paraId="5B3DBBE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right w:val="single" w:color="auto" w:sz="4" w:space="0"/>
            </w:tcBorders>
            <w:noWrap w:val="0"/>
            <w:vAlign w:val="center"/>
          </w:tcPr>
          <w:p w14:paraId="1C00C9F9">
            <w:pPr>
              <w:keepNext w:val="0"/>
              <w:keepLines w:val="0"/>
              <w:pageBreakBefore w:val="0"/>
              <w:widowControl w:val="0"/>
              <w:suppressLineNumbers w:val="0"/>
              <w:kinsoku/>
              <w:wordWrap/>
              <w:overflowPunct/>
              <w:topLinePunct w:val="0"/>
              <w:bidi w:val="0"/>
              <w:spacing w:before="0" w:beforeAutospacing="0" w:after="0" w:afterAutospacing="0" w:line="360" w:lineRule="exact"/>
              <w:ind w:left="0" w:right="0" w:firstLine="0" w:firstLineChars="0"/>
              <w:jc w:val="center"/>
              <w:textAlignment w:val="auto"/>
              <w:rPr>
                <w:rFonts w:hint="eastAsia" w:ascii="宋体" w:hAnsi="宋体" w:eastAsia="宋体" w:cs="宋体"/>
                <w:color w:val="auto"/>
                <w:szCs w:val="21"/>
              </w:rPr>
            </w:pPr>
            <w:r>
              <w:rPr>
                <w:rFonts w:hint="eastAsia" w:ascii="宋体" w:hAnsi="宋体" w:eastAsia="宋体" w:cs="宋体"/>
                <w:color w:val="auto"/>
                <w:szCs w:val="21"/>
                <w:lang w:val="en-US" w:eastAsia="zh-CN"/>
              </w:rPr>
              <w:t>深化设计</w:t>
            </w:r>
            <w:r>
              <w:rPr>
                <w:rFonts w:hint="eastAsia" w:ascii="宋体" w:hAnsi="宋体" w:eastAsia="宋体" w:cs="宋体"/>
                <w:color w:val="auto"/>
                <w:szCs w:val="21"/>
                <w:lang w:eastAsia="zh-CN"/>
              </w:rPr>
              <w:t>（</w:t>
            </w:r>
            <w:r>
              <w:rPr>
                <w:rFonts w:hint="eastAsia" w:ascii="宋体" w:hAnsi="宋体" w:cs="宋体"/>
                <w:color w:val="auto"/>
                <w:szCs w:val="21"/>
                <w:lang w:val="en-US" w:eastAsia="zh-CN"/>
              </w:rPr>
              <w:t>9</w:t>
            </w:r>
            <w:r>
              <w:rPr>
                <w:rFonts w:hint="eastAsia" w:ascii="宋体" w:hAnsi="宋体" w:eastAsia="宋体" w:cs="宋体"/>
                <w:color w:val="auto"/>
                <w:szCs w:val="21"/>
                <w:lang w:val="en-US" w:eastAsia="zh-CN"/>
              </w:rPr>
              <w:t>分</w:t>
            </w:r>
            <w:r>
              <w:rPr>
                <w:rFonts w:hint="eastAsia" w:ascii="宋体" w:hAnsi="宋体" w:eastAsia="宋体" w:cs="宋体"/>
                <w:color w:val="auto"/>
                <w:szCs w:val="21"/>
                <w:lang w:eastAsia="zh-CN"/>
              </w:rPr>
              <w:t>）</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75776D7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0" w:lineRule="exact"/>
              <w:ind w:left="0" w:right="0" w:firstLine="0" w:firstLineChars="0"/>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根据投标人对项目的</w:t>
            </w:r>
            <w:r>
              <w:rPr>
                <w:rFonts w:hint="eastAsia" w:ascii="宋体" w:hAnsi="宋体" w:cs="宋体"/>
                <w:color w:val="auto"/>
                <w:szCs w:val="21"/>
                <w:highlight w:val="none"/>
                <w:lang w:val="en-US" w:eastAsia="zh-CN"/>
              </w:rPr>
              <w:t>各专业及各节点图纸设计</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设计说明及图纸</w:t>
            </w:r>
            <w:r>
              <w:rPr>
                <w:rFonts w:hint="eastAsia" w:ascii="宋体" w:hAnsi="宋体" w:eastAsia="宋体" w:cs="宋体"/>
                <w:color w:val="auto"/>
                <w:szCs w:val="21"/>
                <w:highlight w:val="none"/>
              </w:rPr>
              <w:t>内容完善、</w:t>
            </w:r>
            <w:r>
              <w:rPr>
                <w:rFonts w:hint="eastAsia" w:ascii="宋体" w:hAnsi="宋体" w:eastAsia="宋体" w:cs="宋体"/>
                <w:color w:val="auto"/>
                <w:szCs w:val="21"/>
                <w:highlight w:val="none"/>
                <w:lang w:val="en-US" w:eastAsia="zh-CN"/>
              </w:rPr>
              <w:t>设计</w:t>
            </w:r>
            <w:r>
              <w:rPr>
                <w:rFonts w:hint="eastAsia" w:ascii="宋体" w:hAnsi="宋体" w:cs="宋体"/>
                <w:color w:val="auto"/>
                <w:szCs w:val="21"/>
                <w:highlight w:val="none"/>
                <w:lang w:val="en-US" w:eastAsia="zh-CN"/>
              </w:rPr>
              <w:t>标准</w:t>
            </w:r>
            <w:r>
              <w:rPr>
                <w:rFonts w:hint="eastAsia" w:ascii="宋体" w:hAnsi="宋体" w:eastAsia="宋体" w:cs="宋体"/>
                <w:color w:val="auto"/>
                <w:szCs w:val="21"/>
                <w:highlight w:val="none"/>
                <w:lang w:val="en-US" w:eastAsia="zh-CN"/>
              </w:rPr>
              <w:t>合理、</w:t>
            </w:r>
            <w:r>
              <w:rPr>
                <w:rFonts w:hint="eastAsia" w:ascii="宋体" w:hAnsi="宋体" w:cs="宋体"/>
                <w:color w:val="auto"/>
                <w:szCs w:val="21"/>
                <w:highlight w:val="none"/>
                <w:lang w:val="en-US" w:eastAsia="zh-CN"/>
              </w:rPr>
              <w:t>图纸</w:t>
            </w:r>
            <w:r>
              <w:rPr>
                <w:rFonts w:hint="eastAsia" w:ascii="宋体" w:hAnsi="宋体" w:eastAsia="宋体" w:cs="宋体"/>
                <w:color w:val="auto"/>
                <w:szCs w:val="21"/>
                <w:highlight w:val="none"/>
                <w:lang w:val="en-US" w:eastAsia="zh-CN"/>
              </w:rPr>
              <w:t>表达清晰</w:t>
            </w:r>
            <w:r>
              <w:rPr>
                <w:rFonts w:hint="eastAsia" w:ascii="宋体" w:hAnsi="宋体" w:cs="宋体"/>
                <w:color w:val="auto"/>
                <w:szCs w:val="21"/>
                <w:highlight w:val="none"/>
                <w:lang w:val="en-US" w:eastAsia="zh-CN"/>
              </w:rPr>
              <w:t>、工程投资经济合理。</w:t>
            </w:r>
            <w:r>
              <w:rPr>
                <w:rFonts w:hint="eastAsia" w:ascii="宋体" w:hAnsi="宋体" w:eastAsia="宋体" w:cs="宋体"/>
                <w:color w:val="auto"/>
                <w:szCs w:val="21"/>
                <w:highlight w:val="none"/>
              </w:rPr>
              <w:t>针对招标人的规划设计要求，对各投标人的</w:t>
            </w:r>
            <w:r>
              <w:rPr>
                <w:rFonts w:hint="eastAsia" w:ascii="宋体" w:hAnsi="宋体" w:cs="宋体"/>
                <w:color w:val="auto"/>
                <w:szCs w:val="21"/>
                <w:highlight w:val="none"/>
                <w:lang w:val="en-US" w:eastAsia="zh-CN"/>
              </w:rPr>
              <w:t>深化</w:t>
            </w:r>
            <w:r>
              <w:rPr>
                <w:rFonts w:hint="eastAsia" w:ascii="宋体" w:hAnsi="宋体" w:eastAsia="宋体" w:cs="宋体"/>
                <w:color w:val="auto"/>
                <w:szCs w:val="21"/>
                <w:highlight w:val="none"/>
              </w:rPr>
              <w:t>设计成果进行综合评分</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给予</w:t>
            </w:r>
            <w:r>
              <w:rPr>
                <w:rFonts w:hint="eastAsia" w:ascii="宋体" w:hAnsi="宋体" w:eastAsia="宋体" w:cs="宋体"/>
                <w:color w:val="auto"/>
                <w:szCs w:val="21"/>
                <w:highlight w:val="none"/>
                <w:lang w:val="en-US" w:eastAsia="zh-CN"/>
              </w:rPr>
              <w:t>0-</w:t>
            </w:r>
            <w:r>
              <w:rPr>
                <w:rFonts w:hint="eastAsia" w:ascii="宋体" w:hAnsi="宋体" w:cs="宋体"/>
                <w:color w:val="auto"/>
                <w:szCs w:val="21"/>
                <w:highlight w:val="none"/>
                <w:lang w:val="en-US" w:eastAsia="zh-CN"/>
              </w:rPr>
              <w:t>9</w:t>
            </w:r>
            <w:r>
              <w:rPr>
                <w:rFonts w:hint="eastAsia" w:ascii="宋体" w:hAnsi="宋体" w:eastAsia="宋体" w:cs="宋体"/>
                <w:color w:val="auto"/>
                <w:szCs w:val="21"/>
                <w:highlight w:val="none"/>
                <w:lang w:val="en-US" w:eastAsia="zh-CN"/>
              </w:rPr>
              <w:t>分。</w:t>
            </w:r>
          </w:p>
        </w:tc>
      </w:tr>
      <w:tr w14:paraId="74BD1C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jc w:val="center"/>
        </w:trPr>
        <w:tc>
          <w:tcPr>
            <w:tcW w:w="732" w:type="dxa"/>
            <w:vMerge w:val="restart"/>
            <w:tcBorders>
              <w:top w:val="single" w:color="auto" w:sz="4" w:space="0"/>
              <w:bottom w:val="single" w:color="auto" w:sz="4" w:space="0"/>
              <w:right w:val="single" w:color="auto" w:sz="4" w:space="0"/>
            </w:tcBorders>
            <w:noWrap w:val="0"/>
            <w:vAlign w:val="center"/>
          </w:tcPr>
          <w:p w14:paraId="7E62585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r>
              <w:rPr>
                <w:rFonts w:hint="eastAsia" w:ascii="宋体" w:hAnsi="宋体" w:eastAsia="宋体" w:cs="宋体"/>
                <w:color w:val="auto"/>
                <w:szCs w:val="21"/>
              </w:rPr>
              <w:t>2.2.4（2）</w:t>
            </w:r>
          </w:p>
        </w:tc>
        <w:tc>
          <w:tcPr>
            <w:tcW w:w="1124" w:type="dxa"/>
            <w:vMerge w:val="restart"/>
            <w:tcBorders>
              <w:top w:val="single" w:color="auto" w:sz="4" w:space="0"/>
              <w:left w:val="single" w:color="auto" w:sz="4" w:space="0"/>
              <w:bottom w:val="single" w:color="auto" w:sz="4" w:space="0"/>
              <w:right w:val="single" w:color="auto" w:sz="4" w:space="0"/>
            </w:tcBorders>
            <w:noWrap w:val="0"/>
            <w:vAlign w:val="center"/>
          </w:tcPr>
          <w:p w14:paraId="0190BBF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资信业绩评分标准</w:t>
            </w:r>
          </w:p>
        </w:tc>
        <w:tc>
          <w:tcPr>
            <w:tcW w:w="247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0946B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val="en-US" w:eastAsia="zh-CN"/>
              </w:rPr>
              <w:t>施工</w:t>
            </w:r>
            <w:r>
              <w:rPr>
                <w:rFonts w:hint="eastAsia" w:ascii="宋体" w:hAnsi="宋体" w:eastAsia="宋体" w:cs="宋体"/>
                <w:color w:val="auto"/>
                <w:szCs w:val="21"/>
                <w:highlight w:val="none"/>
              </w:rPr>
              <w:t>业绩</w:t>
            </w:r>
            <w:r>
              <w:rPr>
                <w:rFonts w:hint="eastAsia" w:ascii="宋体" w:hAnsi="宋体" w:eastAsia="宋体" w:cs="宋体"/>
                <w:color w:val="auto"/>
                <w:szCs w:val="21"/>
                <w:highlight w:val="none"/>
                <w:lang w:eastAsia="zh-CN"/>
              </w:rPr>
              <w:t>（</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zh-CN"/>
              </w:rPr>
              <w:t>分</w:t>
            </w:r>
            <w:r>
              <w:rPr>
                <w:rFonts w:hint="eastAsia" w:ascii="宋体" w:hAnsi="宋体" w:eastAsia="宋体" w:cs="宋体"/>
                <w:color w:val="auto"/>
                <w:szCs w:val="21"/>
                <w:highlight w:val="none"/>
                <w:lang w:eastAsia="zh-CN"/>
              </w:rPr>
              <w:t>）</w:t>
            </w:r>
          </w:p>
        </w:tc>
        <w:tc>
          <w:tcPr>
            <w:tcW w:w="526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78A682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0" w:lineRule="exact"/>
              <w:ind w:left="0" w:leftChars="0" w:right="0" w:rightChars="0" w:firstLine="0" w:firstLineChars="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val="en-US" w:eastAsia="zh-CN"/>
              </w:rPr>
              <w:t>投标人（</w:t>
            </w:r>
            <w:r>
              <w:rPr>
                <w:rFonts w:hint="eastAsia" w:ascii="宋体" w:hAnsi="宋体" w:eastAsia="宋体" w:cs="宋体"/>
                <w:color w:val="auto"/>
                <w:szCs w:val="21"/>
                <w:highlight w:val="none"/>
              </w:rPr>
              <w:t>联合体牵头方</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rPr>
              <w:t>近</w:t>
            </w:r>
            <w:r>
              <w:rPr>
                <w:rFonts w:hint="eastAsia" w:ascii="宋体" w:hAnsi="宋体" w:cs="宋体"/>
                <w:color w:val="auto"/>
                <w:szCs w:val="21"/>
                <w:highlight w:val="none"/>
                <w:lang w:val="en-US" w:eastAsia="zh-CN"/>
              </w:rPr>
              <w:t>五</w:t>
            </w:r>
            <w:r>
              <w:rPr>
                <w:rFonts w:hint="eastAsia" w:ascii="宋体" w:hAnsi="宋体" w:eastAsia="宋体" w:cs="宋体"/>
                <w:color w:val="auto"/>
                <w:szCs w:val="21"/>
                <w:highlight w:val="none"/>
              </w:rPr>
              <w:t>年（自投标截止之日往前推算</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年）</w:t>
            </w:r>
            <w:r>
              <w:rPr>
                <w:rFonts w:hint="eastAsia" w:ascii="宋体" w:hAnsi="宋体" w:cs="宋体"/>
                <w:color w:val="auto"/>
                <w:szCs w:val="21"/>
                <w:highlight w:val="none"/>
                <w:lang w:val="en-US" w:eastAsia="zh-CN"/>
              </w:rPr>
              <w:t>承接过的“</w:t>
            </w:r>
            <w:r>
              <w:rPr>
                <w:rFonts w:hint="eastAsia" w:ascii="宋体" w:hAnsi="宋体" w:eastAsia="宋体" w:cs="宋体"/>
                <w:color w:val="auto"/>
                <w:szCs w:val="21"/>
                <w:highlight w:val="none"/>
              </w:rPr>
              <w:t>类似项目</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或</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类似</w:t>
            </w:r>
            <w:r>
              <w:rPr>
                <w:rFonts w:hint="eastAsia" w:ascii="宋体" w:hAnsi="宋体" w:cs="宋体"/>
                <w:color w:val="auto"/>
                <w:szCs w:val="21"/>
                <w:highlight w:val="none"/>
                <w:lang w:val="en-US" w:eastAsia="zh-CN"/>
              </w:rPr>
              <w:t>施工项目”业绩</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每提供</w:t>
            </w:r>
            <w:r>
              <w:rPr>
                <w:rFonts w:hint="eastAsia" w:ascii="宋体" w:hAnsi="宋体" w:eastAsia="宋体" w:cs="宋体"/>
                <w:color w:val="auto"/>
                <w:szCs w:val="21"/>
                <w:highlight w:val="none"/>
                <w:lang w:val="en-US" w:eastAsia="zh-CN"/>
              </w:rPr>
              <w:t>一</w:t>
            </w:r>
            <w:r>
              <w:rPr>
                <w:rFonts w:hint="eastAsia" w:ascii="宋体" w:hAnsi="宋体" w:eastAsia="宋体" w:cs="宋体"/>
                <w:color w:val="auto"/>
                <w:szCs w:val="21"/>
                <w:highlight w:val="none"/>
              </w:rPr>
              <w:t>个得</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分，此项最高得</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eastAsia="zh-CN"/>
              </w:rPr>
              <w:t>。</w:t>
            </w:r>
            <w:r>
              <w:rPr>
                <w:rFonts w:hint="eastAsia" w:ascii="宋体" w:hAnsi="宋体" w:eastAsia="宋体" w:cs="宋体"/>
                <w:b/>
                <w:bCs/>
                <w:color w:val="auto"/>
                <w:szCs w:val="21"/>
                <w:highlight w:val="none"/>
              </w:rPr>
              <w:t>（提供中标结果公示官网截图及链接、中标通知书、合同协议书等证明材料的扫描件，时间界定以</w:t>
            </w:r>
            <w:r>
              <w:rPr>
                <w:rFonts w:hint="eastAsia" w:ascii="宋体" w:hAnsi="宋体" w:cs="宋体"/>
                <w:b/>
                <w:bCs/>
                <w:color w:val="auto"/>
                <w:szCs w:val="21"/>
                <w:highlight w:val="none"/>
                <w:lang w:val="en-US" w:eastAsia="zh-CN"/>
              </w:rPr>
              <w:t>合同签订</w:t>
            </w:r>
            <w:r>
              <w:rPr>
                <w:rFonts w:hint="eastAsia" w:ascii="宋体" w:hAnsi="宋体" w:eastAsia="宋体" w:cs="宋体"/>
                <w:b/>
                <w:bCs/>
                <w:color w:val="auto"/>
                <w:szCs w:val="21"/>
                <w:highlight w:val="none"/>
              </w:rPr>
              <w:t>时间为准。）</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具备双资质企业独自承担的EPC项目，只计施工业绩或者设计业绩，不重复计分</w:t>
            </w:r>
            <w:r>
              <w:rPr>
                <w:rFonts w:hint="eastAsia" w:ascii="宋体" w:hAnsi="宋体" w:cs="宋体"/>
                <w:b/>
                <w:bCs/>
                <w:color w:val="auto"/>
                <w:szCs w:val="21"/>
                <w:highlight w:val="none"/>
                <w:lang w:eastAsia="zh-CN"/>
              </w:rPr>
              <w:t>）</w:t>
            </w:r>
          </w:p>
        </w:tc>
      </w:tr>
      <w:tr w14:paraId="2B604D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jc w:val="center"/>
        </w:trPr>
        <w:tc>
          <w:tcPr>
            <w:tcW w:w="732" w:type="dxa"/>
            <w:vMerge w:val="continue"/>
            <w:tcBorders>
              <w:right w:val="single" w:color="auto" w:sz="4" w:space="0"/>
            </w:tcBorders>
            <w:noWrap w:val="0"/>
            <w:vAlign w:val="center"/>
          </w:tcPr>
          <w:p w14:paraId="1CEEF56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left w:val="single" w:color="auto" w:sz="4" w:space="0"/>
              <w:right w:val="single" w:color="auto" w:sz="4" w:space="0"/>
            </w:tcBorders>
            <w:noWrap w:val="0"/>
            <w:vAlign w:val="center"/>
          </w:tcPr>
          <w:p w14:paraId="3C9F10A0">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A43CF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设计业绩（3分）</w:t>
            </w:r>
          </w:p>
        </w:tc>
        <w:tc>
          <w:tcPr>
            <w:tcW w:w="526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0D127D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0" w:lineRule="exact"/>
              <w:ind w:left="0" w:leftChars="0" w:right="0" w:rightChars="0" w:firstLine="0" w:firstLineChars="0"/>
              <w:jc w:val="both"/>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投标人（联合体设计方）</w:t>
            </w:r>
            <w:r>
              <w:rPr>
                <w:rFonts w:hint="eastAsia" w:ascii="宋体" w:hAnsi="宋体" w:eastAsia="宋体" w:cs="宋体"/>
                <w:color w:val="auto"/>
                <w:szCs w:val="21"/>
                <w:highlight w:val="none"/>
              </w:rPr>
              <w:t>近</w:t>
            </w:r>
            <w:r>
              <w:rPr>
                <w:rFonts w:hint="eastAsia" w:ascii="宋体" w:hAnsi="宋体" w:cs="宋体"/>
                <w:color w:val="auto"/>
                <w:szCs w:val="21"/>
                <w:highlight w:val="none"/>
                <w:lang w:val="en-US" w:eastAsia="zh-CN"/>
              </w:rPr>
              <w:t>五</w:t>
            </w:r>
            <w:r>
              <w:rPr>
                <w:rFonts w:hint="eastAsia" w:ascii="宋体" w:hAnsi="宋体" w:eastAsia="宋体" w:cs="宋体"/>
                <w:color w:val="auto"/>
                <w:szCs w:val="21"/>
                <w:highlight w:val="none"/>
              </w:rPr>
              <w:t>年（自投标截止之日往前推算</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年）</w:t>
            </w:r>
            <w:r>
              <w:rPr>
                <w:rFonts w:hint="eastAsia" w:ascii="宋体" w:hAnsi="宋体" w:cs="宋体"/>
                <w:color w:val="auto"/>
                <w:szCs w:val="21"/>
                <w:highlight w:val="none"/>
                <w:lang w:val="en-US" w:eastAsia="zh-CN"/>
              </w:rPr>
              <w:t>承接过的“</w:t>
            </w:r>
            <w:r>
              <w:rPr>
                <w:rFonts w:hint="eastAsia" w:ascii="宋体" w:hAnsi="宋体" w:eastAsia="宋体" w:cs="宋体"/>
                <w:color w:val="auto"/>
                <w:szCs w:val="21"/>
                <w:highlight w:val="none"/>
              </w:rPr>
              <w:t>类似</w:t>
            </w:r>
            <w:r>
              <w:rPr>
                <w:rFonts w:hint="eastAsia" w:ascii="宋体" w:hAnsi="宋体" w:cs="宋体"/>
                <w:color w:val="auto"/>
                <w:szCs w:val="21"/>
                <w:highlight w:val="none"/>
                <w:lang w:val="en-US" w:eastAsia="zh-CN"/>
              </w:rPr>
              <w:t>设计</w:t>
            </w:r>
            <w:r>
              <w:rPr>
                <w:rFonts w:hint="eastAsia" w:ascii="宋体" w:hAnsi="宋体" w:eastAsia="宋体" w:cs="宋体"/>
                <w:color w:val="auto"/>
                <w:szCs w:val="21"/>
                <w:highlight w:val="none"/>
              </w:rPr>
              <w:t>项目</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业绩</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每提供</w:t>
            </w:r>
            <w:r>
              <w:rPr>
                <w:rFonts w:hint="eastAsia" w:ascii="宋体" w:hAnsi="宋体" w:eastAsia="宋体" w:cs="宋体"/>
                <w:color w:val="auto"/>
                <w:szCs w:val="21"/>
                <w:highlight w:val="none"/>
                <w:lang w:val="en-US" w:eastAsia="zh-CN"/>
              </w:rPr>
              <w:t>一</w:t>
            </w:r>
            <w:r>
              <w:rPr>
                <w:rFonts w:hint="eastAsia" w:ascii="宋体" w:hAnsi="宋体" w:eastAsia="宋体" w:cs="宋体"/>
                <w:color w:val="auto"/>
                <w:szCs w:val="21"/>
                <w:highlight w:val="none"/>
              </w:rPr>
              <w:t>个得</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分，此项最高得</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eastAsia="zh-CN"/>
              </w:rPr>
              <w:t>。</w:t>
            </w:r>
            <w:r>
              <w:rPr>
                <w:rFonts w:hint="eastAsia" w:ascii="宋体" w:hAnsi="宋体" w:eastAsia="宋体" w:cs="宋体"/>
                <w:b/>
                <w:bCs/>
                <w:color w:val="auto"/>
                <w:szCs w:val="21"/>
                <w:highlight w:val="none"/>
              </w:rPr>
              <w:t>（提供中标结果公示官网截图及链接、中标通知书、合同协议书等证明材料的扫描件，时间界定以</w:t>
            </w:r>
            <w:r>
              <w:rPr>
                <w:rFonts w:hint="eastAsia" w:ascii="宋体" w:hAnsi="宋体" w:cs="宋体"/>
                <w:b/>
                <w:bCs/>
                <w:color w:val="auto"/>
                <w:szCs w:val="21"/>
                <w:highlight w:val="none"/>
                <w:lang w:val="en-US" w:eastAsia="zh-CN"/>
              </w:rPr>
              <w:t>合同签订</w:t>
            </w:r>
            <w:r>
              <w:rPr>
                <w:rFonts w:hint="eastAsia" w:ascii="宋体" w:hAnsi="宋体" w:eastAsia="宋体" w:cs="宋体"/>
                <w:b/>
                <w:bCs/>
                <w:color w:val="auto"/>
                <w:szCs w:val="21"/>
                <w:highlight w:val="none"/>
              </w:rPr>
              <w:t>时间为准。）</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具备双资质企业独自承担的EPC项目，只计施工业绩或者设计业绩，不重复计分</w:t>
            </w:r>
            <w:r>
              <w:rPr>
                <w:rFonts w:hint="eastAsia" w:ascii="宋体" w:hAnsi="宋体" w:cs="宋体"/>
                <w:b/>
                <w:bCs/>
                <w:color w:val="auto"/>
                <w:szCs w:val="21"/>
                <w:highlight w:val="none"/>
                <w:lang w:eastAsia="zh-CN"/>
              </w:rPr>
              <w:t>）</w:t>
            </w:r>
          </w:p>
        </w:tc>
      </w:tr>
      <w:tr w14:paraId="25E9CB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2" w:type="dxa"/>
            <w:vMerge w:val="continue"/>
            <w:tcBorders>
              <w:top w:val="single" w:color="auto" w:sz="4" w:space="0"/>
              <w:bottom w:val="single" w:color="auto" w:sz="4" w:space="0"/>
              <w:right w:val="single" w:color="auto" w:sz="4" w:space="0"/>
            </w:tcBorders>
            <w:noWrap w:val="0"/>
            <w:vAlign w:val="center"/>
          </w:tcPr>
          <w:p w14:paraId="2A7EE94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top w:val="single" w:color="auto" w:sz="4" w:space="0"/>
              <w:left w:val="single" w:color="auto" w:sz="4" w:space="0"/>
              <w:bottom w:val="single" w:color="auto" w:sz="4" w:space="0"/>
              <w:right w:val="single" w:color="auto" w:sz="4" w:space="0"/>
            </w:tcBorders>
            <w:noWrap w:val="0"/>
            <w:vAlign w:val="center"/>
          </w:tcPr>
          <w:p w14:paraId="549E61BA">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7F019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奖项</w:t>
            </w:r>
            <w:r>
              <w:rPr>
                <w:rFonts w:hint="eastAsia" w:ascii="宋体" w:hAnsi="宋体" w:eastAsia="宋体" w:cs="宋体"/>
                <w:color w:val="auto"/>
                <w:szCs w:val="21"/>
                <w:highlight w:val="none"/>
                <w:lang w:eastAsia="zh-CN"/>
              </w:rPr>
              <w:t>（</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en-US" w:eastAsia="zh-CN"/>
              </w:rPr>
              <w:t>分</w:t>
            </w:r>
            <w:r>
              <w:rPr>
                <w:rFonts w:hint="eastAsia" w:ascii="宋体" w:hAnsi="宋体" w:eastAsia="宋体" w:cs="宋体"/>
                <w:color w:val="auto"/>
                <w:szCs w:val="21"/>
                <w:highlight w:val="none"/>
                <w:lang w:eastAsia="zh-CN"/>
              </w:rPr>
              <w:t>）</w:t>
            </w:r>
          </w:p>
        </w:tc>
        <w:tc>
          <w:tcPr>
            <w:tcW w:w="526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EA9CA5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0" w:lineRule="exact"/>
              <w:ind w:left="0" w:leftChars="0" w:right="0" w:rightChars="0" w:firstLine="0" w:firstLineChars="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投标人</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联合体任意一方</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近</w:t>
            </w:r>
            <w:r>
              <w:rPr>
                <w:rFonts w:hint="eastAsia" w:ascii="宋体" w:hAnsi="宋体" w:cs="宋体"/>
                <w:color w:val="auto"/>
                <w:szCs w:val="21"/>
                <w:highlight w:val="none"/>
                <w:lang w:val="en-US" w:eastAsia="zh-CN"/>
              </w:rPr>
              <w:t>五</w:t>
            </w:r>
            <w:r>
              <w:rPr>
                <w:rFonts w:hint="eastAsia" w:ascii="宋体" w:hAnsi="宋体" w:eastAsia="宋体" w:cs="宋体"/>
                <w:color w:val="auto"/>
                <w:szCs w:val="21"/>
                <w:highlight w:val="none"/>
              </w:rPr>
              <w:t>年（自投标截止之日往前推算</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年）获得过</w:t>
            </w:r>
            <w:r>
              <w:rPr>
                <w:rFonts w:hint="eastAsia" w:ascii="宋体" w:hAnsi="宋体" w:cs="宋体"/>
                <w:color w:val="auto"/>
                <w:szCs w:val="21"/>
                <w:highlight w:val="none"/>
                <w:lang w:val="en-US" w:eastAsia="zh-CN"/>
              </w:rPr>
              <w:t>市</w:t>
            </w:r>
            <w:r>
              <w:rPr>
                <w:rFonts w:hint="eastAsia" w:ascii="宋体" w:hAnsi="宋体" w:eastAsia="宋体" w:cs="宋体"/>
                <w:color w:val="auto"/>
                <w:szCs w:val="21"/>
                <w:highlight w:val="none"/>
              </w:rPr>
              <w:t>级市政工程奖或</w:t>
            </w:r>
            <w:r>
              <w:rPr>
                <w:rFonts w:hint="eastAsia" w:ascii="宋体" w:hAnsi="宋体" w:cs="宋体"/>
                <w:color w:val="auto"/>
                <w:szCs w:val="21"/>
                <w:highlight w:val="none"/>
                <w:lang w:val="en-US" w:eastAsia="zh-CN"/>
              </w:rPr>
              <w:t>市政工程</w:t>
            </w:r>
            <w:r>
              <w:rPr>
                <w:rFonts w:hint="eastAsia" w:ascii="宋体" w:hAnsi="宋体" w:eastAsia="宋体" w:cs="宋体"/>
                <w:color w:val="auto"/>
                <w:szCs w:val="21"/>
                <w:highlight w:val="none"/>
              </w:rPr>
              <w:t>设计奖</w:t>
            </w:r>
            <w:r>
              <w:rPr>
                <w:rFonts w:hint="eastAsia" w:ascii="宋体" w:hAnsi="宋体" w:cs="宋体"/>
                <w:color w:val="auto"/>
                <w:szCs w:val="21"/>
                <w:highlight w:val="none"/>
                <w:lang w:val="en-US" w:eastAsia="zh-CN"/>
              </w:rPr>
              <w:t>项</w:t>
            </w:r>
            <w:r>
              <w:rPr>
                <w:rFonts w:hint="eastAsia" w:ascii="宋体" w:hAnsi="宋体" w:eastAsia="宋体" w:cs="宋体"/>
                <w:color w:val="auto"/>
                <w:szCs w:val="21"/>
                <w:highlight w:val="none"/>
              </w:rPr>
              <w:t>，每提供一个得</w:t>
            </w:r>
            <w:r>
              <w:rPr>
                <w:rFonts w:hint="eastAsia" w:ascii="宋体" w:hAnsi="宋体" w:cs="宋体"/>
                <w:color w:val="auto"/>
                <w:szCs w:val="21"/>
                <w:highlight w:val="none"/>
                <w:lang w:val="en-US" w:eastAsia="zh-CN"/>
              </w:rPr>
              <w:t>0.5</w:t>
            </w:r>
            <w:r>
              <w:rPr>
                <w:rFonts w:hint="eastAsia" w:ascii="宋体" w:hAnsi="宋体" w:eastAsia="宋体" w:cs="宋体"/>
                <w:color w:val="auto"/>
                <w:szCs w:val="21"/>
                <w:highlight w:val="none"/>
              </w:rPr>
              <w:t>分</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获得过</w:t>
            </w:r>
            <w:r>
              <w:rPr>
                <w:rFonts w:hint="eastAsia" w:ascii="宋体" w:hAnsi="宋体" w:eastAsia="宋体" w:cs="宋体"/>
                <w:color w:val="auto"/>
                <w:szCs w:val="21"/>
                <w:highlight w:val="none"/>
              </w:rPr>
              <w:t>省级</w:t>
            </w:r>
            <w:r>
              <w:rPr>
                <w:rFonts w:hint="eastAsia" w:ascii="宋体" w:hAnsi="宋体" w:cs="宋体"/>
                <w:color w:val="auto"/>
                <w:szCs w:val="21"/>
                <w:highlight w:val="none"/>
                <w:lang w:val="en-US" w:eastAsia="zh-CN"/>
              </w:rPr>
              <w:t>及以上</w:t>
            </w:r>
            <w:r>
              <w:rPr>
                <w:rFonts w:hint="eastAsia" w:ascii="宋体" w:hAnsi="宋体" w:eastAsia="宋体" w:cs="宋体"/>
                <w:color w:val="auto"/>
                <w:szCs w:val="21"/>
                <w:highlight w:val="none"/>
              </w:rPr>
              <w:t>市政工程奖或</w:t>
            </w:r>
            <w:r>
              <w:rPr>
                <w:rFonts w:hint="eastAsia" w:ascii="宋体" w:hAnsi="宋体" w:cs="宋体"/>
                <w:color w:val="auto"/>
                <w:szCs w:val="21"/>
                <w:highlight w:val="none"/>
                <w:lang w:val="en-US" w:eastAsia="zh-CN"/>
              </w:rPr>
              <w:t>市政工程</w:t>
            </w:r>
            <w:r>
              <w:rPr>
                <w:rFonts w:hint="eastAsia" w:ascii="宋体" w:hAnsi="宋体" w:eastAsia="宋体" w:cs="宋体"/>
                <w:color w:val="auto"/>
                <w:szCs w:val="21"/>
                <w:highlight w:val="none"/>
              </w:rPr>
              <w:t>设计奖</w:t>
            </w:r>
            <w:r>
              <w:rPr>
                <w:rFonts w:hint="eastAsia" w:ascii="宋体" w:hAnsi="宋体" w:cs="宋体"/>
                <w:color w:val="auto"/>
                <w:szCs w:val="21"/>
                <w:highlight w:val="none"/>
                <w:lang w:val="en-US" w:eastAsia="zh-CN"/>
              </w:rPr>
              <w:t>项</w:t>
            </w:r>
            <w:r>
              <w:rPr>
                <w:rFonts w:hint="eastAsia" w:ascii="宋体" w:hAnsi="宋体" w:eastAsia="宋体" w:cs="宋体"/>
                <w:color w:val="auto"/>
                <w:szCs w:val="21"/>
                <w:highlight w:val="none"/>
              </w:rPr>
              <w:t>，每提供一个得</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分</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此项最高得</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分</w:t>
            </w:r>
            <w:r>
              <w:rPr>
                <w:rFonts w:hint="eastAsia" w:ascii="宋体" w:hAnsi="宋体" w:cs="宋体"/>
                <w:color w:val="auto"/>
                <w:szCs w:val="21"/>
                <w:highlight w:val="none"/>
                <w:lang w:eastAsia="zh-CN"/>
              </w:rPr>
              <w:t>。</w:t>
            </w:r>
            <w:r>
              <w:rPr>
                <w:rFonts w:hint="eastAsia" w:ascii="宋体" w:hAnsi="宋体" w:eastAsia="宋体" w:cs="宋体"/>
                <w:b/>
                <w:bCs/>
                <w:color w:val="auto"/>
                <w:szCs w:val="21"/>
                <w:highlight w:val="none"/>
              </w:rPr>
              <w:t>(提供行业协会及建设主管部门颁发的获奖证书</w:t>
            </w:r>
            <w:r>
              <w:rPr>
                <w:rFonts w:hint="eastAsia" w:ascii="宋体" w:hAnsi="宋体" w:cs="宋体"/>
                <w:b/>
                <w:bCs/>
                <w:color w:val="auto"/>
                <w:szCs w:val="21"/>
                <w:highlight w:val="none"/>
                <w:lang w:val="en-US" w:eastAsia="zh-CN"/>
              </w:rPr>
              <w:t>或</w:t>
            </w:r>
            <w:r>
              <w:rPr>
                <w:rFonts w:hint="eastAsia" w:ascii="宋体" w:hAnsi="宋体" w:eastAsia="宋体" w:cs="宋体"/>
                <w:b/>
                <w:bCs/>
                <w:color w:val="auto"/>
                <w:szCs w:val="21"/>
                <w:highlight w:val="none"/>
              </w:rPr>
              <w:t>相关主管部门的红头文件扫描件，时间以获奖证书上的时间或红头文件上的时间为准。颁奖单位应当是国家机关或民政部门注册登记的合法颁奖单位或协会，如证书颁奖单位为协会，另须提供该协会在民政部官方网站全国社会组织信用公示平台查询页面截图，同一工程获得不同类型或级别奖项的，按级别高的奖项加分且不重复计分</w:t>
            </w:r>
            <w:r>
              <w:rPr>
                <w:rFonts w:hint="eastAsia" w:ascii="宋体" w:hAnsi="宋体" w:cs="宋体"/>
                <w:b/>
                <w:bCs/>
                <w:color w:val="auto"/>
                <w:szCs w:val="21"/>
                <w:highlight w:val="none"/>
                <w:lang w:eastAsia="zh-CN"/>
              </w:rPr>
              <w:t>。</w:t>
            </w:r>
            <w:r>
              <w:rPr>
                <w:rFonts w:hint="eastAsia" w:ascii="宋体" w:hAnsi="宋体" w:eastAsia="宋体" w:cs="宋体"/>
                <w:b/>
                <w:bCs/>
                <w:color w:val="auto"/>
                <w:szCs w:val="21"/>
                <w:highlight w:val="none"/>
              </w:rPr>
              <w:t>)</w:t>
            </w:r>
          </w:p>
        </w:tc>
      </w:tr>
      <w:tr w14:paraId="6FCA62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8" w:hRule="atLeast"/>
          <w:jc w:val="center"/>
        </w:trPr>
        <w:tc>
          <w:tcPr>
            <w:tcW w:w="732" w:type="dxa"/>
            <w:vMerge w:val="continue"/>
            <w:tcBorders>
              <w:top w:val="single" w:color="auto" w:sz="4" w:space="0"/>
              <w:bottom w:val="single" w:color="auto" w:sz="4" w:space="0"/>
              <w:right w:val="single" w:color="auto" w:sz="4" w:space="0"/>
            </w:tcBorders>
            <w:noWrap w:val="0"/>
            <w:vAlign w:val="center"/>
          </w:tcPr>
          <w:p w14:paraId="1021D5B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top w:val="single" w:color="auto" w:sz="4" w:space="0"/>
              <w:left w:val="single" w:color="auto" w:sz="4" w:space="0"/>
              <w:bottom w:val="single" w:color="auto" w:sz="4" w:space="0"/>
              <w:right w:val="single" w:color="auto" w:sz="4" w:space="0"/>
            </w:tcBorders>
            <w:noWrap w:val="0"/>
            <w:vAlign w:val="center"/>
          </w:tcPr>
          <w:p w14:paraId="3B25408A">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6F7380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体系认证（3分）</w:t>
            </w:r>
          </w:p>
        </w:tc>
        <w:tc>
          <w:tcPr>
            <w:tcW w:w="526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DF785A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0" w:lineRule="exact"/>
              <w:ind w:left="0" w:leftChars="0" w:right="0" w:rightChars="0" w:firstLine="0" w:firstLineChars="0"/>
              <w:jc w:val="both"/>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投标人（联合体牵头方）同时具有有效的ISO9001质量管理体系认证、ISO14001环境管理体系认证、ISO45001职业健康安全管理体系认证（认证范围须涵盖市政工程施工）的得3分，缺一项不得分。</w:t>
            </w:r>
            <w:r>
              <w:rPr>
                <w:rFonts w:hint="eastAsia" w:ascii="宋体" w:hAnsi="宋体" w:cs="宋体"/>
                <w:b/>
                <w:bCs/>
                <w:color w:val="auto"/>
                <w:szCs w:val="21"/>
                <w:highlight w:val="none"/>
                <w:lang w:val="en-US" w:eastAsia="zh-CN"/>
              </w:rPr>
              <w:t>（提供认证证书扫描件及国家市场监督总局全国认证认可信息公共服务平台(http://cx.cnca.cn)网站查询截图。）</w:t>
            </w:r>
          </w:p>
        </w:tc>
      </w:tr>
      <w:tr w14:paraId="79D8D8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7" w:hRule="atLeast"/>
          <w:jc w:val="center"/>
        </w:trPr>
        <w:tc>
          <w:tcPr>
            <w:tcW w:w="732" w:type="dxa"/>
            <w:vMerge w:val="continue"/>
            <w:tcBorders>
              <w:top w:val="single" w:color="auto" w:sz="4" w:space="0"/>
              <w:bottom w:val="single" w:color="auto" w:sz="4" w:space="0"/>
              <w:right w:val="single" w:color="auto" w:sz="4" w:space="0"/>
            </w:tcBorders>
            <w:noWrap w:val="0"/>
            <w:vAlign w:val="center"/>
          </w:tcPr>
          <w:p w14:paraId="0EC708E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top w:val="single" w:color="auto" w:sz="4" w:space="0"/>
              <w:left w:val="single" w:color="auto" w:sz="4" w:space="0"/>
              <w:bottom w:val="single" w:color="auto" w:sz="4" w:space="0"/>
              <w:right w:val="single" w:color="auto" w:sz="4" w:space="0"/>
            </w:tcBorders>
            <w:noWrap w:val="0"/>
            <w:vAlign w:val="center"/>
          </w:tcPr>
          <w:p w14:paraId="4FB37513">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right w:val="single" w:color="auto" w:sz="4" w:space="0"/>
            </w:tcBorders>
            <w:shd w:val="clear" w:color="auto" w:fill="auto"/>
            <w:noWrap w:val="0"/>
            <w:vAlign w:val="center"/>
          </w:tcPr>
          <w:p w14:paraId="5BC406A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总承包项目经理（2分）</w:t>
            </w:r>
          </w:p>
        </w:tc>
        <w:tc>
          <w:tcPr>
            <w:tcW w:w="526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FB0DC5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0" w:lineRule="exact"/>
              <w:ind w:left="0" w:leftChars="0" w:right="0" w:rightChars="0" w:firstLine="0" w:firstLineChars="0"/>
              <w:jc w:val="both"/>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1、从事专业工作年限：3年及以上的得1分。</w:t>
            </w:r>
          </w:p>
          <w:p w14:paraId="54AE894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0" w:lineRule="exact"/>
              <w:ind w:left="0" w:leftChars="0" w:right="0" w:rightChars="0" w:firstLine="0" w:firstLineChars="0"/>
              <w:jc w:val="both"/>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2、职称：具备工程类中级及以上职称的得1分。</w:t>
            </w:r>
            <w:r>
              <w:rPr>
                <w:rFonts w:hint="eastAsia" w:ascii="宋体" w:hAnsi="宋体" w:cs="宋体"/>
                <w:b/>
                <w:bCs/>
                <w:color w:val="auto"/>
                <w:szCs w:val="21"/>
                <w:highlight w:val="none"/>
                <w:lang w:val="en-US" w:eastAsia="zh-CN"/>
              </w:rPr>
              <w:t>（提供相关证书扫描件。）</w:t>
            </w:r>
          </w:p>
        </w:tc>
      </w:tr>
      <w:tr w14:paraId="7E77B3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5" w:hRule="atLeast"/>
          <w:jc w:val="center"/>
        </w:trPr>
        <w:tc>
          <w:tcPr>
            <w:tcW w:w="732" w:type="dxa"/>
            <w:vMerge w:val="continue"/>
            <w:tcBorders>
              <w:bottom w:val="single" w:color="auto" w:sz="4" w:space="0"/>
              <w:right w:val="single" w:color="auto" w:sz="4" w:space="0"/>
            </w:tcBorders>
            <w:noWrap w:val="0"/>
            <w:vAlign w:val="center"/>
          </w:tcPr>
          <w:p w14:paraId="004A2EE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left w:val="single" w:color="auto" w:sz="4" w:space="0"/>
              <w:bottom w:val="single" w:color="auto" w:sz="4" w:space="0"/>
              <w:right w:val="single" w:color="auto" w:sz="4" w:space="0"/>
            </w:tcBorders>
            <w:noWrap w:val="0"/>
            <w:vAlign w:val="center"/>
          </w:tcPr>
          <w:p w14:paraId="38140467">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shd w:val="clear" w:color="auto" w:fill="auto"/>
            <w:noWrap w:val="0"/>
            <w:tcMar>
              <w:left w:w="57" w:type="dxa"/>
              <w:right w:w="57" w:type="dxa"/>
            </w:tcMar>
            <w:vAlign w:val="center"/>
          </w:tcPr>
          <w:p w14:paraId="71FB463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color w:val="auto"/>
                <w:szCs w:val="21"/>
              </w:rPr>
            </w:pPr>
            <w:r>
              <w:rPr>
                <w:rFonts w:hint="eastAsia" w:ascii="宋体" w:hAnsi="宋体" w:eastAsia="宋体" w:cs="宋体"/>
                <w:color w:val="auto"/>
                <w:szCs w:val="21"/>
              </w:rPr>
              <w:t>拟投入本项目的</w:t>
            </w:r>
            <w:r>
              <w:rPr>
                <w:rFonts w:hint="eastAsia" w:ascii="宋体" w:hAnsi="宋体" w:cs="宋体"/>
                <w:color w:val="auto"/>
                <w:szCs w:val="21"/>
                <w:lang w:val="en-US" w:eastAsia="zh-CN"/>
              </w:rPr>
              <w:t>施工</w:t>
            </w:r>
            <w:r>
              <w:rPr>
                <w:rFonts w:hint="eastAsia" w:ascii="宋体" w:hAnsi="宋体" w:eastAsia="宋体" w:cs="宋体"/>
                <w:color w:val="auto"/>
                <w:szCs w:val="21"/>
              </w:rPr>
              <w:t>团队人员（</w:t>
            </w:r>
            <w:r>
              <w:rPr>
                <w:rFonts w:hint="eastAsia" w:ascii="宋体" w:hAnsi="宋体" w:cs="宋体"/>
                <w:color w:val="auto"/>
                <w:szCs w:val="21"/>
                <w:lang w:val="en-US" w:eastAsia="zh-CN"/>
              </w:rPr>
              <w:t>2</w:t>
            </w:r>
            <w:r>
              <w:rPr>
                <w:rFonts w:hint="eastAsia" w:ascii="宋体" w:hAnsi="宋体" w:eastAsia="宋体" w:cs="宋体"/>
                <w:color w:val="auto"/>
                <w:szCs w:val="21"/>
              </w:rPr>
              <w:t>分）</w:t>
            </w:r>
          </w:p>
        </w:tc>
        <w:tc>
          <w:tcPr>
            <w:tcW w:w="526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18D49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0" w:lineRule="exact"/>
              <w:ind w:left="0" w:leftChars="0" w:right="0" w:rightChars="0"/>
              <w:jc w:val="both"/>
              <w:textAlignment w:val="auto"/>
              <w:rPr>
                <w:rFonts w:hint="eastAsia" w:ascii="宋体" w:hAnsi="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拟派本项目施工员、质量员、安全员、材料员、资料员都具有中级及以上职称的得2分，否则不得分。</w:t>
            </w:r>
            <w:r>
              <w:rPr>
                <w:rFonts w:hint="eastAsia" w:ascii="宋体" w:hAnsi="宋体" w:eastAsia="宋体" w:cs="宋体"/>
                <w:b/>
                <w:bCs/>
                <w:color w:val="auto"/>
                <w:kern w:val="2"/>
                <w:sz w:val="21"/>
                <w:szCs w:val="21"/>
                <w:lang w:val="en-US" w:eastAsia="zh-CN" w:bidi="ar-SA"/>
              </w:rPr>
              <w:t>（提供相关证书扫描件</w:t>
            </w:r>
            <w:r>
              <w:rPr>
                <w:rFonts w:hint="eastAsia" w:ascii="宋体" w:hAnsi="宋体" w:cs="宋体"/>
                <w:b/>
                <w:bCs/>
                <w:color w:val="auto"/>
                <w:kern w:val="2"/>
                <w:sz w:val="21"/>
                <w:szCs w:val="21"/>
                <w:lang w:val="en-US" w:eastAsia="zh-CN" w:bidi="ar-SA"/>
              </w:rPr>
              <w:t>。</w:t>
            </w:r>
            <w:r>
              <w:rPr>
                <w:rFonts w:hint="eastAsia" w:ascii="宋体" w:hAnsi="宋体" w:eastAsia="宋体" w:cs="宋体"/>
                <w:b/>
                <w:bCs/>
                <w:color w:val="auto"/>
                <w:kern w:val="2"/>
                <w:sz w:val="21"/>
                <w:szCs w:val="21"/>
                <w:lang w:val="en-US" w:eastAsia="zh-CN" w:bidi="ar-SA"/>
              </w:rPr>
              <w:t>）</w:t>
            </w:r>
          </w:p>
        </w:tc>
      </w:tr>
      <w:tr w14:paraId="7B026F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6" w:hRule="atLeast"/>
          <w:jc w:val="center"/>
        </w:trPr>
        <w:tc>
          <w:tcPr>
            <w:tcW w:w="732" w:type="dxa"/>
            <w:vMerge w:val="continue"/>
            <w:tcBorders>
              <w:bottom w:val="single" w:color="auto" w:sz="4" w:space="0"/>
              <w:right w:val="single" w:color="auto" w:sz="4" w:space="0"/>
            </w:tcBorders>
            <w:noWrap w:val="0"/>
            <w:vAlign w:val="center"/>
          </w:tcPr>
          <w:p w14:paraId="2D6510C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left w:val="single" w:color="auto" w:sz="4" w:space="0"/>
              <w:bottom w:val="single" w:color="auto" w:sz="4" w:space="0"/>
              <w:right w:val="single" w:color="auto" w:sz="4" w:space="0"/>
            </w:tcBorders>
            <w:noWrap w:val="0"/>
            <w:vAlign w:val="center"/>
          </w:tcPr>
          <w:p w14:paraId="26A86EB1">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right w:val="single" w:color="auto" w:sz="4" w:space="0"/>
            </w:tcBorders>
            <w:shd w:val="clear" w:color="auto" w:fill="auto"/>
            <w:noWrap w:val="0"/>
            <w:tcMar>
              <w:left w:w="57" w:type="dxa"/>
              <w:right w:w="57" w:type="dxa"/>
            </w:tcMar>
            <w:vAlign w:val="center"/>
          </w:tcPr>
          <w:p w14:paraId="56E6D3B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拟投入本项目的设计团队（</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分）</w:t>
            </w:r>
          </w:p>
        </w:tc>
        <w:tc>
          <w:tcPr>
            <w:tcW w:w="526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E8B813A">
            <w:pPr>
              <w:keepNext w:val="0"/>
              <w:keepLines w:val="0"/>
              <w:pageBreakBefore w:val="0"/>
              <w:widowControl w:val="0"/>
              <w:numPr>
                <w:ilvl w:val="0"/>
                <w:numId w:val="13"/>
              </w:numPr>
              <w:suppressLineNumbers w:val="0"/>
              <w:kinsoku/>
              <w:wordWrap/>
              <w:overflowPunct/>
              <w:topLinePunct w:val="0"/>
              <w:autoSpaceDE/>
              <w:autoSpaceDN/>
              <w:bidi w:val="0"/>
              <w:adjustRightInd/>
              <w:snapToGrid/>
              <w:spacing w:before="0" w:beforeAutospacing="0" w:after="0" w:afterAutospacing="0" w:line="330" w:lineRule="exact"/>
              <w:ind w:left="0" w:leftChars="0" w:right="0" w:rightChars="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设计负责人</w:t>
            </w:r>
            <w:r>
              <w:rPr>
                <w:rFonts w:hint="eastAsia" w:ascii="宋体" w:hAnsi="宋体" w:cs="宋体"/>
                <w:color w:val="auto"/>
                <w:kern w:val="2"/>
                <w:sz w:val="21"/>
                <w:szCs w:val="21"/>
                <w:highlight w:val="none"/>
                <w:lang w:val="en-US" w:eastAsia="zh-CN" w:bidi="ar-SA"/>
              </w:rPr>
              <w:t>（1分）：</w:t>
            </w:r>
            <w:r>
              <w:rPr>
                <w:rFonts w:hint="eastAsia" w:ascii="宋体" w:hAnsi="宋体" w:eastAsia="宋体" w:cs="宋体"/>
                <w:color w:val="auto"/>
                <w:kern w:val="2"/>
                <w:sz w:val="21"/>
                <w:szCs w:val="21"/>
                <w:highlight w:val="none"/>
                <w:lang w:val="en-US" w:eastAsia="zh-CN" w:bidi="ar-SA"/>
              </w:rPr>
              <w:t>具备工程</w:t>
            </w:r>
            <w:r>
              <w:rPr>
                <w:rFonts w:hint="eastAsia" w:ascii="宋体" w:hAnsi="宋体" w:cs="宋体"/>
                <w:color w:val="auto"/>
                <w:kern w:val="2"/>
                <w:sz w:val="21"/>
                <w:szCs w:val="21"/>
                <w:highlight w:val="none"/>
                <w:lang w:val="en-US" w:eastAsia="zh-CN" w:bidi="ar-SA"/>
              </w:rPr>
              <w:t>类中</w:t>
            </w:r>
            <w:r>
              <w:rPr>
                <w:rFonts w:hint="eastAsia" w:ascii="宋体" w:hAnsi="宋体" w:eastAsia="宋体" w:cs="宋体"/>
                <w:color w:val="auto"/>
                <w:kern w:val="2"/>
                <w:sz w:val="21"/>
                <w:szCs w:val="21"/>
                <w:highlight w:val="none"/>
                <w:lang w:val="en-US" w:eastAsia="zh-CN" w:bidi="ar-SA"/>
              </w:rPr>
              <w:t>级工程师职称的得</w:t>
            </w:r>
            <w:r>
              <w:rPr>
                <w:rFonts w:hint="eastAsia" w:ascii="宋体" w:hAnsi="宋体" w:cs="宋体"/>
                <w:color w:val="auto"/>
                <w:kern w:val="2"/>
                <w:sz w:val="21"/>
                <w:szCs w:val="21"/>
                <w:highlight w:val="none"/>
                <w:lang w:val="en-US" w:eastAsia="zh-CN" w:bidi="ar-SA"/>
              </w:rPr>
              <w:t>0.5</w:t>
            </w:r>
            <w:r>
              <w:rPr>
                <w:rFonts w:hint="eastAsia" w:ascii="宋体" w:hAnsi="宋体" w:eastAsia="宋体" w:cs="宋体"/>
                <w:color w:val="auto"/>
                <w:kern w:val="2"/>
                <w:sz w:val="21"/>
                <w:szCs w:val="21"/>
                <w:highlight w:val="none"/>
                <w:lang w:val="en-US" w:eastAsia="zh-CN" w:bidi="ar-SA"/>
              </w:rPr>
              <w:t>分</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具备工程</w:t>
            </w:r>
            <w:r>
              <w:rPr>
                <w:rFonts w:hint="eastAsia" w:ascii="宋体" w:hAnsi="宋体" w:cs="宋体"/>
                <w:color w:val="auto"/>
                <w:kern w:val="2"/>
                <w:sz w:val="21"/>
                <w:szCs w:val="21"/>
                <w:highlight w:val="none"/>
                <w:lang w:val="en-US" w:eastAsia="zh-CN" w:bidi="ar-SA"/>
              </w:rPr>
              <w:t>类高</w:t>
            </w:r>
            <w:r>
              <w:rPr>
                <w:rFonts w:hint="eastAsia" w:ascii="宋体" w:hAnsi="宋体" w:eastAsia="宋体" w:cs="宋体"/>
                <w:color w:val="auto"/>
                <w:kern w:val="2"/>
                <w:sz w:val="21"/>
                <w:szCs w:val="21"/>
                <w:highlight w:val="none"/>
                <w:lang w:val="en-US" w:eastAsia="zh-CN" w:bidi="ar-SA"/>
              </w:rPr>
              <w:t>级工程师职称的得</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分</w:t>
            </w:r>
            <w:r>
              <w:rPr>
                <w:rFonts w:hint="eastAsia" w:ascii="宋体" w:hAnsi="宋体" w:eastAsia="宋体" w:cs="宋体"/>
                <w:color w:val="auto"/>
                <w:kern w:val="2"/>
                <w:sz w:val="21"/>
                <w:szCs w:val="21"/>
                <w:highlight w:val="none"/>
                <w:lang w:val="en-US" w:eastAsia="zh-CN" w:bidi="ar-SA"/>
              </w:rPr>
              <w:t>。</w:t>
            </w:r>
          </w:p>
          <w:p w14:paraId="388C8E18">
            <w:pPr>
              <w:keepNext w:val="0"/>
              <w:keepLines w:val="0"/>
              <w:pageBreakBefore w:val="0"/>
              <w:widowControl w:val="0"/>
              <w:numPr>
                <w:ilvl w:val="0"/>
                <w:numId w:val="13"/>
              </w:numPr>
              <w:suppressLineNumbers w:val="0"/>
              <w:kinsoku/>
              <w:wordWrap/>
              <w:overflowPunct/>
              <w:topLinePunct w:val="0"/>
              <w:autoSpaceDE/>
              <w:autoSpaceDN/>
              <w:bidi w:val="0"/>
              <w:adjustRightInd/>
              <w:snapToGrid/>
              <w:spacing w:before="0" w:beforeAutospacing="0" w:after="0" w:afterAutospacing="0" w:line="330" w:lineRule="exact"/>
              <w:ind w:left="0" w:leftChars="0" w:right="0" w:rightChars="0" w:firstLine="0" w:firstLineChars="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拟派设计团队其他人员(</w:t>
            </w:r>
            <w:r>
              <w:rPr>
                <w:rFonts w:hint="eastAsia" w:ascii="宋体" w:hAnsi="宋体" w:cs="宋体"/>
                <w:color w:val="auto"/>
                <w:kern w:val="2"/>
                <w:sz w:val="21"/>
                <w:szCs w:val="21"/>
                <w:highlight w:val="none"/>
                <w:lang w:val="en-US" w:eastAsia="zh-CN" w:bidi="ar-SA"/>
              </w:rPr>
              <w:t>2</w:t>
            </w:r>
            <w:r>
              <w:rPr>
                <w:rFonts w:hint="eastAsia" w:ascii="宋体" w:hAnsi="宋体" w:eastAsia="宋体" w:cs="宋体"/>
                <w:color w:val="auto"/>
                <w:kern w:val="2"/>
                <w:sz w:val="21"/>
                <w:szCs w:val="21"/>
                <w:highlight w:val="none"/>
                <w:lang w:val="en-US" w:eastAsia="zh-CN" w:bidi="ar-SA"/>
              </w:rPr>
              <w:t>分)</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设计团队专业人员配置齐全，给排水、电气、造价各设计专业负责人具备相关专业国家注册证书的得</w:t>
            </w:r>
            <w:r>
              <w:rPr>
                <w:rFonts w:hint="eastAsia" w:ascii="宋体" w:hAnsi="宋体" w:cs="宋体"/>
                <w:color w:val="auto"/>
                <w:kern w:val="2"/>
                <w:sz w:val="21"/>
                <w:szCs w:val="21"/>
                <w:highlight w:val="none"/>
                <w:lang w:val="en-US" w:eastAsia="zh-CN" w:bidi="ar-SA"/>
              </w:rPr>
              <w:t>2</w:t>
            </w:r>
            <w:r>
              <w:rPr>
                <w:rFonts w:hint="eastAsia" w:ascii="宋体" w:hAnsi="宋体" w:eastAsia="宋体" w:cs="宋体"/>
                <w:color w:val="auto"/>
                <w:kern w:val="2"/>
                <w:sz w:val="21"/>
                <w:szCs w:val="21"/>
                <w:highlight w:val="none"/>
                <w:lang w:val="en-US" w:eastAsia="zh-CN" w:bidi="ar-SA"/>
              </w:rPr>
              <w:t>分，否则不得分。</w:t>
            </w:r>
            <w:r>
              <w:rPr>
                <w:rFonts w:hint="eastAsia" w:ascii="宋体" w:hAnsi="宋体" w:eastAsia="宋体" w:cs="宋体"/>
                <w:b/>
                <w:bCs/>
                <w:color w:val="auto"/>
                <w:kern w:val="2"/>
                <w:sz w:val="21"/>
                <w:szCs w:val="21"/>
                <w:highlight w:val="none"/>
                <w:lang w:val="en-US" w:eastAsia="zh-CN" w:bidi="ar-SA"/>
              </w:rPr>
              <w:t>(提供</w:t>
            </w:r>
            <w:r>
              <w:rPr>
                <w:rFonts w:hint="eastAsia" w:ascii="宋体" w:hAnsi="宋体" w:cs="宋体"/>
                <w:b/>
                <w:bCs/>
                <w:color w:val="auto"/>
                <w:kern w:val="2"/>
                <w:sz w:val="21"/>
                <w:szCs w:val="21"/>
                <w:highlight w:val="none"/>
                <w:lang w:val="en-US" w:eastAsia="zh-CN" w:bidi="ar-SA"/>
              </w:rPr>
              <w:t>上述</w:t>
            </w:r>
            <w:r>
              <w:rPr>
                <w:rFonts w:hint="eastAsia" w:ascii="宋体" w:hAnsi="宋体" w:eastAsia="宋体" w:cs="宋体"/>
                <w:b/>
                <w:bCs/>
                <w:color w:val="auto"/>
                <w:kern w:val="2"/>
                <w:sz w:val="21"/>
                <w:szCs w:val="21"/>
                <w:highlight w:val="none"/>
                <w:lang w:val="en-US" w:eastAsia="zh-CN" w:bidi="ar-SA"/>
              </w:rPr>
              <w:t>人员注册证或职称证扫描件</w:t>
            </w:r>
            <w:r>
              <w:rPr>
                <w:rFonts w:hint="eastAsia" w:ascii="宋体" w:hAnsi="宋体" w:cs="宋体"/>
                <w:b/>
                <w:bCs/>
                <w:color w:val="auto"/>
                <w:kern w:val="2"/>
                <w:sz w:val="21"/>
                <w:szCs w:val="21"/>
                <w:highlight w:val="none"/>
                <w:lang w:val="en-US" w:eastAsia="zh-CN" w:bidi="ar-SA"/>
              </w:rPr>
              <w:t>，</w:t>
            </w:r>
            <w:r>
              <w:rPr>
                <w:rFonts w:hint="eastAsia" w:ascii="宋体" w:hAnsi="宋体" w:eastAsia="宋体" w:cs="宋体"/>
                <w:b/>
                <w:bCs/>
                <w:color w:val="auto"/>
                <w:kern w:val="2"/>
                <w:sz w:val="21"/>
                <w:szCs w:val="21"/>
                <w:highlight w:val="none"/>
                <w:lang w:val="en-US" w:eastAsia="zh-CN" w:bidi="ar-SA"/>
              </w:rPr>
              <w:t>一人多证</w:t>
            </w:r>
            <w:r>
              <w:rPr>
                <w:rFonts w:hint="eastAsia" w:ascii="宋体" w:hAnsi="宋体" w:cs="宋体"/>
                <w:b/>
                <w:bCs/>
                <w:color w:val="auto"/>
                <w:kern w:val="2"/>
                <w:sz w:val="21"/>
                <w:szCs w:val="21"/>
                <w:highlight w:val="none"/>
                <w:lang w:val="en-US" w:eastAsia="zh-CN" w:bidi="ar-SA"/>
              </w:rPr>
              <w:t>的按一个计取。</w:t>
            </w:r>
            <w:r>
              <w:rPr>
                <w:rFonts w:hint="eastAsia" w:ascii="宋体" w:hAnsi="宋体" w:eastAsia="宋体" w:cs="宋体"/>
                <w:b/>
                <w:bCs/>
                <w:color w:val="auto"/>
                <w:kern w:val="2"/>
                <w:sz w:val="21"/>
                <w:szCs w:val="21"/>
                <w:highlight w:val="none"/>
                <w:lang w:val="en-US" w:eastAsia="zh-CN" w:bidi="ar-SA"/>
              </w:rPr>
              <w:t>)</w:t>
            </w:r>
          </w:p>
        </w:tc>
      </w:tr>
      <w:tr w14:paraId="241EA0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32" w:type="dxa"/>
            <w:vMerge w:val="restart"/>
            <w:tcBorders>
              <w:top w:val="single" w:color="auto" w:sz="4" w:space="0"/>
              <w:bottom w:val="single" w:color="auto" w:sz="4" w:space="0"/>
              <w:right w:val="single" w:color="auto" w:sz="4" w:space="0"/>
            </w:tcBorders>
            <w:noWrap w:val="0"/>
            <w:vAlign w:val="center"/>
          </w:tcPr>
          <w:p w14:paraId="33C430E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r>
              <w:rPr>
                <w:rFonts w:hint="eastAsia" w:ascii="宋体" w:hAnsi="宋体" w:eastAsia="宋体" w:cs="宋体"/>
                <w:color w:val="auto"/>
                <w:szCs w:val="21"/>
              </w:rPr>
              <w:t>2.2.4（3）</w:t>
            </w:r>
          </w:p>
        </w:tc>
        <w:tc>
          <w:tcPr>
            <w:tcW w:w="1124" w:type="dxa"/>
            <w:vMerge w:val="restart"/>
            <w:tcBorders>
              <w:top w:val="single" w:color="auto" w:sz="4" w:space="0"/>
              <w:left w:val="single" w:color="auto" w:sz="4" w:space="0"/>
              <w:bottom w:val="single" w:color="auto" w:sz="4" w:space="0"/>
              <w:right w:val="single" w:color="auto" w:sz="4" w:space="0"/>
            </w:tcBorders>
            <w:noWrap w:val="0"/>
            <w:vAlign w:val="center"/>
          </w:tcPr>
          <w:p w14:paraId="7192B861">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承包人实施方案评分标准</w:t>
            </w:r>
          </w:p>
        </w:tc>
        <w:tc>
          <w:tcPr>
            <w:tcW w:w="247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179CB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eastAsia" w:ascii="宋体" w:hAnsi="宋体" w:eastAsia="宋体" w:cs="宋体"/>
                <w:color w:val="auto"/>
                <w:szCs w:val="21"/>
              </w:rPr>
            </w:pPr>
            <w:r>
              <w:rPr>
                <w:rFonts w:hint="eastAsia" w:ascii="宋体" w:hAnsi="宋体" w:eastAsia="宋体" w:cs="宋体"/>
                <w:color w:val="auto"/>
                <w:szCs w:val="21"/>
              </w:rPr>
              <w:t>总体施工组织布置</w:t>
            </w:r>
          </w:p>
          <w:p w14:paraId="256184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Cs w:val="21"/>
              </w:rPr>
              <w:t>（2分）</w:t>
            </w:r>
          </w:p>
        </w:tc>
        <w:tc>
          <w:tcPr>
            <w:tcW w:w="526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34821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0" w:lineRule="exact"/>
              <w:ind w:left="0" w:leftChars="0" w:right="0" w:rightChars="0" w:firstLine="0" w:firstLineChars="0"/>
              <w:jc w:val="both"/>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Cs w:val="21"/>
              </w:rPr>
              <w:t>针对本项目总体的平面布置及施工组织规划、科学评估现状问题，准确分析项目重点、难点进行综合对比，给予评分。内容完备，科学合理、针对性强、可行度高得1-2分；有缺陷得0-1分；未提供不得分。</w:t>
            </w:r>
          </w:p>
        </w:tc>
      </w:tr>
      <w:tr w14:paraId="4B8D4D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0" w:hRule="atLeast"/>
          <w:jc w:val="center"/>
        </w:trPr>
        <w:tc>
          <w:tcPr>
            <w:tcW w:w="732" w:type="dxa"/>
            <w:vMerge w:val="continue"/>
            <w:tcBorders>
              <w:top w:val="single" w:color="auto" w:sz="4" w:space="0"/>
              <w:bottom w:val="single" w:color="auto" w:sz="4" w:space="0"/>
              <w:right w:val="single" w:color="auto" w:sz="4" w:space="0"/>
            </w:tcBorders>
            <w:noWrap w:val="0"/>
            <w:vAlign w:val="center"/>
          </w:tcPr>
          <w:p w14:paraId="5CE6192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1124" w:type="dxa"/>
            <w:vMerge w:val="continue"/>
            <w:tcBorders>
              <w:top w:val="single" w:color="auto" w:sz="4" w:space="0"/>
              <w:bottom w:val="single" w:color="auto" w:sz="4" w:space="0"/>
              <w:right w:val="single" w:color="auto" w:sz="4" w:space="0"/>
            </w:tcBorders>
            <w:noWrap w:val="0"/>
            <w:vAlign w:val="center"/>
          </w:tcPr>
          <w:p w14:paraId="40DBF3DF">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0F74C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Cs w:val="21"/>
              </w:rPr>
              <w:t>施工方案、方法和技术措施（</w:t>
            </w:r>
            <w:r>
              <w:rPr>
                <w:rFonts w:hint="eastAsia" w:ascii="宋体" w:hAnsi="宋体" w:cs="宋体"/>
                <w:color w:val="auto"/>
                <w:szCs w:val="21"/>
                <w:lang w:val="en-US" w:eastAsia="zh-CN"/>
              </w:rPr>
              <w:t>3</w:t>
            </w:r>
            <w:r>
              <w:rPr>
                <w:rFonts w:hint="eastAsia" w:ascii="宋体" w:hAnsi="宋体" w:eastAsia="宋体" w:cs="宋体"/>
                <w:color w:val="auto"/>
                <w:szCs w:val="21"/>
              </w:rPr>
              <w:t>分）</w:t>
            </w:r>
          </w:p>
        </w:tc>
        <w:tc>
          <w:tcPr>
            <w:tcW w:w="526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C26CAE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0" w:lineRule="exact"/>
              <w:ind w:left="0" w:leftChars="0" w:right="0" w:rightChars="0" w:firstLine="0" w:firstLineChars="0"/>
              <w:jc w:val="both"/>
              <w:textAlignment w:val="auto"/>
              <w:outlineLvl w:val="9"/>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针对本项目总体的施工方案、方法和技术措施的完整性、合理性和可行性，准确分析项目重点、难点进行综合对比，给予评分。内容完备，科学合理、针对性强、可行度高得</w:t>
            </w: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w:t>
            </w: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分；有缺陷得0-</w:t>
            </w: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分；未提供不得分。</w:t>
            </w:r>
          </w:p>
        </w:tc>
      </w:tr>
      <w:tr w14:paraId="0461A1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2" w:type="dxa"/>
            <w:vMerge w:val="continue"/>
            <w:tcBorders>
              <w:top w:val="single" w:color="auto" w:sz="4" w:space="0"/>
              <w:bottom w:val="single" w:color="auto" w:sz="4" w:space="0"/>
              <w:right w:val="single" w:color="auto" w:sz="4" w:space="0"/>
            </w:tcBorders>
            <w:noWrap w:val="0"/>
            <w:vAlign w:val="center"/>
          </w:tcPr>
          <w:p w14:paraId="342F36B1">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1124" w:type="dxa"/>
            <w:vMerge w:val="continue"/>
            <w:tcBorders>
              <w:top w:val="single" w:color="auto" w:sz="4" w:space="0"/>
              <w:bottom w:val="single" w:color="auto" w:sz="4" w:space="0"/>
              <w:right w:val="single" w:color="auto" w:sz="4" w:space="0"/>
            </w:tcBorders>
            <w:noWrap w:val="0"/>
            <w:vAlign w:val="center"/>
          </w:tcPr>
          <w:p w14:paraId="3D5E604A">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right w:val="single" w:color="auto" w:sz="4" w:space="0"/>
            </w:tcBorders>
            <w:shd w:val="clear" w:color="auto" w:fill="auto"/>
            <w:noWrap w:val="0"/>
            <w:vAlign w:val="center"/>
          </w:tcPr>
          <w:p w14:paraId="61E63AF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Cs w:val="21"/>
              </w:rPr>
              <w:t>工程质量管理</w:t>
            </w:r>
            <w:r>
              <w:rPr>
                <w:rFonts w:hint="eastAsia" w:ascii="宋体" w:hAnsi="宋体" w:cs="宋体"/>
                <w:color w:val="auto"/>
                <w:szCs w:val="21"/>
                <w:lang w:eastAsia="zh-CN"/>
              </w:rPr>
              <w:t>、</w:t>
            </w:r>
            <w:r>
              <w:rPr>
                <w:rFonts w:hint="eastAsia" w:ascii="宋体" w:hAnsi="宋体" w:eastAsia="宋体" w:cs="宋体"/>
                <w:color w:val="auto"/>
                <w:kern w:val="2"/>
                <w:sz w:val="21"/>
                <w:szCs w:val="21"/>
                <w:lang w:val="en-US" w:eastAsia="zh-CN" w:bidi="ar-SA"/>
              </w:rPr>
              <w:t>施工进度计划</w:t>
            </w:r>
            <w:r>
              <w:rPr>
                <w:rFonts w:hint="eastAsia" w:ascii="宋体" w:hAnsi="宋体" w:eastAsia="宋体" w:cs="宋体"/>
                <w:color w:val="auto"/>
                <w:szCs w:val="21"/>
              </w:rPr>
              <w:t>及保证措施（</w:t>
            </w:r>
            <w:r>
              <w:rPr>
                <w:rFonts w:hint="eastAsia" w:ascii="宋体" w:hAnsi="宋体" w:cs="宋体"/>
                <w:color w:val="auto"/>
                <w:szCs w:val="21"/>
                <w:lang w:val="en-US" w:eastAsia="zh-CN"/>
              </w:rPr>
              <w:t>3</w:t>
            </w:r>
            <w:r>
              <w:rPr>
                <w:rFonts w:hint="eastAsia" w:ascii="宋体" w:hAnsi="宋体" w:eastAsia="宋体" w:cs="宋体"/>
                <w:color w:val="auto"/>
                <w:szCs w:val="21"/>
              </w:rPr>
              <w:t>分）</w:t>
            </w:r>
          </w:p>
        </w:tc>
        <w:tc>
          <w:tcPr>
            <w:tcW w:w="526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9DDA6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0" w:lineRule="exact"/>
              <w:ind w:left="0" w:leftChars="0" w:right="0" w:rightChars="0" w:firstLine="0" w:firstLineChars="0"/>
              <w:jc w:val="both"/>
              <w:textAlignment w:val="auto"/>
              <w:outlineLvl w:val="9"/>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针对本项目的工程质量管理</w:t>
            </w:r>
            <w:r>
              <w:rPr>
                <w:rFonts w:hint="eastAsia" w:ascii="宋体" w:hAnsi="宋体" w:cs="宋体"/>
                <w:color w:val="auto"/>
                <w:sz w:val="21"/>
                <w:szCs w:val="21"/>
                <w:lang w:eastAsia="zh-CN"/>
              </w:rPr>
              <w:t>、</w:t>
            </w:r>
            <w:r>
              <w:rPr>
                <w:rFonts w:hint="eastAsia" w:ascii="宋体" w:hAnsi="宋体" w:cs="宋体"/>
                <w:color w:val="auto"/>
                <w:szCs w:val="21"/>
                <w:lang w:eastAsia="zh-CN"/>
              </w:rPr>
              <w:t>、</w:t>
            </w:r>
            <w:r>
              <w:rPr>
                <w:rFonts w:hint="eastAsia" w:ascii="宋体" w:hAnsi="宋体" w:eastAsia="宋体" w:cs="宋体"/>
                <w:color w:val="auto"/>
                <w:kern w:val="2"/>
                <w:sz w:val="21"/>
                <w:szCs w:val="21"/>
                <w:lang w:val="en-US" w:eastAsia="zh-CN" w:bidi="ar-SA"/>
              </w:rPr>
              <w:t>施工进度计划</w:t>
            </w:r>
            <w:r>
              <w:rPr>
                <w:rFonts w:hint="eastAsia" w:ascii="宋体" w:hAnsi="宋体" w:eastAsia="宋体" w:cs="宋体"/>
                <w:color w:val="auto"/>
                <w:sz w:val="21"/>
                <w:szCs w:val="21"/>
              </w:rPr>
              <w:t>及保证措施的完整性、合理性和可行性进行综合对比，给予评分。内容完备，科学合理、针对性强、可行度高得</w:t>
            </w: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w:t>
            </w: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分；有缺陷得0-</w:t>
            </w: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分；未提供不得分。</w:t>
            </w:r>
          </w:p>
        </w:tc>
      </w:tr>
      <w:tr w14:paraId="1FCF87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3" w:hRule="atLeast"/>
          <w:jc w:val="center"/>
        </w:trPr>
        <w:tc>
          <w:tcPr>
            <w:tcW w:w="732" w:type="dxa"/>
            <w:vMerge w:val="continue"/>
            <w:tcBorders>
              <w:top w:val="single" w:color="auto" w:sz="4" w:space="0"/>
              <w:bottom w:val="single" w:color="auto" w:sz="4" w:space="0"/>
              <w:right w:val="single" w:color="auto" w:sz="4" w:space="0"/>
            </w:tcBorders>
            <w:noWrap w:val="0"/>
            <w:vAlign w:val="center"/>
          </w:tcPr>
          <w:p w14:paraId="37F5F8B1">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1124" w:type="dxa"/>
            <w:vMerge w:val="continue"/>
            <w:tcBorders>
              <w:top w:val="single" w:color="auto" w:sz="4" w:space="0"/>
              <w:bottom w:val="single" w:color="auto" w:sz="4" w:space="0"/>
              <w:right w:val="single" w:color="auto" w:sz="4" w:space="0"/>
            </w:tcBorders>
            <w:noWrap w:val="0"/>
            <w:vAlign w:val="center"/>
          </w:tcPr>
          <w:p w14:paraId="6C3939B3">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C27E0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Cs w:val="21"/>
              </w:rPr>
              <w:t>安全生产管理及保证措施（</w:t>
            </w:r>
            <w:r>
              <w:rPr>
                <w:rFonts w:hint="eastAsia" w:ascii="宋体" w:hAnsi="宋体" w:eastAsia="宋体" w:cs="宋体"/>
                <w:color w:val="auto"/>
                <w:szCs w:val="21"/>
                <w:lang w:val="en-US" w:eastAsia="zh-CN"/>
              </w:rPr>
              <w:t>2</w:t>
            </w:r>
            <w:r>
              <w:rPr>
                <w:rFonts w:hint="eastAsia" w:ascii="宋体" w:hAnsi="宋体" w:eastAsia="宋体" w:cs="宋体"/>
                <w:color w:val="auto"/>
                <w:szCs w:val="21"/>
              </w:rPr>
              <w:t>分）</w:t>
            </w:r>
          </w:p>
        </w:tc>
        <w:tc>
          <w:tcPr>
            <w:tcW w:w="526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4715E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0" w:lineRule="exact"/>
              <w:ind w:left="0" w:leftChars="0" w:right="0" w:rightChars="0" w:firstLine="0" w:firstLineChars="0"/>
              <w:jc w:val="both"/>
              <w:textAlignment w:val="auto"/>
              <w:outlineLvl w:val="9"/>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针对本项目的安全生产管理及保证措施的完整性、合理性和可行性进行综合对比，给予评分。内容完备，科学合理、针对性强、可行</w:t>
            </w:r>
            <w:r>
              <w:rPr>
                <w:rFonts w:hint="eastAsia" w:ascii="宋体" w:hAnsi="宋体" w:eastAsia="宋体" w:cs="宋体"/>
                <w:color w:val="auto"/>
                <w:sz w:val="21"/>
                <w:szCs w:val="21"/>
                <w:lang w:val="en-US" w:eastAsia="zh-CN"/>
              </w:rPr>
              <w:t>性强</w:t>
            </w:r>
            <w:r>
              <w:rPr>
                <w:rFonts w:hint="eastAsia" w:ascii="宋体" w:hAnsi="宋体" w:eastAsia="宋体" w:cs="宋体"/>
                <w:color w:val="auto"/>
                <w:sz w:val="21"/>
                <w:szCs w:val="21"/>
              </w:rPr>
              <w:t>得</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分；有缺陷得0-</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分；未提供不得分。</w:t>
            </w:r>
          </w:p>
        </w:tc>
      </w:tr>
      <w:tr w14:paraId="7F608D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7" w:hRule="atLeast"/>
          <w:jc w:val="center"/>
        </w:trPr>
        <w:tc>
          <w:tcPr>
            <w:tcW w:w="732" w:type="dxa"/>
            <w:vMerge w:val="continue"/>
            <w:tcBorders>
              <w:top w:val="single" w:color="auto" w:sz="4" w:space="0"/>
              <w:bottom w:val="single" w:color="auto" w:sz="4" w:space="0"/>
              <w:right w:val="single" w:color="auto" w:sz="4" w:space="0"/>
            </w:tcBorders>
            <w:noWrap w:val="0"/>
            <w:vAlign w:val="center"/>
          </w:tcPr>
          <w:p w14:paraId="0941A859">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1124" w:type="dxa"/>
            <w:vMerge w:val="continue"/>
            <w:tcBorders>
              <w:top w:val="single" w:color="auto" w:sz="4" w:space="0"/>
              <w:bottom w:val="single" w:color="auto" w:sz="4" w:space="0"/>
              <w:right w:val="single" w:color="auto" w:sz="4" w:space="0"/>
            </w:tcBorders>
            <w:noWrap w:val="0"/>
            <w:vAlign w:val="center"/>
          </w:tcPr>
          <w:p w14:paraId="760DDBFC">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2A70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color w:val="auto"/>
                <w:szCs w:val="21"/>
                <w:lang w:val="en-US" w:eastAsia="zh-CN"/>
              </w:rPr>
            </w:pPr>
            <w:r>
              <w:rPr>
                <w:rFonts w:hint="eastAsia" w:ascii="宋体" w:hAnsi="宋体" w:eastAsia="宋体" w:cs="宋体"/>
                <w:color w:val="auto"/>
                <w:szCs w:val="21"/>
              </w:rPr>
              <w:t>资源配备计划</w:t>
            </w:r>
            <w:r>
              <w:rPr>
                <w:rFonts w:hint="eastAsia" w:ascii="宋体" w:hAnsi="宋体" w:eastAsia="宋体" w:cs="宋体"/>
                <w:color w:val="auto"/>
                <w:szCs w:val="21"/>
                <w:lang w:eastAsia="zh-CN"/>
              </w:rPr>
              <w:t>（</w:t>
            </w:r>
            <w:r>
              <w:rPr>
                <w:rFonts w:hint="eastAsia" w:ascii="宋体" w:hAnsi="宋体" w:cs="宋体"/>
                <w:color w:val="auto"/>
                <w:szCs w:val="21"/>
                <w:lang w:val="en-US" w:eastAsia="zh-CN"/>
              </w:rPr>
              <w:t>2</w:t>
            </w:r>
            <w:r>
              <w:rPr>
                <w:rFonts w:hint="eastAsia" w:ascii="宋体" w:hAnsi="宋体" w:eastAsia="宋体" w:cs="宋体"/>
                <w:color w:val="auto"/>
                <w:szCs w:val="21"/>
                <w:lang w:val="en-US" w:eastAsia="zh-CN"/>
              </w:rPr>
              <w:t>分</w:t>
            </w:r>
            <w:r>
              <w:rPr>
                <w:rFonts w:hint="eastAsia" w:ascii="宋体" w:hAnsi="宋体" w:eastAsia="宋体" w:cs="宋体"/>
                <w:color w:val="auto"/>
                <w:szCs w:val="21"/>
                <w:lang w:eastAsia="zh-CN"/>
              </w:rPr>
              <w:t>）</w:t>
            </w:r>
          </w:p>
        </w:tc>
        <w:tc>
          <w:tcPr>
            <w:tcW w:w="526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414937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0" w:lineRule="exact"/>
              <w:ind w:left="0" w:leftChars="0" w:right="0" w:rightChars="0" w:firstLine="0" w:firstLineChars="0"/>
              <w:jc w:val="both"/>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针对本项目拟投入的主要物资、施工机械设备和劳动力安排等资源配备计划满足采购人工程进度及施工管理需要的安全性、合理性和可行性进行综合对比，给予评分。内容完备，科学合理、针对性强、可行性高得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w:t>
            </w: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分；有缺陷得0-</w:t>
            </w: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分；未提供不得分。</w:t>
            </w:r>
          </w:p>
        </w:tc>
      </w:tr>
      <w:tr w14:paraId="5E2D88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88" w:hRule="atLeast"/>
          <w:jc w:val="center"/>
        </w:trPr>
        <w:tc>
          <w:tcPr>
            <w:tcW w:w="732" w:type="dxa"/>
            <w:vMerge w:val="continue"/>
            <w:tcBorders>
              <w:top w:val="single" w:color="auto" w:sz="4" w:space="0"/>
              <w:bottom w:val="single" w:color="auto" w:sz="4" w:space="0"/>
              <w:right w:val="single" w:color="auto" w:sz="4" w:space="0"/>
            </w:tcBorders>
            <w:noWrap w:val="0"/>
            <w:vAlign w:val="center"/>
          </w:tcPr>
          <w:p w14:paraId="2639F421">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1124" w:type="dxa"/>
            <w:vMerge w:val="continue"/>
            <w:tcBorders>
              <w:top w:val="single" w:color="auto" w:sz="4" w:space="0"/>
              <w:bottom w:val="single" w:color="auto" w:sz="4" w:space="0"/>
              <w:right w:val="single" w:color="auto" w:sz="4" w:space="0"/>
            </w:tcBorders>
            <w:noWrap w:val="0"/>
            <w:vAlign w:val="center"/>
          </w:tcPr>
          <w:p w14:paraId="37D3E14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4FC270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color w:val="auto"/>
                <w:szCs w:val="21"/>
              </w:rPr>
            </w:pPr>
            <w:r>
              <w:rPr>
                <w:rFonts w:hint="eastAsia" w:ascii="宋体" w:hAnsi="宋体" w:eastAsia="宋体" w:cs="宋体"/>
                <w:color w:val="auto"/>
                <w:szCs w:val="21"/>
              </w:rPr>
              <w:t>文明施工保证及措施</w:t>
            </w:r>
          </w:p>
          <w:p w14:paraId="2E074AB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color w:val="auto"/>
                <w:szCs w:val="21"/>
                <w:lang w:val="en-US" w:eastAsia="zh-CN"/>
              </w:rPr>
            </w:pPr>
            <w:r>
              <w:rPr>
                <w:rFonts w:hint="eastAsia" w:ascii="宋体" w:hAnsi="宋体" w:eastAsia="宋体" w:cs="宋体"/>
                <w:color w:val="auto"/>
                <w:szCs w:val="21"/>
                <w:lang w:eastAsia="zh-CN"/>
              </w:rPr>
              <w:t>（</w:t>
            </w:r>
            <w:r>
              <w:rPr>
                <w:rFonts w:hint="eastAsia" w:ascii="宋体" w:hAnsi="宋体" w:cs="宋体"/>
                <w:color w:val="auto"/>
                <w:szCs w:val="21"/>
                <w:lang w:val="en-US" w:eastAsia="zh-CN"/>
              </w:rPr>
              <w:t>2</w:t>
            </w:r>
            <w:r>
              <w:rPr>
                <w:rFonts w:hint="eastAsia" w:ascii="宋体" w:hAnsi="宋体" w:eastAsia="宋体" w:cs="宋体"/>
                <w:color w:val="auto"/>
                <w:szCs w:val="21"/>
                <w:lang w:val="en-US" w:eastAsia="zh-CN"/>
              </w:rPr>
              <w:t>分</w:t>
            </w:r>
            <w:r>
              <w:rPr>
                <w:rFonts w:hint="eastAsia" w:ascii="宋体" w:hAnsi="宋体" w:eastAsia="宋体" w:cs="宋体"/>
                <w:color w:val="auto"/>
                <w:szCs w:val="21"/>
                <w:lang w:eastAsia="zh-CN"/>
              </w:rPr>
              <w:t>）</w:t>
            </w:r>
          </w:p>
        </w:tc>
        <w:tc>
          <w:tcPr>
            <w:tcW w:w="526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7C9214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0" w:lineRule="exact"/>
              <w:ind w:left="0" w:leftChars="0" w:right="0" w:rightChars="0" w:firstLine="0" w:firstLineChars="0"/>
              <w:jc w:val="both"/>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针对本项目文明施工保证是否健全，保证措施是否得力等情况进行综合对比，给予评分。内容完备，科学合理、针对性强、可行度高得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w:t>
            </w: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分；有缺陷得0-</w:t>
            </w: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分；未提供不得分。</w:t>
            </w:r>
          </w:p>
        </w:tc>
      </w:tr>
      <w:tr w14:paraId="12A0D8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2" w:hRule="atLeast"/>
          <w:jc w:val="center"/>
        </w:trPr>
        <w:tc>
          <w:tcPr>
            <w:tcW w:w="732" w:type="dxa"/>
            <w:vMerge w:val="continue"/>
            <w:tcBorders>
              <w:bottom w:val="single" w:color="auto" w:sz="4" w:space="0"/>
              <w:right w:val="single" w:color="auto" w:sz="4" w:space="0"/>
            </w:tcBorders>
            <w:noWrap w:val="0"/>
            <w:vAlign w:val="center"/>
          </w:tcPr>
          <w:p w14:paraId="780971E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1124" w:type="dxa"/>
            <w:vMerge w:val="continue"/>
            <w:tcBorders>
              <w:bottom w:val="single" w:color="auto" w:sz="4" w:space="0"/>
              <w:right w:val="single" w:color="auto" w:sz="4" w:space="0"/>
            </w:tcBorders>
            <w:noWrap w:val="0"/>
            <w:vAlign w:val="center"/>
          </w:tcPr>
          <w:p w14:paraId="30F93337">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right w:val="single" w:color="auto" w:sz="4" w:space="0"/>
            </w:tcBorders>
            <w:shd w:val="clear" w:color="auto" w:fill="auto"/>
            <w:noWrap w:val="0"/>
            <w:vAlign w:val="center"/>
          </w:tcPr>
          <w:p w14:paraId="2CA2CAF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firstLine="0" w:firstLineChars="0"/>
              <w:jc w:val="center"/>
              <w:textAlignment w:val="auto"/>
              <w:rPr>
                <w:rFonts w:hint="default" w:ascii="宋体" w:hAnsi="宋体" w:eastAsia="宋体" w:cs="宋体"/>
                <w:color w:val="auto"/>
                <w:szCs w:val="21"/>
                <w:lang w:val="en-US" w:eastAsia="zh-CN"/>
              </w:rPr>
            </w:pPr>
            <w:r>
              <w:rPr>
                <w:rFonts w:hint="eastAsia" w:ascii="宋体" w:hAnsi="宋体" w:cs="宋体"/>
                <w:color w:val="auto"/>
                <w:szCs w:val="21"/>
                <w:lang w:val="en-US" w:eastAsia="zh-CN"/>
              </w:rPr>
              <w:t>协调配合（1分）</w:t>
            </w:r>
          </w:p>
        </w:tc>
        <w:tc>
          <w:tcPr>
            <w:tcW w:w="526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58A1EE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0" w:lineRule="exact"/>
              <w:ind w:left="0" w:leftChars="0" w:right="0" w:rightChars="0" w:firstLine="0" w:firstLineChars="0"/>
              <w:jc w:val="both"/>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针对本项目制定的协调配合方案</w:t>
            </w:r>
            <w:r>
              <w:rPr>
                <w:rFonts w:hint="eastAsia" w:ascii="宋体" w:hAnsi="宋体" w:cs="宋体"/>
                <w:color w:val="auto"/>
                <w:sz w:val="21"/>
                <w:szCs w:val="21"/>
                <w:lang w:val="en-US" w:eastAsia="zh-CN"/>
              </w:rPr>
              <w:t>的完整性、</w:t>
            </w:r>
            <w:r>
              <w:rPr>
                <w:rFonts w:hint="eastAsia" w:ascii="宋体" w:hAnsi="宋体" w:eastAsia="宋体" w:cs="宋体"/>
                <w:color w:val="auto"/>
                <w:sz w:val="21"/>
                <w:szCs w:val="21"/>
              </w:rPr>
              <w:t>科学性、合理性和可行性进行综合评分。</w:t>
            </w:r>
            <w:r>
              <w:rPr>
                <w:rFonts w:hint="eastAsia" w:ascii="宋体" w:hAnsi="宋体" w:eastAsia="宋体" w:cs="宋体"/>
                <w:color w:val="auto"/>
                <w:kern w:val="2"/>
                <w:sz w:val="21"/>
                <w:szCs w:val="21"/>
                <w:lang w:val="en-US" w:eastAsia="zh-CN" w:bidi="ar-SA"/>
              </w:rPr>
              <w:t>内容完备，科学合理、针对性强、可行度高得</w:t>
            </w:r>
            <w:r>
              <w:rPr>
                <w:rFonts w:hint="eastAsia" w:ascii="宋体" w:hAnsi="宋体" w:cs="宋体"/>
                <w:color w:val="auto"/>
                <w:kern w:val="2"/>
                <w:sz w:val="21"/>
                <w:szCs w:val="21"/>
                <w:lang w:val="en-US" w:eastAsia="zh-CN" w:bidi="ar-SA"/>
              </w:rPr>
              <w:t>0.5-1</w:t>
            </w:r>
            <w:r>
              <w:rPr>
                <w:rFonts w:hint="eastAsia" w:ascii="宋体" w:hAnsi="宋体" w:eastAsia="宋体" w:cs="宋体"/>
                <w:color w:val="auto"/>
                <w:kern w:val="2"/>
                <w:sz w:val="21"/>
                <w:szCs w:val="21"/>
                <w:lang w:val="en-US" w:eastAsia="zh-CN" w:bidi="ar-SA"/>
              </w:rPr>
              <w:t>分；有缺陷得0-</w:t>
            </w:r>
            <w:r>
              <w:rPr>
                <w:rFonts w:hint="eastAsia" w:ascii="宋体" w:hAnsi="宋体" w:cs="宋体"/>
                <w:color w:val="auto"/>
                <w:kern w:val="2"/>
                <w:sz w:val="21"/>
                <w:szCs w:val="21"/>
                <w:lang w:val="en-US" w:eastAsia="zh-CN" w:bidi="ar-SA"/>
              </w:rPr>
              <w:t>0.5</w:t>
            </w:r>
            <w:r>
              <w:rPr>
                <w:rFonts w:hint="eastAsia" w:ascii="宋体" w:hAnsi="宋体" w:eastAsia="宋体" w:cs="宋体"/>
                <w:color w:val="auto"/>
                <w:kern w:val="2"/>
                <w:sz w:val="21"/>
                <w:szCs w:val="21"/>
                <w:lang w:val="en-US" w:eastAsia="zh-CN" w:bidi="ar-SA"/>
              </w:rPr>
              <w:t>分；未提供不得分。</w:t>
            </w:r>
          </w:p>
        </w:tc>
      </w:tr>
      <w:tr w14:paraId="4D3D470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 w:hRule="atLeast"/>
          <w:jc w:val="center"/>
        </w:trPr>
        <w:tc>
          <w:tcPr>
            <w:tcW w:w="732" w:type="dxa"/>
            <w:vMerge w:val="restart"/>
            <w:tcBorders>
              <w:top w:val="single" w:color="auto" w:sz="4" w:space="0"/>
              <w:left w:val="single" w:color="auto" w:sz="4" w:space="0"/>
              <w:bottom w:val="single" w:color="auto" w:sz="4" w:space="0"/>
              <w:right w:val="single" w:color="auto" w:sz="4" w:space="0"/>
            </w:tcBorders>
            <w:noWrap w:val="0"/>
            <w:vAlign w:val="center"/>
          </w:tcPr>
          <w:p w14:paraId="7A1C6E7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r>
              <w:rPr>
                <w:rFonts w:hint="eastAsia" w:ascii="宋体" w:hAnsi="宋体" w:eastAsia="宋体" w:cs="宋体"/>
                <w:color w:val="auto"/>
                <w:szCs w:val="21"/>
              </w:rPr>
              <w:t>2.2.4（4）</w:t>
            </w:r>
          </w:p>
        </w:tc>
        <w:tc>
          <w:tcPr>
            <w:tcW w:w="1124" w:type="dxa"/>
            <w:vMerge w:val="restart"/>
            <w:tcBorders>
              <w:top w:val="single" w:color="auto" w:sz="4" w:space="0"/>
              <w:left w:val="single" w:color="auto" w:sz="4" w:space="0"/>
              <w:bottom w:val="single" w:color="auto" w:sz="4" w:space="0"/>
              <w:right w:val="single" w:color="auto" w:sz="4" w:space="0"/>
            </w:tcBorders>
            <w:noWrap w:val="0"/>
            <w:vAlign w:val="center"/>
          </w:tcPr>
          <w:p w14:paraId="2E99E92C">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投标报价评分标准</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3669A236">
            <w:pPr>
              <w:keepNext w:val="0"/>
              <w:keepLines w:val="0"/>
              <w:suppressLineNumbers w:val="0"/>
              <w:spacing w:before="0" w:beforeAutospacing="0" w:after="0" w:afterAutospacing="0" w:line="420" w:lineRule="atLeast"/>
              <w:ind w:left="0" w:right="0"/>
              <w:jc w:val="center"/>
              <w:rPr>
                <w:rFonts w:hint="eastAsia" w:ascii="宋体" w:hAnsi="宋体" w:eastAsia="宋体" w:cs="宋体"/>
                <w:color w:val="auto"/>
                <w:szCs w:val="21"/>
              </w:rPr>
            </w:pPr>
            <w:r>
              <w:rPr>
                <w:rFonts w:hint="eastAsia" w:ascii="宋体" w:hAnsi="宋体" w:eastAsia="宋体" w:cs="宋体"/>
                <w:color w:val="auto"/>
                <w:szCs w:val="21"/>
              </w:rPr>
              <w:t>计算投标报价得分</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45BE1E4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both"/>
              <w:textAlignment w:val="auto"/>
              <w:rPr>
                <w:rFonts w:hint="eastAsia" w:ascii="宋体" w:hAnsi="宋体" w:eastAsia="宋体" w:cs="宋体"/>
                <w:color w:val="auto"/>
                <w:szCs w:val="21"/>
              </w:rPr>
            </w:pPr>
            <w:r>
              <w:rPr>
                <w:rFonts w:hint="eastAsia" w:ascii="宋体" w:hAnsi="宋体" w:eastAsia="宋体" w:cs="宋体"/>
                <w:color w:val="auto"/>
                <w:szCs w:val="21"/>
                <w:lang w:val="en-US" w:eastAsia="zh-CN"/>
              </w:rPr>
              <w:t>1、</w:t>
            </w:r>
            <w:r>
              <w:rPr>
                <w:rFonts w:hint="eastAsia" w:ascii="宋体" w:hAnsi="宋体" w:eastAsia="宋体" w:cs="宋体"/>
                <w:color w:val="auto"/>
                <w:szCs w:val="21"/>
              </w:rPr>
              <w:t>投标报价低于基准价的，每低于1.0%扣0.1分，该项计分公式为：</w:t>
            </w:r>
          </w:p>
          <w:p w14:paraId="485ECE5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both"/>
              <w:textAlignment w:val="auto"/>
              <w:rPr>
                <w:rFonts w:hint="eastAsia" w:ascii="宋体" w:hAnsi="宋体" w:eastAsia="宋体" w:cs="宋体"/>
                <w:color w:val="auto"/>
                <w:szCs w:val="21"/>
              </w:rPr>
            </w:pPr>
            <w:r>
              <w:rPr>
                <w:rFonts w:hint="eastAsia" w:ascii="宋体" w:hAnsi="宋体" w:eastAsia="宋体" w:cs="宋体"/>
                <w:color w:val="auto"/>
                <w:szCs w:val="21"/>
              </w:rPr>
              <w:t xml:space="preserve">   </w:t>
            </w:r>
            <w:r>
              <w:rPr>
                <w:rFonts w:hint="eastAsia" w:ascii="宋体" w:hAnsi="宋体" w:eastAsia="宋体" w:cs="宋体"/>
                <w:color w:val="auto"/>
                <w:szCs w:val="21"/>
                <w:lang w:val="en-US" w:eastAsia="zh-CN"/>
              </w:rPr>
              <w:t>M</w:t>
            </w:r>
            <w:r>
              <w:rPr>
                <w:rFonts w:hint="eastAsia" w:ascii="宋体" w:hAnsi="宋体" w:eastAsia="宋体" w:cs="宋体"/>
                <w:color w:val="auto"/>
                <w:szCs w:val="21"/>
              </w:rPr>
              <w:t>=</w:t>
            </w:r>
            <w:r>
              <w:rPr>
                <w:rFonts w:hint="eastAsia" w:ascii="宋体" w:hAnsi="宋体" w:eastAsia="宋体" w:cs="宋体"/>
                <w:color w:val="auto"/>
                <w:szCs w:val="21"/>
                <w:lang w:val="en-US" w:eastAsia="zh-CN"/>
              </w:rPr>
              <w:t>5</w:t>
            </w:r>
            <w:r>
              <w:rPr>
                <w:rFonts w:hint="eastAsia" w:ascii="宋体" w:hAnsi="宋体" w:eastAsia="宋体" w:cs="宋体"/>
                <w:color w:val="auto"/>
                <w:szCs w:val="21"/>
              </w:rPr>
              <w:t>0-[（评标基准价-投标报价）/评标基准价]×100×0.1</w:t>
            </w:r>
          </w:p>
          <w:p w14:paraId="5DF7A50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both"/>
              <w:textAlignment w:val="auto"/>
              <w:rPr>
                <w:rFonts w:hint="eastAsia" w:ascii="宋体" w:hAnsi="宋体" w:eastAsia="宋体" w:cs="宋体"/>
                <w:color w:val="auto"/>
                <w:szCs w:val="21"/>
              </w:rPr>
            </w:pPr>
            <w:r>
              <w:rPr>
                <w:rFonts w:hint="eastAsia" w:ascii="宋体" w:hAnsi="宋体" w:eastAsia="宋体" w:cs="宋体"/>
                <w:color w:val="auto"/>
                <w:szCs w:val="21"/>
                <w:lang w:val="en-US" w:eastAsia="zh-CN"/>
              </w:rPr>
              <w:t>2、</w:t>
            </w:r>
            <w:r>
              <w:rPr>
                <w:rFonts w:hint="eastAsia" w:ascii="宋体" w:hAnsi="宋体" w:eastAsia="宋体" w:cs="宋体"/>
                <w:color w:val="auto"/>
                <w:szCs w:val="21"/>
              </w:rPr>
              <w:t>投标报价高于基准价的，每高于1.0%扣0.2分，该项计分公式为：</w:t>
            </w:r>
          </w:p>
          <w:p w14:paraId="0F899C4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Cs w:val="21"/>
              </w:rPr>
            </w:pPr>
            <w:r>
              <w:rPr>
                <w:rFonts w:hint="eastAsia" w:ascii="宋体" w:hAnsi="宋体" w:eastAsia="宋体" w:cs="宋体"/>
                <w:color w:val="auto"/>
                <w:szCs w:val="21"/>
              </w:rPr>
              <w:t xml:space="preserve">   </w:t>
            </w:r>
            <w:r>
              <w:rPr>
                <w:rFonts w:hint="eastAsia" w:ascii="宋体" w:hAnsi="宋体" w:eastAsia="宋体" w:cs="宋体"/>
                <w:color w:val="auto"/>
                <w:szCs w:val="21"/>
                <w:lang w:val="en-US" w:eastAsia="zh-CN"/>
              </w:rPr>
              <w:t>M</w:t>
            </w:r>
            <w:r>
              <w:rPr>
                <w:rFonts w:hint="eastAsia" w:ascii="宋体" w:hAnsi="宋体" w:eastAsia="宋体" w:cs="宋体"/>
                <w:color w:val="auto"/>
                <w:szCs w:val="21"/>
              </w:rPr>
              <w:t>=</w:t>
            </w:r>
            <w:r>
              <w:rPr>
                <w:rFonts w:hint="eastAsia" w:ascii="宋体" w:hAnsi="宋体" w:eastAsia="宋体" w:cs="宋体"/>
                <w:color w:val="auto"/>
                <w:szCs w:val="21"/>
                <w:lang w:val="en-US" w:eastAsia="zh-CN"/>
              </w:rPr>
              <w:t>5</w:t>
            </w:r>
            <w:r>
              <w:rPr>
                <w:rFonts w:hint="eastAsia" w:ascii="宋体" w:hAnsi="宋体" w:eastAsia="宋体" w:cs="宋体"/>
                <w:color w:val="auto"/>
                <w:szCs w:val="21"/>
              </w:rPr>
              <w:t>0-[（投标报价-评标基准价）/评标基准价]×100×0.2</w:t>
            </w:r>
          </w:p>
        </w:tc>
      </w:tr>
      <w:tr w14:paraId="0F7B77A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jc w:val="center"/>
        </w:trPr>
        <w:tc>
          <w:tcPr>
            <w:tcW w:w="732" w:type="dxa"/>
            <w:vMerge w:val="continue"/>
            <w:tcBorders>
              <w:top w:val="single" w:color="auto" w:sz="4" w:space="0"/>
              <w:left w:val="single" w:color="auto" w:sz="4" w:space="0"/>
              <w:bottom w:val="single" w:color="auto" w:sz="4" w:space="0"/>
              <w:right w:val="single" w:color="auto" w:sz="4" w:space="0"/>
            </w:tcBorders>
            <w:noWrap w:val="0"/>
            <w:vAlign w:val="center"/>
          </w:tcPr>
          <w:p w14:paraId="7DA10C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top w:val="single" w:color="auto" w:sz="4" w:space="0"/>
              <w:left w:val="single" w:color="auto" w:sz="4" w:space="0"/>
              <w:bottom w:val="single" w:color="auto" w:sz="4" w:space="0"/>
              <w:right w:val="single" w:color="auto" w:sz="4" w:space="0"/>
            </w:tcBorders>
            <w:noWrap w:val="0"/>
            <w:vAlign w:val="center"/>
          </w:tcPr>
          <w:p w14:paraId="59636D7E">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645782E0">
            <w:pPr>
              <w:keepNext w:val="0"/>
              <w:keepLines w:val="0"/>
              <w:suppressLineNumbers w:val="0"/>
              <w:spacing w:before="0" w:beforeAutospacing="0" w:after="0" w:afterAutospacing="0"/>
              <w:ind w:left="0" w:right="0"/>
              <w:jc w:val="center"/>
              <w:rPr>
                <w:rFonts w:hint="eastAsia" w:ascii="宋体" w:hAnsi="宋体" w:eastAsia="宋体" w:cs="宋体"/>
                <w:color w:val="auto"/>
                <w:szCs w:val="21"/>
              </w:rPr>
            </w:pPr>
            <w:r>
              <w:rPr>
                <w:rFonts w:hint="eastAsia" w:ascii="宋体" w:hAnsi="宋体" w:eastAsia="宋体" w:cs="宋体"/>
                <w:color w:val="auto"/>
                <w:szCs w:val="21"/>
              </w:rPr>
              <w:t>政府采购工程价格评审优惠</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796A9376">
            <w:pPr>
              <w:keepNext w:val="0"/>
              <w:keepLines w:val="0"/>
              <w:suppressLineNumbers w:val="0"/>
              <w:spacing w:before="0" w:beforeAutospacing="0" w:after="0" w:afterAutospacing="0"/>
              <w:ind w:left="0" w:right="0"/>
              <w:rPr>
                <w:rFonts w:hint="eastAsia" w:ascii="宋体" w:hAnsi="宋体" w:eastAsia="宋体" w:cs="宋体"/>
                <w:color w:val="auto"/>
              </w:rPr>
            </w:pPr>
            <w:r>
              <w:rPr>
                <w:rFonts w:hint="eastAsia" w:ascii="宋体" w:hAnsi="宋体" w:eastAsia="宋体" w:cs="宋体"/>
                <w:color w:val="auto"/>
                <w:szCs w:val="21"/>
              </w:rPr>
              <w:t>对</w:t>
            </w:r>
            <w:r>
              <w:rPr>
                <w:rFonts w:hint="eastAsia" w:ascii="宋体" w:hAnsi="宋体" w:eastAsia="宋体" w:cs="宋体"/>
                <w:color w:val="auto"/>
              </w:rPr>
              <w:t>项目未预留份额专门面向中小企业采购的</w:t>
            </w:r>
          </w:p>
          <w:p w14:paraId="355F134F">
            <w:pPr>
              <w:keepNext w:val="0"/>
              <w:keepLines w:val="0"/>
              <w:suppressLineNumbers w:val="0"/>
              <w:spacing w:before="0" w:beforeAutospacing="0" w:after="0" w:afterAutospacing="0"/>
              <w:ind w:left="0" w:right="0"/>
              <w:rPr>
                <w:rFonts w:hint="eastAsia" w:ascii="宋体" w:hAnsi="宋体" w:eastAsia="宋体" w:cs="宋体"/>
                <w:color w:val="auto"/>
                <w:szCs w:val="21"/>
              </w:rPr>
            </w:pPr>
            <w:r>
              <w:rPr>
                <w:rFonts w:hint="eastAsia" w:ascii="宋体" w:hAnsi="宋体" w:eastAsia="宋体" w:cs="宋体"/>
                <w:color w:val="auto"/>
              </w:rPr>
              <w:t>1.如</w:t>
            </w:r>
            <w:r>
              <w:rPr>
                <w:rFonts w:hint="eastAsia" w:ascii="宋体" w:hAnsi="宋体" w:eastAsia="宋体" w:cs="宋体"/>
                <w:color w:val="auto"/>
                <w:szCs w:val="21"/>
              </w:rPr>
              <w:t>投标人属于小微企业的，评标时在其投标报价得分的基础上增加</w:t>
            </w:r>
            <w:r>
              <w:rPr>
                <w:rFonts w:hint="eastAsia" w:ascii="宋体" w:hAnsi="宋体" w:eastAsia="宋体" w:cs="宋体"/>
                <w:color w:val="auto"/>
                <w:szCs w:val="21"/>
                <w:u w:val="single"/>
              </w:rPr>
              <w:t xml:space="preserve">  P%  </w:t>
            </w:r>
            <w:r>
              <w:rPr>
                <w:rFonts w:hint="eastAsia" w:ascii="宋体" w:hAnsi="宋体" w:eastAsia="宋体" w:cs="宋体"/>
                <w:color w:val="auto"/>
                <w:szCs w:val="21"/>
              </w:rPr>
              <w:t>作为其投标报价最终得分。</w:t>
            </w:r>
          </w:p>
          <w:p w14:paraId="4F1CF4DE">
            <w:pPr>
              <w:keepNext w:val="0"/>
              <w:keepLines w:val="0"/>
              <w:suppressLineNumbers w:val="0"/>
              <w:spacing w:before="0" w:beforeAutospacing="0" w:after="0" w:afterAutospacing="0"/>
              <w:ind w:left="0" w:right="0" w:firstLine="420" w:firstLineChars="200"/>
              <w:rPr>
                <w:rFonts w:hint="eastAsia" w:ascii="宋体" w:hAnsi="宋体" w:eastAsia="宋体" w:cs="宋体"/>
                <w:color w:val="auto"/>
                <w:szCs w:val="21"/>
              </w:rPr>
            </w:pPr>
            <w:r>
              <w:rPr>
                <w:rFonts w:hint="eastAsia" w:ascii="宋体" w:hAnsi="宋体" w:eastAsia="宋体" w:cs="宋体"/>
                <w:color w:val="auto"/>
                <w:szCs w:val="21"/>
              </w:rPr>
              <w:t xml:space="preserve">即S= M×(1+P%) </w:t>
            </w:r>
          </w:p>
          <w:p w14:paraId="4AB08F7F">
            <w:pPr>
              <w:keepNext w:val="0"/>
              <w:keepLines w:val="0"/>
              <w:suppressLineNumbers w:val="0"/>
              <w:spacing w:before="0" w:beforeAutospacing="0" w:after="0" w:afterAutospacing="0"/>
              <w:ind w:left="0" w:right="0" w:firstLine="420" w:firstLineChars="200"/>
              <w:rPr>
                <w:rFonts w:hint="eastAsia" w:ascii="宋体" w:hAnsi="宋体" w:eastAsia="宋体" w:cs="宋体"/>
                <w:color w:val="auto"/>
                <w:szCs w:val="21"/>
              </w:rPr>
            </w:pPr>
            <w:r>
              <w:rPr>
                <w:rFonts w:hint="eastAsia" w:ascii="宋体" w:hAnsi="宋体" w:eastAsia="宋体" w:cs="宋体"/>
                <w:color w:val="auto"/>
                <w:szCs w:val="21"/>
              </w:rPr>
              <w:t>S：投标报价最终得分；</w:t>
            </w:r>
          </w:p>
          <w:p w14:paraId="4B48042D">
            <w:pPr>
              <w:keepNext w:val="0"/>
              <w:keepLines w:val="0"/>
              <w:suppressLineNumbers w:val="0"/>
              <w:spacing w:before="0" w:beforeAutospacing="0" w:after="0" w:afterAutospacing="0"/>
              <w:ind w:left="0" w:right="0" w:firstLine="420" w:firstLineChars="200"/>
              <w:rPr>
                <w:rFonts w:hint="eastAsia" w:ascii="宋体" w:hAnsi="宋体" w:eastAsia="宋体" w:cs="宋体"/>
                <w:color w:val="auto"/>
                <w:szCs w:val="21"/>
              </w:rPr>
            </w:pPr>
            <w:r>
              <w:rPr>
                <w:rFonts w:hint="eastAsia" w:ascii="宋体" w:hAnsi="宋体" w:eastAsia="宋体" w:cs="宋体"/>
                <w:color w:val="auto"/>
                <w:szCs w:val="21"/>
              </w:rPr>
              <w:t>M：投标报价得分；</w:t>
            </w:r>
          </w:p>
          <w:p w14:paraId="45646B91">
            <w:pPr>
              <w:keepNext w:val="0"/>
              <w:keepLines w:val="0"/>
              <w:suppressLineNumbers w:val="0"/>
              <w:spacing w:before="0" w:beforeAutospacing="0" w:after="0" w:afterAutospacing="0"/>
              <w:ind w:left="0" w:right="0" w:firstLine="420" w:firstLineChars="200"/>
              <w:rPr>
                <w:rFonts w:hint="eastAsia" w:ascii="宋体" w:hAnsi="宋体" w:eastAsia="宋体" w:cs="宋体"/>
                <w:color w:val="auto"/>
                <w:szCs w:val="21"/>
              </w:rPr>
            </w:pPr>
            <w:r>
              <w:rPr>
                <w:rFonts w:hint="eastAsia" w:ascii="宋体" w:hAnsi="宋体" w:eastAsia="宋体" w:cs="宋体"/>
                <w:color w:val="auto"/>
                <w:szCs w:val="21"/>
              </w:rPr>
              <w:t>P：为小微企业报价优惠系数，范围为3-5的整数，由招标人确定。P的取值见第二章投标人须知前附表第10.2.1项。</w:t>
            </w:r>
          </w:p>
          <w:p w14:paraId="248B7519">
            <w:pPr>
              <w:keepNext w:val="0"/>
              <w:keepLines w:val="0"/>
              <w:suppressLineNumbers w:val="0"/>
              <w:spacing w:before="0" w:beforeAutospacing="0" w:after="0" w:afterAutospacing="0"/>
              <w:ind w:left="0" w:right="0" w:firstLine="420" w:firstLineChars="200"/>
              <w:rPr>
                <w:rFonts w:hint="eastAsia" w:ascii="宋体" w:hAnsi="宋体" w:eastAsia="宋体" w:cs="宋体"/>
                <w:color w:val="auto"/>
                <w:kern w:val="0"/>
                <w:szCs w:val="21"/>
              </w:rPr>
            </w:pPr>
            <w:r>
              <w:rPr>
                <w:rFonts w:hint="eastAsia" w:ascii="宋体" w:hAnsi="宋体" w:eastAsia="宋体" w:cs="宋体"/>
                <w:color w:val="auto"/>
                <w:szCs w:val="21"/>
              </w:rPr>
              <w:t>如招标人接受联合体，</w:t>
            </w:r>
            <w:r>
              <w:rPr>
                <w:rFonts w:hint="eastAsia" w:ascii="宋体" w:hAnsi="宋体" w:eastAsia="宋体" w:cs="宋体"/>
                <w:color w:val="auto"/>
                <w:kern w:val="0"/>
                <w:szCs w:val="21"/>
              </w:rPr>
              <w:t>联合体各方均为小微企业的，联合体视同小微企业。</w:t>
            </w:r>
          </w:p>
          <w:p w14:paraId="1AE3F376">
            <w:pPr>
              <w:keepNext w:val="0"/>
              <w:keepLines w:val="0"/>
              <w:suppressLineNumbers w:val="0"/>
              <w:spacing w:before="0" w:beforeAutospacing="0" w:after="0" w:afterAutospacing="0"/>
              <w:ind w:left="0" w:right="0"/>
              <w:rPr>
                <w:rFonts w:hint="eastAsia" w:ascii="宋体" w:hAnsi="宋体" w:eastAsia="宋体" w:cs="宋体"/>
                <w:color w:val="auto"/>
                <w:szCs w:val="21"/>
              </w:rPr>
            </w:pPr>
            <w:r>
              <w:rPr>
                <w:rFonts w:hint="eastAsia" w:ascii="宋体" w:hAnsi="宋体" w:eastAsia="宋体" w:cs="宋体"/>
                <w:color w:val="auto"/>
                <w:szCs w:val="21"/>
              </w:rPr>
              <w:t>2.如招标人接受大中型企业与小微企业组成联合体或者允许大中型企业向一家或者多家小微企业分包的采购项目，对于联合协议或者分包意向协议约定小微企业的合同份额占到合同总金额 30%以上的，评标时在其投标报价得分的基础上增加</w:t>
            </w:r>
            <w:r>
              <w:rPr>
                <w:rFonts w:hint="eastAsia" w:ascii="宋体" w:hAnsi="宋体" w:eastAsia="宋体" w:cs="宋体"/>
                <w:color w:val="auto"/>
                <w:szCs w:val="21"/>
                <w:u w:val="single"/>
              </w:rPr>
              <w:t xml:space="preserve">  Q%  </w:t>
            </w:r>
            <w:r>
              <w:rPr>
                <w:rFonts w:hint="eastAsia" w:ascii="宋体" w:hAnsi="宋体" w:eastAsia="宋体" w:cs="宋体"/>
                <w:color w:val="auto"/>
                <w:szCs w:val="21"/>
              </w:rPr>
              <w:t>作为其投标报价最终得分。</w:t>
            </w:r>
          </w:p>
          <w:p w14:paraId="0A424EA9">
            <w:pPr>
              <w:keepNext w:val="0"/>
              <w:keepLines w:val="0"/>
              <w:suppressLineNumbers w:val="0"/>
              <w:spacing w:before="0" w:beforeAutospacing="0" w:after="0" w:afterAutospacing="0"/>
              <w:ind w:left="0" w:right="0" w:firstLine="420" w:firstLineChars="200"/>
              <w:rPr>
                <w:rFonts w:hint="eastAsia" w:ascii="宋体" w:hAnsi="宋体" w:eastAsia="宋体" w:cs="宋体"/>
                <w:color w:val="auto"/>
                <w:szCs w:val="21"/>
              </w:rPr>
            </w:pPr>
            <w:r>
              <w:rPr>
                <w:rFonts w:hint="eastAsia" w:ascii="宋体" w:hAnsi="宋体" w:eastAsia="宋体" w:cs="宋体"/>
                <w:color w:val="auto"/>
                <w:szCs w:val="21"/>
              </w:rPr>
              <w:t xml:space="preserve">即S= M×(1+Q%) </w:t>
            </w:r>
          </w:p>
          <w:p w14:paraId="0F2F591E">
            <w:pPr>
              <w:keepNext w:val="0"/>
              <w:keepLines w:val="0"/>
              <w:suppressLineNumbers w:val="0"/>
              <w:spacing w:before="0" w:beforeAutospacing="0" w:after="0" w:afterAutospacing="0"/>
              <w:ind w:left="0" w:right="0" w:firstLine="420" w:firstLineChars="200"/>
              <w:rPr>
                <w:rFonts w:hint="eastAsia" w:ascii="宋体" w:hAnsi="宋体" w:eastAsia="宋体" w:cs="宋体"/>
                <w:color w:val="auto"/>
                <w:szCs w:val="21"/>
              </w:rPr>
            </w:pPr>
            <w:r>
              <w:rPr>
                <w:rFonts w:hint="eastAsia" w:ascii="宋体" w:hAnsi="宋体" w:eastAsia="宋体" w:cs="宋体"/>
                <w:color w:val="auto"/>
                <w:szCs w:val="21"/>
              </w:rPr>
              <w:t>S：投标报价最终得分；</w:t>
            </w:r>
          </w:p>
          <w:p w14:paraId="0E0E2817">
            <w:pPr>
              <w:keepNext w:val="0"/>
              <w:keepLines w:val="0"/>
              <w:suppressLineNumbers w:val="0"/>
              <w:spacing w:before="0" w:beforeAutospacing="0" w:after="0" w:afterAutospacing="0"/>
              <w:ind w:left="0" w:right="0" w:firstLine="420" w:firstLineChars="200"/>
              <w:rPr>
                <w:rFonts w:hint="eastAsia" w:ascii="宋体" w:hAnsi="宋体" w:eastAsia="宋体" w:cs="宋体"/>
                <w:color w:val="auto"/>
                <w:szCs w:val="21"/>
              </w:rPr>
            </w:pPr>
            <w:r>
              <w:rPr>
                <w:rFonts w:hint="eastAsia" w:ascii="宋体" w:hAnsi="宋体" w:eastAsia="宋体" w:cs="宋体"/>
                <w:color w:val="auto"/>
                <w:szCs w:val="21"/>
              </w:rPr>
              <w:t>M：投标报价得分；</w:t>
            </w:r>
          </w:p>
          <w:p w14:paraId="7EDE5BFA">
            <w:pPr>
              <w:keepNext w:val="0"/>
              <w:keepLines w:val="0"/>
              <w:suppressLineNumbers w:val="0"/>
              <w:spacing w:before="0" w:beforeAutospacing="0" w:after="0" w:afterAutospacing="0"/>
              <w:ind w:left="0" w:right="0" w:firstLine="420" w:firstLineChars="200"/>
              <w:rPr>
                <w:rFonts w:hint="eastAsia" w:ascii="宋体" w:hAnsi="宋体" w:eastAsia="宋体" w:cs="宋体"/>
                <w:color w:val="auto"/>
                <w:szCs w:val="21"/>
              </w:rPr>
            </w:pPr>
            <w:r>
              <w:rPr>
                <w:rFonts w:hint="eastAsia" w:ascii="宋体" w:hAnsi="宋体" w:eastAsia="宋体" w:cs="宋体"/>
                <w:color w:val="auto"/>
                <w:szCs w:val="21"/>
              </w:rPr>
              <w:t>Q：为满足条件的联合体或者分包企业报价优惠系数，范围为1-2的整数，由招标人确定。Q的取值见第二章投标人须知前附表第10.2.2项。</w:t>
            </w:r>
          </w:p>
          <w:p w14:paraId="1777AED3">
            <w:pPr>
              <w:keepNext w:val="0"/>
              <w:keepLines w:val="0"/>
              <w:suppressLineNumbers w:val="0"/>
              <w:spacing w:before="0" w:beforeAutospacing="0" w:after="0" w:afterAutospacing="0"/>
              <w:ind w:left="0" w:right="0"/>
              <w:rPr>
                <w:rFonts w:hint="eastAsia" w:ascii="宋体" w:hAnsi="宋体" w:eastAsia="宋体" w:cs="宋体"/>
                <w:color w:val="auto"/>
                <w:szCs w:val="21"/>
              </w:rPr>
            </w:pPr>
            <w:r>
              <w:rPr>
                <w:rFonts w:hint="eastAsia" w:ascii="宋体" w:hAnsi="宋体" w:eastAsia="宋体" w:cs="宋体"/>
                <w:color w:val="auto"/>
                <w:szCs w:val="21"/>
              </w:rPr>
              <w:t>3.组成联合体或者接受分包的小微企业与联合体内其他企业、分包企业之间存在直接控股、管理关系的，不享受价格评审优惠政策。</w:t>
            </w:r>
          </w:p>
        </w:tc>
      </w:tr>
      <w:tr w14:paraId="1BDC5E7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17" w:hRule="atLeast"/>
          <w:jc w:val="center"/>
        </w:trPr>
        <w:tc>
          <w:tcPr>
            <w:tcW w:w="732" w:type="dxa"/>
            <w:vMerge w:val="continue"/>
            <w:tcBorders>
              <w:top w:val="single" w:color="auto" w:sz="4" w:space="0"/>
              <w:left w:val="single" w:color="auto" w:sz="4" w:space="0"/>
              <w:bottom w:val="single" w:color="auto" w:sz="4" w:space="0"/>
              <w:right w:val="single" w:color="auto" w:sz="4" w:space="0"/>
            </w:tcBorders>
            <w:noWrap w:val="0"/>
            <w:vAlign w:val="center"/>
          </w:tcPr>
          <w:p w14:paraId="6D281C8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p>
        </w:tc>
        <w:tc>
          <w:tcPr>
            <w:tcW w:w="1124" w:type="dxa"/>
            <w:vMerge w:val="continue"/>
            <w:tcBorders>
              <w:top w:val="single" w:color="auto" w:sz="4" w:space="0"/>
              <w:left w:val="single" w:color="auto" w:sz="4" w:space="0"/>
              <w:bottom w:val="single" w:color="auto" w:sz="4" w:space="0"/>
              <w:right w:val="single" w:color="auto" w:sz="4" w:space="0"/>
            </w:tcBorders>
            <w:noWrap w:val="0"/>
            <w:vAlign w:val="center"/>
          </w:tcPr>
          <w:p w14:paraId="65D27937">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4060995F">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投标报价最终得分</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40A1AFF6">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S=M×(1+P%)</w:t>
            </w:r>
            <w:r>
              <w:rPr>
                <w:rFonts w:hint="eastAsia" w:ascii="宋体" w:hAnsi="宋体" w:eastAsia="宋体" w:cs="宋体"/>
                <w:color w:val="auto"/>
                <w:szCs w:val="21"/>
                <w:lang w:val="en-US" w:eastAsia="zh-CN"/>
              </w:rPr>
              <w:t>或</w:t>
            </w:r>
            <w:r>
              <w:rPr>
                <w:rFonts w:hint="eastAsia" w:ascii="宋体" w:hAnsi="宋体" w:eastAsia="宋体" w:cs="宋体"/>
                <w:color w:val="auto"/>
                <w:szCs w:val="21"/>
              </w:rPr>
              <w:t>S=M×(1+Q%)</w:t>
            </w:r>
          </w:p>
        </w:tc>
      </w:tr>
      <w:tr w14:paraId="2EF2098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17" w:hRule="atLeast"/>
          <w:jc w:val="center"/>
        </w:trPr>
        <w:tc>
          <w:tcPr>
            <w:tcW w:w="732" w:type="dxa"/>
            <w:vMerge w:val="restart"/>
            <w:tcBorders>
              <w:top w:val="single" w:color="auto" w:sz="4" w:space="0"/>
              <w:left w:val="single" w:color="auto" w:sz="4" w:space="0"/>
              <w:bottom w:val="single" w:color="auto" w:sz="4" w:space="0"/>
              <w:right w:val="single" w:color="auto" w:sz="4" w:space="0"/>
            </w:tcBorders>
            <w:noWrap w:val="0"/>
            <w:vAlign w:val="center"/>
          </w:tcPr>
          <w:p w14:paraId="181FF68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105" w:leftChars="-50" w:right="-105" w:rightChars="-50"/>
              <w:jc w:val="center"/>
              <w:textAlignment w:val="auto"/>
              <w:rPr>
                <w:rFonts w:hint="eastAsia" w:ascii="宋体" w:hAnsi="宋体" w:eastAsia="宋体" w:cs="宋体"/>
                <w:color w:val="auto"/>
                <w:szCs w:val="21"/>
              </w:rPr>
            </w:pPr>
            <w:r>
              <w:rPr>
                <w:rFonts w:hint="eastAsia" w:ascii="宋体" w:hAnsi="宋体" w:eastAsia="宋体" w:cs="宋体"/>
                <w:color w:val="auto"/>
                <w:szCs w:val="21"/>
              </w:rPr>
              <w:t>2.2.4（5）</w:t>
            </w:r>
          </w:p>
        </w:tc>
        <w:tc>
          <w:tcPr>
            <w:tcW w:w="1124" w:type="dxa"/>
            <w:vMerge w:val="restart"/>
            <w:tcBorders>
              <w:top w:val="single" w:color="auto" w:sz="4" w:space="0"/>
              <w:left w:val="single" w:color="auto" w:sz="4" w:space="0"/>
              <w:bottom w:val="single" w:color="auto" w:sz="4" w:space="0"/>
              <w:right w:val="single" w:color="auto" w:sz="4" w:space="0"/>
            </w:tcBorders>
            <w:noWrap w:val="0"/>
            <w:vAlign w:val="center"/>
          </w:tcPr>
          <w:p w14:paraId="1437DC56">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r>
              <w:rPr>
                <w:rFonts w:hint="eastAsia" w:ascii="宋体" w:hAnsi="宋体" w:eastAsia="宋体" w:cs="宋体"/>
                <w:color w:val="auto"/>
                <w:szCs w:val="21"/>
              </w:rPr>
              <w:t>其他因素评分标准</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00DDEA55">
            <w:pPr>
              <w:keepNext w:val="0"/>
              <w:keepLines w:val="0"/>
              <w:suppressLineNumbers w:val="0"/>
              <w:spacing w:before="0" w:beforeAutospacing="0" w:after="0" w:afterAutospacing="0" w:line="440" w:lineRule="exact"/>
              <w:ind w:left="0" w:leftChars="0" w:right="0" w:rightChars="0"/>
              <w:jc w:val="center"/>
              <w:rPr>
                <w:rFonts w:hint="default" w:ascii="宋体" w:hAnsi="宋体" w:eastAsia="宋体" w:cs="宋体"/>
                <w:color w:val="auto"/>
                <w:szCs w:val="21"/>
                <w:lang w:val="en-US" w:eastAsia="zh-CN"/>
              </w:rPr>
            </w:pPr>
            <w:r>
              <w:rPr>
                <w:rFonts w:hint="eastAsia" w:ascii="宋体" w:hAnsi="宋体" w:eastAsia="宋体" w:cs="宋体"/>
                <w:color w:val="auto"/>
                <w:szCs w:val="21"/>
              </w:rPr>
              <w:t>……</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081479DD">
            <w:pPr>
              <w:keepNext w:val="0"/>
              <w:keepLines w:val="0"/>
              <w:suppressLineNumbers w:val="0"/>
              <w:spacing w:before="0" w:beforeAutospacing="0" w:after="0" w:afterAutospacing="0" w:line="440" w:lineRule="exact"/>
              <w:ind w:left="0" w:leftChars="0" w:right="0" w:rightChars="0"/>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w:t>
            </w:r>
          </w:p>
        </w:tc>
      </w:tr>
      <w:tr w14:paraId="3008C4B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06" w:hRule="atLeast"/>
          <w:jc w:val="center"/>
        </w:trPr>
        <w:tc>
          <w:tcPr>
            <w:tcW w:w="732" w:type="dxa"/>
            <w:vMerge w:val="continue"/>
            <w:tcBorders>
              <w:top w:val="single" w:color="auto" w:sz="4" w:space="0"/>
              <w:left w:val="single" w:color="auto" w:sz="4" w:space="0"/>
              <w:bottom w:val="single" w:color="auto" w:sz="4" w:space="0"/>
              <w:right w:val="single" w:color="auto" w:sz="4" w:space="0"/>
            </w:tcBorders>
            <w:noWrap w:val="0"/>
            <w:vAlign w:val="center"/>
          </w:tcPr>
          <w:p w14:paraId="5E937C2F">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1124" w:type="dxa"/>
            <w:vMerge w:val="continue"/>
            <w:tcBorders>
              <w:top w:val="single" w:color="auto" w:sz="4" w:space="0"/>
              <w:left w:val="single" w:color="auto" w:sz="4" w:space="0"/>
              <w:bottom w:val="single" w:color="auto" w:sz="4" w:space="0"/>
              <w:right w:val="single" w:color="auto" w:sz="4" w:space="0"/>
            </w:tcBorders>
            <w:noWrap w:val="0"/>
            <w:vAlign w:val="center"/>
          </w:tcPr>
          <w:p w14:paraId="3D9F34A8">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EF0F59B">
            <w:pPr>
              <w:keepNext w:val="0"/>
              <w:keepLines w:val="0"/>
              <w:suppressLineNumbers w:val="0"/>
              <w:spacing w:before="0" w:beforeAutospacing="0" w:after="0" w:afterAutospacing="0" w:line="440" w:lineRule="exact"/>
              <w:ind w:left="0" w:leftChars="0" w:right="0" w:rightChars="0"/>
              <w:jc w:val="center"/>
              <w:rPr>
                <w:rFonts w:hint="default" w:ascii="宋体" w:hAnsi="宋体" w:eastAsia="宋体" w:cs="宋体"/>
                <w:color w:val="auto"/>
                <w:szCs w:val="21"/>
                <w:lang w:val="en-US" w:eastAsia="zh-CN"/>
              </w:rPr>
            </w:pPr>
            <w:r>
              <w:rPr>
                <w:rFonts w:hint="eastAsia" w:ascii="宋体" w:hAnsi="宋体" w:eastAsia="宋体" w:cs="宋体"/>
                <w:color w:val="auto"/>
                <w:szCs w:val="21"/>
              </w:rPr>
              <w:t>……</w:t>
            </w:r>
          </w:p>
        </w:tc>
        <w:tc>
          <w:tcPr>
            <w:tcW w:w="5261" w:type="dxa"/>
            <w:tcBorders>
              <w:top w:val="single" w:color="auto" w:sz="4" w:space="0"/>
              <w:left w:val="single" w:color="auto" w:sz="4" w:space="0"/>
              <w:bottom w:val="single" w:color="auto" w:sz="4" w:space="0"/>
              <w:right w:val="single" w:color="auto" w:sz="4" w:space="0"/>
            </w:tcBorders>
            <w:noWrap w:val="0"/>
            <w:vAlign w:val="center"/>
          </w:tcPr>
          <w:p w14:paraId="0562B3FE">
            <w:pPr>
              <w:keepNext w:val="0"/>
              <w:keepLines w:val="0"/>
              <w:suppressLineNumbers w:val="0"/>
              <w:spacing w:before="0" w:beforeAutospacing="0" w:after="0" w:afterAutospacing="0" w:line="440" w:lineRule="exact"/>
              <w:ind w:left="0" w:leftChars="0" w:right="0" w:rightChars="0"/>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w:t>
            </w:r>
          </w:p>
        </w:tc>
      </w:tr>
    </w:tbl>
    <w:p w14:paraId="02451754">
      <w:pPr>
        <w:pStyle w:val="107"/>
        <w:rPr>
          <w:rFonts w:hint="eastAsia"/>
          <w:color w:val="auto"/>
        </w:rPr>
      </w:pPr>
      <w:bookmarkStart w:id="870" w:name="_Toc154063460"/>
      <w:bookmarkStart w:id="871" w:name="_Toc20565"/>
      <w:bookmarkStart w:id="872" w:name="_Toc22166"/>
      <w:bookmarkStart w:id="873" w:name="_Toc467939844"/>
      <w:bookmarkStart w:id="874" w:name="_Toc519085347"/>
      <w:bookmarkStart w:id="875" w:name="_Toc14275"/>
      <w:bookmarkStart w:id="876" w:name="_Toc30204"/>
      <w:r>
        <w:rPr>
          <w:rFonts w:hint="eastAsia"/>
          <w:color w:val="auto"/>
        </w:rPr>
        <w:t>评标办法正文部分</w:t>
      </w:r>
      <w:bookmarkEnd w:id="870"/>
      <w:bookmarkEnd w:id="871"/>
      <w:bookmarkEnd w:id="872"/>
      <w:bookmarkEnd w:id="873"/>
      <w:bookmarkEnd w:id="874"/>
      <w:bookmarkEnd w:id="875"/>
      <w:bookmarkEnd w:id="876"/>
    </w:p>
    <w:p w14:paraId="12C2A90A">
      <w:pPr>
        <w:pStyle w:val="3"/>
        <w:spacing w:before="48"/>
        <w:rPr>
          <w:color w:val="auto"/>
        </w:rPr>
      </w:pPr>
      <w:bookmarkStart w:id="877" w:name="_Toc247514024"/>
      <w:bookmarkStart w:id="878" w:name="_Toc154063461"/>
      <w:bookmarkStart w:id="879" w:name="_Toc23682"/>
      <w:bookmarkStart w:id="880" w:name="_Toc247527625"/>
      <w:bookmarkStart w:id="881" w:name="_Toc8657"/>
      <w:bookmarkStart w:id="882" w:name="_Toc519085348"/>
      <w:bookmarkStart w:id="883" w:name="_Toc22906"/>
      <w:bookmarkStart w:id="884" w:name="_Toc152042377"/>
      <w:bookmarkStart w:id="885" w:name="_Toc152045600"/>
      <w:bookmarkStart w:id="886" w:name="_Toc144974567"/>
      <w:r>
        <w:rPr>
          <w:rFonts w:hint="eastAsia" w:ascii="Times New Roman" w:hAnsi="Times New Roman"/>
          <w:color w:val="auto"/>
        </w:rPr>
        <w:t>1</w:t>
      </w:r>
      <w:r>
        <w:rPr>
          <w:rFonts w:hint="eastAsia"/>
          <w:color w:val="auto"/>
        </w:rPr>
        <w:t>. 评标方法</w:t>
      </w:r>
      <w:bookmarkEnd w:id="877"/>
      <w:bookmarkEnd w:id="878"/>
      <w:bookmarkEnd w:id="879"/>
      <w:bookmarkEnd w:id="880"/>
      <w:bookmarkEnd w:id="881"/>
      <w:bookmarkEnd w:id="882"/>
      <w:bookmarkEnd w:id="883"/>
      <w:bookmarkEnd w:id="884"/>
      <w:bookmarkEnd w:id="885"/>
      <w:bookmarkEnd w:id="886"/>
    </w:p>
    <w:p w14:paraId="430F5AB2">
      <w:pPr>
        <w:spacing w:line="400" w:lineRule="exact"/>
        <w:ind w:firstLine="420" w:firstLineChars="200"/>
        <w:rPr>
          <w:color w:val="auto"/>
        </w:rPr>
      </w:pPr>
      <w:r>
        <w:rPr>
          <w:rFonts w:hint="eastAsia"/>
          <w:color w:val="auto"/>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综合评分相等时，以投标报价低的优先；投标报价也相等的，由招标人或者经招标人授权评标委员会自行确定。</w:t>
      </w:r>
    </w:p>
    <w:p w14:paraId="35D2F63E">
      <w:pPr>
        <w:pStyle w:val="3"/>
        <w:spacing w:before="48"/>
        <w:rPr>
          <w:color w:val="auto"/>
        </w:rPr>
      </w:pPr>
      <w:bookmarkStart w:id="887" w:name="_Toc22611"/>
      <w:bookmarkStart w:id="888" w:name="_Toc247514025"/>
      <w:bookmarkStart w:id="889" w:name="_Toc152042378"/>
      <w:bookmarkStart w:id="890" w:name="_Toc519085349"/>
      <w:bookmarkStart w:id="891" w:name="_Toc154063462"/>
      <w:bookmarkStart w:id="892" w:name="_Toc247527626"/>
      <w:bookmarkStart w:id="893" w:name="_Toc20582"/>
      <w:bookmarkStart w:id="894" w:name="_Toc152045601"/>
      <w:bookmarkStart w:id="895" w:name="_Toc11023"/>
      <w:bookmarkStart w:id="896" w:name="_Toc144974568"/>
      <w:r>
        <w:rPr>
          <w:rFonts w:hint="eastAsia" w:ascii="Times New Roman" w:hAnsi="Times New Roman"/>
          <w:color w:val="auto"/>
        </w:rPr>
        <w:t>2</w:t>
      </w:r>
      <w:r>
        <w:rPr>
          <w:rFonts w:hint="eastAsia"/>
          <w:color w:val="auto"/>
        </w:rPr>
        <w:t>. 评审标准</w:t>
      </w:r>
      <w:bookmarkEnd w:id="887"/>
      <w:bookmarkEnd w:id="888"/>
      <w:bookmarkEnd w:id="889"/>
      <w:bookmarkEnd w:id="890"/>
      <w:bookmarkEnd w:id="891"/>
      <w:bookmarkEnd w:id="892"/>
      <w:bookmarkEnd w:id="893"/>
      <w:bookmarkEnd w:id="894"/>
      <w:bookmarkEnd w:id="895"/>
      <w:bookmarkEnd w:id="896"/>
    </w:p>
    <w:p w14:paraId="144D8010">
      <w:pPr>
        <w:pStyle w:val="113"/>
        <w:outlineLvl w:val="0"/>
        <w:rPr>
          <w:color w:val="auto"/>
        </w:rPr>
      </w:pPr>
      <w:bookmarkStart w:id="897" w:name="_Toc152042379"/>
      <w:bookmarkStart w:id="898" w:name="_Toc519085350"/>
      <w:bookmarkStart w:id="899" w:name="_Toc152045602"/>
      <w:bookmarkStart w:id="900" w:name="_Toc144974569"/>
      <w:bookmarkStart w:id="901" w:name="_Toc154063463"/>
      <w:bookmarkStart w:id="902" w:name="_Toc247527627"/>
      <w:bookmarkStart w:id="903" w:name="_Toc247514026"/>
      <w:bookmarkStart w:id="904" w:name="_Toc351"/>
      <w:bookmarkStart w:id="905" w:name="_Toc266"/>
      <w:bookmarkStart w:id="906" w:name="_Toc32634"/>
      <w:r>
        <w:rPr>
          <w:rFonts w:hint="eastAsia"/>
          <w:color w:val="auto"/>
        </w:rPr>
        <w:t>2.1 初步评审标准</w:t>
      </w:r>
      <w:bookmarkEnd w:id="897"/>
      <w:bookmarkEnd w:id="898"/>
      <w:bookmarkEnd w:id="899"/>
      <w:bookmarkEnd w:id="900"/>
      <w:bookmarkEnd w:id="901"/>
      <w:bookmarkEnd w:id="902"/>
      <w:bookmarkEnd w:id="903"/>
      <w:bookmarkEnd w:id="904"/>
      <w:bookmarkEnd w:id="905"/>
      <w:bookmarkEnd w:id="906"/>
    </w:p>
    <w:p w14:paraId="22BB0103">
      <w:pPr>
        <w:spacing w:line="400" w:lineRule="exact"/>
        <w:ind w:firstLine="420" w:firstLineChars="200"/>
        <w:rPr>
          <w:color w:val="auto"/>
        </w:rPr>
      </w:pPr>
      <w:r>
        <w:rPr>
          <w:rFonts w:hint="eastAsia"/>
          <w:color w:val="auto"/>
        </w:rPr>
        <w:t>2.1.1 形式评审标准：见评标办法前附表。</w:t>
      </w:r>
    </w:p>
    <w:p w14:paraId="6C58E676">
      <w:pPr>
        <w:spacing w:line="400" w:lineRule="exact"/>
        <w:ind w:firstLine="420" w:firstLineChars="200"/>
        <w:rPr>
          <w:rFonts w:hint="eastAsia"/>
          <w:color w:val="auto"/>
        </w:rPr>
      </w:pPr>
      <w:r>
        <w:rPr>
          <w:rFonts w:hint="eastAsia"/>
          <w:color w:val="auto"/>
        </w:rPr>
        <w:t>2.1.2 资格评审标准：见评标办法前附表（适用于未进行资格预审的）。</w:t>
      </w:r>
    </w:p>
    <w:p w14:paraId="22C15B5B">
      <w:pPr>
        <w:spacing w:line="400" w:lineRule="exact"/>
        <w:ind w:firstLine="420" w:firstLineChars="200"/>
        <w:rPr>
          <w:rFonts w:hint="eastAsia"/>
          <w:color w:val="auto"/>
        </w:rPr>
      </w:pPr>
      <w:r>
        <w:rPr>
          <w:rFonts w:hint="eastAsia"/>
          <w:color w:val="auto"/>
        </w:rPr>
        <w:t>2.1.2资格评审标准：见本标段资格预审文件第三章“资格审查办法”的审查标准（适用于已进行资格预审的）。</w:t>
      </w:r>
    </w:p>
    <w:p w14:paraId="53915112">
      <w:pPr>
        <w:spacing w:line="400" w:lineRule="exact"/>
        <w:ind w:firstLine="420" w:firstLineChars="200"/>
        <w:rPr>
          <w:color w:val="auto"/>
        </w:rPr>
      </w:pPr>
      <w:r>
        <w:rPr>
          <w:rFonts w:hint="eastAsia"/>
          <w:color w:val="auto"/>
        </w:rPr>
        <w:t>2.1.3 响应性评审标准：见评标办法前附表。</w:t>
      </w:r>
    </w:p>
    <w:p w14:paraId="5EE43906">
      <w:pPr>
        <w:pStyle w:val="113"/>
        <w:outlineLvl w:val="0"/>
        <w:rPr>
          <w:color w:val="auto"/>
        </w:rPr>
      </w:pPr>
      <w:bookmarkStart w:id="907" w:name="_Toc247514027"/>
      <w:bookmarkStart w:id="908" w:name="_Toc152045603"/>
      <w:bookmarkStart w:id="909" w:name="_Toc144974570"/>
      <w:bookmarkStart w:id="910" w:name="_Toc154063464"/>
      <w:bookmarkStart w:id="911" w:name="_Toc519085351"/>
      <w:bookmarkStart w:id="912" w:name="_Toc247527628"/>
      <w:bookmarkStart w:id="913" w:name="_Toc30770"/>
      <w:bookmarkStart w:id="914" w:name="_Toc152042380"/>
      <w:bookmarkStart w:id="915" w:name="_Toc12880"/>
      <w:bookmarkStart w:id="916" w:name="_Toc7866"/>
      <w:r>
        <w:rPr>
          <w:rFonts w:hint="eastAsia"/>
          <w:color w:val="auto"/>
        </w:rPr>
        <w:t>2.2 分值构成与评分标准</w:t>
      </w:r>
      <w:bookmarkEnd w:id="907"/>
      <w:bookmarkEnd w:id="908"/>
      <w:bookmarkEnd w:id="909"/>
      <w:bookmarkEnd w:id="910"/>
      <w:bookmarkEnd w:id="911"/>
      <w:bookmarkEnd w:id="912"/>
      <w:bookmarkEnd w:id="913"/>
      <w:bookmarkEnd w:id="914"/>
      <w:bookmarkEnd w:id="915"/>
      <w:bookmarkEnd w:id="916"/>
    </w:p>
    <w:p w14:paraId="4B1E37BA">
      <w:pPr>
        <w:spacing w:line="400" w:lineRule="exact"/>
        <w:ind w:firstLine="420" w:firstLineChars="200"/>
        <w:rPr>
          <w:color w:val="auto"/>
        </w:rPr>
      </w:pPr>
      <w:bookmarkStart w:id="917" w:name="_Toc3980476"/>
      <w:bookmarkStart w:id="918" w:name="_Toc3980924"/>
      <w:r>
        <w:rPr>
          <w:rFonts w:hint="eastAsia"/>
          <w:color w:val="auto"/>
        </w:rPr>
        <w:t>2.2.1 分值构成</w:t>
      </w:r>
      <w:bookmarkEnd w:id="917"/>
      <w:bookmarkEnd w:id="918"/>
    </w:p>
    <w:p w14:paraId="1267718A">
      <w:pPr>
        <w:spacing w:line="400" w:lineRule="exact"/>
        <w:ind w:firstLine="420" w:firstLineChars="200"/>
        <w:rPr>
          <w:color w:val="auto"/>
        </w:rPr>
      </w:pPr>
      <w:r>
        <w:rPr>
          <w:rFonts w:hint="eastAsia"/>
          <w:color w:val="auto"/>
        </w:rPr>
        <w:t>（1）承包人建议书：见评标办法前附表；</w:t>
      </w:r>
    </w:p>
    <w:p w14:paraId="4BB31A4D">
      <w:pPr>
        <w:spacing w:line="400" w:lineRule="exact"/>
        <w:ind w:firstLine="420" w:firstLineChars="200"/>
        <w:rPr>
          <w:color w:val="auto"/>
        </w:rPr>
      </w:pPr>
      <w:r>
        <w:rPr>
          <w:rFonts w:hint="eastAsia"/>
          <w:color w:val="auto"/>
        </w:rPr>
        <w:t>（2）资信业绩部分：见评标办法前附表；</w:t>
      </w:r>
    </w:p>
    <w:p w14:paraId="37443EFB">
      <w:pPr>
        <w:spacing w:line="400" w:lineRule="exact"/>
        <w:ind w:firstLine="420" w:firstLineChars="200"/>
        <w:rPr>
          <w:color w:val="auto"/>
        </w:rPr>
      </w:pPr>
      <w:r>
        <w:rPr>
          <w:rFonts w:hint="eastAsia"/>
          <w:color w:val="auto"/>
        </w:rPr>
        <w:t>（3）承包人实施方案：见评标办法前附表；</w:t>
      </w:r>
    </w:p>
    <w:p w14:paraId="0F2F922D">
      <w:pPr>
        <w:spacing w:line="400" w:lineRule="exact"/>
        <w:ind w:firstLine="420" w:firstLineChars="200"/>
        <w:rPr>
          <w:rFonts w:hint="eastAsia"/>
          <w:color w:val="auto"/>
        </w:rPr>
      </w:pPr>
      <w:r>
        <w:rPr>
          <w:rFonts w:hint="eastAsia"/>
          <w:color w:val="auto"/>
        </w:rPr>
        <w:t>（4）投标报价：见评标办法前附表；</w:t>
      </w:r>
    </w:p>
    <w:p w14:paraId="5A0A5A7B">
      <w:pPr>
        <w:spacing w:line="400" w:lineRule="exact"/>
        <w:ind w:firstLine="420" w:firstLineChars="200"/>
        <w:rPr>
          <w:color w:val="auto"/>
        </w:rPr>
      </w:pPr>
      <w:r>
        <w:rPr>
          <w:rFonts w:hint="eastAsia"/>
          <w:color w:val="auto"/>
        </w:rPr>
        <w:t>（5）</w:t>
      </w:r>
      <w:r>
        <w:rPr>
          <w:color w:val="auto"/>
        </w:rPr>
        <w:t>其他评分因素：</w:t>
      </w:r>
      <w:r>
        <w:rPr>
          <w:rFonts w:hint="eastAsia"/>
          <w:color w:val="auto"/>
        </w:rPr>
        <w:t>见评标办法前附表。</w:t>
      </w:r>
    </w:p>
    <w:p w14:paraId="38269351">
      <w:pPr>
        <w:spacing w:line="400" w:lineRule="exact"/>
        <w:ind w:firstLine="420" w:firstLineChars="200"/>
        <w:rPr>
          <w:color w:val="auto"/>
        </w:rPr>
      </w:pPr>
      <w:bookmarkStart w:id="919" w:name="_Toc3980477"/>
      <w:bookmarkStart w:id="920" w:name="_Toc3980925"/>
      <w:r>
        <w:rPr>
          <w:rFonts w:hint="eastAsia"/>
          <w:color w:val="auto"/>
        </w:rPr>
        <w:t>2.2.2 评标基准价计算</w:t>
      </w:r>
      <w:bookmarkEnd w:id="919"/>
      <w:bookmarkEnd w:id="920"/>
    </w:p>
    <w:p w14:paraId="2EF2B722">
      <w:pPr>
        <w:spacing w:line="400" w:lineRule="exact"/>
        <w:ind w:firstLine="420" w:firstLineChars="200"/>
        <w:rPr>
          <w:color w:val="auto"/>
        </w:rPr>
      </w:pPr>
      <w:r>
        <w:rPr>
          <w:rFonts w:hint="eastAsia"/>
          <w:color w:val="auto"/>
        </w:rPr>
        <w:t>评标基准价计算方法：见评标办法前附表。</w:t>
      </w:r>
    </w:p>
    <w:p w14:paraId="02D2FADF">
      <w:pPr>
        <w:spacing w:line="400" w:lineRule="exact"/>
        <w:ind w:firstLine="420" w:firstLineChars="200"/>
        <w:rPr>
          <w:color w:val="auto"/>
        </w:rPr>
      </w:pPr>
      <w:r>
        <w:rPr>
          <w:rFonts w:hint="eastAsia"/>
          <w:color w:val="auto"/>
        </w:rPr>
        <w:t>2.2.3 投标报价的偏差率计算</w:t>
      </w:r>
    </w:p>
    <w:p w14:paraId="5F51B7C4">
      <w:pPr>
        <w:spacing w:line="400" w:lineRule="exact"/>
        <w:ind w:firstLine="420" w:firstLineChars="200"/>
        <w:rPr>
          <w:color w:val="auto"/>
        </w:rPr>
      </w:pPr>
      <w:r>
        <w:rPr>
          <w:rFonts w:hint="eastAsia"/>
          <w:color w:val="auto"/>
        </w:rPr>
        <w:t>投标报价的偏差率计算公式：见评标办法前附表。</w:t>
      </w:r>
    </w:p>
    <w:p w14:paraId="28BC03B4">
      <w:pPr>
        <w:spacing w:line="400" w:lineRule="exact"/>
        <w:ind w:firstLine="420" w:firstLineChars="200"/>
        <w:rPr>
          <w:color w:val="auto"/>
        </w:rPr>
      </w:pPr>
      <w:r>
        <w:rPr>
          <w:rFonts w:hint="eastAsia"/>
          <w:color w:val="auto"/>
        </w:rPr>
        <w:t>2.2.4 评分标准</w:t>
      </w:r>
    </w:p>
    <w:p w14:paraId="66DD8AEB">
      <w:pPr>
        <w:spacing w:line="400" w:lineRule="exact"/>
        <w:ind w:firstLine="420" w:firstLineChars="200"/>
        <w:rPr>
          <w:color w:val="auto"/>
        </w:rPr>
      </w:pPr>
      <w:r>
        <w:rPr>
          <w:rFonts w:hint="eastAsia"/>
          <w:color w:val="auto"/>
        </w:rPr>
        <w:t>（1）承包人建议书评分标准：见评标办法前附表；</w:t>
      </w:r>
    </w:p>
    <w:p w14:paraId="57DFA2B9">
      <w:pPr>
        <w:spacing w:line="400" w:lineRule="exact"/>
        <w:ind w:firstLine="420" w:firstLineChars="200"/>
        <w:rPr>
          <w:rFonts w:hint="eastAsia"/>
          <w:color w:val="auto"/>
        </w:rPr>
      </w:pPr>
      <w:r>
        <w:rPr>
          <w:rFonts w:hint="eastAsia"/>
          <w:color w:val="auto"/>
        </w:rPr>
        <w:t>（2）资信业绩评分标准：见评标办法前附表；</w:t>
      </w:r>
    </w:p>
    <w:p w14:paraId="7E0D644F">
      <w:pPr>
        <w:spacing w:line="400" w:lineRule="exact"/>
        <w:ind w:firstLine="420" w:firstLineChars="200"/>
        <w:rPr>
          <w:rFonts w:hint="eastAsia"/>
          <w:color w:val="auto"/>
        </w:rPr>
      </w:pPr>
      <w:r>
        <w:rPr>
          <w:rFonts w:hint="eastAsia"/>
          <w:color w:val="auto"/>
        </w:rPr>
        <w:t>（3）承包人实施方案评分标准：见评标办法前附表；</w:t>
      </w:r>
    </w:p>
    <w:p w14:paraId="6C9575C4">
      <w:pPr>
        <w:spacing w:line="400" w:lineRule="exact"/>
        <w:ind w:firstLine="420" w:firstLineChars="200"/>
        <w:rPr>
          <w:color w:val="auto"/>
        </w:rPr>
      </w:pPr>
      <w:r>
        <w:rPr>
          <w:rFonts w:hint="eastAsia"/>
          <w:color w:val="auto"/>
        </w:rPr>
        <w:t>（4）投标报价评分标准：见评标办法前附表；</w:t>
      </w:r>
    </w:p>
    <w:p w14:paraId="72F852F2">
      <w:pPr>
        <w:spacing w:line="400" w:lineRule="exact"/>
        <w:ind w:firstLine="420" w:firstLineChars="200"/>
        <w:rPr>
          <w:color w:val="auto"/>
        </w:rPr>
      </w:pPr>
      <w:r>
        <w:rPr>
          <w:rFonts w:hint="eastAsia"/>
          <w:color w:val="auto"/>
        </w:rPr>
        <w:t>（5）其他因素评分标准：见评标办法前附表。</w:t>
      </w:r>
    </w:p>
    <w:p w14:paraId="4705232B">
      <w:pPr>
        <w:pStyle w:val="3"/>
        <w:spacing w:before="48"/>
        <w:rPr>
          <w:color w:val="auto"/>
        </w:rPr>
      </w:pPr>
      <w:bookmarkStart w:id="921" w:name="_Toc154063465"/>
      <w:bookmarkStart w:id="922" w:name="_Toc2713"/>
      <w:bookmarkStart w:id="923" w:name="_Toc247527629"/>
      <w:bookmarkStart w:id="924" w:name="_Toc519085352"/>
      <w:bookmarkStart w:id="925" w:name="_Toc152045604"/>
      <w:bookmarkStart w:id="926" w:name="_Toc30397"/>
      <w:bookmarkStart w:id="927" w:name="_Toc247514028"/>
      <w:bookmarkStart w:id="928" w:name="_Toc144974571"/>
      <w:bookmarkStart w:id="929" w:name="_Toc5477"/>
      <w:bookmarkStart w:id="930" w:name="_Toc152042381"/>
      <w:r>
        <w:rPr>
          <w:rFonts w:hint="eastAsia" w:ascii="Times New Roman" w:hAnsi="Times New Roman"/>
          <w:color w:val="auto"/>
        </w:rPr>
        <w:t>3</w:t>
      </w:r>
      <w:r>
        <w:rPr>
          <w:rFonts w:hint="eastAsia"/>
          <w:color w:val="auto"/>
        </w:rPr>
        <w:t>. 评标程序</w:t>
      </w:r>
      <w:bookmarkEnd w:id="921"/>
      <w:bookmarkEnd w:id="922"/>
      <w:bookmarkEnd w:id="923"/>
      <w:bookmarkEnd w:id="924"/>
      <w:bookmarkEnd w:id="925"/>
      <w:bookmarkEnd w:id="926"/>
      <w:bookmarkEnd w:id="927"/>
      <w:bookmarkEnd w:id="928"/>
      <w:bookmarkEnd w:id="929"/>
      <w:bookmarkEnd w:id="930"/>
    </w:p>
    <w:p w14:paraId="6D24CE94">
      <w:pPr>
        <w:pStyle w:val="113"/>
        <w:outlineLvl w:val="0"/>
        <w:rPr>
          <w:rFonts w:hint="eastAsia"/>
          <w:color w:val="auto"/>
        </w:rPr>
      </w:pPr>
      <w:bookmarkStart w:id="931" w:name="_Toc30289"/>
      <w:bookmarkStart w:id="932" w:name="_Toc154063466"/>
      <w:bookmarkStart w:id="933" w:name="_Toc247514029"/>
      <w:bookmarkStart w:id="934" w:name="_Toc26434"/>
      <w:bookmarkStart w:id="935" w:name="_Toc247527630"/>
      <w:bookmarkStart w:id="936" w:name="_Toc152045605"/>
      <w:bookmarkStart w:id="937" w:name="_Toc23645"/>
      <w:bookmarkStart w:id="938" w:name="_Toc152042382"/>
      <w:bookmarkStart w:id="939" w:name="_Toc519085353"/>
      <w:bookmarkStart w:id="940" w:name="_Toc144974572"/>
      <w:r>
        <w:rPr>
          <w:rFonts w:hint="eastAsia"/>
          <w:color w:val="auto"/>
        </w:rPr>
        <w:t>3.1 初步评审</w:t>
      </w:r>
      <w:bookmarkEnd w:id="931"/>
      <w:bookmarkEnd w:id="932"/>
      <w:bookmarkEnd w:id="933"/>
      <w:bookmarkEnd w:id="934"/>
      <w:bookmarkEnd w:id="935"/>
      <w:bookmarkEnd w:id="936"/>
      <w:bookmarkEnd w:id="937"/>
      <w:bookmarkEnd w:id="938"/>
      <w:bookmarkEnd w:id="939"/>
      <w:bookmarkEnd w:id="940"/>
    </w:p>
    <w:p w14:paraId="39DC537C">
      <w:pPr>
        <w:spacing w:line="400" w:lineRule="exact"/>
        <w:ind w:firstLine="420" w:firstLineChars="200"/>
        <w:rPr>
          <w:color w:val="auto"/>
        </w:rPr>
      </w:pPr>
      <w:r>
        <w:rPr>
          <w:rFonts w:hint="eastAsia"/>
          <w:color w:val="auto"/>
        </w:rPr>
        <w:t>3.1.1 评标委员会可以要求投标人提交第二章“投标人须知”第3.5.1项至第3.5.5项规定的有关证明和证件的原件，以便核验。评标委员会依据本章第2.1款规定的标准对投标文件进行初步评审。有一项不符合评审标准的，评标委员会应当否决其投标。（适用于未进行资格预审的）</w:t>
      </w:r>
    </w:p>
    <w:p w14:paraId="12A0B434">
      <w:pPr>
        <w:spacing w:line="400" w:lineRule="exact"/>
        <w:ind w:firstLine="420" w:firstLineChars="200"/>
        <w:rPr>
          <w:color w:val="auto"/>
        </w:rPr>
      </w:pPr>
      <w:r>
        <w:rPr>
          <w:rFonts w:hint="eastAsia"/>
          <w:color w:val="auto"/>
        </w:rPr>
        <w:t>3.1.1 评标委员会依据本章第2.1.1项、第2.1.3项规定的评审标准对投标文件进行初步评审。有一项不符合评审标准的，评标委员会应当否决其投标。当投标人资格预审申请文件的内容发生重大变化时，评标委员会依据本章第2.1.2项规定的标准对其更新资料进行评审。（适用于已进行资格预审的）</w:t>
      </w:r>
    </w:p>
    <w:p w14:paraId="07C11A87">
      <w:pPr>
        <w:spacing w:line="400" w:lineRule="exact"/>
        <w:ind w:firstLine="420" w:firstLineChars="200"/>
        <w:rPr>
          <w:color w:val="auto"/>
        </w:rPr>
      </w:pPr>
      <w:r>
        <w:rPr>
          <w:rFonts w:hint="eastAsia"/>
          <w:color w:val="auto"/>
        </w:rPr>
        <w:t>3.1.2 投标人有以下情形之一的，评标委员会应当否决其投标：</w:t>
      </w:r>
    </w:p>
    <w:p w14:paraId="552DDF6F">
      <w:pPr>
        <w:spacing w:line="400" w:lineRule="exact"/>
        <w:ind w:firstLine="420" w:firstLineChars="200"/>
        <w:rPr>
          <w:color w:val="auto"/>
        </w:rPr>
      </w:pPr>
      <w:r>
        <w:rPr>
          <w:rFonts w:hint="eastAsia"/>
          <w:color w:val="auto"/>
        </w:rPr>
        <w:t>（1）不按评标委员会要求澄清、说明或补正的；</w:t>
      </w:r>
    </w:p>
    <w:p w14:paraId="588C3308">
      <w:pPr>
        <w:spacing w:line="400" w:lineRule="exact"/>
        <w:ind w:firstLine="420" w:firstLineChars="200"/>
        <w:rPr>
          <w:rFonts w:hint="eastAsia"/>
          <w:color w:val="auto"/>
        </w:rPr>
      </w:pPr>
      <w:r>
        <w:rPr>
          <w:rFonts w:hint="eastAsia"/>
          <w:color w:val="auto"/>
        </w:rPr>
        <w:t>（2）串通投标或弄虚作假或有其他违法行为的。</w:t>
      </w:r>
    </w:p>
    <w:p w14:paraId="1CE267C8">
      <w:pPr>
        <w:spacing w:line="400" w:lineRule="exact"/>
        <w:ind w:firstLine="630" w:firstLineChars="300"/>
        <w:rPr>
          <w:color w:val="auto"/>
        </w:rPr>
      </w:pPr>
      <w:r>
        <w:rPr>
          <w:color w:val="auto"/>
        </w:rPr>
        <w:t>1）有下列情形之一的，属于投标人相互串通投标：</w:t>
      </w:r>
    </w:p>
    <w:p w14:paraId="28236D7C">
      <w:pPr>
        <w:spacing w:line="400" w:lineRule="exact"/>
        <w:ind w:firstLine="840" w:firstLineChars="400"/>
        <w:rPr>
          <w:color w:val="auto"/>
        </w:rPr>
      </w:pPr>
      <w:r>
        <w:rPr>
          <w:color w:val="auto"/>
        </w:rPr>
        <w:t>a.投标人之间协商投标报价等投标文件的实质性内容；</w:t>
      </w:r>
    </w:p>
    <w:p w14:paraId="6B76882D">
      <w:pPr>
        <w:spacing w:line="400" w:lineRule="exact"/>
        <w:ind w:firstLine="840" w:firstLineChars="400"/>
        <w:rPr>
          <w:color w:val="auto"/>
        </w:rPr>
      </w:pPr>
      <w:r>
        <w:rPr>
          <w:color w:val="auto"/>
        </w:rPr>
        <w:t>b.投标人之间约定中标人；</w:t>
      </w:r>
    </w:p>
    <w:p w14:paraId="6F1FA891">
      <w:pPr>
        <w:spacing w:line="400" w:lineRule="exact"/>
        <w:ind w:firstLine="840" w:firstLineChars="400"/>
        <w:rPr>
          <w:color w:val="auto"/>
        </w:rPr>
      </w:pPr>
      <w:r>
        <w:rPr>
          <w:color w:val="auto"/>
        </w:rPr>
        <w:t>c.投标人之间约定部分投标人放弃投标或中标；</w:t>
      </w:r>
    </w:p>
    <w:p w14:paraId="5848F5F6">
      <w:pPr>
        <w:spacing w:line="400" w:lineRule="exact"/>
        <w:ind w:firstLine="840" w:firstLineChars="400"/>
        <w:rPr>
          <w:color w:val="auto"/>
        </w:rPr>
      </w:pPr>
      <w:r>
        <w:rPr>
          <w:color w:val="auto"/>
        </w:rPr>
        <w:t>d.属于同一集团、协会、商会等组织成员的投标人按照该组织要求协同投标；</w:t>
      </w:r>
    </w:p>
    <w:p w14:paraId="4F3ED9CF">
      <w:pPr>
        <w:spacing w:line="400" w:lineRule="exact"/>
        <w:ind w:firstLine="840" w:firstLineChars="400"/>
        <w:rPr>
          <w:color w:val="auto"/>
        </w:rPr>
      </w:pPr>
      <w:r>
        <w:rPr>
          <w:color w:val="auto"/>
        </w:rPr>
        <w:t>e.投标人之间为谋取中标或排斥特定投标人而采取的其他联合行动。</w:t>
      </w:r>
    </w:p>
    <w:p w14:paraId="72D269DE">
      <w:pPr>
        <w:spacing w:line="400" w:lineRule="exact"/>
        <w:ind w:firstLine="630" w:firstLineChars="300"/>
        <w:rPr>
          <w:color w:val="auto"/>
        </w:rPr>
      </w:pPr>
      <w:r>
        <w:rPr>
          <w:color w:val="auto"/>
        </w:rPr>
        <w:t>2）有下列情形之一的，视为投标人相互串通投标：</w:t>
      </w:r>
    </w:p>
    <w:p w14:paraId="7296D7A4">
      <w:pPr>
        <w:spacing w:line="400" w:lineRule="exact"/>
        <w:ind w:firstLine="840" w:firstLineChars="400"/>
        <w:rPr>
          <w:color w:val="auto"/>
        </w:rPr>
      </w:pPr>
      <w:r>
        <w:rPr>
          <w:color w:val="auto"/>
        </w:rPr>
        <w:t>a.不同投标人的投标文件由同一单位或个人编制；</w:t>
      </w:r>
    </w:p>
    <w:p w14:paraId="177D4D0D">
      <w:pPr>
        <w:spacing w:line="400" w:lineRule="exact"/>
        <w:ind w:firstLine="840" w:firstLineChars="400"/>
        <w:rPr>
          <w:color w:val="auto"/>
        </w:rPr>
      </w:pPr>
      <w:r>
        <w:rPr>
          <w:color w:val="auto"/>
        </w:rPr>
        <w:t>b.不同投标人委托同一单位或个人办理投标事宜；</w:t>
      </w:r>
    </w:p>
    <w:p w14:paraId="3F6251A5">
      <w:pPr>
        <w:spacing w:line="400" w:lineRule="exact"/>
        <w:ind w:firstLine="840" w:firstLineChars="400"/>
        <w:rPr>
          <w:color w:val="auto"/>
        </w:rPr>
      </w:pPr>
      <w:r>
        <w:rPr>
          <w:color w:val="auto"/>
        </w:rPr>
        <w:t>c.不同投标人的投标文件载明的项目管理成员为同一人；</w:t>
      </w:r>
    </w:p>
    <w:p w14:paraId="46E2CFBD">
      <w:pPr>
        <w:spacing w:line="400" w:lineRule="exact"/>
        <w:ind w:firstLine="840" w:firstLineChars="400"/>
        <w:rPr>
          <w:color w:val="auto"/>
        </w:rPr>
      </w:pPr>
      <w:r>
        <w:rPr>
          <w:color w:val="auto"/>
        </w:rPr>
        <w:t>d.不同投标人的投标文件异常一致或投标报价呈规律性差异；</w:t>
      </w:r>
    </w:p>
    <w:p w14:paraId="01C3B5E1">
      <w:pPr>
        <w:spacing w:line="400" w:lineRule="exact"/>
        <w:ind w:firstLine="840" w:firstLineChars="400"/>
        <w:rPr>
          <w:color w:val="auto"/>
        </w:rPr>
      </w:pPr>
      <w:r>
        <w:rPr>
          <w:color w:val="auto"/>
        </w:rPr>
        <w:t>e.不同投标人的投标文件相互混装；</w:t>
      </w:r>
    </w:p>
    <w:p w14:paraId="3B556CF3">
      <w:pPr>
        <w:spacing w:line="400" w:lineRule="exact"/>
        <w:ind w:firstLine="840" w:firstLineChars="400"/>
        <w:rPr>
          <w:color w:val="auto"/>
        </w:rPr>
      </w:pPr>
      <w:r>
        <w:rPr>
          <w:color w:val="auto"/>
        </w:rPr>
        <w:t>f.不同投标人的投标保证金从同一单位或个人的账户转出；</w:t>
      </w:r>
    </w:p>
    <w:p w14:paraId="10DEB0BE">
      <w:pPr>
        <w:spacing w:line="400" w:lineRule="exact"/>
        <w:ind w:firstLine="840" w:firstLineChars="400"/>
        <w:rPr>
          <w:color w:val="auto"/>
        </w:rPr>
      </w:pPr>
      <w:r>
        <w:rPr>
          <w:color w:val="auto"/>
        </w:rPr>
        <w:t>g.不同投标人的投标文件存在“文件创建标识码”、“文件制作机器码”一致等情形。</w:t>
      </w:r>
    </w:p>
    <w:p w14:paraId="75514336">
      <w:pPr>
        <w:spacing w:line="400" w:lineRule="exact"/>
        <w:ind w:firstLine="630" w:firstLineChars="300"/>
        <w:rPr>
          <w:color w:val="auto"/>
        </w:rPr>
      </w:pPr>
      <w:r>
        <w:rPr>
          <w:color w:val="auto"/>
        </w:rPr>
        <w:t>3）有下列情形之一的，属于招标人与投标人串通投标：</w:t>
      </w:r>
    </w:p>
    <w:p w14:paraId="5F518325">
      <w:pPr>
        <w:spacing w:line="400" w:lineRule="exact"/>
        <w:ind w:firstLine="840" w:firstLineChars="400"/>
        <w:rPr>
          <w:color w:val="auto"/>
        </w:rPr>
      </w:pPr>
      <w:r>
        <w:rPr>
          <w:color w:val="auto"/>
        </w:rPr>
        <w:t>a.招标人在开标前开启投标文件并将有关信息泄露给其他投标人；</w:t>
      </w:r>
    </w:p>
    <w:p w14:paraId="2831E699">
      <w:pPr>
        <w:spacing w:line="400" w:lineRule="exact"/>
        <w:ind w:firstLine="840" w:firstLineChars="400"/>
        <w:rPr>
          <w:color w:val="auto"/>
        </w:rPr>
      </w:pPr>
      <w:r>
        <w:rPr>
          <w:color w:val="auto"/>
        </w:rPr>
        <w:t>b.招标人直接或间接向投标人泄露标底、评标委员会成员等信息；</w:t>
      </w:r>
    </w:p>
    <w:p w14:paraId="633D8022">
      <w:pPr>
        <w:spacing w:line="400" w:lineRule="exact"/>
        <w:ind w:firstLine="840" w:firstLineChars="400"/>
        <w:rPr>
          <w:color w:val="auto"/>
        </w:rPr>
      </w:pPr>
      <w:r>
        <w:rPr>
          <w:color w:val="auto"/>
        </w:rPr>
        <w:t>c.招标人明示或暗示投标人压低或抬高投标报价；</w:t>
      </w:r>
    </w:p>
    <w:p w14:paraId="37005829">
      <w:pPr>
        <w:spacing w:line="400" w:lineRule="exact"/>
        <w:ind w:firstLine="840" w:firstLineChars="400"/>
        <w:rPr>
          <w:color w:val="auto"/>
        </w:rPr>
      </w:pPr>
      <w:r>
        <w:rPr>
          <w:color w:val="auto"/>
        </w:rPr>
        <w:t>d.招标人授意投标人撤换、修改投标文件；</w:t>
      </w:r>
    </w:p>
    <w:p w14:paraId="08422E9E">
      <w:pPr>
        <w:spacing w:line="400" w:lineRule="exact"/>
        <w:ind w:firstLine="840" w:firstLineChars="400"/>
        <w:rPr>
          <w:color w:val="auto"/>
        </w:rPr>
      </w:pPr>
      <w:r>
        <w:rPr>
          <w:color w:val="auto"/>
        </w:rPr>
        <w:t>e.招标人明示或暗示投标人为特定投标人中标提供方便；</w:t>
      </w:r>
    </w:p>
    <w:p w14:paraId="302DC878">
      <w:pPr>
        <w:spacing w:line="400" w:lineRule="exact"/>
        <w:ind w:firstLine="840" w:firstLineChars="400"/>
        <w:rPr>
          <w:color w:val="auto"/>
        </w:rPr>
      </w:pPr>
      <w:r>
        <w:rPr>
          <w:color w:val="auto"/>
        </w:rPr>
        <w:t>f.招标人与投标人为谋求特定投标人中标而采取的其他串通行为。</w:t>
      </w:r>
    </w:p>
    <w:p w14:paraId="33B275C9">
      <w:pPr>
        <w:spacing w:line="400" w:lineRule="exact"/>
        <w:ind w:firstLine="630" w:firstLineChars="300"/>
        <w:rPr>
          <w:color w:val="auto"/>
        </w:rPr>
      </w:pPr>
      <w:r>
        <w:rPr>
          <w:color w:val="auto"/>
        </w:rPr>
        <w:t>4）投标人有下列情形之一的，属于弄虚作假的行为：</w:t>
      </w:r>
    </w:p>
    <w:p w14:paraId="5078536D">
      <w:pPr>
        <w:spacing w:line="400" w:lineRule="exact"/>
        <w:ind w:firstLine="840" w:firstLineChars="400"/>
        <w:rPr>
          <w:color w:val="auto"/>
        </w:rPr>
      </w:pPr>
      <w:r>
        <w:rPr>
          <w:color w:val="auto"/>
        </w:rPr>
        <w:t>a.使用通过受让或租借等方式获取的资格、资质证书投标；</w:t>
      </w:r>
    </w:p>
    <w:p w14:paraId="3D6B9F01">
      <w:pPr>
        <w:spacing w:line="400" w:lineRule="exact"/>
        <w:ind w:firstLine="840" w:firstLineChars="400"/>
        <w:rPr>
          <w:color w:val="auto"/>
        </w:rPr>
      </w:pPr>
      <w:r>
        <w:rPr>
          <w:color w:val="auto"/>
        </w:rPr>
        <w:t>b.使用伪造、变造的许可证件；</w:t>
      </w:r>
    </w:p>
    <w:p w14:paraId="4ACC73C9">
      <w:pPr>
        <w:spacing w:line="400" w:lineRule="exact"/>
        <w:ind w:firstLine="840" w:firstLineChars="400"/>
        <w:rPr>
          <w:color w:val="auto"/>
        </w:rPr>
      </w:pPr>
      <w:r>
        <w:rPr>
          <w:color w:val="auto"/>
        </w:rPr>
        <w:t>c.提供虚假的业绩；</w:t>
      </w:r>
    </w:p>
    <w:p w14:paraId="5409C0E4">
      <w:pPr>
        <w:spacing w:line="400" w:lineRule="exact"/>
        <w:ind w:firstLine="840" w:firstLineChars="400"/>
        <w:rPr>
          <w:color w:val="auto"/>
        </w:rPr>
      </w:pPr>
      <w:r>
        <w:rPr>
          <w:color w:val="auto"/>
        </w:rPr>
        <w:t>d.提供虚假的项目负责人或主要技术人员简历、劳动关系证明；</w:t>
      </w:r>
    </w:p>
    <w:p w14:paraId="2BF56317">
      <w:pPr>
        <w:spacing w:line="400" w:lineRule="exact"/>
        <w:ind w:firstLine="840" w:firstLineChars="400"/>
        <w:rPr>
          <w:color w:val="auto"/>
        </w:rPr>
      </w:pPr>
      <w:r>
        <w:rPr>
          <w:color w:val="auto"/>
        </w:rPr>
        <w:t>e.提供虚假的信用状况；</w:t>
      </w:r>
    </w:p>
    <w:p w14:paraId="734C492E">
      <w:pPr>
        <w:spacing w:line="400" w:lineRule="exact"/>
        <w:ind w:firstLine="840" w:firstLineChars="400"/>
        <w:rPr>
          <w:color w:val="auto"/>
        </w:rPr>
      </w:pPr>
      <w:r>
        <w:rPr>
          <w:color w:val="auto"/>
        </w:rPr>
        <w:t>f.其他弄虚作假的行为。</w:t>
      </w:r>
    </w:p>
    <w:p w14:paraId="6C16BEBA">
      <w:pPr>
        <w:spacing w:line="400" w:lineRule="exact"/>
        <w:ind w:firstLine="420" w:firstLineChars="200"/>
        <w:rPr>
          <w:color w:val="auto"/>
        </w:rPr>
      </w:pPr>
      <w:r>
        <w:rPr>
          <w:rFonts w:hint="eastAsia"/>
          <w:color w:val="auto"/>
        </w:rPr>
        <w:t>3.1.3 投标报价有算术错误的，评标委员会按以下原则对投标报价进行修正，修正的价格经投标人书面确认后具有约束力。投标人不接受修正价格的，评标委员会应当否决其投标。</w:t>
      </w:r>
    </w:p>
    <w:p w14:paraId="0AD94855">
      <w:pPr>
        <w:spacing w:line="400" w:lineRule="exact"/>
        <w:ind w:firstLine="420" w:firstLineChars="200"/>
        <w:rPr>
          <w:color w:val="auto"/>
        </w:rPr>
      </w:pPr>
      <w:bookmarkStart w:id="941" w:name="_Toc152042383"/>
      <w:r>
        <w:rPr>
          <w:rFonts w:hint="eastAsia"/>
          <w:color w:val="auto"/>
        </w:rPr>
        <w:t>（1）投标文件中的大写金额与小写金额不一致的，以大写金额为准；</w:t>
      </w:r>
      <w:bookmarkEnd w:id="941"/>
    </w:p>
    <w:p w14:paraId="2FB03748">
      <w:pPr>
        <w:spacing w:line="400" w:lineRule="exact"/>
        <w:ind w:firstLine="420" w:firstLineChars="200"/>
        <w:rPr>
          <w:rFonts w:hint="eastAsia"/>
          <w:color w:val="auto"/>
        </w:rPr>
      </w:pPr>
      <w:r>
        <w:rPr>
          <w:rFonts w:hint="eastAsia"/>
          <w:color w:val="auto"/>
        </w:rPr>
        <w:t>（2）总价金额与依据单价计算出的结果不一致的，以单价金额为准修正总价，但单价金额小数点有明显错误的除外。</w:t>
      </w:r>
    </w:p>
    <w:p w14:paraId="50E61096">
      <w:pPr>
        <w:spacing w:line="400" w:lineRule="exact"/>
        <w:ind w:firstLine="420" w:firstLineChars="200"/>
        <w:rPr>
          <w:rFonts w:hint="eastAsia"/>
          <w:color w:val="auto"/>
        </w:rPr>
      </w:pPr>
      <w:r>
        <w:rPr>
          <w:rFonts w:hint="eastAsia"/>
          <w:color w:val="auto"/>
        </w:rPr>
        <w:t>3.1.4 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评标委员会应当认定该投标人以低于成本报价竞标，应当否决其投标。</w:t>
      </w:r>
    </w:p>
    <w:p w14:paraId="4FA27913">
      <w:pPr>
        <w:spacing w:line="400" w:lineRule="exact"/>
        <w:ind w:firstLine="420" w:firstLineChars="200"/>
        <w:rPr>
          <w:color w:val="auto"/>
        </w:rPr>
      </w:pPr>
      <w:r>
        <w:rPr>
          <w:color w:val="auto"/>
        </w:rPr>
        <w:t>3.1.5 评标委员会否决不合格投标后，因有效投标不足三个使得投标明显缺乏竞争的，评标委员会可以否决全部投标。</w:t>
      </w:r>
    </w:p>
    <w:p w14:paraId="7ED47631">
      <w:pPr>
        <w:pStyle w:val="113"/>
        <w:outlineLvl w:val="0"/>
        <w:rPr>
          <w:color w:val="auto"/>
        </w:rPr>
      </w:pPr>
      <w:bookmarkStart w:id="942" w:name="_Toc14949"/>
      <w:bookmarkStart w:id="943" w:name="_Toc152045606"/>
      <w:bookmarkStart w:id="944" w:name="_Toc154063467"/>
      <w:bookmarkStart w:id="945" w:name="_Toc152042384"/>
      <w:bookmarkStart w:id="946" w:name="_Toc519085354"/>
      <w:bookmarkStart w:id="947" w:name="_Toc247514030"/>
      <w:bookmarkStart w:id="948" w:name="_Toc32303"/>
      <w:bookmarkStart w:id="949" w:name="_Toc144974573"/>
      <w:bookmarkStart w:id="950" w:name="_Toc247527631"/>
      <w:r>
        <w:rPr>
          <w:rFonts w:hint="eastAsia"/>
          <w:color w:val="auto"/>
        </w:rPr>
        <w:t>3.2 详细评审</w:t>
      </w:r>
      <w:bookmarkEnd w:id="942"/>
      <w:bookmarkEnd w:id="943"/>
      <w:bookmarkEnd w:id="944"/>
      <w:bookmarkEnd w:id="945"/>
      <w:bookmarkEnd w:id="946"/>
      <w:bookmarkEnd w:id="947"/>
      <w:bookmarkEnd w:id="948"/>
      <w:bookmarkEnd w:id="949"/>
      <w:bookmarkEnd w:id="950"/>
    </w:p>
    <w:p w14:paraId="0E58EC72">
      <w:pPr>
        <w:spacing w:line="400" w:lineRule="exact"/>
        <w:ind w:firstLine="420" w:firstLineChars="200"/>
        <w:rPr>
          <w:color w:val="auto"/>
        </w:rPr>
      </w:pPr>
      <w:r>
        <w:rPr>
          <w:rFonts w:hint="eastAsia"/>
          <w:color w:val="auto"/>
        </w:rPr>
        <w:t>3.2.1 评标委员会按本章第2.2款规定的量化因素和分值进行打分，并计算出综合评估得分。评标办法前附表对承包人建议书中的设计文件评审有特殊规定的，从其规定。</w:t>
      </w:r>
    </w:p>
    <w:p w14:paraId="3F851B96">
      <w:pPr>
        <w:spacing w:line="400" w:lineRule="exact"/>
        <w:ind w:firstLine="420" w:firstLineChars="200"/>
        <w:rPr>
          <w:color w:val="auto"/>
        </w:rPr>
      </w:pPr>
      <w:r>
        <w:rPr>
          <w:rFonts w:hint="eastAsia"/>
          <w:color w:val="auto"/>
        </w:rPr>
        <w:t>（1）按本章第2.2.4（1）目规定的评审因素和分值对承包人建议书计算出得分A；</w:t>
      </w:r>
      <w:r>
        <w:rPr>
          <w:color w:val="auto"/>
        </w:rPr>
        <w:t xml:space="preserve"> </w:t>
      </w:r>
    </w:p>
    <w:p w14:paraId="3BB25066">
      <w:pPr>
        <w:spacing w:line="400" w:lineRule="exact"/>
        <w:ind w:firstLine="420" w:firstLineChars="200"/>
        <w:rPr>
          <w:color w:val="auto"/>
        </w:rPr>
      </w:pPr>
      <w:r>
        <w:rPr>
          <w:rFonts w:hint="eastAsia"/>
          <w:color w:val="auto"/>
        </w:rPr>
        <w:t>（2）按本章第2.2.4（2）目规定的评审因素和分值对资信业绩部分计算出得分B；</w:t>
      </w:r>
    </w:p>
    <w:p w14:paraId="71E4D7A9">
      <w:pPr>
        <w:spacing w:line="400" w:lineRule="exact"/>
        <w:ind w:firstLine="420" w:firstLineChars="200"/>
        <w:rPr>
          <w:color w:val="auto"/>
        </w:rPr>
      </w:pPr>
      <w:r>
        <w:rPr>
          <w:rFonts w:hint="eastAsia"/>
          <w:color w:val="auto"/>
        </w:rPr>
        <w:t>（3）按本章第2.2.4（3）目规定的评审因素和分值对承包人实施方案计算出得分C；</w:t>
      </w:r>
    </w:p>
    <w:p w14:paraId="588B8A29">
      <w:pPr>
        <w:spacing w:line="400" w:lineRule="exact"/>
        <w:ind w:firstLine="420" w:firstLineChars="200"/>
        <w:rPr>
          <w:rFonts w:hint="eastAsia"/>
          <w:color w:val="auto"/>
        </w:rPr>
      </w:pPr>
      <w:r>
        <w:rPr>
          <w:rFonts w:hint="eastAsia"/>
          <w:color w:val="auto"/>
        </w:rPr>
        <w:t>（4）按本章第2.2.4（4）目规定的评审因素和分值对投标报价计算出得分D；</w:t>
      </w:r>
    </w:p>
    <w:p w14:paraId="7FDBE895">
      <w:pPr>
        <w:spacing w:line="400" w:lineRule="exact"/>
        <w:ind w:firstLine="420" w:firstLineChars="200"/>
        <w:rPr>
          <w:rFonts w:hint="eastAsia"/>
          <w:color w:val="auto"/>
        </w:rPr>
      </w:pPr>
      <w:r>
        <w:rPr>
          <w:rFonts w:hint="eastAsia"/>
          <w:color w:val="auto"/>
        </w:rPr>
        <w:t>（5）按本章第2.2.4（5）目规定的评审因素和分值对其他部分计算出得分E。</w:t>
      </w:r>
    </w:p>
    <w:p w14:paraId="302DC13E">
      <w:pPr>
        <w:spacing w:line="400" w:lineRule="exact"/>
        <w:ind w:firstLine="420" w:firstLineChars="200"/>
        <w:rPr>
          <w:color w:val="auto"/>
        </w:rPr>
      </w:pPr>
      <w:r>
        <w:rPr>
          <w:rFonts w:hint="eastAsia"/>
          <w:color w:val="auto"/>
        </w:rPr>
        <w:t>3.2.2 评分分值计算保留小数点后两位，小数点后第三位“四舍五入”。</w:t>
      </w:r>
    </w:p>
    <w:p w14:paraId="34720C34">
      <w:pPr>
        <w:spacing w:line="400" w:lineRule="exact"/>
        <w:ind w:firstLine="420" w:firstLineChars="200"/>
        <w:rPr>
          <w:color w:val="auto"/>
        </w:rPr>
      </w:pPr>
      <w:r>
        <w:rPr>
          <w:rFonts w:hint="eastAsia"/>
          <w:color w:val="auto"/>
        </w:rPr>
        <w:t>3.2.3 投标人得分=A+B+C+D+E。</w:t>
      </w:r>
    </w:p>
    <w:p w14:paraId="3D5C04CD">
      <w:pPr>
        <w:spacing w:line="400" w:lineRule="exact"/>
        <w:ind w:firstLine="420" w:firstLineChars="200"/>
        <w:rPr>
          <w:color w:val="auto"/>
        </w:rPr>
      </w:pPr>
      <w:r>
        <w:rPr>
          <w:rFonts w:hint="eastAsia"/>
          <w:color w:val="auto"/>
        </w:rPr>
        <w:t>3.2.4</w:t>
      </w:r>
      <w:r>
        <w:rPr>
          <w:rFonts w:hint="eastAsia" w:ascii="宋体" w:hAnsi="宋体"/>
          <w:color w:val="auto"/>
        </w:rPr>
        <w:t>各投标人</w:t>
      </w:r>
      <w:r>
        <w:rPr>
          <w:color w:val="auto"/>
          <w:szCs w:val="21"/>
        </w:rPr>
        <w:t>最终综合评估得分的确定办法为：所有评标委员会成员的综合评分去掉一个最高分和一个最低分之后的算术平均值。</w:t>
      </w:r>
    </w:p>
    <w:p w14:paraId="3B812C4E">
      <w:pPr>
        <w:pStyle w:val="113"/>
        <w:outlineLvl w:val="0"/>
        <w:rPr>
          <w:color w:val="auto"/>
        </w:rPr>
      </w:pPr>
      <w:bookmarkStart w:id="951" w:name="_Toc144974575"/>
      <w:bookmarkStart w:id="952" w:name="_Toc15556"/>
      <w:bookmarkStart w:id="953" w:name="_Toc154063468"/>
      <w:bookmarkStart w:id="954" w:name="_Toc152042385"/>
      <w:bookmarkStart w:id="955" w:name="_Toc247527632"/>
      <w:bookmarkStart w:id="956" w:name="_Toc152045607"/>
      <w:bookmarkStart w:id="957" w:name="_Toc519085355"/>
      <w:bookmarkStart w:id="958" w:name="_Toc247514031"/>
      <w:bookmarkStart w:id="959" w:name="_Toc14947"/>
      <w:r>
        <w:rPr>
          <w:rFonts w:hint="eastAsia"/>
          <w:color w:val="auto"/>
        </w:rPr>
        <w:t>3.3 投标文件的澄清</w:t>
      </w:r>
      <w:bookmarkEnd w:id="951"/>
      <w:r>
        <w:rPr>
          <w:rFonts w:hint="eastAsia"/>
          <w:color w:val="auto"/>
        </w:rPr>
        <w:t>和补正</w:t>
      </w:r>
      <w:bookmarkEnd w:id="952"/>
      <w:bookmarkEnd w:id="953"/>
      <w:bookmarkEnd w:id="954"/>
      <w:bookmarkEnd w:id="955"/>
      <w:bookmarkEnd w:id="956"/>
      <w:bookmarkEnd w:id="957"/>
      <w:bookmarkEnd w:id="958"/>
      <w:bookmarkEnd w:id="959"/>
    </w:p>
    <w:p w14:paraId="5A0067F1">
      <w:pPr>
        <w:spacing w:line="400" w:lineRule="exact"/>
        <w:ind w:firstLine="420" w:firstLineChars="200"/>
        <w:rPr>
          <w:rFonts w:hint="eastAsia"/>
          <w:color w:val="auto"/>
        </w:rPr>
      </w:pPr>
      <w:bookmarkStart w:id="960" w:name="_Toc247527633"/>
      <w:bookmarkStart w:id="961" w:name="_Toc247514032"/>
      <w:bookmarkStart w:id="962" w:name="_Toc152042386"/>
      <w:bookmarkStart w:id="963" w:name="_Toc152045608"/>
      <w:bookmarkStart w:id="964" w:name="_Toc144974576"/>
      <w:r>
        <w:rPr>
          <w:rFonts w:hint="eastAsia"/>
          <w:color w:val="auto"/>
        </w:rPr>
        <w:t>3.3.1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4469264F">
      <w:pPr>
        <w:spacing w:line="400" w:lineRule="exact"/>
        <w:ind w:firstLine="420" w:firstLineChars="200"/>
        <w:rPr>
          <w:rFonts w:hint="eastAsia"/>
          <w:color w:val="auto"/>
        </w:rPr>
      </w:pPr>
      <w:r>
        <w:rPr>
          <w:rFonts w:hint="eastAsia"/>
          <w:color w:val="auto"/>
        </w:rPr>
        <w:t>3.3.2 澄清、说明和补正不得超出投标文件的范围且不得改变投标文件的实质性内容（算术错误修正的除外）。投标人的书面澄清、说明和补正属于投标文件的组成部分。</w:t>
      </w:r>
    </w:p>
    <w:p w14:paraId="1C98CAB0">
      <w:pPr>
        <w:spacing w:line="400" w:lineRule="exact"/>
        <w:ind w:firstLine="420" w:firstLineChars="200"/>
        <w:rPr>
          <w:rFonts w:hint="eastAsia"/>
          <w:color w:val="auto"/>
        </w:rPr>
      </w:pPr>
      <w:r>
        <w:rPr>
          <w:rFonts w:hint="eastAsia"/>
          <w:color w:val="auto"/>
        </w:rPr>
        <w:t>3.3.3 评标委员会对投标人提交的澄清、说明或补正有疑问的，可以要求投标人进一步澄清、说明或补正，直至满足评标委员会的要求。</w:t>
      </w:r>
    </w:p>
    <w:p w14:paraId="7F8AF1CB">
      <w:pPr>
        <w:spacing w:line="400" w:lineRule="exact"/>
        <w:ind w:firstLine="420" w:firstLineChars="200"/>
        <w:rPr>
          <w:rFonts w:hint="eastAsia"/>
          <w:color w:val="auto"/>
        </w:rPr>
      </w:pPr>
      <w:r>
        <w:rPr>
          <w:rFonts w:hint="eastAsia"/>
          <w:color w:val="auto"/>
        </w:rPr>
        <w:t>3.3.4评标委员会要求投标人对投标文件问题澄清的通知，以及投标人对投标文件的澄清通过“电子交易平台”“投标文件澄清”菜单以书面形式进行。</w:t>
      </w:r>
    </w:p>
    <w:p w14:paraId="466FD09A">
      <w:pPr>
        <w:pStyle w:val="113"/>
        <w:outlineLvl w:val="0"/>
        <w:rPr>
          <w:color w:val="auto"/>
        </w:rPr>
      </w:pPr>
      <w:bookmarkStart w:id="965" w:name="_Toc20303"/>
      <w:bookmarkStart w:id="966" w:name="_Toc154063469"/>
      <w:bookmarkStart w:id="967" w:name="_Toc23792"/>
      <w:bookmarkStart w:id="968" w:name="_Toc519085356"/>
      <w:r>
        <w:rPr>
          <w:rFonts w:hint="eastAsia"/>
          <w:color w:val="auto"/>
        </w:rPr>
        <w:t>3.4 评标结果</w:t>
      </w:r>
      <w:bookmarkEnd w:id="960"/>
      <w:bookmarkEnd w:id="961"/>
      <w:bookmarkEnd w:id="962"/>
      <w:bookmarkEnd w:id="963"/>
      <w:bookmarkEnd w:id="964"/>
      <w:bookmarkEnd w:id="965"/>
      <w:bookmarkEnd w:id="966"/>
      <w:bookmarkEnd w:id="967"/>
      <w:bookmarkEnd w:id="968"/>
    </w:p>
    <w:p w14:paraId="7A1DC50A">
      <w:pPr>
        <w:spacing w:line="400" w:lineRule="exact"/>
        <w:ind w:firstLine="420" w:firstLineChars="200"/>
        <w:rPr>
          <w:color w:val="auto"/>
        </w:rPr>
      </w:pPr>
      <w:r>
        <w:rPr>
          <w:rFonts w:hint="eastAsia"/>
          <w:color w:val="auto"/>
        </w:rPr>
        <w:t>3.4.1 除第二章“投标人须知”前附表授权直接确定中标人外，评标委员会按照得分由高到低的顺序推荐中标候选人。</w:t>
      </w:r>
    </w:p>
    <w:p w14:paraId="720D186F">
      <w:pPr>
        <w:spacing w:line="400" w:lineRule="exact"/>
        <w:ind w:firstLine="420" w:firstLineChars="200"/>
        <w:rPr>
          <w:rFonts w:hint="eastAsia"/>
          <w:color w:val="auto"/>
        </w:rPr>
      </w:pPr>
      <w:r>
        <w:rPr>
          <w:rFonts w:hint="eastAsia"/>
          <w:color w:val="auto"/>
        </w:rPr>
        <w:t>3.4.2 评标委员会完成评标后，应当向招标人提交书面评标报告。</w:t>
      </w:r>
    </w:p>
    <w:p w14:paraId="2589A0B6">
      <w:pPr>
        <w:rPr>
          <w:rFonts w:hint="eastAsia"/>
          <w:color w:val="auto"/>
        </w:rPr>
      </w:pPr>
      <w:r>
        <w:rPr>
          <w:color w:val="auto"/>
        </w:rPr>
        <w:br w:type="page"/>
      </w:r>
    </w:p>
    <w:p w14:paraId="4D930800">
      <w:pPr>
        <w:rPr>
          <w:rFonts w:hint="eastAsia"/>
          <w:color w:val="auto"/>
        </w:rPr>
      </w:pPr>
    </w:p>
    <w:p w14:paraId="2829CAAB">
      <w:pPr>
        <w:rPr>
          <w:rFonts w:hint="eastAsia"/>
          <w:color w:val="auto"/>
        </w:rPr>
      </w:pPr>
    </w:p>
    <w:p w14:paraId="02971B86">
      <w:pPr>
        <w:rPr>
          <w:rFonts w:hint="eastAsia"/>
          <w:color w:val="auto"/>
        </w:rPr>
      </w:pPr>
    </w:p>
    <w:p w14:paraId="66841DB5">
      <w:pPr>
        <w:rPr>
          <w:rFonts w:hint="eastAsia"/>
          <w:color w:val="auto"/>
        </w:rPr>
      </w:pPr>
    </w:p>
    <w:p w14:paraId="4EE02A64">
      <w:pPr>
        <w:rPr>
          <w:rFonts w:hint="eastAsia"/>
          <w:color w:val="auto"/>
        </w:rPr>
      </w:pPr>
    </w:p>
    <w:p w14:paraId="54E1CD46">
      <w:pPr>
        <w:rPr>
          <w:rFonts w:hint="eastAsia"/>
          <w:color w:val="auto"/>
        </w:rPr>
      </w:pPr>
    </w:p>
    <w:p w14:paraId="00B920AE">
      <w:pPr>
        <w:rPr>
          <w:rFonts w:hint="eastAsia"/>
          <w:color w:val="auto"/>
        </w:rPr>
      </w:pPr>
    </w:p>
    <w:p w14:paraId="0B57C3B3">
      <w:pPr>
        <w:pStyle w:val="83"/>
        <w:spacing w:before="48"/>
        <w:rPr>
          <w:rFonts w:hint="eastAsia" w:ascii="Times New Roman" w:hAnsi="Times New Roman"/>
          <w:bCs/>
          <w:color w:val="auto"/>
          <w:kern w:val="44"/>
          <w:sz w:val="32"/>
        </w:rPr>
      </w:pPr>
      <w:bookmarkStart w:id="969" w:name="_Toc247514033"/>
      <w:bookmarkStart w:id="970" w:name="_Toc154063482"/>
      <w:bookmarkStart w:id="971" w:name="_Toc144974577"/>
      <w:bookmarkStart w:id="972" w:name="_Toc152042387"/>
      <w:bookmarkStart w:id="973" w:name="_Toc519085369"/>
      <w:bookmarkStart w:id="974" w:name="_Toc152045609"/>
      <w:bookmarkStart w:id="975" w:name="_Toc247527634"/>
      <w:bookmarkStart w:id="976" w:name="_Toc17592"/>
      <w:bookmarkStart w:id="977" w:name="_Toc20136"/>
      <w:bookmarkStart w:id="978" w:name="_Toc16077"/>
      <w:bookmarkStart w:id="979" w:name="_Toc22567"/>
      <w:r>
        <w:rPr>
          <w:rFonts w:hint="eastAsia" w:ascii="Times New Roman" w:hAnsi="Times New Roman"/>
          <w:bCs/>
          <w:color w:val="auto"/>
          <w:kern w:val="44"/>
          <w:sz w:val="32"/>
        </w:rPr>
        <w:t>第四章 合同条款及格式</w:t>
      </w:r>
      <w:bookmarkEnd w:id="969"/>
      <w:bookmarkEnd w:id="970"/>
      <w:bookmarkEnd w:id="971"/>
      <w:bookmarkEnd w:id="972"/>
      <w:bookmarkEnd w:id="973"/>
      <w:bookmarkEnd w:id="974"/>
      <w:bookmarkEnd w:id="975"/>
      <w:bookmarkStart w:id="980" w:name="_Toc152045610"/>
      <w:bookmarkStart w:id="981" w:name="_Toc144974578"/>
      <w:bookmarkStart w:id="982" w:name="_Toc152042388"/>
      <w:bookmarkStart w:id="983" w:name="_Toc247527635"/>
      <w:bookmarkStart w:id="984" w:name="_Toc247514034"/>
      <w:bookmarkStart w:id="985" w:name="_Toc184635097"/>
    </w:p>
    <w:p w14:paraId="3C0FA1DF">
      <w:pPr>
        <w:ind w:firstLine="600"/>
        <w:rPr>
          <w:rFonts w:hint="eastAsia" w:ascii="宋体" w:hAnsi="宋体"/>
          <w:color w:val="auto"/>
          <w:szCs w:val="21"/>
        </w:rPr>
      </w:pPr>
    </w:p>
    <w:p w14:paraId="0E57D554">
      <w:pPr>
        <w:ind w:firstLine="600"/>
        <w:rPr>
          <w:rFonts w:hint="eastAsia" w:ascii="宋体" w:hAnsi="宋体"/>
          <w:color w:val="auto"/>
          <w:szCs w:val="21"/>
        </w:rPr>
      </w:pPr>
    </w:p>
    <w:p w14:paraId="22933FB5">
      <w:pPr>
        <w:ind w:firstLine="600"/>
        <w:rPr>
          <w:rFonts w:hint="eastAsia" w:ascii="宋体" w:hAnsi="宋体"/>
          <w:color w:val="auto"/>
          <w:szCs w:val="21"/>
        </w:rPr>
      </w:pPr>
    </w:p>
    <w:p w14:paraId="17899050">
      <w:pPr>
        <w:ind w:firstLine="600"/>
        <w:rPr>
          <w:rFonts w:hint="eastAsia" w:ascii="宋体" w:hAnsi="宋体"/>
          <w:color w:val="auto"/>
          <w:szCs w:val="21"/>
        </w:rPr>
      </w:pPr>
    </w:p>
    <w:p w14:paraId="43BC1134">
      <w:pPr>
        <w:ind w:firstLine="600"/>
        <w:rPr>
          <w:rFonts w:hint="eastAsia" w:ascii="宋体" w:hAnsi="宋体"/>
          <w:color w:val="auto"/>
          <w:szCs w:val="21"/>
        </w:rPr>
      </w:pPr>
    </w:p>
    <w:p w14:paraId="648B95BC">
      <w:pPr>
        <w:ind w:firstLine="600"/>
        <w:rPr>
          <w:rFonts w:hint="eastAsia" w:ascii="宋体" w:hAnsi="宋体"/>
          <w:color w:val="auto"/>
          <w:szCs w:val="21"/>
        </w:rPr>
      </w:pPr>
    </w:p>
    <w:p w14:paraId="679EDEE6">
      <w:pPr>
        <w:ind w:firstLine="600"/>
        <w:rPr>
          <w:rFonts w:hint="eastAsia" w:ascii="宋体" w:hAnsi="宋体"/>
          <w:color w:val="auto"/>
          <w:szCs w:val="21"/>
        </w:rPr>
      </w:pPr>
    </w:p>
    <w:p w14:paraId="7FEBEFFB">
      <w:pPr>
        <w:ind w:firstLine="600"/>
        <w:rPr>
          <w:rFonts w:hint="eastAsia" w:ascii="宋体" w:hAnsi="宋体"/>
          <w:color w:val="auto"/>
          <w:szCs w:val="21"/>
        </w:rPr>
      </w:pPr>
    </w:p>
    <w:p w14:paraId="4AC37248">
      <w:pPr>
        <w:ind w:firstLine="600"/>
        <w:rPr>
          <w:rFonts w:hint="eastAsia" w:ascii="宋体" w:hAnsi="宋体"/>
          <w:color w:val="auto"/>
          <w:szCs w:val="21"/>
        </w:rPr>
      </w:pPr>
    </w:p>
    <w:p w14:paraId="6C3A75C9">
      <w:pPr>
        <w:ind w:firstLine="600"/>
        <w:rPr>
          <w:rFonts w:hint="eastAsia" w:ascii="宋体" w:hAnsi="宋体"/>
          <w:color w:val="auto"/>
          <w:szCs w:val="21"/>
        </w:rPr>
      </w:pPr>
    </w:p>
    <w:p w14:paraId="483F0654">
      <w:pPr>
        <w:ind w:firstLine="600"/>
        <w:rPr>
          <w:rFonts w:hint="eastAsia" w:ascii="宋体" w:hAnsi="宋体"/>
          <w:color w:val="auto"/>
          <w:szCs w:val="21"/>
        </w:rPr>
      </w:pPr>
    </w:p>
    <w:p w14:paraId="1CFA2B1A">
      <w:pPr>
        <w:ind w:firstLine="600"/>
        <w:rPr>
          <w:rFonts w:hint="eastAsia" w:ascii="宋体" w:hAnsi="宋体"/>
          <w:color w:val="auto"/>
          <w:szCs w:val="21"/>
        </w:rPr>
      </w:pPr>
    </w:p>
    <w:p w14:paraId="5B71E9F6">
      <w:pPr>
        <w:ind w:firstLine="600"/>
        <w:rPr>
          <w:rFonts w:hint="eastAsia" w:ascii="宋体" w:hAnsi="宋体"/>
          <w:color w:val="auto"/>
          <w:szCs w:val="21"/>
        </w:rPr>
      </w:pPr>
    </w:p>
    <w:p w14:paraId="501B3586">
      <w:pPr>
        <w:ind w:firstLine="600"/>
        <w:rPr>
          <w:rFonts w:hint="eastAsia" w:ascii="宋体" w:hAnsi="宋体"/>
          <w:color w:val="auto"/>
          <w:szCs w:val="21"/>
        </w:rPr>
      </w:pPr>
    </w:p>
    <w:p w14:paraId="0524B1BF">
      <w:pPr>
        <w:ind w:firstLine="600"/>
        <w:rPr>
          <w:rFonts w:hint="eastAsia" w:ascii="宋体" w:hAnsi="宋体"/>
          <w:color w:val="auto"/>
          <w:szCs w:val="21"/>
        </w:rPr>
      </w:pPr>
    </w:p>
    <w:p w14:paraId="624DF93B">
      <w:pPr>
        <w:ind w:firstLine="600"/>
        <w:rPr>
          <w:rFonts w:hint="eastAsia" w:ascii="宋体" w:hAnsi="宋体"/>
          <w:color w:val="auto"/>
          <w:szCs w:val="21"/>
        </w:rPr>
      </w:pPr>
    </w:p>
    <w:p w14:paraId="0B8925B4">
      <w:pPr>
        <w:ind w:firstLine="600"/>
        <w:rPr>
          <w:rFonts w:hint="eastAsia" w:ascii="宋体" w:hAnsi="宋体"/>
          <w:color w:val="auto"/>
          <w:szCs w:val="21"/>
        </w:rPr>
      </w:pPr>
    </w:p>
    <w:p w14:paraId="38014905">
      <w:pPr>
        <w:ind w:firstLine="600"/>
        <w:rPr>
          <w:rFonts w:hint="eastAsia" w:ascii="宋体" w:hAnsi="宋体"/>
          <w:color w:val="auto"/>
          <w:szCs w:val="21"/>
        </w:rPr>
      </w:pPr>
    </w:p>
    <w:p w14:paraId="595A3EB5">
      <w:pPr>
        <w:ind w:firstLine="600"/>
        <w:rPr>
          <w:rFonts w:hint="eastAsia" w:ascii="宋体" w:hAnsi="宋体"/>
          <w:color w:val="auto"/>
          <w:szCs w:val="21"/>
        </w:rPr>
      </w:pPr>
    </w:p>
    <w:p w14:paraId="3AC23D6E">
      <w:pPr>
        <w:ind w:firstLine="600"/>
        <w:rPr>
          <w:rFonts w:hint="eastAsia" w:ascii="宋体" w:hAnsi="宋体"/>
          <w:color w:val="auto"/>
          <w:szCs w:val="21"/>
        </w:rPr>
      </w:pPr>
    </w:p>
    <w:p w14:paraId="7C1D7AF0">
      <w:pPr>
        <w:ind w:firstLine="600"/>
        <w:rPr>
          <w:rFonts w:hint="eastAsia" w:ascii="宋体" w:hAnsi="宋体"/>
          <w:color w:val="auto"/>
          <w:szCs w:val="21"/>
        </w:rPr>
      </w:pPr>
    </w:p>
    <w:p w14:paraId="69B991BB">
      <w:pPr>
        <w:ind w:firstLine="600"/>
        <w:rPr>
          <w:rFonts w:hint="eastAsia" w:ascii="宋体" w:hAnsi="宋体"/>
          <w:color w:val="auto"/>
          <w:szCs w:val="21"/>
        </w:rPr>
      </w:pPr>
    </w:p>
    <w:p w14:paraId="560416C8">
      <w:pPr>
        <w:ind w:firstLine="600"/>
        <w:rPr>
          <w:rFonts w:hint="eastAsia" w:ascii="宋体" w:hAnsi="宋体"/>
          <w:color w:val="auto"/>
          <w:szCs w:val="21"/>
        </w:rPr>
      </w:pPr>
    </w:p>
    <w:p w14:paraId="6D61011A">
      <w:pPr>
        <w:ind w:firstLine="600"/>
        <w:rPr>
          <w:rFonts w:hint="eastAsia" w:ascii="宋体" w:hAnsi="宋体"/>
          <w:color w:val="auto"/>
          <w:szCs w:val="21"/>
        </w:rPr>
      </w:pPr>
    </w:p>
    <w:p w14:paraId="796C9DD1">
      <w:pPr>
        <w:ind w:left="630" w:hanging="630" w:hangingChars="300"/>
        <w:rPr>
          <w:rFonts w:hint="eastAsia" w:hAnsi="宋体"/>
          <w:color w:val="auto"/>
          <w:szCs w:val="21"/>
        </w:rPr>
      </w:pPr>
      <w:r>
        <w:rPr>
          <w:rFonts w:hint="eastAsia" w:hAnsi="宋体"/>
          <w:color w:val="auto"/>
          <w:szCs w:val="21"/>
        </w:rPr>
        <w:t>备注：本章合同条款及格式采用住房和城乡建设部和市场监管总局以建市〔2020〕96号发布的《建设项目工程总承包合同（示范文本）》（GF-2020-0216）。</w:t>
      </w:r>
    </w:p>
    <w:p w14:paraId="24AFB30F">
      <w:pPr>
        <w:ind w:firstLine="600"/>
        <w:rPr>
          <w:rFonts w:hint="eastAsia" w:ascii="宋体" w:hAnsi="宋体"/>
          <w:color w:val="auto"/>
          <w:szCs w:val="21"/>
        </w:rPr>
      </w:pPr>
    </w:p>
    <w:p w14:paraId="52224C71">
      <w:pPr>
        <w:ind w:firstLine="600"/>
        <w:rPr>
          <w:rFonts w:hint="eastAsia" w:ascii="宋体" w:hAnsi="宋体"/>
          <w:color w:val="auto"/>
          <w:szCs w:val="21"/>
        </w:rPr>
      </w:pPr>
    </w:p>
    <w:p w14:paraId="0CD17C08">
      <w:pPr>
        <w:ind w:firstLine="600"/>
        <w:rPr>
          <w:rFonts w:hint="eastAsia" w:ascii="宋体" w:hAnsi="宋体"/>
          <w:color w:val="auto"/>
          <w:szCs w:val="21"/>
        </w:rPr>
      </w:pPr>
    </w:p>
    <w:p w14:paraId="31BDADB9">
      <w:pPr>
        <w:ind w:firstLine="600"/>
        <w:rPr>
          <w:rFonts w:hint="eastAsia" w:ascii="宋体" w:hAnsi="宋体"/>
          <w:color w:val="auto"/>
          <w:szCs w:val="21"/>
        </w:rPr>
      </w:pPr>
    </w:p>
    <w:p w14:paraId="29093098">
      <w:pPr>
        <w:ind w:firstLine="600"/>
        <w:rPr>
          <w:rFonts w:hint="eastAsia" w:ascii="宋体" w:hAnsi="宋体"/>
          <w:color w:val="auto"/>
          <w:szCs w:val="21"/>
        </w:rPr>
      </w:pPr>
    </w:p>
    <w:p w14:paraId="7B63A4D9">
      <w:pPr>
        <w:ind w:firstLine="600"/>
        <w:rPr>
          <w:rFonts w:hint="eastAsia" w:ascii="宋体" w:hAnsi="宋体"/>
          <w:color w:val="auto"/>
          <w:szCs w:val="21"/>
        </w:rPr>
      </w:pPr>
    </w:p>
    <w:bookmarkEnd w:id="976"/>
    <w:bookmarkEnd w:id="977"/>
    <w:bookmarkEnd w:id="978"/>
    <w:bookmarkEnd w:id="979"/>
    <w:p w14:paraId="5C4BBAE3">
      <w:pPr>
        <w:pStyle w:val="83"/>
        <w:spacing w:before="48"/>
        <w:rPr>
          <w:rFonts w:hint="eastAsia"/>
          <w:color w:val="auto"/>
          <w:sz w:val="28"/>
          <w:szCs w:val="28"/>
        </w:rPr>
      </w:pPr>
      <w:bookmarkStart w:id="986" w:name="_Toc154063483"/>
      <w:r>
        <w:rPr>
          <w:rFonts w:hint="eastAsia"/>
          <w:color w:val="auto"/>
          <w:sz w:val="28"/>
          <w:szCs w:val="28"/>
        </w:rPr>
        <w:t>第一节  合同协议书</w:t>
      </w:r>
      <w:bookmarkEnd w:id="986"/>
    </w:p>
    <w:p w14:paraId="267ED9A4">
      <w:pPr>
        <w:rPr>
          <w:rFonts w:hint="eastAsia"/>
          <w:color w:val="auto"/>
        </w:rPr>
      </w:pPr>
    </w:p>
    <w:p w14:paraId="50EE018A">
      <w:pPr>
        <w:spacing w:line="400" w:lineRule="exact"/>
        <w:jc w:val="center"/>
        <w:rPr>
          <w:rFonts w:hint="eastAsia" w:ascii="黑体" w:eastAsia="黑体"/>
          <w:color w:val="auto"/>
          <w:sz w:val="28"/>
          <w:szCs w:val="28"/>
        </w:rPr>
      </w:pPr>
      <w:r>
        <w:rPr>
          <w:rFonts w:hint="eastAsia" w:ascii="黑体" w:eastAsia="黑体"/>
          <w:color w:val="auto"/>
          <w:sz w:val="28"/>
          <w:szCs w:val="28"/>
        </w:rPr>
        <w:t>合同协议书</w:t>
      </w:r>
    </w:p>
    <w:p w14:paraId="4C20D19E">
      <w:pPr>
        <w:spacing w:line="400" w:lineRule="exact"/>
        <w:jc w:val="both"/>
        <w:rPr>
          <w:rFonts w:ascii="黑体" w:eastAsia="黑体"/>
          <w:color w:val="auto"/>
          <w:sz w:val="28"/>
          <w:szCs w:val="28"/>
        </w:rPr>
      </w:pPr>
    </w:p>
    <w:p w14:paraId="26F4393F">
      <w:pPr>
        <w:spacing w:line="360" w:lineRule="auto"/>
        <w:rPr>
          <w:rFonts w:ascii="宋体" w:hAnsi="宋体"/>
          <w:color w:val="auto"/>
          <w:szCs w:val="21"/>
          <w:u w:val="single"/>
        </w:rPr>
      </w:pPr>
      <w:r>
        <w:rPr>
          <w:rFonts w:hint="eastAsia" w:ascii="宋体" w:hAnsi="宋体"/>
          <w:color w:val="auto"/>
          <w:szCs w:val="21"/>
        </w:rPr>
        <w:t>发包人（全称）：</w:t>
      </w:r>
      <w:r>
        <w:rPr>
          <w:rFonts w:hint="eastAsia" w:ascii="宋体" w:hAnsi="宋体" w:eastAsia="宋体" w:cs="宋体"/>
          <w:color w:val="auto"/>
          <w:sz w:val="24"/>
          <w:szCs w:val="24"/>
          <w:u w:val="single"/>
        </w:rPr>
        <w:t>英山县市政工程建设管理中</w:t>
      </w:r>
      <w:r>
        <w:rPr>
          <w:rFonts w:ascii="宋体" w:hAnsi="宋体"/>
          <w:color w:val="auto"/>
          <w:szCs w:val="21"/>
          <w:u w:val="single"/>
        </w:rPr>
        <w:t xml:space="preserve">  </w:t>
      </w:r>
    </w:p>
    <w:p w14:paraId="6B83572D">
      <w:pPr>
        <w:spacing w:line="360" w:lineRule="auto"/>
        <w:rPr>
          <w:rFonts w:ascii="宋体" w:hAnsi="宋体"/>
          <w:color w:val="auto"/>
          <w:szCs w:val="21"/>
        </w:rPr>
      </w:pPr>
      <w:r>
        <w:rPr>
          <w:rFonts w:hint="eastAsia" w:ascii="宋体" w:hAnsi="宋体"/>
          <w:color w:val="auto"/>
          <w:szCs w:val="21"/>
        </w:rPr>
        <w:t>承包人（全称）：</w:t>
      </w:r>
      <w:r>
        <w:rPr>
          <w:rFonts w:ascii="宋体" w:hAnsi="宋体"/>
          <w:color w:val="auto"/>
          <w:szCs w:val="21"/>
          <w:u w:val="single"/>
        </w:rPr>
        <w:t xml:space="preserve">                              </w:t>
      </w:r>
    </w:p>
    <w:p w14:paraId="55D0F4F2">
      <w:pPr>
        <w:spacing w:line="360" w:lineRule="auto"/>
        <w:ind w:firstLine="600"/>
        <w:rPr>
          <w:rFonts w:ascii="宋体" w:hAnsi="宋体"/>
          <w:color w:val="auto"/>
          <w:szCs w:val="21"/>
        </w:rPr>
      </w:pPr>
      <w:r>
        <w:rPr>
          <w:rFonts w:hint="eastAsia" w:ascii="宋体" w:hAnsi="宋体"/>
          <w:color w:val="auto"/>
          <w:szCs w:val="21"/>
        </w:rPr>
        <w:t>根据《中华人民共和国民法典》、《中华人民共和国建筑法》及有关法律规定，遵循平等、自愿、公平和诚实信用的原则，双方就</w:t>
      </w:r>
      <w:r>
        <w:rPr>
          <w:rFonts w:ascii="宋体" w:hAnsi="宋体"/>
          <w:color w:val="auto"/>
          <w:szCs w:val="21"/>
          <w:u w:val="single"/>
        </w:rPr>
        <w:t xml:space="preserve"> </w:t>
      </w:r>
      <w:r>
        <w:rPr>
          <w:rFonts w:hint="eastAsia" w:ascii="宋体" w:hAnsi="宋体"/>
          <w:color w:val="auto"/>
          <w:sz w:val="24"/>
          <w:szCs w:val="24"/>
          <w:u w:val="single"/>
        </w:rPr>
        <w:t>英山县城区排涝系统完善工程（二期）EPC总承包</w:t>
      </w:r>
      <w:r>
        <w:rPr>
          <w:rFonts w:ascii="宋体" w:hAnsi="宋体"/>
          <w:color w:val="auto"/>
          <w:szCs w:val="21"/>
          <w:u w:val="single"/>
        </w:rPr>
        <w:t xml:space="preserve"> </w:t>
      </w:r>
      <w:r>
        <w:rPr>
          <w:rFonts w:hint="eastAsia" w:ascii="宋体" w:hAnsi="宋体"/>
          <w:color w:val="auto"/>
          <w:szCs w:val="21"/>
        </w:rPr>
        <w:t>项目的工程总承包及有关事项协商一致，共同达成如下协议：</w:t>
      </w:r>
    </w:p>
    <w:p w14:paraId="5B8572B6">
      <w:pPr>
        <w:pStyle w:val="148"/>
        <w:numPr>
          <w:ilvl w:val="0"/>
          <w:numId w:val="0"/>
        </w:numPr>
        <w:wordWrap/>
        <w:topLinePunct w:val="0"/>
        <w:spacing w:before="120"/>
        <w:rPr>
          <w:bCs/>
          <w:color w:val="auto"/>
          <w:sz w:val="21"/>
          <w:szCs w:val="21"/>
        </w:rPr>
      </w:pPr>
      <w:bookmarkStart w:id="987" w:name="_Toc54862165"/>
      <w:bookmarkStart w:id="988" w:name="_Toc78046560"/>
      <w:bookmarkStart w:id="989" w:name="_Toc154063484"/>
      <w:r>
        <w:rPr>
          <w:rFonts w:hint="eastAsia"/>
          <w:bCs/>
          <w:color w:val="auto"/>
          <w:sz w:val="21"/>
          <w:szCs w:val="21"/>
        </w:rPr>
        <w:t>一、工程概况</w:t>
      </w:r>
      <w:bookmarkEnd w:id="987"/>
      <w:bookmarkEnd w:id="988"/>
      <w:bookmarkEnd w:id="989"/>
    </w:p>
    <w:p w14:paraId="20473942">
      <w:pPr>
        <w:spacing w:line="360" w:lineRule="auto"/>
        <w:ind w:firstLine="600"/>
        <w:rPr>
          <w:rFonts w:ascii="宋体" w:hAnsi="宋体"/>
          <w:color w:val="auto"/>
          <w:szCs w:val="21"/>
        </w:rPr>
      </w:pPr>
      <w:r>
        <w:rPr>
          <w:rFonts w:hint="eastAsia" w:ascii="宋体" w:hAnsi="宋体"/>
          <w:color w:val="auto"/>
          <w:szCs w:val="21"/>
        </w:rPr>
        <w:t>1. 工程名称：</w:t>
      </w:r>
      <w:r>
        <w:rPr>
          <w:rFonts w:hint="eastAsia" w:ascii="宋体" w:hAnsi="宋体"/>
          <w:color w:val="auto"/>
          <w:sz w:val="24"/>
          <w:szCs w:val="24"/>
          <w:u w:val="single"/>
        </w:rPr>
        <w:t>英山县城区排涝系统完善工程（二期）EPC总承包</w:t>
      </w:r>
      <w:r>
        <w:rPr>
          <w:rFonts w:ascii="宋体" w:hAnsi="宋体"/>
          <w:color w:val="auto"/>
          <w:szCs w:val="21"/>
          <w:u w:val="single"/>
        </w:rPr>
        <w:t xml:space="preserve"> </w:t>
      </w:r>
      <w:r>
        <w:rPr>
          <w:rFonts w:hint="eastAsia" w:ascii="宋体" w:hAnsi="宋体"/>
          <w:color w:val="auto"/>
          <w:szCs w:val="21"/>
        </w:rPr>
        <w:t>。</w:t>
      </w:r>
    </w:p>
    <w:p w14:paraId="1345A20E">
      <w:pPr>
        <w:spacing w:line="360" w:lineRule="auto"/>
        <w:ind w:firstLine="600"/>
        <w:rPr>
          <w:rFonts w:ascii="宋体" w:hAnsi="宋体"/>
          <w:color w:val="auto"/>
          <w:szCs w:val="21"/>
        </w:rPr>
      </w:pPr>
      <w:r>
        <w:rPr>
          <w:rFonts w:hint="eastAsia" w:ascii="宋体" w:hAnsi="宋体"/>
          <w:color w:val="auto"/>
          <w:szCs w:val="21"/>
        </w:rPr>
        <w:t>2. 工程地点：</w:t>
      </w:r>
      <w:r>
        <w:rPr>
          <w:rFonts w:hint="eastAsia" w:ascii="宋体" w:hAnsi="宋体"/>
          <w:color w:val="auto"/>
          <w:sz w:val="24"/>
          <w:szCs w:val="24"/>
          <w:u w:val="single"/>
          <w:lang w:val="en-US" w:eastAsia="zh-CN"/>
        </w:rPr>
        <w:t>英山县城区</w:t>
      </w:r>
      <w:r>
        <w:rPr>
          <w:rFonts w:ascii="宋体" w:hAnsi="宋体"/>
          <w:color w:val="auto"/>
          <w:szCs w:val="21"/>
          <w:u w:val="single"/>
        </w:rPr>
        <w:t xml:space="preserve"> </w:t>
      </w:r>
      <w:r>
        <w:rPr>
          <w:rFonts w:hint="eastAsia" w:ascii="宋体" w:hAnsi="宋体"/>
          <w:color w:val="auto"/>
          <w:szCs w:val="21"/>
        </w:rPr>
        <w:t>。</w:t>
      </w:r>
    </w:p>
    <w:p w14:paraId="17CC0030">
      <w:pPr>
        <w:spacing w:line="360" w:lineRule="auto"/>
        <w:ind w:firstLine="600"/>
        <w:rPr>
          <w:rFonts w:ascii="宋体" w:hAnsi="宋体"/>
          <w:color w:val="auto"/>
          <w:szCs w:val="21"/>
        </w:rPr>
      </w:pPr>
      <w:r>
        <w:rPr>
          <w:rFonts w:hint="eastAsia" w:ascii="宋体" w:hAnsi="宋体"/>
          <w:color w:val="auto"/>
          <w:szCs w:val="21"/>
        </w:rPr>
        <w:t>3. 工程审批、核准或备案文号：</w:t>
      </w:r>
      <w:r>
        <w:rPr>
          <w:rFonts w:hint="eastAsia" w:ascii="宋体" w:hAnsi="宋体"/>
          <w:color w:val="auto"/>
          <w:sz w:val="24"/>
          <w:szCs w:val="24"/>
          <w:u w:val="single"/>
        </w:rPr>
        <w:t>关于英山县城区排涝系统完善工程初步设计的批复（英发改审批〔2024〕142号）</w:t>
      </w:r>
      <w:r>
        <w:rPr>
          <w:rFonts w:ascii="宋体" w:hAnsi="宋体"/>
          <w:color w:val="auto"/>
          <w:szCs w:val="21"/>
          <w:u w:val="single"/>
        </w:rPr>
        <w:t xml:space="preserve"> </w:t>
      </w:r>
      <w:r>
        <w:rPr>
          <w:rFonts w:hint="eastAsia" w:ascii="宋体" w:hAnsi="宋体"/>
          <w:color w:val="auto"/>
          <w:szCs w:val="21"/>
        </w:rPr>
        <w:t>。</w:t>
      </w:r>
    </w:p>
    <w:p w14:paraId="744A5BAF">
      <w:pPr>
        <w:spacing w:line="360" w:lineRule="auto"/>
        <w:ind w:firstLine="600"/>
        <w:rPr>
          <w:rFonts w:ascii="宋体" w:hAnsi="宋体"/>
          <w:color w:val="auto"/>
          <w:szCs w:val="21"/>
        </w:rPr>
      </w:pPr>
      <w:r>
        <w:rPr>
          <w:rFonts w:hint="eastAsia" w:ascii="宋体" w:hAnsi="宋体"/>
          <w:color w:val="auto"/>
          <w:szCs w:val="21"/>
        </w:rPr>
        <w:t>4. 资金来源：</w:t>
      </w:r>
      <w:r>
        <w:rPr>
          <w:rFonts w:hint="eastAsia" w:ascii="宋体" w:hAnsi="宋体"/>
          <w:color w:val="auto"/>
          <w:sz w:val="24"/>
          <w:szCs w:val="24"/>
          <w:u w:val="single"/>
        </w:rPr>
        <w:t>上级资金及自筹</w:t>
      </w:r>
      <w:r>
        <w:rPr>
          <w:rFonts w:ascii="宋体" w:hAnsi="宋体"/>
          <w:color w:val="auto"/>
          <w:szCs w:val="21"/>
          <w:u w:val="single"/>
        </w:rPr>
        <w:t xml:space="preserve"> </w:t>
      </w:r>
      <w:r>
        <w:rPr>
          <w:rFonts w:hint="eastAsia" w:ascii="宋体" w:hAnsi="宋体"/>
          <w:color w:val="auto"/>
          <w:szCs w:val="21"/>
        </w:rPr>
        <w:t>。</w:t>
      </w:r>
    </w:p>
    <w:p w14:paraId="4DFA3E95">
      <w:pPr>
        <w:spacing w:line="360" w:lineRule="auto"/>
        <w:ind w:firstLine="600"/>
        <w:rPr>
          <w:rFonts w:ascii="宋体" w:hAnsi="宋体"/>
          <w:color w:val="auto"/>
          <w:szCs w:val="21"/>
        </w:rPr>
      </w:pPr>
      <w:r>
        <w:rPr>
          <w:rFonts w:hint="eastAsia" w:ascii="宋体" w:hAnsi="宋体"/>
          <w:color w:val="auto"/>
          <w:szCs w:val="21"/>
        </w:rPr>
        <w:t>5. 工程内容及规模：</w:t>
      </w:r>
      <w:r>
        <w:rPr>
          <w:rFonts w:hint="eastAsia" w:ascii="宋体" w:hAnsi="宋体" w:eastAsia="宋体" w:cs="宋体"/>
          <w:color w:val="auto"/>
          <w:sz w:val="24"/>
          <w:szCs w:val="24"/>
          <w:u w:val="single"/>
        </w:rPr>
        <w:t>本工程包括城西新城片区缫丝厂排涝通道延伸310m、坡儿垴片区坡儿垴东侧排涝通道1335m</w:t>
      </w:r>
      <w:r>
        <w:rPr>
          <w:rFonts w:ascii="宋体" w:hAnsi="宋体"/>
          <w:color w:val="auto"/>
          <w:szCs w:val="21"/>
          <w:u w:val="single"/>
        </w:rPr>
        <w:t xml:space="preserve"> </w:t>
      </w:r>
      <w:r>
        <w:rPr>
          <w:rFonts w:hint="eastAsia" w:ascii="宋体" w:hAnsi="宋体"/>
          <w:color w:val="auto"/>
          <w:szCs w:val="21"/>
        </w:rPr>
        <w:t>。</w:t>
      </w:r>
    </w:p>
    <w:p w14:paraId="59F888D2">
      <w:pPr>
        <w:spacing w:line="360" w:lineRule="auto"/>
        <w:ind w:firstLine="600"/>
        <w:rPr>
          <w:rFonts w:ascii="宋体" w:hAnsi="宋体"/>
          <w:color w:val="auto"/>
          <w:szCs w:val="21"/>
        </w:rPr>
      </w:pPr>
      <w:r>
        <w:rPr>
          <w:rFonts w:hint="eastAsia" w:ascii="宋体" w:hAnsi="宋体"/>
          <w:color w:val="auto"/>
          <w:szCs w:val="21"/>
        </w:rPr>
        <w:t>6. 工程承包范围：</w:t>
      </w:r>
      <w:r>
        <w:rPr>
          <w:rFonts w:hint="eastAsia" w:ascii="宋体" w:hAnsi="宋体" w:eastAsia="宋体" w:cs="宋体"/>
          <w:color w:val="auto"/>
          <w:sz w:val="24"/>
          <w:szCs w:val="24"/>
          <w:u w:val="single"/>
        </w:rPr>
        <w:t>本项目采用设计采购及施工工程总承包（EPC），即工程总承包方承担本工程的施工图设计、采购、施工、验收、试运行、移交、保修等工程施工相关管理工作，包括但不限于：竣工验收、项目移交、交档备案等工作；配合发包人完成EPC总承包范围内所有建设许可报建报批工作，直至取得竣工验收备案证书的所有工作，并对承包工程的质量、安全、工期、造价全面负责；项目实施阶段，根据项目实施和资金情况，业主可以减少、调整和优化建设内容</w:t>
      </w:r>
      <w:r>
        <w:rPr>
          <w:rFonts w:ascii="宋体" w:hAnsi="宋体"/>
          <w:color w:val="auto"/>
          <w:szCs w:val="21"/>
          <w:u w:val="single"/>
        </w:rPr>
        <w:t xml:space="preserve"> </w:t>
      </w:r>
      <w:r>
        <w:rPr>
          <w:rFonts w:hint="eastAsia" w:ascii="宋体" w:hAnsi="宋体"/>
          <w:color w:val="auto"/>
          <w:szCs w:val="21"/>
        </w:rPr>
        <w:t>。</w:t>
      </w:r>
    </w:p>
    <w:p w14:paraId="5A81BA54">
      <w:pPr>
        <w:pStyle w:val="148"/>
        <w:numPr>
          <w:ilvl w:val="0"/>
          <w:numId w:val="0"/>
        </w:numPr>
        <w:wordWrap/>
        <w:topLinePunct w:val="0"/>
        <w:spacing w:before="120"/>
        <w:rPr>
          <w:bCs/>
          <w:color w:val="auto"/>
          <w:sz w:val="21"/>
          <w:szCs w:val="21"/>
        </w:rPr>
      </w:pPr>
      <w:bookmarkStart w:id="990" w:name="_Toc154063485"/>
      <w:bookmarkStart w:id="991" w:name="_Toc78046561"/>
      <w:bookmarkStart w:id="992" w:name="_Toc54862166"/>
      <w:r>
        <w:rPr>
          <w:rFonts w:hint="eastAsia"/>
          <w:bCs/>
          <w:color w:val="auto"/>
          <w:sz w:val="21"/>
          <w:szCs w:val="21"/>
        </w:rPr>
        <w:t>二、合同工期</w:t>
      </w:r>
      <w:bookmarkEnd w:id="990"/>
      <w:bookmarkEnd w:id="991"/>
      <w:bookmarkEnd w:id="992"/>
    </w:p>
    <w:p w14:paraId="0A28131A">
      <w:pPr>
        <w:spacing w:line="360" w:lineRule="auto"/>
        <w:ind w:firstLine="600"/>
        <w:rPr>
          <w:rFonts w:ascii="宋体" w:hAnsi="宋体"/>
          <w:color w:val="auto"/>
          <w:szCs w:val="21"/>
        </w:rPr>
      </w:pPr>
      <w:r>
        <w:rPr>
          <w:rFonts w:hint="eastAsia" w:ascii="宋体" w:hAnsi="宋体"/>
          <w:color w:val="auto"/>
          <w:szCs w:val="21"/>
        </w:rPr>
        <w:t>计划开始工作日期：</w:t>
      </w:r>
      <w:r>
        <w:rPr>
          <w:rFonts w:ascii="宋体" w:hAnsi="宋体"/>
          <w:color w:val="auto"/>
          <w:szCs w:val="21"/>
          <w:u w:val="single"/>
        </w:rPr>
        <w:t xml:space="preserve">         </w:t>
      </w:r>
      <w:r>
        <w:rPr>
          <w:rFonts w:hint="eastAsia" w:ascii="宋体" w:hAnsi="宋体"/>
          <w:color w:val="auto"/>
          <w:szCs w:val="21"/>
        </w:rPr>
        <w:t>年</w:t>
      </w:r>
      <w:r>
        <w:rPr>
          <w:rFonts w:ascii="宋体" w:hAnsi="宋体"/>
          <w:color w:val="auto"/>
          <w:szCs w:val="21"/>
          <w:u w:val="single"/>
        </w:rPr>
        <w:t xml:space="preserve">     </w:t>
      </w:r>
      <w:r>
        <w:rPr>
          <w:rFonts w:hint="eastAsia" w:ascii="宋体" w:hAnsi="宋体"/>
          <w:color w:val="auto"/>
          <w:szCs w:val="21"/>
        </w:rPr>
        <w:t>月</w:t>
      </w:r>
      <w:r>
        <w:rPr>
          <w:rFonts w:ascii="宋体" w:hAnsi="宋体"/>
          <w:color w:val="auto"/>
          <w:szCs w:val="21"/>
          <w:u w:val="single"/>
        </w:rPr>
        <w:t xml:space="preserve">     </w:t>
      </w:r>
      <w:r>
        <w:rPr>
          <w:rFonts w:hint="eastAsia" w:ascii="宋体" w:hAnsi="宋体"/>
          <w:color w:val="auto"/>
          <w:szCs w:val="21"/>
        </w:rPr>
        <w:t>日。</w:t>
      </w:r>
    </w:p>
    <w:p w14:paraId="046BF457">
      <w:pPr>
        <w:spacing w:line="360" w:lineRule="auto"/>
        <w:ind w:firstLine="600"/>
        <w:rPr>
          <w:rFonts w:ascii="宋体" w:hAnsi="宋体"/>
          <w:color w:val="auto"/>
          <w:szCs w:val="21"/>
        </w:rPr>
      </w:pPr>
      <w:r>
        <w:rPr>
          <w:rFonts w:hint="eastAsia" w:ascii="宋体" w:hAnsi="宋体"/>
          <w:color w:val="auto"/>
          <w:szCs w:val="21"/>
        </w:rPr>
        <w:t>计划开始现场施工日期：</w:t>
      </w:r>
      <w:r>
        <w:rPr>
          <w:rFonts w:ascii="宋体" w:hAnsi="宋体"/>
          <w:color w:val="auto"/>
          <w:szCs w:val="21"/>
          <w:u w:val="single"/>
        </w:rPr>
        <w:t xml:space="preserve">         </w:t>
      </w:r>
      <w:r>
        <w:rPr>
          <w:rFonts w:hint="eastAsia" w:ascii="宋体" w:hAnsi="宋体"/>
          <w:color w:val="auto"/>
          <w:szCs w:val="21"/>
        </w:rPr>
        <w:t>年</w:t>
      </w:r>
      <w:r>
        <w:rPr>
          <w:rFonts w:ascii="宋体" w:hAnsi="宋体"/>
          <w:color w:val="auto"/>
          <w:szCs w:val="21"/>
          <w:u w:val="single"/>
        </w:rPr>
        <w:t xml:space="preserve">     </w:t>
      </w:r>
      <w:r>
        <w:rPr>
          <w:rFonts w:hint="eastAsia" w:ascii="宋体" w:hAnsi="宋体"/>
          <w:color w:val="auto"/>
          <w:szCs w:val="21"/>
        </w:rPr>
        <w:t>月</w:t>
      </w:r>
      <w:r>
        <w:rPr>
          <w:rFonts w:ascii="宋体" w:hAnsi="宋体"/>
          <w:color w:val="auto"/>
          <w:szCs w:val="21"/>
          <w:u w:val="single"/>
        </w:rPr>
        <w:t xml:space="preserve">     </w:t>
      </w:r>
      <w:r>
        <w:rPr>
          <w:rFonts w:hint="eastAsia" w:ascii="宋体" w:hAnsi="宋体"/>
          <w:color w:val="auto"/>
          <w:szCs w:val="21"/>
        </w:rPr>
        <w:t>日。</w:t>
      </w:r>
    </w:p>
    <w:p w14:paraId="658A037E">
      <w:pPr>
        <w:spacing w:line="360" w:lineRule="auto"/>
        <w:ind w:firstLine="600"/>
        <w:rPr>
          <w:rFonts w:ascii="宋体" w:hAnsi="宋体"/>
          <w:color w:val="auto"/>
          <w:szCs w:val="21"/>
        </w:rPr>
      </w:pPr>
      <w:r>
        <w:rPr>
          <w:rFonts w:hint="eastAsia" w:ascii="宋体" w:hAnsi="宋体"/>
          <w:color w:val="auto"/>
          <w:szCs w:val="21"/>
        </w:rPr>
        <w:t>计划竣工日期：</w:t>
      </w:r>
      <w:r>
        <w:rPr>
          <w:rFonts w:ascii="宋体" w:hAnsi="宋体"/>
          <w:color w:val="auto"/>
          <w:szCs w:val="21"/>
          <w:u w:val="single"/>
        </w:rPr>
        <w:t xml:space="preserve">         </w:t>
      </w:r>
      <w:r>
        <w:rPr>
          <w:rFonts w:hint="eastAsia" w:ascii="宋体" w:hAnsi="宋体"/>
          <w:color w:val="auto"/>
          <w:szCs w:val="21"/>
        </w:rPr>
        <w:t>年</w:t>
      </w:r>
      <w:r>
        <w:rPr>
          <w:rFonts w:ascii="宋体" w:hAnsi="宋体"/>
          <w:color w:val="auto"/>
          <w:szCs w:val="21"/>
          <w:u w:val="single"/>
        </w:rPr>
        <w:t xml:space="preserve">     </w:t>
      </w:r>
      <w:r>
        <w:rPr>
          <w:rFonts w:hint="eastAsia" w:ascii="宋体" w:hAnsi="宋体"/>
          <w:color w:val="auto"/>
          <w:szCs w:val="21"/>
        </w:rPr>
        <w:t>月</w:t>
      </w:r>
      <w:r>
        <w:rPr>
          <w:rFonts w:ascii="宋体" w:hAnsi="宋体"/>
          <w:color w:val="auto"/>
          <w:szCs w:val="21"/>
          <w:u w:val="single"/>
        </w:rPr>
        <w:t xml:space="preserve">     </w:t>
      </w:r>
      <w:r>
        <w:rPr>
          <w:rFonts w:hint="eastAsia" w:ascii="宋体" w:hAnsi="宋体"/>
          <w:color w:val="auto"/>
          <w:szCs w:val="21"/>
        </w:rPr>
        <w:t>日。</w:t>
      </w:r>
    </w:p>
    <w:p w14:paraId="27CAD946">
      <w:pPr>
        <w:spacing w:line="360" w:lineRule="auto"/>
        <w:ind w:firstLine="600"/>
        <w:rPr>
          <w:rFonts w:ascii="宋体" w:hAnsi="宋体"/>
          <w:color w:val="auto"/>
          <w:szCs w:val="21"/>
        </w:rPr>
      </w:pPr>
      <w:r>
        <w:rPr>
          <w:rFonts w:hint="eastAsia" w:ascii="宋体" w:hAnsi="宋体"/>
          <w:color w:val="auto"/>
          <w:szCs w:val="21"/>
        </w:rPr>
        <w:t>工期总日历天数：</w:t>
      </w:r>
      <w:r>
        <w:rPr>
          <w:rFonts w:ascii="宋体" w:hAnsi="宋体"/>
          <w:color w:val="auto"/>
          <w:szCs w:val="21"/>
          <w:u w:val="single"/>
        </w:rPr>
        <w:t xml:space="preserve">        </w:t>
      </w:r>
      <w:r>
        <w:rPr>
          <w:rFonts w:hint="eastAsia" w:ascii="宋体" w:hAnsi="宋体"/>
          <w:color w:val="auto"/>
          <w:szCs w:val="21"/>
        </w:rPr>
        <w:t>天，工期总日历天数与根据前述计划日期计算的工期天数不一致的，以工期总日历天数为准。</w:t>
      </w:r>
    </w:p>
    <w:p w14:paraId="60AECD0A">
      <w:pPr>
        <w:pStyle w:val="148"/>
        <w:numPr>
          <w:ilvl w:val="0"/>
          <w:numId w:val="0"/>
        </w:numPr>
        <w:wordWrap/>
        <w:topLinePunct w:val="0"/>
        <w:spacing w:before="120"/>
        <w:rPr>
          <w:bCs/>
          <w:color w:val="auto"/>
          <w:sz w:val="21"/>
          <w:szCs w:val="21"/>
        </w:rPr>
      </w:pPr>
      <w:bookmarkStart w:id="993" w:name="_Toc78046562"/>
      <w:bookmarkStart w:id="994" w:name="_Toc54862167"/>
      <w:bookmarkStart w:id="995" w:name="_Toc154063486"/>
      <w:r>
        <w:rPr>
          <w:rFonts w:hint="eastAsia"/>
          <w:bCs/>
          <w:color w:val="auto"/>
          <w:sz w:val="21"/>
          <w:szCs w:val="21"/>
        </w:rPr>
        <w:t>三、质量标准</w:t>
      </w:r>
      <w:bookmarkEnd w:id="993"/>
      <w:bookmarkEnd w:id="994"/>
      <w:bookmarkEnd w:id="995"/>
    </w:p>
    <w:p w14:paraId="1473AB16">
      <w:pPr>
        <w:spacing w:line="360" w:lineRule="auto"/>
        <w:ind w:firstLine="600"/>
        <w:rPr>
          <w:rFonts w:ascii="宋体" w:hAnsi="宋体"/>
          <w:color w:val="auto"/>
          <w:szCs w:val="21"/>
        </w:rPr>
      </w:pPr>
      <w:r>
        <w:rPr>
          <w:rFonts w:hint="eastAsia" w:ascii="宋体" w:hAnsi="宋体"/>
          <w:color w:val="auto"/>
          <w:szCs w:val="21"/>
        </w:rPr>
        <w:t>工程质量标准：</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w:t>
      </w:r>
    </w:p>
    <w:p w14:paraId="32CBBF10">
      <w:pPr>
        <w:pStyle w:val="148"/>
        <w:numPr>
          <w:ilvl w:val="0"/>
          <w:numId w:val="0"/>
        </w:numPr>
        <w:wordWrap/>
        <w:topLinePunct w:val="0"/>
        <w:spacing w:before="120"/>
        <w:rPr>
          <w:bCs/>
          <w:color w:val="auto"/>
          <w:sz w:val="21"/>
          <w:szCs w:val="21"/>
        </w:rPr>
      </w:pPr>
      <w:bookmarkStart w:id="996" w:name="_Toc154063487"/>
      <w:bookmarkStart w:id="997" w:name="_Toc78046563"/>
      <w:bookmarkStart w:id="998" w:name="_Toc54862168"/>
      <w:r>
        <w:rPr>
          <w:rFonts w:hint="eastAsia"/>
          <w:bCs/>
          <w:color w:val="auto"/>
          <w:sz w:val="21"/>
          <w:szCs w:val="21"/>
        </w:rPr>
        <w:t>四、签约合同价与合同价格形式</w:t>
      </w:r>
      <w:bookmarkEnd w:id="996"/>
      <w:bookmarkEnd w:id="997"/>
      <w:bookmarkEnd w:id="998"/>
    </w:p>
    <w:p w14:paraId="3DA4DB73">
      <w:pPr>
        <w:spacing w:line="360" w:lineRule="auto"/>
        <w:ind w:firstLine="600"/>
        <w:rPr>
          <w:rFonts w:ascii="宋体" w:hAnsi="宋体"/>
          <w:color w:val="auto"/>
          <w:szCs w:val="21"/>
        </w:rPr>
      </w:pPr>
      <w:r>
        <w:rPr>
          <w:rFonts w:hint="eastAsia" w:ascii="宋体" w:hAnsi="宋体"/>
          <w:color w:val="auto"/>
          <w:szCs w:val="21"/>
        </w:rPr>
        <w:t>1. 签约合同价（含税）为：</w:t>
      </w:r>
    </w:p>
    <w:p w14:paraId="1E44EE0F">
      <w:pPr>
        <w:spacing w:line="360" w:lineRule="auto"/>
        <w:ind w:firstLine="600"/>
        <w:rPr>
          <w:rFonts w:ascii="宋体" w:hAnsi="宋体"/>
          <w:color w:val="auto"/>
          <w:szCs w:val="21"/>
        </w:rPr>
      </w:pPr>
      <w:r>
        <w:rPr>
          <w:rFonts w:hint="eastAsia" w:ascii="宋体" w:hAnsi="宋体"/>
          <w:color w:val="auto"/>
          <w:szCs w:val="21"/>
        </w:rPr>
        <w:t xml:space="preserve">人民币（大写) </w:t>
      </w:r>
      <w:r>
        <w:rPr>
          <w:rFonts w:ascii="宋体" w:hAnsi="宋体"/>
          <w:color w:val="auto"/>
          <w:szCs w:val="21"/>
          <w:u w:val="single"/>
        </w:rPr>
        <w:t xml:space="preserve">                </w:t>
      </w:r>
      <w:r>
        <w:rPr>
          <w:rFonts w:hint="eastAsia" w:ascii="宋体" w:hAnsi="宋体"/>
          <w:color w:val="auto"/>
          <w:szCs w:val="21"/>
        </w:rPr>
        <w:t>（¥</w:t>
      </w:r>
      <w:r>
        <w:rPr>
          <w:rFonts w:ascii="宋体" w:hAnsi="宋体"/>
          <w:color w:val="auto"/>
          <w:szCs w:val="21"/>
          <w:u w:val="single"/>
        </w:rPr>
        <w:t xml:space="preserve">              </w:t>
      </w:r>
      <w:r>
        <w:rPr>
          <w:rFonts w:hint="eastAsia" w:ascii="宋体" w:hAnsi="宋体"/>
          <w:color w:val="auto"/>
          <w:szCs w:val="21"/>
        </w:rPr>
        <w:t>元）。</w:t>
      </w:r>
    </w:p>
    <w:p w14:paraId="0B3A4312">
      <w:pPr>
        <w:spacing w:line="360" w:lineRule="auto"/>
        <w:ind w:firstLine="600"/>
        <w:rPr>
          <w:rFonts w:ascii="宋体" w:hAnsi="宋体"/>
          <w:color w:val="auto"/>
          <w:szCs w:val="21"/>
        </w:rPr>
      </w:pPr>
      <w:r>
        <w:rPr>
          <w:rFonts w:hint="eastAsia" w:ascii="宋体" w:hAnsi="宋体"/>
          <w:color w:val="auto"/>
          <w:szCs w:val="21"/>
        </w:rPr>
        <w:t xml:space="preserve">具体构成详见价格清单。其中： </w:t>
      </w:r>
    </w:p>
    <w:p w14:paraId="32CABC78">
      <w:pPr>
        <w:spacing w:line="360" w:lineRule="auto"/>
        <w:ind w:firstLine="600"/>
        <w:rPr>
          <w:rFonts w:ascii="宋体" w:hAnsi="宋体"/>
          <w:color w:val="auto"/>
          <w:szCs w:val="21"/>
        </w:rPr>
      </w:pPr>
      <w:r>
        <w:rPr>
          <w:rFonts w:hint="eastAsia" w:ascii="宋体" w:hAnsi="宋体"/>
          <w:color w:val="auto"/>
          <w:szCs w:val="21"/>
        </w:rPr>
        <w:t>（1） 设计费（含税）：</w:t>
      </w:r>
    </w:p>
    <w:p w14:paraId="04BDE686">
      <w:pPr>
        <w:spacing w:line="360" w:lineRule="auto"/>
        <w:ind w:firstLine="600"/>
        <w:rPr>
          <w:rFonts w:ascii="宋体" w:hAnsi="宋体"/>
          <w:color w:val="auto"/>
          <w:szCs w:val="21"/>
        </w:rPr>
      </w:pPr>
      <w:r>
        <w:rPr>
          <w:rFonts w:hint="eastAsia" w:ascii="宋体" w:hAnsi="宋体"/>
          <w:color w:val="auto"/>
          <w:szCs w:val="21"/>
        </w:rPr>
        <w:t xml:space="preserve">人民币（大写) </w:t>
      </w:r>
      <w:r>
        <w:rPr>
          <w:rFonts w:ascii="宋体" w:hAnsi="宋体"/>
          <w:color w:val="auto"/>
          <w:szCs w:val="21"/>
          <w:u w:val="single"/>
        </w:rPr>
        <w:t xml:space="preserve">            </w:t>
      </w:r>
      <w:r>
        <w:rPr>
          <w:rFonts w:hint="eastAsia" w:ascii="宋体" w:hAnsi="宋体"/>
          <w:color w:val="auto"/>
          <w:szCs w:val="21"/>
        </w:rPr>
        <w:t>（¥</w:t>
      </w:r>
      <w:r>
        <w:rPr>
          <w:rFonts w:ascii="宋体" w:hAnsi="宋体"/>
          <w:color w:val="auto"/>
          <w:szCs w:val="21"/>
          <w:u w:val="single"/>
        </w:rPr>
        <w:t xml:space="preserve">         </w:t>
      </w:r>
      <w:r>
        <w:rPr>
          <w:rFonts w:hint="eastAsia" w:ascii="宋体" w:hAnsi="宋体"/>
          <w:color w:val="auto"/>
          <w:szCs w:val="21"/>
        </w:rPr>
        <w:t>元）；适用税率：</w:t>
      </w:r>
      <w:r>
        <w:rPr>
          <w:rFonts w:ascii="宋体" w:hAnsi="宋体"/>
          <w:color w:val="auto"/>
          <w:szCs w:val="21"/>
          <w:u w:val="single"/>
        </w:rPr>
        <w:t xml:space="preserve">    </w:t>
      </w:r>
      <w:r>
        <w:rPr>
          <w:rFonts w:hint="eastAsia" w:ascii="宋体" w:hAnsi="宋体"/>
          <w:color w:val="auto"/>
          <w:szCs w:val="21"/>
        </w:rPr>
        <w:t>%，税金为人民币（大写)</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w:t>
      </w:r>
      <w:r>
        <w:rPr>
          <w:rFonts w:ascii="宋体" w:hAnsi="宋体"/>
          <w:color w:val="auto"/>
          <w:szCs w:val="21"/>
          <w:u w:val="single"/>
        </w:rPr>
        <w:t xml:space="preserve">          </w:t>
      </w:r>
      <w:r>
        <w:rPr>
          <w:rFonts w:hint="eastAsia" w:ascii="宋体" w:hAnsi="宋体"/>
          <w:color w:val="auto"/>
          <w:szCs w:val="21"/>
        </w:rPr>
        <w:t xml:space="preserve">元）； </w:t>
      </w:r>
    </w:p>
    <w:p w14:paraId="788A0CE6">
      <w:pPr>
        <w:spacing w:line="360" w:lineRule="auto"/>
        <w:ind w:firstLine="600"/>
        <w:rPr>
          <w:rFonts w:ascii="宋体" w:hAnsi="宋体"/>
          <w:color w:val="auto"/>
          <w:szCs w:val="21"/>
        </w:rPr>
      </w:pPr>
      <w:r>
        <w:rPr>
          <w:rFonts w:hint="eastAsia" w:ascii="宋体" w:hAnsi="宋体"/>
          <w:color w:val="auto"/>
          <w:szCs w:val="21"/>
        </w:rPr>
        <w:t>（2） 设备购置费（含税）：</w:t>
      </w:r>
    </w:p>
    <w:p w14:paraId="7C7C3FAD">
      <w:pPr>
        <w:spacing w:line="360" w:lineRule="auto"/>
        <w:ind w:firstLine="600"/>
        <w:rPr>
          <w:rFonts w:ascii="宋体" w:hAnsi="宋体"/>
          <w:color w:val="auto"/>
          <w:szCs w:val="21"/>
        </w:rPr>
      </w:pPr>
      <w:r>
        <w:rPr>
          <w:rFonts w:hint="eastAsia" w:ascii="宋体" w:hAnsi="宋体"/>
          <w:color w:val="auto"/>
          <w:szCs w:val="21"/>
        </w:rPr>
        <w:t xml:space="preserve">人民币（大写) </w:t>
      </w:r>
      <w:r>
        <w:rPr>
          <w:rFonts w:ascii="宋体" w:hAnsi="宋体"/>
          <w:color w:val="auto"/>
          <w:szCs w:val="21"/>
          <w:u w:val="single"/>
        </w:rPr>
        <w:t xml:space="preserve">            </w:t>
      </w:r>
      <w:r>
        <w:rPr>
          <w:rFonts w:hint="eastAsia" w:ascii="宋体" w:hAnsi="宋体"/>
          <w:color w:val="auto"/>
          <w:szCs w:val="21"/>
        </w:rPr>
        <w:t>（¥</w:t>
      </w:r>
      <w:r>
        <w:rPr>
          <w:rFonts w:ascii="宋体" w:hAnsi="宋体"/>
          <w:color w:val="auto"/>
          <w:szCs w:val="21"/>
          <w:u w:val="single"/>
        </w:rPr>
        <w:t xml:space="preserve">        </w:t>
      </w:r>
      <w:r>
        <w:rPr>
          <w:rFonts w:hint="eastAsia" w:ascii="宋体" w:hAnsi="宋体"/>
          <w:color w:val="auto"/>
          <w:szCs w:val="21"/>
        </w:rPr>
        <w:t>元）；适用税率：</w:t>
      </w:r>
      <w:r>
        <w:rPr>
          <w:rFonts w:ascii="宋体" w:hAnsi="宋体"/>
          <w:color w:val="auto"/>
          <w:szCs w:val="21"/>
          <w:u w:val="single"/>
        </w:rPr>
        <w:t xml:space="preserve">   </w:t>
      </w:r>
      <w:r>
        <w:rPr>
          <w:rFonts w:hint="eastAsia" w:ascii="宋体" w:hAnsi="宋体"/>
          <w:color w:val="auto"/>
          <w:szCs w:val="21"/>
        </w:rPr>
        <w:t>%，税金为人民币（大写)</w:t>
      </w:r>
      <w:r>
        <w:rPr>
          <w:rFonts w:ascii="宋体" w:hAnsi="宋体"/>
          <w:color w:val="auto"/>
          <w:szCs w:val="21"/>
          <w:u w:val="single"/>
        </w:rPr>
        <w:t xml:space="preserve">          </w:t>
      </w:r>
      <w:r>
        <w:rPr>
          <w:rFonts w:hint="eastAsia" w:ascii="宋体" w:hAnsi="宋体"/>
          <w:color w:val="auto"/>
          <w:szCs w:val="21"/>
        </w:rPr>
        <w:t>（¥</w:t>
      </w:r>
      <w:r>
        <w:rPr>
          <w:rFonts w:ascii="宋体" w:hAnsi="宋体"/>
          <w:color w:val="auto"/>
          <w:szCs w:val="21"/>
          <w:u w:val="single"/>
        </w:rPr>
        <w:t xml:space="preserve">        </w:t>
      </w:r>
      <w:r>
        <w:rPr>
          <w:rFonts w:hint="eastAsia" w:ascii="宋体" w:hAnsi="宋体"/>
          <w:color w:val="auto"/>
          <w:szCs w:val="21"/>
        </w:rPr>
        <w:t xml:space="preserve">元）； </w:t>
      </w:r>
    </w:p>
    <w:p w14:paraId="4E5EC2C2">
      <w:pPr>
        <w:spacing w:line="360" w:lineRule="auto"/>
        <w:ind w:firstLine="600"/>
        <w:rPr>
          <w:rFonts w:ascii="宋体" w:hAnsi="宋体"/>
          <w:color w:val="auto"/>
          <w:szCs w:val="21"/>
        </w:rPr>
      </w:pPr>
      <w:r>
        <w:rPr>
          <w:rFonts w:hint="eastAsia" w:ascii="宋体" w:hAnsi="宋体"/>
          <w:color w:val="auto"/>
          <w:szCs w:val="21"/>
        </w:rPr>
        <w:t>（3） 建筑安装工程费（含税）：</w:t>
      </w:r>
    </w:p>
    <w:p w14:paraId="409A6C3F">
      <w:pPr>
        <w:spacing w:line="360" w:lineRule="auto"/>
        <w:ind w:firstLine="600"/>
        <w:rPr>
          <w:rFonts w:ascii="宋体" w:hAnsi="宋体"/>
          <w:color w:val="auto"/>
          <w:szCs w:val="21"/>
        </w:rPr>
      </w:pPr>
      <w:r>
        <w:rPr>
          <w:rFonts w:hint="eastAsia" w:ascii="宋体" w:hAnsi="宋体"/>
          <w:color w:val="auto"/>
          <w:szCs w:val="21"/>
        </w:rPr>
        <w:t>人民币（大写)</w:t>
      </w:r>
      <w:r>
        <w:rPr>
          <w:rFonts w:ascii="宋体" w:hAnsi="宋体"/>
          <w:color w:val="auto"/>
          <w:szCs w:val="21"/>
          <w:u w:val="single"/>
        </w:rPr>
        <w:t xml:space="preserve">             </w:t>
      </w:r>
      <w:r>
        <w:rPr>
          <w:rFonts w:hint="eastAsia" w:ascii="宋体" w:hAnsi="宋体"/>
          <w:color w:val="auto"/>
          <w:szCs w:val="21"/>
        </w:rPr>
        <w:t>（¥</w:t>
      </w:r>
      <w:r>
        <w:rPr>
          <w:rFonts w:ascii="宋体" w:hAnsi="宋体"/>
          <w:color w:val="auto"/>
          <w:szCs w:val="21"/>
          <w:u w:val="single"/>
        </w:rPr>
        <w:t xml:space="preserve">        </w:t>
      </w:r>
      <w:r>
        <w:rPr>
          <w:rFonts w:hint="eastAsia" w:ascii="宋体" w:hAnsi="宋体"/>
          <w:color w:val="auto"/>
          <w:szCs w:val="21"/>
        </w:rPr>
        <w:t>元）；适用税率：</w:t>
      </w:r>
      <w:r>
        <w:rPr>
          <w:rFonts w:ascii="宋体" w:hAnsi="宋体"/>
          <w:color w:val="auto"/>
          <w:szCs w:val="21"/>
          <w:u w:val="single"/>
        </w:rPr>
        <w:t xml:space="preserve">   </w:t>
      </w:r>
      <w:r>
        <w:rPr>
          <w:rFonts w:hint="eastAsia" w:ascii="宋体" w:hAnsi="宋体"/>
          <w:color w:val="auto"/>
          <w:szCs w:val="21"/>
        </w:rPr>
        <w:t>%，税金为人民币（大写)</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w:t>
      </w:r>
      <w:r>
        <w:rPr>
          <w:rFonts w:ascii="宋体" w:hAnsi="宋体"/>
          <w:color w:val="auto"/>
          <w:szCs w:val="21"/>
          <w:u w:val="single"/>
        </w:rPr>
        <w:t xml:space="preserve">        </w:t>
      </w:r>
      <w:r>
        <w:rPr>
          <w:rFonts w:hint="eastAsia" w:ascii="宋体" w:hAnsi="宋体"/>
          <w:color w:val="auto"/>
          <w:szCs w:val="21"/>
        </w:rPr>
        <w:t xml:space="preserve">元）； </w:t>
      </w:r>
    </w:p>
    <w:p w14:paraId="70B72812">
      <w:pPr>
        <w:spacing w:line="360" w:lineRule="auto"/>
        <w:ind w:firstLine="600"/>
        <w:rPr>
          <w:rFonts w:ascii="宋体" w:hAnsi="宋体"/>
          <w:color w:val="auto"/>
          <w:szCs w:val="21"/>
        </w:rPr>
      </w:pPr>
      <w:r>
        <w:rPr>
          <w:rFonts w:hint="eastAsia" w:ascii="宋体" w:hAnsi="宋体"/>
          <w:color w:val="auto"/>
          <w:szCs w:val="21"/>
        </w:rPr>
        <w:t>（</w:t>
      </w:r>
      <w:r>
        <w:rPr>
          <w:rFonts w:ascii="宋体" w:hAnsi="宋体"/>
          <w:color w:val="auto"/>
          <w:szCs w:val="21"/>
        </w:rPr>
        <w:t>4</w:t>
      </w:r>
      <w:r>
        <w:rPr>
          <w:rFonts w:hint="eastAsia" w:ascii="宋体" w:hAnsi="宋体"/>
          <w:color w:val="auto"/>
          <w:szCs w:val="21"/>
        </w:rPr>
        <w:t>） 暂估价（含税）：</w:t>
      </w:r>
    </w:p>
    <w:p w14:paraId="6F87603C">
      <w:pPr>
        <w:spacing w:line="360" w:lineRule="auto"/>
        <w:ind w:firstLine="600"/>
        <w:rPr>
          <w:rFonts w:ascii="宋体" w:hAnsi="宋体"/>
          <w:color w:val="auto"/>
          <w:szCs w:val="21"/>
        </w:rPr>
      </w:pPr>
      <w:r>
        <w:rPr>
          <w:rFonts w:hint="eastAsia" w:ascii="宋体" w:hAnsi="宋体"/>
          <w:color w:val="auto"/>
          <w:szCs w:val="21"/>
        </w:rPr>
        <w:t>人民币（大写)</w:t>
      </w:r>
      <w:r>
        <w:rPr>
          <w:rFonts w:ascii="宋体" w:hAnsi="宋体"/>
          <w:color w:val="auto"/>
          <w:szCs w:val="21"/>
          <w:u w:val="single"/>
        </w:rPr>
        <w:t xml:space="preserve">                 </w:t>
      </w:r>
      <w:r>
        <w:rPr>
          <w:rFonts w:hint="eastAsia" w:ascii="宋体" w:hAnsi="宋体"/>
          <w:color w:val="auto"/>
          <w:szCs w:val="21"/>
        </w:rPr>
        <w:t>（¥</w:t>
      </w:r>
      <w:r>
        <w:rPr>
          <w:rFonts w:ascii="宋体" w:hAnsi="宋体"/>
          <w:color w:val="auto"/>
          <w:szCs w:val="21"/>
          <w:u w:val="single"/>
        </w:rPr>
        <w:t xml:space="preserve">            </w:t>
      </w:r>
      <w:r>
        <w:rPr>
          <w:rFonts w:hint="eastAsia" w:ascii="宋体" w:hAnsi="宋体"/>
          <w:color w:val="auto"/>
          <w:szCs w:val="21"/>
        </w:rPr>
        <w:t>元）。</w:t>
      </w:r>
    </w:p>
    <w:p w14:paraId="60BD7C3C">
      <w:pPr>
        <w:spacing w:line="360" w:lineRule="auto"/>
        <w:ind w:firstLine="600"/>
        <w:rPr>
          <w:rFonts w:ascii="宋体" w:hAnsi="宋体"/>
          <w:color w:val="auto"/>
          <w:szCs w:val="21"/>
        </w:rPr>
      </w:pPr>
      <w:r>
        <w:rPr>
          <w:rFonts w:hint="eastAsia" w:ascii="宋体" w:hAnsi="宋体"/>
          <w:color w:val="auto"/>
          <w:szCs w:val="21"/>
        </w:rPr>
        <w:t>（</w:t>
      </w:r>
      <w:r>
        <w:rPr>
          <w:rFonts w:ascii="宋体" w:hAnsi="宋体"/>
          <w:color w:val="auto"/>
          <w:szCs w:val="21"/>
        </w:rPr>
        <w:t>5</w:t>
      </w:r>
      <w:r>
        <w:rPr>
          <w:rFonts w:hint="eastAsia" w:ascii="宋体" w:hAnsi="宋体"/>
          <w:color w:val="auto"/>
          <w:szCs w:val="21"/>
        </w:rPr>
        <w:t>） 暂列金额（含税）：</w:t>
      </w:r>
    </w:p>
    <w:p w14:paraId="511E5510">
      <w:pPr>
        <w:spacing w:line="360" w:lineRule="auto"/>
        <w:ind w:firstLine="600"/>
        <w:rPr>
          <w:rFonts w:ascii="宋体" w:hAnsi="宋体"/>
          <w:color w:val="auto"/>
          <w:szCs w:val="21"/>
        </w:rPr>
      </w:pPr>
      <w:r>
        <w:rPr>
          <w:rFonts w:hint="eastAsia" w:ascii="宋体" w:hAnsi="宋体"/>
          <w:color w:val="auto"/>
          <w:szCs w:val="21"/>
        </w:rPr>
        <w:t>人民币（大写)</w:t>
      </w:r>
      <w:r>
        <w:rPr>
          <w:rFonts w:ascii="宋体" w:hAnsi="宋体"/>
          <w:color w:val="auto"/>
          <w:szCs w:val="21"/>
          <w:u w:val="single"/>
        </w:rPr>
        <w:t xml:space="preserve">                 </w:t>
      </w:r>
      <w:r>
        <w:rPr>
          <w:rFonts w:hint="eastAsia" w:ascii="宋体" w:hAnsi="宋体"/>
          <w:color w:val="auto"/>
          <w:szCs w:val="21"/>
        </w:rPr>
        <w:t>（¥</w:t>
      </w:r>
      <w:r>
        <w:rPr>
          <w:rFonts w:ascii="宋体" w:hAnsi="宋体"/>
          <w:color w:val="auto"/>
          <w:szCs w:val="21"/>
          <w:u w:val="single"/>
        </w:rPr>
        <w:t xml:space="preserve">            </w:t>
      </w:r>
      <w:r>
        <w:rPr>
          <w:rFonts w:hint="eastAsia" w:ascii="宋体" w:hAnsi="宋体"/>
          <w:color w:val="auto"/>
          <w:szCs w:val="21"/>
        </w:rPr>
        <w:t>元）。</w:t>
      </w:r>
    </w:p>
    <w:p w14:paraId="21AE7013">
      <w:pPr>
        <w:spacing w:line="360" w:lineRule="auto"/>
        <w:ind w:firstLine="600"/>
        <w:rPr>
          <w:rFonts w:ascii="宋体" w:hAnsi="宋体"/>
          <w:color w:val="auto"/>
          <w:szCs w:val="21"/>
        </w:rPr>
      </w:pPr>
      <w:r>
        <w:rPr>
          <w:rFonts w:hint="eastAsia" w:ascii="宋体" w:hAnsi="宋体"/>
          <w:color w:val="auto"/>
          <w:szCs w:val="21"/>
        </w:rPr>
        <w:t>（</w:t>
      </w:r>
      <w:r>
        <w:rPr>
          <w:rFonts w:ascii="宋体" w:hAnsi="宋体"/>
          <w:color w:val="auto"/>
          <w:szCs w:val="21"/>
        </w:rPr>
        <w:t>6）</w:t>
      </w:r>
      <w:r>
        <w:rPr>
          <w:rFonts w:hint="eastAsia" w:ascii="宋体" w:hAnsi="宋体"/>
          <w:color w:val="auto"/>
          <w:szCs w:val="21"/>
        </w:rPr>
        <w:t xml:space="preserve"> </w:t>
      </w:r>
      <w:r>
        <w:rPr>
          <w:rFonts w:ascii="宋体" w:hAnsi="宋体"/>
          <w:color w:val="auto"/>
          <w:szCs w:val="21"/>
        </w:rPr>
        <w:t>双方约定的其他费用</w:t>
      </w:r>
      <w:r>
        <w:rPr>
          <w:rFonts w:hint="eastAsia" w:ascii="宋体" w:hAnsi="宋体"/>
          <w:color w:val="auto"/>
          <w:szCs w:val="21"/>
        </w:rPr>
        <w:t>（含税）</w:t>
      </w:r>
      <w:r>
        <w:rPr>
          <w:rFonts w:ascii="宋体" w:hAnsi="宋体"/>
          <w:color w:val="auto"/>
          <w:szCs w:val="21"/>
        </w:rPr>
        <w:t>：</w:t>
      </w:r>
    </w:p>
    <w:p w14:paraId="03DEDB34">
      <w:pPr>
        <w:spacing w:line="360" w:lineRule="auto"/>
        <w:ind w:firstLine="600"/>
        <w:jc w:val="left"/>
        <w:rPr>
          <w:rFonts w:ascii="宋体" w:hAnsi="宋体"/>
          <w:color w:val="auto"/>
          <w:szCs w:val="21"/>
        </w:rPr>
      </w:pPr>
      <w:r>
        <w:rPr>
          <w:rFonts w:hint="eastAsia" w:ascii="宋体" w:hAnsi="宋体"/>
          <w:color w:val="auto"/>
          <w:szCs w:val="21"/>
        </w:rPr>
        <w:t>人民币（大写</w:t>
      </w:r>
      <w:r>
        <w:rPr>
          <w:rFonts w:ascii="宋体" w:hAnsi="宋体"/>
          <w:color w:val="auto"/>
          <w:szCs w:val="21"/>
        </w:rPr>
        <w:t>)</w:t>
      </w:r>
      <w:r>
        <w:rPr>
          <w:rFonts w:hint="eastAsia" w:ascii="宋体" w:hAnsi="宋体"/>
          <w:color w:val="auto"/>
          <w:szCs w:val="21"/>
          <w:u w:val="single"/>
        </w:rPr>
        <w:t xml:space="preserve">                </w:t>
      </w:r>
      <w:r>
        <w:rPr>
          <w:rFonts w:ascii="宋体" w:hAnsi="宋体"/>
          <w:color w:val="auto"/>
          <w:szCs w:val="21"/>
        </w:rPr>
        <w:t>（¥</w:t>
      </w:r>
      <w:r>
        <w:rPr>
          <w:rFonts w:hint="eastAsia" w:ascii="宋体" w:hAnsi="宋体"/>
          <w:color w:val="auto"/>
          <w:szCs w:val="21"/>
          <w:u w:val="single"/>
        </w:rPr>
        <w:t xml:space="preserve">          </w:t>
      </w:r>
      <w:r>
        <w:rPr>
          <w:rFonts w:ascii="宋体" w:hAnsi="宋体"/>
          <w:color w:val="auto"/>
          <w:szCs w:val="21"/>
        </w:rPr>
        <w:t>元）；适用税率：</w:t>
      </w:r>
      <w:r>
        <w:rPr>
          <w:rFonts w:hint="eastAsia" w:ascii="宋体" w:hAnsi="宋体"/>
          <w:color w:val="auto"/>
          <w:szCs w:val="21"/>
          <w:u w:val="single"/>
        </w:rPr>
        <w:t xml:space="preserve">         </w:t>
      </w:r>
      <w:r>
        <w:rPr>
          <w:rFonts w:ascii="宋体" w:hAnsi="宋体"/>
          <w:color w:val="auto"/>
          <w:szCs w:val="21"/>
        </w:rPr>
        <w:t>%，税金为人民币（大写)</w:t>
      </w:r>
      <w:r>
        <w:rPr>
          <w:rFonts w:hint="eastAsia" w:ascii="宋体" w:hAnsi="宋体"/>
          <w:color w:val="auto"/>
          <w:szCs w:val="21"/>
          <w:u w:val="single"/>
        </w:rPr>
        <w:t xml:space="preserve">                 </w:t>
      </w:r>
      <w:r>
        <w:rPr>
          <w:rFonts w:ascii="宋体" w:hAnsi="宋体"/>
          <w:color w:val="auto"/>
          <w:szCs w:val="21"/>
        </w:rPr>
        <w:t>（¥</w:t>
      </w:r>
      <w:r>
        <w:rPr>
          <w:rFonts w:hint="eastAsia" w:ascii="宋体" w:hAnsi="宋体"/>
          <w:color w:val="auto"/>
          <w:szCs w:val="21"/>
          <w:u w:val="single"/>
        </w:rPr>
        <w:t xml:space="preserve">            </w:t>
      </w:r>
      <w:r>
        <w:rPr>
          <w:rFonts w:ascii="宋体" w:hAnsi="宋体"/>
          <w:color w:val="auto"/>
          <w:szCs w:val="21"/>
        </w:rPr>
        <w:t>元）。</w:t>
      </w:r>
    </w:p>
    <w:p w14:paraId="1E9A5F87">
      <w:pPr>
        <w:spacing w:line="360" w:lineRule="auto"/>
        <w:ind w:firstLine="600"/>
        <w:rPr>
          <w:rFonts w:ascii="宋体" w:hAnsi="宋体"/>
          <w:color w:val="auto"/>
          <w:szCs w:val="21"/>
        </w:rPr>
      </w:pPr>
      <w:r>
        <w:rPr>
          <w:rFonts w:hint="eastAsia" w:ascii="宋体" w:hAnsi="宋体"/>
          <w:color w:val="auto"/>
          <w:szCs w:val="21"/>
        </w:rPr>
        <w:t>2. 合同价格形式：</w:t>
      </w:r>
    </w:p>
    <w:p w14:paraId="4068D2FD">
      <w:pPr>
        <w:spacing w:line="360" w:lineRule="auto"/>
        <w:ind w:firstLine="600"/>
        <w:rPr>
          <w:rFonts w:ascii="宋体" w:hAnsi="宋体"/>
          <w:color w:val="auto"/>
          <w:szCs w:val="21"/>
        </w:rPr>
      </w:pPr>
      <w:r>
        <w:rPr>
          <w:rFonts w:hint="eastAsia" w:ascii="宋体" w:hAnsi="宋体"/>
          <w:color w:val="auto"/>
          <w:szCs w:val="21"/>
        </w:rPr>
        <w:t>合同价格形式为总价合同，除根据合同约定的在工程实施过程中需进行增减的款项外，合同价格不予调整，但合同当事人另有约定的除外。</w:t>
      </w:r>
    </w:p>
    <w:p w14:paraId="395CB6C7">
      <w:pPr>
        <w:kinsoku w:val="0"/>
        <w:spacing w:line="360" w:lineRule="auto"/>
        <w:ind w:left="263" w:leftChars="125" w:firstLine="210" w:firstLineChars="100"/>
        <w:jc w:val="left"/>
        <w:rPr>
          <w:rFonts w:ascii="宋体" w:hAnsi="宋体"/>
          <w:color w:val="auto"/>
          <w:szCs w:val="21"/>
        </w:rPr>
      </w:pPr>
      <w:r>
        <w:rPr>
          <w:rFonts w:hint="eastAsia" w:ascii="宋体" w:hAnsi="宋体"/>
          <w:color w:val="auto"/>
          <w:szCs w:val="21"/>
        </w:rPr>
        <w:t>合同当事人对合同价格形式的其他约定：</w:t>
      </w:r>
      <w:r>
        <w:rPr>
          <w:rFonts w:hint="eastAsia" w:ascii="宋体" w:hAnsi="宋体"/>
          <w:color w:val="auto"/>
          <w:sz w:val="24"/>
          <w:szCs w:val="24"/>
          <w:u w:val="single"/>
        </w:rPr>
        <w:t>详见专用条款</w:t>
      </w:r>
      <w:r>
        <w:rPr>
          <w:rFonts w:hint="eastAsia" w:ascii="宋体" w:hAnsi="宋体"/>
          <w:color w:val="auto"/>
          <w:szCs w:val="21"/>
          <w:u w:val="single"/>
        </w:rPr>
        <w:t xml:space="preserve"> </w:t>
      </w:r>
      <w:r>
        <w:rPr>
          <w:rFonts w:hint="eastAsia" w:ascii="宋体" w:hAnsi="宋体"/>
          <w:color w:val="auto"/>
          <w:szCs w:val="21"/>
        </w:rPr>
        <w:t>。</w:t>
      </w:r>
    </w:p>
    <w:p w14:paraId="29FC0777">
      <w:pPr>
        <w:pStyle w:val="148"/>
        <w:numPr>
          <w:ilvl w:val="0"/>
          <w:numId w:val="0"/>
        </w:numPr>
        <w:wordWrap/>
        <w:topLinePunct w:val="0"/>
        <w:rPr>
          <w:bCs/>
          <w:color w:val="auto"/>
          <w:sz w:val="21"/>
          <w:szCs w:val="21"/>
        </w:rPr>
      </w:pPr>
      <w:bookmarkStart w:id="999" w:name="_Toc154063488"/>
      <w:bookmarkStart w:id="1000" w:name="_Toc54862169"/>
      <w:bookmarkStart w:id="1001" w:name="_Toc78046564"/>
      <w:r>
        <w:rPr>
          <w:rFonts w:hint="eastAsia"/>
          <w:bCs/>
          <w:color w:val="auto"/>
          <w:sz w:val="21"/>
          <w:szCs w:val="21"/>
        </w:rPr>
        <w:t>五、工程总承包项目经理</w:t>
      </w:r>
      <w:bookmarkEnd w:id="999"/>
      <w:bookmarkEnd w:id="1000"/>
      <w:bookmarkEnd w:id="1001"/>
    </w:p>
    <w:p w14:paraId="410D86D2">
      <w:pPr>
        <w:spacing w:line="360" w:lineRule="auto"/>
        <w:ind w:firstLine="600"/>
        <w:rPr>
          <w:rFonts w:ascii="宋体" w:hAnsi="宋体"/>
          <w:color w:val="auto"/>
          <w:szCs w:val="21"/>
        </w:rPr>
      </w:pPr>
      <w:r>
        <w:rPr>
          <w:rFonts w:hint="eastAsia" w:ascii="宋体" w:hAnsi="宋体"/>
          <w:color w:val="auto"/>
          <w:szCs w:val="21"/>
        </w:rPr>
        <w:t>工程总承包项目经理：</w:t>
      </w:r>
      <w:r>
        <w:rPr>
          <w:rFonts w:ascii="宋体" w:hAnsi="宋体"/>
          <w:color w:val="auto"/>
          <w:szCs w:val="21"/>
          <w:u w:val="single"/>
        </w:rPr>
        <w:t xml:space="preserve">                              </w:t>
      </w:r>
      <w:r>
        <w:rPr>
          <w:rFonts w:hint="eastAsia" w:ascii="宋体" w:hAnsi="宋体"/>
          <w:color w:val="auto"/>
          <w:szCs w:val="21"/>
        </w:rPr>
        <w:t>。</w:t>
      </w:r>
    </w:p>
    <w:p w14:paraId="7853452D">
      <w:pPr>
        <w:pStyle w:val="148"/>
        <w:numPr>
          <w:ilvl w:val="0"/>
          <w:numId w:val="0"/>
        </w:numPr>
        <w:wordWrap/>
        <w:topLinePunct w:val="0"/>
        <w:rPr>
          <w:bCs/>
          <w:color w:val="auto"/>
          <w:sz w:val="21"/>
          <w:szCs w:val="21"/>
        </w:rPr>
      </w:pPr>
      <w:bookmarkStart w:id="1002" w:name="_Toc54862170"/>
      <w:bookmarkStart w:id="1003" w:name="_Toc78046565"/>
      <w:bookmarkStart w:id="1004" w:name="_Toc154063489"/>
      <w:r>
        <w:rPr>
          <w:rFonts w:hint="eastAsia"/>
          <w:bCs/>
          <w:color w:val="auto"/>
          <w:sz w:val="21"/>
          <w:szCs w:val="21"/>
        </w:rPr>
        <w:t>六、合同文件构成</w:t>
      </w:r>
      <w:bookmarkEnd w:id="1002"/>
      <w:bookmarkEnd w:id="1003"/>
      <w:bookmarkEnd w:id="1004"/>
    </w:p>
    <w:p w14:paraId="3DD00C03">
      <w:pPr>
        <w:spacing w:line="360" w:lineRule="auto"/>
        <w:ind w:firstLine="600"/>
        <w:rPr>
          <w:rFonts w:ascii="宋体" w:hAnsi="宋体"/>
          <w:color w:val="auto"/>
          <w:szCs w:val="21"/>
        </w:rPr>
      </w:pPr>
      <w:r>
        <w:rPr>
          <w:rFonts w:hint="eastAsia" w:ascii="宋体" w:hAnsi="宋体"/>
          <w:color w:val="auto"/>
          <w:szCs w:val="21"/>
        </w:rPr>
        <w:t xml:space="preserve">本协议书与下列文件一起构成合同文件： </w:t>
      </w:r>
    </w:p>
    <w:p w14:paraId="3BE732D5">
      <w:pPr>
        <w:spacing w:line="360" w:lineRule="auto"/>
        <w:ind w:firstLine="600"/>
        <w:rPr>
          <w:rFonts w:ascii="宋体" w:hAnsi="宋体"/>
          <w:color w:val="auto"/>
          <w:szCs w:val="21"/>
        </w:rPr>
      </w:pPr>
      <w:r>
        <w:rPr>
          <w:rFonts w:hint="eastAsia" w:ascii="宋体" w:hAnsi="宋体"/>
          <w:color w:val="auto"/>
          <w:szCs w:val="21"/>
        </w:rPr>
        <w:t>（1） 中标通知书（如果有）；</w:t>
      </w:r>
    </w:p>
    <w:p w14:paraId="5A5E7649">
      <w:pPr>
        <w:spacing w:line="360" w:lineRule="auto"/>
        <w:ind w:firstLine="600"/>
        <w:rPr>
          <w:rFonts w:ascii="宋体" w:hAnsi="宋体"/>
          <w:color w:val="auto"/>
          <w:szCs w:val="21"/>
        </w:rPr>
      </w:pPr>
      <w:r>
        <w:rPr>
          <w:rFonts w:hint="eastAsia" w:ascii="宋体" w:hAnsi="宋体"/>
          <w:color w:val="auto"/>
          <w:szCs w:val="21"/>
        </w:rPr>
        <w:t>（2） 投标函及投标函附录（如果有）；</w:t>
      </w:r>
    </w:p>
    <w:p w14:paraId="740F52E7">
      <w:pPr>
        <w:spacing w:line="360" w:lineRule="auto"/>
        <w:ind w:firstLine="600"/>
        <w:rPr>
          <w:rFonts w:ascii="宋体" w:hAnsi="宋体"/>
          <w:color w:val="auto"/>
          <w:szCs w:val="21"/>
        </w:rPr>
      </w:pPr>
      <w:r>
        <w:rPr>
          <w:rFonts w:hint="eastAsia" w:ascii="宋体" w:hAnsi="宋体"/>
          <w:color w:val="auto"/>
          <w:szCs w:val="21"/>
        </w:rPr>
        <w:t>（3） 专用合同条件及《发包人要求》等附件；</w:t>
      </w:r>
    </w:p>
    <w:p w14:paraId="353BC54D">
      <w:pPr>
        <w:spacing w:line="360" w:lineRule="auto"/>
        <w:ind w:firstLine="600"/>
        <w:rPr>
          <w:rFonts w:ascii="宋体" w:hAnsi="宋体"/>
          <w:color w:val="auto"/>
          <w:szCs w:val="21"/>
        </w:rPr>
      </w:pPr>
      <w:r>
        <w:rPr>
          <w:rFonts w:hint="eastAsia" w:ascii="宋体" w:hAnsi="宋体"/>
          <w:color w:val="auto"/>
          <w:szCs w:val="21"/>
        </w:rPr>
        <w:t>（4） 通用合同条件；</w:t>
      </w:r>
    </w:p>
    <w:p w14:paraId="791751DC">
      <w:pPr>
        <w:spacing w:line="360" w:lineRule="auto"/>
        <w:ind w:firstLine="600"/>
        <w:rPr>
          <w:rFonts w:ascii="宋体" w:hAnsi="宋体"/>
          <w:color w:val="auto"/>
          <w:szCs w:val="21"/>
        </w:rPr>
      </w:pPr>
      <w:r>
        <w:rPr>
          <w:rFonts w:hint="eastAsia" w:ascii="宋体" w:hAnsi="宋体"/>
          <w:color w:val="auto"/>
          <w:szCs w:val="21"/>
        </w:rPr>
        <w:t>（</w:t>
      </w:r>
      <w:r>
        <w:rPr>
          <w:rFonts w:ascii="宋体" w:hAnsi="宋体"/>
          <w:color w:val="auto"/>
          <w:szCs w:val="21"/>
        </w:rPr>
        <w:t>5</w:t>
      </w:r>
      <w:r>
        <w:rPr>
          <w:rFonts w:hint="eastAsia" w:ascii="宋体" w:hAnsi="宋体"/>
          <w:color w:val="auto"/>
          <w:szCs w:val="21"/>
        </w:rPr>
        <w:t xml:space="preserve">） 承包人建议书； </w:t>
      </w:r>
    </w:p>
    <w:p w14:paraId="27B0C382">
      <w:pPr>
        <w:spacing w:line="360" w:lineRule="auto"/>
        <w:ind w:firstLine="600"/>
        <w:rPr>
          <w:rFonts w:ascii="宋体" w:hAnsi="宋体"/>
          <w:color w:val="auto"/>
          <w:szCs w:val="21"/>
        </w:rPr>
      </w:pPr>
      <w:r>
        <w:rPr>
          <w:rFonts w:hint="eastAsia" w:ascii="宋体" w:hAnsi="宋体"/>
          <w:color w:val="auto"/>
          <w:szCs w:val="21"/>
        </w:rPr>
        <w:t>（</w:t>
      </w:r>
      <w:r>
        <w:rPr>
          <w:rFonts w:ascii="宋体" w:hAnsi="宋体"/>
          <w:color w:val="auto"/>
          <w:szCs w:val="21"/>
        </w:rPr>
        <w:t>6</w:t>
      </w:r>
      <w:r>
        <w:rPr>
          <w:rFonts w:hint="eastAsia" w:ascii="宋体" w:hAnsi="宋体"/>
          <w:color w:val="auto"/>
          <w:szCs w:val="21"/>
        </w:rPr>
        <w:t>） 价格清单；</w:t>
      </w:r>
    </w:p>
    <w:p w14:paraId="74D20E81">
      <w:pPr>
        <w:spacing w:line="360" w:lineRule="auto"/>
        <w:ind w:firstLine="600"/>
        <w:rPr>
          <w:rFonts w:ascii="宋体" w:hAnsi="宋体"/>
          <w:color w:val="auto"/>
          <w:szCs w:val="21"/>
        </w:rPr>
      </w:pPr>
      <w:r>
        <w:rPr>
          <w:rFonts w:hint="eastAsia" w:ascii="宋体" w:hAnsi="宋体"/>
          <w:color w:val="auto"/>
          <w:szCs w:val="21"/>
        </w:rPr>
        <w:t>（</w:t>
      </w:r>
      <w:r>
        <w:rPr>
          <w:rFonts w:ascii="宋体" w:hAnsi="宋体"/>
          <w:color w:val="auto"/>
          <w:szCs w:val="21"/>
        </w:rPr>
        <w:t>7</w:t>
      </w:r>
      <w:r>
        <w:rPr>
          <w:rFonts w:hint="eastAsia" w:ascii="宋体" w:hAnsi="宋体"/>
          <w:color w:val="auto"/>
          <w:szCs w:val="21"/>
        </w:rPr>
        <w:t>） 双方约定的其他合同文件。</w:t>
      </w:r>
    </w:p>
    <w:p w14:paraId="4624EED8">
      <w:pPr>
        <w:spacing w:line="360" w:lineRule="auto"/>
        <w:ind w:firstLine="600"/>
        <w:rPr>
          <w:rFonts w:ascii="宋体" w:hAnsi="宋体"/>
          <w:color w:val="auto"/>
          <w:szCs w:val="21"/>
        </w:rPr>
      </w:pPr>
      <w:r>
        <w:rPr>
          <w:rFonts w:hint="eastAsia" w:ascii="宋体" w:hAnsi="宋体"/>
          <w:color w:val="auto"/>
          <w:szCs w:val="21"/>
        </w:rPr>
        <w:t>上述各项合同文件包括双方就该项合同文件所作出的补充和修改，属于同一类内容的合同文件应以最新签署的为准。专用合同条件及其附件须经合同当事人签字或盖章。</w:t>
      </w:r>
    </w:p>
    <w:p w14:paraId="6E2FDE12">
      <w:pPr>
        <w:pStyle w:val="148"/>
        <w:numPr>
          <w:ilvl w:val="0"/>
          <w:numId w:val="0"/>
        </w:numPr>
        <w:wordWrap/>
        <w:topLinePunct w:val="0"/>
        <w:rPr>
          <w:bCs/>
          <w:color w:val="auto"/>
          <w:sz w:val="21"/>
          <w:szCs w:val="21"/>
        </w:rPr>
      </w:pPr>
      <w:bookmarkStart w:id="1005" w:name="_Toc154063490"/>
      <w:bookmarkStart w:id="1006" w:name="_Toc78046566"/>
      <w:bookmarkStart w:id="1007" w:name="_Toc54862171"/>
      <w:r>
        <w:rPr>
          <w:rFonts w:hint="eastAsia"/>
          <w:bCs/>
          <w:color w:val="auto"/>
          <w:sz w:val="21"/>
          <w:szCs w:val="21"/>
        </w:rPr>
        <w:t>七、承诺</w:t>
      </w:r>
      <w:bookmarkEnd w:id="1005"/>
      <w:bookmarkEnd w:id="1006"/>
      <w:bookmarkEnd w:id="1007"/>
    </w:p>
    <w:p w14:paraId="542913DC">
      <w:pPr>
        <w:spacing w:line="360" w:lineRule="auto"/>
        <w:ind w:firstLine="600"/>
        <w:rPr>
          <w:rFonts w:ascii="宋体" w:hAnsi="宋体"/>
          <w:color w:val="auto"/>
          <w:szCs w:val="21"/>
        </w:rPr>
      </w:pPr>
      <w:r>
        <w:rPr>
          <w:rFonts w:hint="eastAsia" w:ascii="宋体" w:hAnsi="宋体"/>
          <w:color w:val="auto"/>
          <w:szCs w:val="21"/>
        </w:rPr>
        <w:t>1. 发包人承诺按照法律规定履行项目审批手续、筹集工程建设资金并按照合同约定的期限和方式支付合同价款。</w:t>
      </w:r>
    </w:p>
    <w:p w14:paraId="6C5FDAF4">
      <w:pPr>
        <w:spacing w:line="360" w:lineRule="auto"/>
        <w:ind w:firstLine="600"/>
        <w:rPr>
          <w:rFonts w:ascii="宋体" w:hAnsi="宋体"/>
          <w:color w:val="auto"/>
          <w:szCs w:val="21"/>
        </w:rPr>
      </w:pPr>
      <w:r>
        <w:rPr>
          <w:rFonts w:hint="eastAsia" w:ascii="宋体" w:hAnsi="宋体"/>
          <w:color w:val="auto"/>
          <w:szCs w:val="21"/>
        </w:rPr>
        <w:t>2. 承包人承诺按照法律规定及合同约定组织完成工程的设计、采购和施工等工作，确保工程质量和安全，不进行转包及违法分包，并在缺陷责任期及保修期内承担相应的工程维修责任。</w:t>
      </w:r>
    </w:p>
    <w:p w14:paraId="6D25B05D">
      <w:pPr>
        <w:pStyle w:val="148"/>
        <w:numPr>
          <w:ilvl w:val="0"/>
          <w:numId w:val="0"/>
        </w:numPr>
        <w:wordWrap/>
        <w:topLinePunct w:val="0"/>
        <w:rPr>
          <w:bCs/>
          <w:color w:val="auto"/>
          <w:sz w:val="21"/>
          <w:szCs w:val="21"/>
        </w:rPr>
      </w:pPr>
      <w:bookmarkStart w:id="1008" w:name="_Toc78046567"/>
      <w:bookmarkStart w:id="1009" w:name="_Toc154063491"/>
      <w:bookmarkStart w:id="1010" w:name="_Toc54862172"/>
      <w:r>
        <w:rPr>
          <w:rFonts w:hint="eastAsia"/>
          <w:bCs/>
          <w:color w:val="auto"/>
          <w:sz w:val="21"/>
          <w:szCs w:val="21"/>
        </w:rPr>
        <w:t>八、订立时间</w:t>
      </w:r>
      <w:bookmarkEnd w:id="1008"/>
      <w:bookmarkEnd w:id="1009"/>
      <w:bookmarkEnd w:id="1010"/>
    </w:p>
    <w:p w14:paraId="58049E9D">
      <w:pPr>
        <w:spacing w:line="360" w:lineRule="auto"/>
        <w:ind w:firstLine="600"/>
        <w:rPr>
          <w:rFonts w:ascii="宋体" w:hAnsi="宋体"/>
          <w:color w:val="auto"/>
          <w:szCs w:val="21"/>
        </w:rPr>
      </w:pPr>
      <w:r>
        <w:rPr>
          <w:rFonts w:hint="eastAsia" w:ascii="宋体" w:hAnsi="宋体"/>
          <w:color w:val="auto"/>
          <w:szCs w:val="21"/>
        </w:rPr>
        <w:t>本合同于</w:t>
      </w:r>
      <w:r>
        <w:rPr>
          <w:rFonts w:ascii="宋体" w:hAnsi="宋体"/>
          <w:color w:val="auto"/>
          <w:szCs w:val="21"/>
          <w:u w:val="single"/>
        </w:rPr>
        <w:t xml:space="preserve">        </w:t>
      </w:r>
      <w:r>
        <w:rPr>
          <w:rFonts w:hint="eastAsia" w:ascii="宋体" w:hAnsi="宋体"/>
          <w:color w:val="auto"/>
          <w:szCs w:val="21"/>
        </w:rPr>
        <w:t>年</w:t>
      </w:r>
      <w:r>
        <w:rPr>
          <w:rFonts w:ascii="宋体" w:hAnsi="宋体"/>
          <w:color w:val="auto"/>
          <w:szCs w:val="21"/>
          <w:u w:val="single"/>
        </w:rPr>
        <w:t xml:space="preserve">     </w:t>
      </w:r>
      <w:r>
        <w:rPr>
          <w:rFonts w:hint="eastAsia" w:ascii="宋体" w:hAnsi="宋体"/>
          <w:color w:val="auto"/>
          <w:szCs w:val="21"/>
        </w:rPr>
        <w:t>月</w:t>
      </w:r>
      <w:r>
        <w:rPr>
          <w:rFonts w:ascii="宋体" w:hAnsi="宋体"/>
          <w:color w:val="auto"/>
          <w:szCs w:val="21"/>
          <w:u w:val="single"/>
        </w:rPr>
        <w:t xml:space="preserve">     </w:t>
      </w:r>
      <w:r>
        <w:rPr>
          <w:rFonts w:hint="eastAsia" w:ascii="宋体" w:hAnsi="宋体"/>
          <w:color w:val="auto"/>
          <w:szCs w:val="21"/>
        </w:rPr>
        <w:t>日订立。</w:t>
      </w:r>
    </w:p>
    <w:p w14:paraId="00B897FE">
      <w:pPr>
        <w:pStyle w:val="148"/>
        <w:numPr>
          <w:ilvl w:val="0"/>
          <w:numId w:val="0"/>
        </w:numPr>
        <w:wordWrap/>
        <w:topLinePunct w:val="0"/>
        <w:rPr>
          <w:bCs/>
          <w:color w:val="auto"/>
          <w:sz w:val="21"/>
          <w:szCs w:val="21"/>
        </w:rPr>
      </w:pPr>
      <w:bookmarkStart w:id="1011" w:name="_Toc54862173"/>
      <w:bookmarkStart w:id="1012" w:name="_Toc78046568"/>
      <w:bookmarkStart w:id="1013" w:name="_Toc154063492"/>
      <w:r>
        <w:rPr>
          <w:rFonts w:hint="eastAsia"/>
          <w:bCs/>
          <w:color w:val="auto"/>
          <w:sz w:val="21"/>
          <w:szCs w:val="21"/>
        </w:rPr>
        <w:t>九、订立地点</w:t>
      </w:r>
      <w:bookmarkEnd w:id="1011"/>
      <w:bookmarkEnd w:id="1012"/>
      <w:bookmarkEnd w:id="1013"/>
    </w:p>
    <w:p w14:paraId="4197959B">
      <w:pPr>
        <w:spacing w:line="360" w:lineRule="auto"/>
        <w:ind w:firstLine="600"/>
        <w:rPr>
          <w:rFonts w:ascii="宋体" w:hAnsi="宋体"/>
          <w:color w:val="auto"/>
          <w:szCs w:val="21"/>
        </w:rPr>
      </w:pPr>
      <w:r>
        <w:rPr>
          <w:rFonts w:hint="eastAsia" w:ascii="宋体" w:hAnsi="宋体"/>
          <w:color w:val="auto"/>
          <w:szCs w:val="21"/>
        </w:rPr>
        <w:t>本合同在</w:t>
      </w:r>
      <w:r>
        <w:rPr>
          <w:rFonts w:ascii="宋体" w:hAnsi="宋体"/>
          <w:color w:val="auto"/>
          <w:szCs w:val="21"/>
          <w:u w:val="single"/>
        </w:rPr>
        <w:t xml:space="preserve">                        </w:t>
      </w:r>
      <w:r>
        <w:rPr>
          <w:rFonts w:hint="eastAsia" w:ascii="宋体" w:hAnsi="宋体"/>
          <w:color w:val="auto"/>
          <w:szCs w:val="21"/>
        </w:rPr>
        <w:t>订立。</w:t>
      </w:r>
    </w:p>
    <w:p w14:paraId="45CD9FBB">
      <w:pPr>
        <w:pStyle w:val="148"/>
        <w:numPr>
          <w:ilvl w:val="0"/>
          <w:numId w:val="0"/>
        </w:numPr>
        <w:wordWrap/>
        <w:topLinePunct w:val="0"/>
        <w:rPr>
          <w:bCs/>
          <w:color w:val="auto"/>
          <w:sz w:val="21"/>
          <w:szCs w:val="21"/>
        </w:rPr>
      </w:pPr>
      <w:bookmarkStart w:id="1014" w:name="_Toc154063493"/>
      <w:bookmarkStart w:id="1015" w:name="_Toc54862174"/>
      <w:bookmarkStart w:id="1016" w:name="_Toc78046569"/>
      <w:r>
        <w:rPr>
          <w:rFonts w:hint="eastAsia"/>
          <w:bCs/>
          <w:color w:val="auto"/>
          <w:sz w:val="21"/>
          <w:szCs w:val="21"/>
        </w:rPr>
        <w:t>十、合同生效</w:t>
      </w:r>
      <w:bookmarkEnd w:id="1014"/>
      <w:bookmarkEnd w:id="1015"/>
      <w:bookmarkEnd w:id="1016"/>
    </w:p>
    <w:p w14:paraId="0E37DF31">
      <w:pPr>
        <w:spacing w:line="360" w:lineRule="auto"/>
        <w:ind w:firstLine="600"/>
        <w:rPr>
          <w:rFonts w:ascii="宋体" w:hAnsi="宋体"/>
          <w:color w:val="auto"/>
          <w:szCs w:val="21"/>
        </w:rPr>
      </w:pPr>
      <w:r>
        <w:rPr>
          <w:rFonts w:hint="eastAsia" w:ascii="宋体" w:hAnsi="宋体"/>
          <w:color w:val="auto"/>
          <w:szCs w:val="21"/>
        </w:rPr>
        <w:t>本合同经双方签字或盖章后成立，并自</w:t>
      </w:r>
      <w:r>
        <w:rPr>
          <w:rFonts w:ascii="宋体" w:hAnsi="宋体"/>
          <w:color w:val="auto"/>
          <w:szCs w:val="21"/>
          <w:u w:val="single"/>
        </w:rPr>
        <w:t xml:space="preserve"> </w:t>
      </w:r>
      <w:r>
        <w:rPr>
          <w:rFonts w:hint="eastAsia" w:ascii="宋体" w:hAnsi="宋体"/>
          <w:color w:val="auto"/>
          <w:sz w:val="24"/>
          <w:szCs w:val="24"/>
          <w:u w:val="single"/>
          <w:lang w:val="en-US" w:eastAsia="zh-CN"/>
        </w:rPr>
        <w:t>成立时</w:t>
      </w:r>
      <w:r>
        <w:rPr>
          <w:rFonts w:ascii="宋体" w:hAnsi="宋体"/>
          <w:color w:val="auto"/>
          <w:szCs w:val="21"/>
          <w:u w:val="single"/>
        </w:rPr>
        <w:t xml:space="preserve"> </w:t>
      </w:r>
      <w:r>
        <w:rPr>
          <w:rFonts w:hint="eastAsia" w:ascii="宋体" w:hAnsi="宋体"/>
          <w:color w:val="auto"/>
          <w:szCs w:val="21"/>
        </w:rPr>
        <w:t>生效。</w:t>
      </w:r>
    </w:p>
    <w:p w14:paraId="05565C2E">
      <w:pPr>
        <w:pStyle w:val="148"/>
        <w:numPr>
          <w:ilvl w:val="0"/>
          <w:numId w:val="0"/>
        </w:numPr>
        <w:wordWrap/>
        <w:topLinePunct w:val="0"/>
        <w:rPr>
          <w:bCs/>
          <w:color w:val="auto"/>
          <w:sz w:val="21"/>
          <w:szCs w:val="21"/>
        </w:rPr>
      </w:pPr>
      <w:bookmarkStart w:id="1017" w:name="_Toc78046570"/>
      <w:bookmarkStart w:id="1018" w:name="_Toc54862175"/>
      <w:bookmarkStart w:id="1019" w:name="_Toc154063494"/>
      <w:r>
        <w:rPr>
          <w:rFonts w:hint="eastAsia"/>
          <w:bCs/>
          <w:color w:val="auto"/>
          <w:sz w:val="21"/>
          <w:szCs w:val="21"/>
        </w:rPr>
        <w:t>十一、合同份数</w:t>
      </w:r>
      <w:bookmarkEnd w:id="1017"/>
      <w:bookmarkEnd w:id="1018"/>
      <w:bookmarkEnd w:id="1019"/>
    </w:p>
    <w:p w14:paraId="16DEFEA0">
      <w:pPr>
        <w:spacing w:line="360" w:lineRule="auto"/>
        <w:ind w:firstLine="600"/>
        <w:rPr>
          <w:rFonts w:ascii="宋体" w:hAnsi="宋体"/>
          <w:color w:val="auto"/>
          <w:szCs w:val="21"/>
        </w:rPr>
      </w:pPr>
      <w:r>
        <w:rPr>
          <w:rFonts w:hint="eastAsia" w:ascii="宋体" w:hAnsi="宋体"/>
          <w:color w:val="auto"/>
          <w:szCs w:val="21"/>
        </w:rPr>
        <w:t>本合同一式</w:t>
      </w:r>
      <w:r>
        <w:rPr>
          <w:rFonts w:ascii="宋体" w:hAnsi="宋体"/>
          <w:color w:val="auto"/>
          <w:szCs w:val="21"/>
          <w:u w:val="single"/>
        </w:rPr>
        <w:t xml:space="preserve"> </w:t>
      </w:r>
      <w:r>
        <w:rPr>
          <w:rFonts w:hint="eastAsia" w:ascii="宋体" w:hAnsi="宋体"/>
          <w:color w:val="auto"/>
          <w:sz w:val="24"/>
          <w:szCs w:val="24"/>
          <w:u w:val="single"/>
          <w:lang w:val="en-US" w:eastAsia="zh-CN"/>
        </w:rPr>
        <w:t>捌</w:t>
      </w:r>
      <w:r>
        <w:rPr>
          <w:rFonts w:ascii="宋体" w:hAnsi="宋体"/>
          <w:color w:val="auto"/>
          <w:szCs w:val="21"/>
          <w:u w:val="single"/>
        </w:rPr>
        <w:t xml:space="preserve"> </w:t>
      </w:r>
      <w:r>
        <w:rPr>
          <w:rFonts w:hint="eastAsia" w:ascii="宋体" w:hAnsi="宋体"/>
          <w:color w:val="auto"/>
          <w:szCs w:val="21"/>
        </w:rPr>
        <w:t>份，均具有同等法律效力，发包人执</w:t>
      </w:r>
      <w:r>
        <w:rPr>
          <w:rFonts w:ascii="宋体" w:hAnsi="宋体"/>
          <w:color w:val="auto"/>
          <w:szCs w:val="21"/>
          <w:u w:val="single"/>
        </w:rPr>
        <w:t xml:space="preserve"> </w:t>
      </w:r>
      <w:r>
        <w:rPr>
          <w:rFonts w:hint="eastAsia" w:ascii="宋体" w:hAnsi="宋体"/>
          <w:color w:val="auto"/>
          <w:sz w:val="24"/>
          <w:szCs w:val="24"/>
          <w:u w:val="single"/>
          <w:lang w:val="en-US" w:eastAsia="zh-CN"/>
        </w:rPr>
        <w:t>肆</w:t>
      </w:r>
      <w:r>
        <w:rPr>
          <w:rFonts w:ascii="宋体" w:hAnsi="宋体"/>
          <w:color w:val="auto"/>
          <w:szCs w:val="21"/>
          <w:u w:val="single"/>
        </w:rPr>
        <w:t xml:space="preserve"> </w:t>
      </w:r>
      <w:r>
        <w:rPr>
          <w:rFonts w:hint="eastAsia" w:ascii="宋体" w:hAnsi="宋体"/>
          <w:color w:val="auto"/>
          <w:szCs w:val="21"/>
        </w:rPr>
        <w:t>份，承包人执</w:t>
      </w:r>
      <w:r>
        <w:rPr>
          <w:rFonts w:ascii="宋体" w:hAnsi="宋体"/>
          <w:color w:val="auto"/>
          <w:szCs w:val="21"/>
          <w:u w:val="single"/>
        </w:rPr>
        <w:t xml:space="preserve"> </w:t>
      </w:r>
      <w:r>
        <w:rPr>
          <w:rFonts w:hint="eastAsia" w:ascii="宋体" w:hAnsi="宋体"/>
          <w:color w:val="auto"/>
          <w:sz w:val="24"/>
          <w:szCs w:val="24"/>
          <w:u w:val="single"/>
          <w:lang w:val="en-US" w:eastAsia="zh-CN"/>
        </w:rPr>
        <w:t>肆</w:t>
      </w:r>
      <w:r>
        <w:rPr>
          <w:rFonts w:ascii="宋体" w:hAnsi="宋体"/>
          <w:color w:val="auto"/>
          <w:szCs w:val="21"/>
          <w:u w:val="single"/>
        </w:rPr>
        <w:t xml:space="preserve"> </w:t>
      </w:r>
      <w:r>
        <w:rPr>
          <w:rFonts w:hint="eastAsia" w:ascii="宋体" w:hAnsi="宋体"/>
          <w:color w:val="auto"/>
          <w:szCs w:val="21"/>
        </w:rPr>
        <w:t>份。</w:t>
      </w:r>
    </w:p>
    <w:p w14:paraId="04C469CD">
      <w:pPr>
        <w:ind w:firstLine="600"/>
        <w:rPr>
          <w:rFonts w:ascii="宋体" w:hAnsi="宋体"/>
          <w:color w:val="auto"/>
          <w:szCs w:val="21"/>
        </w:rPr>
      </w:pPr>
    </w:p>
    <w:p w14:paraId="79F02D47">
      <w:pPr>
        <w:ind w:firstLine="600"/>
        <w:rPr>
          <w:rFonts w:ascii="宋体" w:hAnsi="宋体"/>
          <w:color w:val="auto"/>
          <w:szCs w:val="21"/>
        </w:rPr>
      </w:pPr>
    </w:p>
    <w:tbl>
      <w:tblPr>
        <w:tblStyle w:val="41"/>
        <w:tblpPr w:leftFromText="180" w:rightFromText="180" w:vertAnchor="text" w:horzAnchor="page" w:tblpX="1702" w:tblpY="119"/>
        <w:tblW w:w="0" w:type="auto"/>
        <w:tblInd w:w="0" w:type="dxa"/>
        <w:tblLayout w:type="fixed"/>
        <w:tblCellMar>
          <w:top w:w="0" w:type="dxa"/>
          <w:left w:w="108" w:type="dxa"/>
          <w:bottom w:w="0" w:type="dxa"/>
          <w:right w:w="108" w:type="dxa"/>
        </w:tblCellMar>
      </w:tblPr>
      <w:tblGrid>
        <w:gridCol w:w="4507"/>
        <w:gridCol w:w="4565"/>
      </w:tblGrid>
      <w:tr w14:paraId="38606569">
        <w:tblPrEx>
          <w:tblCellMar>
            <w:top w:w="0" w:type="dxa"/>
            <w:left w:w="108" w:type="dxa"/>
            <w:bottom w:w="0" w:type="dxa"/>
            <w:right w:w="108" w:type="dxa"/>
          </w:tblCellMar>
        </w:tblPrEx>
        <w:tc>
          <w:tcPr>
            <w:tcW w:w="4507" w:type="dxa"/>
            <w:noWrap w:val="0"/>
            <w:vAlign w:val="top"/>
          </w:tcPr>
          <w:p w14:paraId="4C8F4BBA">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r>
              <w:rPr>
                <w:rFonts w:hint="eastAsia" w:hAnsi="宋体" w:eastAsia="宋体" w:cs="Times New Roman"/>
                <w:color w:val="auto"/>
                <w:sz w:val="21"/>
                <w:szCs w:val="21"/>
              </w:rPr>
              <w:t>发包人：（公章）</w:t>
            </w:r>
          </w:p>
          <w:p w14:paraId="2CC3EB79">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p>
          <w:p w14:paraId="0FDED9BA">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p>
        </w:tc>
        <w:tc>
          <w:tcPr>
            <w:tcW w:w="4565" w:type="dxa"/>
            <w:noWrap w:val="0"/>
            <w:vAlign w:val="top"/>
          </w:tcPr>
          <w:p w14:paraId="488FD7F1">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r>
              <w:rPr>
                <w:rFonts w:hint="eastAsia" w:hAnsi="宋体" w:eastAsia="宋体" w:cs="Times New Roman"/>
                <w:color w:val="auto"/>
                <w:sz w:val="21"/>
                <w:szCs w:val="21"/>
              </w:rPr>
              <w:t>承包人：（公章）</w:t>
            </w:r>
          </w:p>
          <w:p w14:paraId="4E307205">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p>
          <w:p w14:paraId="50A96558">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p>
        </w:tc>
      </w:tr>
      <w:tr w14:paraId="0799654E">
        <w:tblPrEx>
          <w:tblCellMar>
            <w:top w:w="0" w:type="dxa"/>
            <w:left w:w="108" w:type="dxa"/>
            <w:bottom w:w="0" w:type="dxa"/>
            <w:right w:w="108" w:type="dxa"/>
          </w:tblCellMar>
        </w:tblPrEx>
        <w:tc>
          <w:tcPr>
            <w:tcW w:w="4507" w:type="dxa"/>
            <w:noWrap w:val="0"/>
            <w:vAlign w:val="top"/>
          </w:tcPr>
          <w:p w14:paraId="5645FBB0">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r>
              <w:rPr>
                <w:rFonts w:hint="eastAsia" w:hAnsi="宋体" w:eastAsia="宋体" w:cs="Times New Roman"/>
                <w:color w:val="auto"/>
                <w:sz w:val="21"/>
                <w:szCs w:val="21"/>
              </w:rPr>
              <w:t>法定代表人或其委托代理人：</w:t>
            </w:r>
          </w:p>
          <w:p w14:paraId="205AB4AE">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r>
              <w:rPr>
                <w:rFonts w:hint="eastAsia" w:hAnsi="宋体" w:eastAsia="宋体" w:cs="Times New Roman"/>
                <w:color w:val="auto"/>
                <w:sz w:val="21"/>
                <w:szCs w:val="21"/>
              </w:rPr>
              <w:t>（签字）</w:t>
            </w:r>
          </w:p>
          <w:p w14:paraId="2D63F2A2">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p>
        </w:tc>
        <w:tc>
          <w:tcPr>
            <w:tcW w:w="4565" w:type="dxa"/>
            <w:noWrap w:val="0"/>
            <w:vAlign w:val="top"/>
          </w:tcPr>
          <w:p w14:paraId="48D69B4B">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r>
              <w:rPr>
                <w:rFonts w:hint="eastAsia" w:hAnsi="宋体" w:eastAsia="宋体" w:cs="Times New Roman"/>
                <w:color w:val="auto"/>
                <w:sz w:val="21"/>
                <w:szCs w:val="21"/>
              </w:rPr>
              <w:t>法定代表人或其委托代理人：</w:t>
            </w:r>
          </w:p>
          <w:p w14:paraId="3837FB06">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r>
              <w:rPr>
                <w:rFonts w:hint="eastAsia" w:hAnsi="宋体" w:eastAsia="宋体" w:cs="Times New Roman"/>
                <w:color w:val="auto"/>
                <w:sz w:val="21"/>
                <w:szCs w:val="21"/>
              </w:rPr>
              <w:t>（签字）</w:t>
            </w:r>
          </w:p>
          <w:p w14:paraId="28263D22">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p>
        </w:tc>
      </w:tr>
      <w:tr w14:paraId="4D437990">
        <w:tblPrEx>
          <w:tblCellMar>
            <w:top w:w="0" w:type="dxa"/>
            <w:left w:w="108" w:type="dxa"/>
            <w:bottom w:w="0" w:type="dxa"/>
            <w:right w:w="108" w:type="dxa"/>
          </w:tblCellMar>
        </w:tblPrEx>
        <w:tc>
          <w:tcPr>
            <w:tcW w:w="4507" w:type="dxa"/>
            <w:noWrap w:val="0"/>
            <w:vAlign w:val="top"/>
          </w:tcPr>
          <w:p w14:paraId="4E3A4F49">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int="eastAsia" w:hAnsi="宋体" w:eastAsia="宋体" w:cs="Times New Roman"/>
                <w:color w:val="auto"/>
                <w:sz w:val="21"/>
                <w:szCs w:val="21"/>
              </w:rPr>
            </w:pPr>
            <w:r>
              <w:rPr>
                <w:rFonts w:hint="eastAsia" w:hAnsi="宋体" w:eastAsia="宋体" w:cs="Times New Roman"/>
                <w:color w:val="auto"/>
                <w:sz w:val="21"/>
                <w:szCs w:val="21"/>
              </w:rPr>
              <w:t>统一社会信用代码：</w:t>
            </w:r>
            <w:r>
              <w:rPr>
                <w:rFonts w:hAnsi="宋体" w:eastAsia="宋体" w:cs="Times New Roman"/>
                <w:color w:val="auto"/>
                <w:kern w:val="0"/>
                <w:sz w:val="21"/>
                <w:szCs w:val="21"/>
                <w:u w:val="single"/>
              </w:rPr>
              <w:t xml:space="preserve">           </w:t>
            </w:r>
          </w:p>
          <w:p w14:paraId="4458228A">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r>
              <w:rPr>
                <w:rFonts w:hint="eastAsia" w:hAnsi="宋体" w:eastAsia="宋体" w:cs="Times New Roman"/>
                <w:color w:val="auto"/>
                <w:sz w:val="21"/>
                <w:szCs w:val="21"/>
              </w:rPr>
              <w:t>地址：</w:t>
            </w:r>
            <w:r>
              <w:rPr>
                <w:rFonts w:hAnsi="宋体" w:eastAsia="宋体" w:cs="Times New Roman"/>
                <w:color w:val="auto"/>
                <w:kern w:val="0"/>
                <w:sz w:val="21"/>
                <w:szCs w:val="21"/>
                <w:u w:val="single"/>
              </w:rPr>
              <w:t xml:space="preserve">                       </w:t>
            </w:r>
          </w:p>
          <w:p w14:paraId="0F2FB8CA">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int="eastAsia" w:hAnsi="宋体" w:eastAsia="宋体" w:cs="Times New Roman"/>
                <w:color w:val="auto"/>
                <w:sz w:val="21"/>
                <w:szCs w:val="21"/>
              </w:rPr>
            </w:pPr>
            <w:r>
              <w:rPr>
                <w:rFonts w:hint="eastAsia" w:hAnsi="宋体" w:eastAsia="宋体" w:cs="Times New Roman"/>
                <w:color w:val="auto"/>
                <w:sz w:val="21"/>
                <w:szCs w:val="21"/>
              </w:rPr>
              <w:t>邮政编码：</w:t>
            </w:r>
            <w:r>
              <w:rPr>
                <w:rFonts w:hAnsi="宋体" w:eastAsia="宋体" w:cs="Times New Roman"/>
                <w:color w:val="auto"/>
                <w:kern w:val="0"/>
                <w:sz w:val="21"/>
                <w:szCs w:val="21"/>
                <w:u w:val="single"/>
              </w:rPr>
              <w:t xml:space="preserve">                   </w:t>
            </w:r>
          </w:p>
          <w:p w14:paraId="28764283">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r>
              <w:rPr>
                <w:rFonts w:hint="eastAsia" w:hAnsi="宋体" w:eastAsia="宋体" w:cs="Times New Roman"/>
                <w:color w:val="auto"/>
                <w:sz w:val="21"/>
                <w:szCs w:val="21"/>
              </w:rPr>
              <w:t>法定代表人：</w:t>
            </w:r>
            <w:r>
              <w:rPr>
                <w:rFonts w:hAnsi="宋体" w:eastAsia="宋体" w:cs="Times New Roman"/>
                <w:color w:val="auto"/>
                <w:kern w:val="0"/>
                <w:sz w:val="21"/>
                <w:szCs w:val="21"/>
                <w:u w:val="single"/>
              </w:rPr>
              <w:t xml:space="preserve">                 </w:t>
            </w:r>
          </w:p>
          <w:p w14:paraId="0CF0A1E1">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r>
              <w:rPr>
                <w:rFonts w:hint="eastAsia" w:hAnsi="宋体" w:eastAsia="宋体" w:cs="Times New Roman"/>
                <w:color w:val="auto"/>
                <w:sz w:val="21"/>
                <w:szCs w:val="21"/>
              </w:rPr>
              <w:t>委托代理人：</w:t>
            </w:r>
            <w:r>
              <w:rPr>
                <w:rFonts w:hAnsi="宋体" w:eastAsia="宋体" w:cs="Times New Roman"/>
                <w:color w:val="auto"/>
                <w:kern w:val="0"/>
                <w:sz w:val="21"/>
                <w:szCs w:val="21"/>
                <w:u w:val="single"/>
              </w:rPr>
              <w:t xml:space="preserve">                 </w:t>
            </w:r>
          </w:p>
          <w:p w14:paraId="4C83EAB9">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r>
              <w:rPr>
                <w:rFonts w:hint="eastAsia" w:hAnsi="宋体" w:eastAsia="宋体" w:cs="Times New Roman"/>
                <w:color w:val="auto"/>
                <w:sz w:val="21"/>
                <w:szCs w:val="21"/>
              </w:rPr>
              <w:t>电话：</w:t>
            </w:r>
            <w:r>
              <w:rPr>
                <w:rFonts w:hAnsi="宋体" w:eastAsia="宋体" w:cs="Times New Roman"/>
                <w:color w:val="auto"/>
                <w:kern w:val="0"/>
                <w:sz w:val="21"/>
                <w:szCs w:val="21"/>
                <w:u w:val="single"/>
              </w:rPr>
              <w:t xml:space="preserve">                       </w:t>
            </w:r>
          </w:p>
          <w:p w14:paraId="43CCDE82">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r>
              <w:rPr>
                <w:rFonts w:hint="eastAsia" w:hAnsi="宋体" w:eastAsia="宋体" w:cs="Times New Roman"/>
                <w:color w:val="auto"/>
                <w:sz w:val="21"/>
                <w:szCs w:val="21"/>
              </w:rPr>
              <w:t xml:space="preserve">传真： </w:t>
            </w:r>
            <w:r>
              <w:rPr>
                <w:rFonts w:hAnsi="宋体" w:eastAsia="宋体" w:cs="Times New Roman"/>
                <w:color w:val="auto"/>
                <w:kern w:val="0"/>
                <w:sz w:val="21"/>
                <w:szCs w:val="21"/>
                <w:u w:val="single"/>
              </w:rPr>
              <w:t xml:space="preserve">                      </w:t>
            </w:r>
          </w:p>
          <w:p w14:paraId="22C2E001">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int="eastAsia" w:hAnsi="宋体" w:eastAsia="宋体" w:cs="Times New Roman"/>
                <w:color w:val="auto"/>
                <w:sz w:val="21"/>
                <w:szCs w:val="21"/>
              </w:rPr>
            </w:pPr>
            <w:r>
              <w:rPr>
                <w:rFonts w:hint="eastAsia" w:hAnsi="宋体" w:eastAsia="宋体" w:cs="Times New Roman"/>
                <w:color w:val="auto"/>
                <w:sz w:val="21"/>
                <w:szCs w:val="21"/>
              </w:rPr>
              <w:t>电子信箱：</w:t>
            </w:r>
            <w:r>
              <w:rPr>
                <w:rFonts w:hAnsi="宋体" w:eastAsia="宋体" w:cs="Times New Roman"/>
                <w:color w:val="auto"/>
                <w:kern w:val="0"/>
                <w:sz w:val="21"/>
                <w:szCs w:val="21"/>
                <w:u w:val="single"/>
              </w:rPr>
              <w:t xml:space="preserve">                   </w:t>
            </w:r>
          </w:p>
          <w:p w14:paraId="00009073">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r>
              <w:rPr>
                <w:rFonts w:hint="eastAsia" w:hAnsi="宋体" w:eastAsia="宋体" w:cs="Times New Roman"/>
                <w:color w:val="auto"/>
                <w:sz w:val="21"/>
                <w:szCs w:val="21"/>
              </w:rPr>
              <w:t>开户银行：</w:t>
            </w:r>
            <w:r>
              <w:rPr>
                <w:rFonts w:hAnsi="宋体" w:eastAsia="宋体" w:cs="Times New Roman"/>
                <w:color w:val="auto"/>
                <w:kern w:val="0"/>
                <w:sz w:val="21"/>
                <w:szCs w:val="21"/>
                <w:u w:val="single"/>
              </w:rPr>
              <w:t xml:space="preserve">                   </w:t>
            </w:r>
          </w:p>
          <w:p w14:paraId="2C97CCFD">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r>
              <w:rPr>
                <w:rFonts w:hint="eastAsia" w:hAnsi="宋体" w:eastAsia="宋体" w:cs="Times New Roman"/>
                <w:color w:val="auto"/>
                <w:sz w:val="21"/>
                <w:szCs w:val="21"/>
              </w:rPr>
              <w:t>账号：</w:t>
            </w:r>
            <w:r>
              <w:rPr>
                <w:rFonts w:hAnsi="宋体" w:eastAsia="宋体" w:cs="Times New Roman"/>
                <w:color w:val="auto"/>
                <w:kern w:val="0"/>
                <w:sz w:val="21"/>
                <w:szCs w:val="21"/>
                <w:u w:val="single"/>
              </w:rPr>
              <w:t xml:space="preserve">                       </w:t>
            </w:r>
          </w:p>
        </w:tc>
        <w:tc>
          <w:tcPr>
            <w:tcW w:w="4565" w:type="dxa"/>
            <w:noWrap w:val="0"/>
            <w:vAlign w:val="top"/>
          </w:tcPr>
          <w:p w14:paraId="4DAAD340">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r>
              <w:rPr>
                <w:rFonts w:hint="eastAsia" w:hAnsi="宋体" w:eastAsia="宋体" w:cs="Times New Roman"/>
                <w:color w:val="auto"/>
                <w:sz w:val="21"/>
                <w:szCs w:val="21"/>
              </w:rPr>
              <w:t>统一社会信用代码：</w:t>
            </w:r>
            <w:r>
              <w:rPr>
                <w:rFonts w:hAnsi="宋体" w:eastAsia="宋体" w:cs="Times New Roman"/>
                <w:color w:val="auto"/>
                <w:kern w:val="0"/>
                <w:sz w:val="21"/>
                <w:szCs w:val="21"/>
                <w:u w:val="single"/>
              </w:rPr>
              <w:t xml:space="preserve">            </w:t>
            </w:r>
          </w:p>
          <w:p w14:paraId="1FF19472">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r>
              <w:rPr>
                <w:rFonts w:hint="eastAsia" w:hAnsi="宋体" w:eastAsia="宋体" w:cs="Times New Roman"/>
                <w:color w:val="auto"/>
                <w:sz w:val="21"/>
                <w:szCs w:val="21"/>
              </w:rPr>
              <w:t>地址：</w:t>
            </w:r>
            <w:r>
              <w:rPr>
                <w:rFonts w:hAnsi="宋体" w:eastAsia="宋体" w:cs="Times New Roman"/>
                <w:color w:val="auto"/>
                <w:kern w:val="0"/>
                <w:sz w:val="21"/>
                <w:szCs w:val="21"/>
                <w:u w:val="single"/>
              </w:rPr>
              <w:t xml:space="preserve">                        </w:t>
            </w:r>
          </w:p>
          <w:p w14:paraId="4E778594">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int="eastAsia" w:hAnsi="宋体" w:eastAsia="宋体" w:cs="Times New Roman"/>
                <w:color w:val="auto"/>
                <w:sz w:val="21"/>
                <w:szCs w:val="21"/>
              </w:rPr>
            </w:pPr>
            <w:r>
              <w:rPr>
                <w:rFonts w:hint="eastAsia" w:hAnsi="宋体" w:eastAsia="宋体" w:cs="Times New Roman"/>
                <w:color w:val="auto"/>
                <w:sz w:val="21"/>
                <w:szCs w:val="21"/>
              </w:rPr>
              <w:t>邮政编码：</w:t>
            </w:r>
            <w:r>
              <w:rPr>
                <w:rFonts w:hAnsi="宋体" w:eastAsia="宋体" w:cs="Times New Roman"/>
                <w:color w:val="auto"/>
                <w:kern w:val="0"/>
                <w:sz w:val="21"/>
                <w:szCs w:val="21"/>
                <w:u w:val="single"/>
              </w:rPr>
              <w:t xml:space="preserve">                    </w:t>
            </w:r>
          </w:p>
          <w:p w14:paraId="44D65C69">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r>
              <w:rPr>
                <w:rFonts w:hint="eastAsia" w:hAnsi="宋体" w:eastAsia="宋体" w:cs="Times New Roman"/>
                <w:color w:val="auto"/>
                <w:sz w:val="21"/>
                <w:szCs w:val="21"/>
              </w:rPr>
              <w:t>法定代表人：</w:t>
            </w:r>
            <w:r>
              <w:rPr>
                <w:rFonts w:hAnsi="宋体" w:eastAsia="宋体" w:cs="Times New Roman"/>
                <w:color w:val="auto"/>
                <w:kern w:val="0"/>
                <w:sz w:val="21"/>
                <w:szCs w:val="21"/>
                <w:u w:val="single"/>
              </w:rPr>
              <w:t xml:space="preserve">                  </w:t>
            </w:r>
          </w:p>
          <w:p w14:paraId="66BBF1C0">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r>
              <w:rPr>
                <w:rFonts w:hint="eastAsia" w:hAnsi="宋体" w:eastAsia="宋体" w:cs="Times New Roman"/>
                <w:color w:val="auto"/>
                <w:sz w:val="21"/>
                <w:szCs w:val="21"/>
              </w:rPr>
              <w:t>委托代理人：</w:t>
            </w:r>
            <w:r>
              <w:rPr>
                <w:rFonts w:hAnsi="宋体" w:eastAsia="宋体" w:cs="Times New Roman"/>
                <w:color w:val="auto"/>
                <w:kern w:val="0"/>
                <w:sz w:val="21"/>
                <w:szCs w:val="21"/>
                <w:u w:val="single"/>
              </w:rPr>
              <w:t xml:space="preserve">                </w:t>
            </w:r>
            <w:r>
              <w:rPr>
                <w:rFonts w:hint="eastAsia" w:hAnsi="宋体" w:eastAsia="宋体" w:cs="Times New Roman"/>
                <w:color w:val="auto"/>
                <w:kern w:val="0"/>
                <w:sz w:val="21"/>
                <w:szCs w:val="21"/>
                <w:u w:val="single"/>
              </w:rPr>
              <w:t xml:space="preserve"> </w:t>
            </w:r>
            <w:r>
              <w:rPr>
                <w:rFonts w:hAnsi="宋体" w:eastAsia="宋体" w:cs="Times New Roman"/>
                <w:color w:val="auto"/>
                <w:kern w:val="0"/>
                <w:sz w:val="21"/>
                <w:szCs w:val="21"/>
                <w:u w:val="single"/>
              </w:rPr>
              <w:t xml:space="preserve"> </w:t>
            </w:r>
          </w:p>
          <w:p w14:paraId="7F4732FD">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r>
              <w:rPr>
                <w:rFonts w:hint="eastAsia" w:hAnsi="宋体" w:eastAsia="宋体" w:cs="Times New Roman"/>
                <w:color w:val="auto"/>
                <w:sz w:val="21"/>
                <w:szCs w:val="21"/>
              </w:rPr>
              <w:t>电话：</w:t>
            </w:r>
            <w:r>
              <w:rPr>
                <w:rFonts w:hAnsi="宋体" w:eastAsia="宋体" w:cs="Times New Roman"/>
                <w:color w:val="auto"/>
                <w:kern w:val="0"/>
                <w:sz w:val="21"/>
                <w:szCs w:val="21"/>
                <w:u w:val="single"/>
              </w:rPr>
              <w:t xml:space="preserve">                   </w:t>
            </w:r>
            <w:r>
              <w:rPr>
                <w:rFonts w:hint="eastAsia" w:hAnsi="宋体" w:eastAsia="宋体" w:cs="Times New Roman"/>
                <w:color w:val="auto"/>
                <w:kern w:val="0"/>
                <w:sz w:val="21"/>
                <w:szCs w:val="21"/>
                <w:u w:val="single"/>
              </w:rPr>
              <w:t xml:space="preserve"> </w:t>
            </w:r>
            <w:r>
              <w:rPr>
                <w:rFonts w:hAnsi="宋体" w:eastAsia="宋体" w:cs="Times New Roman"/>
                <w:color w:val="auto"/>
                <w:kern w:val="0"/>
                <w:sz w:val="21"/>
                <w:szCs w:val="21"/>
                <w:u w:val="single"/>
              </w:rPr>
              <w:t xml:space="preserve">    </w:t>
            </w:r>
          </w:p>
          <w:p w14:paraId="396B2637">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r>
              <w:rPr>
                <w:rFonts w:hint="eastAsia" w:hAnsi="宋体" w:eastAsia="宋体" w:cs="Times New Roman"/>
                <w:color w:val="auto"/>
                <w:sz w:val="21"/>
                <w:szCs w:val="21"/>
              </w:rPr>
              <w:t>传真：</w:t>
            </w:r>
            <w:r>
              <w:rPr>
                <w:rFonts w:hAnsi="宋体" w:eastAsia="宋体" w:cs="Times New Roman"/>
                <w:color w:val="auto"/>
                <w:kern w:val="0"/>
                <w:sz w:val="21"/>
                <w:szCs w:val="21"/>
                <w:u w:val="single"/>
              </w:rPr>
              <w:t xml:space="preserve">                   </w:t>
            </w:r>
            <w:r>
              <w:rPr>
                <w:rFonts w:hint="eastAsia" w:hAnsi="宋体" w:eastAsia="宋体" w:cs="Times New Roman"/>
                <w:color w:val="auto"/>
                <w:kern w:val="0"/>
                <w:sz w:val="21"/>
                <w:szCs w:val="21"/>
                <w:u w:val="single"/>
              </w:rPr>
              <w:t xml:space="preserve"> </w:t>
            </w:r>
            <w:r>
              <w:rPr>
                <w:rFonts w:hAnsi="宋体" w:eastAsia="宋体" w:cs="Times New Roman"/>
                <w:color w:val="auto"/>
                <w:kern w:val="0"/>
                <w:sz w:val="21"/>
                <w:szCs w:val="21"/>
                <w:u w:val="single"/>
              </w:rPr>
              <w:t xml:space="preserve">    </w:t>
            </w:r>
          </w:p>
          <w:p w14:paraId="635B8A5B">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r>
              <w:rPr>
                <w:rFonts w:hint="eastAsia" w:hAnsi="宋体" w:eastAsia="宋体" w:cs="Times New Roman"/>
                <w:color w:val="auto"/>
                <w:sz w:val="21"/>
                <w:szCs w:val="21"/>
              </w:rPr>
              <w:t>电子信箱：</w:t>
            </w:r>
            <w:r>
              <w:rPr>
                <w:rFonts w:hAnsi="宋体" w:eastAsia="宋体" w:cs="Times New Roman"/>
                <w:color w:val="auto"/>
                <w:kern w:val="0"/>
                <w:sz w:val="21"/>
                <w:szCs w:val="21"/>
                <w:u w:val="single"/>
              </w:rPr>
              <w:t xml:space="preserve">               </w:t>
            </w:r>
            <w:r>
              <w:rPr>
                <w:rFonts w:hint="eastAsia" w:hAnsi="宋体" w:eastAsia="宋体" w:cs="Times New Roman"/>
                <w:color w:val="auto"/>
                <w:kern w:val="0"/>
                <w:sz w:val="21"/>
                <w:szCs w:val="21"/>
                <w:u w:val="single"/>
              </w:rPr>
              <w:t xml:space="preserve"> </w:t>
            </w:r>
            <w:r>
              <w:rPr>
                <w:rFonts w:hAnsi="宋体" w:eastAsia="宋体" w:cs="Times New Roman"/>
                <w:color w:val="auto"/>
                <w:kern w:val="0"/>
                <w:sz w:val="21"/>
                <w:szCs w:val="21"/>
                <w:u w:val="single"/>
              </w:rPr>
              <w:t xml:space="preserve">    </w:t>
            </w:r>
          </w:p>
          <w:p w14:paraId="7046006E">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r>
              <w:rPr>
                <w:rFonts w:hint="eastAsia" w:hAnsi="宋体" w:eastAsia="宋体" w:cs="Times New Roman"/>
                <w:color w:val="auto"/>
                <w:sz w:val="21"/>
                <w:szCs w:val="21"/>
              </w:rPr>
              <w:t>开户银行：</w:t>
            </w:r>
            <w:r>
              <w:rPr>
                <w:rFonts w:hAnsi="宋体" w:eastAsia="宋体" w:cs="Times New Roman"/>
                <w:color w:val="auto"/>
                <w:kern w:val="0"/>
                <w:sz w:val="21"/>
                <w:szCs w:val="21"/>
                <w:u w:val="single"/>
              </w:rPr>
              <w:t xml:space="preserve">                 </w:t>
            </w:r>
            <w:r>
              <w:rPr>
                <w:rFonts w:hint="eastAsia" w:hAnsi="宋体" w:eastAsia="宋体" w:cs="Times New Roman"/>
                <w:color w:val="auto"/>
                <w:kern w:val="0"/>
                <w:sz w:val="21"/>
                <w:szCs w:val="21"/>
                <w:u w:val="single"/>
              </w:rPr>
              <w:t xml:space="preserve"> </w:t>
            </w:r>
            <w:r>
              <w:rPr>
                <w:rFonts w:hAnsi="宋体" w:eastAsia="宋体" w:cs="Times New Roman"/>
                <w:color w:val="auto"/>
                <w:kern w:val="0"/>
                <w:sz w:val="21"/>
                <w:szCs w:val="21"/>
                <w:u w:val="single"/>
              </w:rPr>
              <w:t xml:space="preserve">  </w:t>
            </w:r>
          </w:p>
          <w:p w14:paraId="3F476BA6">
            <w:pPr>
              <w:pStyle w:val="150"/>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color w:val="auto"/>
                <w:sz w:val="21"/>
                <w:szCs w:val="21"/>
              </w:rPr>
            </w:pPr>
            <w:r>
              <w:rPr>
                <w:rFonts w:hint="eastAsia" w:hAnsi="宋体" w:eastAsia="宋体" w:cs="Times New Roman"/>
                <w:color w:val="auto"/>
                <w:sz w:val="21"/>
                <w:szCs w:val="21"/>
              </w:rPr>
              <w:t>账号：</w:t>
            </w:r>
            <w:r>
              <w:rPr>
                <w:rFonts w:hAnsi="宋体" w:eastAsia="宋体" w:cs="Times New Roman"/>
                <w:color w:val="auto"/>
                <w:sz w:val="21"/>
                <w:szCs w:val="21"/>
                <w:u w:val="single"/>
              </w:rPr>
              <w:t xml:space="preserve">                     </w:t>
            </w:r>
            <w:r>
              <w:rPr>
                <w:rFonts w:hint="eastAsia" w:hAnsi="宋体" w:eastAsia="宋体" w:cs="Times New Roman"/>
                <w:color w:val="auto"/>
                <w:sz w:val="21"/>
                <w:szCs w:val="21"/>
                <w:u w:val="single"/>
              </w:rPr>
              <w:t xml:space="preserve"> </w:t>
            </w:r>
            <w:r>
              <w:rPr>
                <w:rFonts w:hAnsi="宋体" w:eastAsia="宋体" w:cs="Times New Roman"/>
                <w:color w:val="auto"/>
                <w:sz w:val="21"/>
                <w:szCs w:val="21"/>
                <w:u w:val="single"/>
              </w:rPr>
              <w:t xml:space="preserve">  </w:t>
            </w:r>
          </w:p>
        </w:tc>
      </w:tr>
    </w:tbl>
    <w:p w14:paraId="04B1F87A">
      <w:pPr>
        <w:rPr>
          <w:rFonts w:ascii="宋体" w:hAnsi="宋体"/>
          <w:color w:val="auto"/>
          <w:szCs w:val="21"/>
        </w:rPr>
        <w:sectPr>
          <w:footerReference r:id="rId7" w:type="default"/>
          <w:pgSz w:w="11906" w:h="16838"/>
          <w:pgMar w:top="1440" w:right="1800" w:bottom="1440" w:left="1800" w:header="720" w:footer="850" w:gutter="0"/>
          <w:cols w:space="720" w:num="1"/>
          <w:docGrid w:linePitch="326" w:charSpace="0"/>
        </w:sectPr>
      </w:pPr>
      <w:r>
        <w:rPr>
          <w:rFonts w:ascii="宋体" w:hAnsi="宋体"/>
          <w:color w:val="auto"/>
          <w:szCs w:val="21"/>
        </w:rPr>
        <w:tab/>
      </w:r>
    </w:p>
    <w:p w14:paraId="6B2F4B81">
      <w:pPr>
        <w:pStyle w:val="83"/>
        <w:spacing w:before="48"/>
        <w:rPr>
          <w:rFonts w:hint="eastAsia"/>
          <w:color w:val="auto"/>
          <w:sz w:val="28"/>
          <w:szCs w:val="28"/>
        </w:rPr>
      </w:pPr>
      <w:bookmarkStart w:id="1020" w:name="_Toc154063495"/>
      <w:bookmarkStart w:id="1021" w:name="_Toc54862176"/>
      <w:r>
        <w:rPr>
          <w:rFonts w:hint="eastAsia"/>
          <w:color w:val="auto"/>
          <w:sz w:val="28"/>
          <w:szCs w:val="28"/>
        </w:rPr>
        <w:t>第二节</w:t>
      </w:r>
      <w:r>
        <w:rPr>
          <w:color w:val="auto"/>
          <w:sz w:val="28"/>
          <w:szCs w:val="28"/>
        </w:rPr>
        <w:t xml:space="preserve"> </w:t>
      </w:r>
      <w:r>
        <w:rPr>
          <w:rFonts w:hint="eastAsia"/>
          <w:color w:val="auto"/>
          <w:sz w:val="28"/>
          <w:szCs w:val="28"/>
        </w:rPr>
        <w:t>通用合同条件</w:t>
      </w:r>
      <w:bookmarkEnd w:id="1020"/>
      <w:bookmarkEnd w:id="1021"/>
    </w:p>
    <w:p w14:paraId="71DB497B">
      <w:pPr>
        <w:pStyle w:val="142"/>
        <w:keepNext w:val="0"/>
        <w:keepLines w:val="0"/>
        <w:widowControl/>
        <w:adjustRightInd w:val="0"/>
        <w:snapToGrid w:val="0"/>
        <w:spacing w:before="0" w:after="50" w:line="360" w:lineRule="auto"/>
        <w:rPr>
          <w:rFonts w:hint="eastAsia"/>
          <w:color w:val="auto"/>
          <w:sz w:val="21"/>
          <w:szCs w:val="21"/>
        </w:rPr>
      </w:pPr>
    </w:p>
    <w:p w14:paraId="1BAC0EFA">
      <w:pPr>
        <w:spacing w:line="400" w:lineRule="exact"/>
        <w:jc w:val="center"/>
        <w:rPr>
          <w:rFonts w:ascii="黑体" w:eastAsia="黑体"/>
          <w:color w:val="auto"/>
          <w:sz w:val="28"/>
          <w:szCs w:val="28"/>
        </w:rPr>
      </w:pPr>
      <w:r>
        <w:rPr>
          <w:rFonts w:hint="eastAsia" w:ascii="黑体" w:eastAsia="黑体"/>
          <w:color w:val="auto"/>
          <w:sz w:val="28"/>
          <w:szCs w:val="28"/>
        </w:rPr>
        <w:t>通用合同条件</w:t>
      </w:r>
    </w:p>
    <w:p w14:paraId="65474DA0">
      <w:pPr>
        <w:rPr>
          <w:rFonts w:hint="eastAsia"/>
          <w:color w:val="auto"/>
          <w:lang w:val="zh-CN"/>
        </w:rPr>
      </w:pPr>
    </w:p>
    <w:p w14:paraId="2AEFE876">
      <w:pPr>
        <w:pStyle w:val="3"/>
        <w:spacing w:before="48" w:line="360" w:lineRule="auto"/>
        <w:rPr>
          <w:rFonts w:ascii="黑体" w:hAnsi="黑体"/>
          <w:bCs w:val="0"/>
          <w:color w:val="auto"/>
          <w:sz w:val="28"/>
        </w:rPr>
      </w:pPr>
      <w:bookmarkStart w:id="1022" w:name="_Toc154063496"/>
      <w:bookmarkStart w:id="1023" w:name="_Toc54862177"/>
      <w:bookmarkStart w:id="1024" w:name="_Ref508893699"/>
      <w:bookmarkStart w:id="1025" w:name="_Ref509040831"/>
      <w:bookmarkStart w:id="1026" w:name="_Ref509040826"/>
      <w:r>
        <w:rPr>
          <w:rFonts w:hint="eastAsia" w:ascii="黑体" w:hAnsi="黑体"/>
          <w:bCs w:val="0"/>
          <w:color w:val="auto"/>
          <w:sz w:val="28"/>
        </w:rPr>
        <w:t xml:space="preserve">第1条 </w:t>
      </w:r>
      <w:r>
        <w:rPr>
          <w:rFonts w:ascii="黑体" w:hAnsi="黑体"/>
          <w:bCs w:val="0"/>
          <w:color w:val="auto"/>
          <w:sz w:val="28"/>
        </w:rPr>
        <w:t>一般</w:t>
      </w:r>
      <w:r>
        <w:rPr>
          <w:rFonts w:hint="eastAsia" w:ascii="黑体" w:hAnsi="黑体"/>
          <w:bCs w:val="0"/>
          <w:color w:val="auto"/>
          <w:sz w:val="28"/>
        </w:rPr>
        <w:t>约</w:t>
      </w:r>
      <w:r>
        <w:rPr>
          <w:rFonts w:ascii="黑体" w:hAnsi="黑体"/>
          <w:bCs w:val="0"/>
          <w:color w:val="auto"/>
          <w:sz w:val="28"/>
        </w:rPr>
        <w:t>定</w:t>
      </w:r>
      <w:bookmarkEnd w:id="1022"/>
      <w:bookmarkEnd w:id="1023"/>
      <w:bookmarkEnd w:id="1024"/>
    </w:p>
    <w:p w14:paraId="2E9A087A">
      <w:pPr>
        <w:pStyle w:val="4"/>
        <w:spacing w:before="120" w:line="360" w:lineRule="auto"/>
        <w:rPr>
          <w:color w:val="auto"/>
        </w:rPr>
      </w:pPr>
      <w:bookmarkStart w:id="1027" w:name="_Toc54862178"/>
      <w:bookmarkStart w:id="1028" w:name="_Toc154063497"/>
      <w:bookmarkStart w:id="1029" w:name="_Ref523741474"/>
      <w:bookmarkStart w:id="1030" w:name="_Ref523741471"/>
      <w:r>
        <w:rPr>
          <w:rFonts w:hint="eastAsia"/>
          <w:color w:val="auto"/>
        </w:rPr>
        <w:t>1</w:t>
      </w:r>
      <w:r>
        <w:rPr>
          <w:color w:val="auto"/>
        </w:rPr>
        <w:t xml:space="preserve">.1 </w:t>
      </w:r>
      <w:r>
        <w:rPr>
          <w:rFonts w:hint="eastAsia"/>
          <w:color w:val="auto"/>
        </w:rPr>
        <w:t>词语定义和解释</w:t>
      </w:r>
      <w:bookmarkEnd w:id="1025"/>
      <w:bookmarkEnd w:id="1026"/>
      <w:bookmarkEnd w:id="1027"/>
      <w:bookmarkEnd w:id="1028"/>
      <w:bookmarkEnd w:id="1029"/>
      <w:bookmarkEnd w:id="1030"/>
    </w:p>
    <w:p w14:paraId="18915FCE">
      <w:pPr>
        <w:spacing w:line="360" w:lineRule="auto"/>
        <w:ind w:firstLine="420" w:firstLineChars="200"/>
        <w:rPr>
          <w:rFonts w:ascii="宋体" w:hAnsi="宋体"/>
          <w:color w:val="auto"/>
          <w:szCs w:val="21"/>
        </w:rPr>
      </w:pPr>
      <w:r>
        <w:rPr>
          <w:rFonts w:hint="eastAsia" w:ascii="宋体" w:hAnsi="宋体"/>
          <w:color w:val="auto"/>
          <w:szCs w:val="21"/>
        </w:rPr>
        <w:t>合同协议书、通用合同条件、专用合同条件中的下列词语应具有本款所赋予的含义：</w:t>
      </w:r>
    </w:p>
    <w:p w14:paraId="29982DD3">
      <w:pPr>
        <w:pStyle w:val="130"/>
        <w:numPr>
          <w:ilvl w:val="0"/>
          <w:numId w:val="0"/>
        </w:numPr>
        <w:ind w:firstLine="420" w:firstLineChars="200"/>
        <w:rPr>
          <w:color w:val="auto"/>
          <w:sz w:val="21"/>
        </w:rPr>
      </w:pPr>
      <w:bookmarkStart w:id="1031" w:name="_Ref4757289"/>
      <w:bookmarkStart w:id="1032" w:name="_Ref521288340"/>
      <w:r>
        <w:rPr>
          <w:rFonts w:hint="eastAsia"/>
          <w:color w:val="auto"/>
          <w:sz w:val="21"/>
        </w:rPr>
        <w:t>1</w:t>
      </w:r>
      <w:r>
        <w:rPr>
          <w:color w:val="auto"/>
          <w:sz w:val="21"/>
        </w:rPr>
        <w:t xml:space="preserve">.1.1 </w:t>
      </w:r>
      <w:r>
        <w:rPr>
          <w:rFonts w:hint="eastAsia"/>
          <w:color w:val="auto"/>
          <w:sz w:val="21"/>
        </w:rPr>
        <w:t>合同</w:t>
      </w:r>
      <w:bookmarkEnd w:id="1031"/>
    </w:p>
    <w:p w14:paraId="5E1BF301">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.1.1.1 </w:t>
      </w:r>
      <w:r>
        <w:rPr>
          <w:rFonts w:hint="eastAsia"/>
          <w:color w:val="auto"/>
          <w:sz w:val="21"/>
        </w:rPr>
        <w:t>合同：是指根据法律规定和合同当事人约定具有约束力的文件，构成合同的文件包括合同协议书、中标通知书（如果有）、投标函及其附录（如果有）、专用合同条件及其附件、通用合同条件、《发包人要求》、承包人建议书、价格清单以及双方约定的其他合同文件。</w:t>
      </w:r>
    </w:p>
    <w:p w14:paraId="5611C0EE">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.1.1.2 </w:t>
      </w:r>
      <w:r>
        <w:rPr>
          <w:rFonts w:hint="eastAsia"/>
          <w:color w:val="auto"/>
          <w:sz w:val="21"/>
        </w:rPr>
        <w:t>合同协议书：是指构成合同的由发包人和承包人共同签署的称为“合同协议书”的书面文件。</w:t>
      </w:r>
    </w:p>
    <w:p w14:paraId="3D1281DD">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.1.1.3 </w:t>
      </w:r>
      <w:r>
        <w:rPr>
          <w:rFonts w:hint="eastAsia"/>
          <w:color w:val="auto"/>
          <w:sz w:val="21"/>
        </w:rPr>
        <w:t>中标通知书：是指构成合同的由发包人通知承包人中标的书面文件。中标通知书随附的澄清、说明、补正事项纪要等，是中标通知书的组成部分。</w:t>
      </w:r>
    </w:p>
    <w:p w14:paraId="4522E2C9">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.1.1.4 </w:t>
      </w:r>
      <w:r>
        <w:rPr>
          <w:rFonts w:hint="eastAsia"/>
          <w:color w:val="auto"/>
          <w:sz w:val="21"/>
        </w:rPr>
        <w:t>投标函：是指构成合同的由承包人填写并签署的用于投标的称为“投标函”的文件。</w:t>
      </w:r>
    </w:p>
    <w:p w14:paraId="5A0D2172">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.1.1.5 </w:t>
      </w:r>
      <w:r>
        <w:rPr>
          <w:rFonts w:hint="eastAsia"/>
          <w:color w:val="auto"/>
          <w:sz w:val="21"/>
        </w:rPr>
        <w:t>投标函附录：是指构成合同的附在投标函后的称为“投标函附录”的文件。</w:t>
      </w:r>
    </w:p>
    <w:p w14:paraId="689BDF56">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.1.1.6 </w:t>
      </w:r>
      <w:r>
        <w:rPr>
          <w:rFonts w:hint="eastAsia"/>
          <w:color w:val="auto"/>
          <w:sz w:val="21"/>
        </w:rPr>
        <w:t>《发包人要求》：指构成合同文件组成部分的名为《发包人要求》的文件，其中列明工程的目的、范围、设计与其他技术标准和要求，以及合同双方当事人约定对其所作的修改或补充。</w:t>
      </w:r>
    </w:p>
    <w:p w14:paraId="691BC5B0">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.1.1.7 </w:t>
      </w:r>
      <w:r>
        <w:rPr>
          <w:rFonts w:hint="eastAsia"/>
          <w:color w:val="auto"/>
          <w:sz w:val="21"/>
        </w:rPr>
        <w:t>项目清单：是指发包人提供的载明工程总承包项目勘察费（如果有）、设计费、建筑安装工程费、设备购置费、暂估价、暂列金额和双方约定的其他费用的名称和相应数量等内容的项目明细。</w:t>
      </w:r>
    </w:p>
    <w:p w14:paraId="68E2264A">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.1.1.8 </w:t>
      </w:r>
      <w:r>
        <w:rPr>
          <w:rFonts w:hint="eastAsia"/>
          <w:color w:val="auto"/>
          <w:sz w:val="21"/>
        </w:rPr>
        <w:t>价格清单：指构成合同文件组成部分的由承包人按发包人提供的项目清单规定的格式和要求填写并标明价格的清单。</w:t>
      </w:r>
    </w:p>
    <w:p w14:paraId="1E11B1CC">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.1.1.9 </w:t>
      </w:r>
      <w:r>
        <w:rPr>
          <w:rFonts w:hint="eastAsia"/>
          <w:color w:val="auto"/>
          <w:sz w:val="21"/>
        </w:rPr>
        <w:t>承包人建议书：指构成合同文件组成部分的名为承包人建议书的文件。承包人建议书由承包人随投标函一起提交。</w:t>
      </w:r>
    </w:p>
    <w:p w14:paraId="299EFA9B">
      <w:pPr>
        <w:pStyle w:val="152"/>
        <w:numPr>
          <w:ilvl w:val="0"/>
          <w:numId w:val="0"/>
        </w:numPr>
        <w:tabs>
          <w:tab w:val="clear" w:pos="1680"/>
        </w:tabs>
        <w:ind w:firstLine="630" w:firstLineChars="300"/>
        <w:rPr>
          <w:color w:val="auto"/>
          <w:sz w:val="21"/>
        </w:rPr>
      </w:pPr>
      <w:bookmarkStart w:id="1033" w:name="_Ref4415300"/>
      <w:r>
        <w:rPr>
          <w:rFonts w:hint="eastAsia"/>
          <w:color w:val="auto"/>
          <w:sz w:val="21"/>
        </w:rPr>
        <w:t>1</w:t>
      </w:r>
      <w:r>
        <w:rPr>
          <w:color w:val="auto"/>
          <w:sz w:val="21"/>
        </w:rPr>
        <w:t>.1.1.1</w:t>
      </w:r>
      <w:r>
        <w:rPr>
          <w:rFonts w:hint="eastAsia"/>
          <w:color w:val="auto"/>
          <w:sz w:val="21"/>
        </w:rPr>
        <w:t>0</w:t>
      </w:r>
      <w:r>
        <w:rPr>
          <w:color w:val="auto"/>
          <w:sz w:val="21"/>
        </w:rPr>
        <w:t xml:space="preserve"> </w:t>
      </w:r>
      <w:r>
        <w:rPr>
          <w:rFonts w:hint="eastAsia"/>
          <w:color w:val="auto"/>
          <w:sz w:val="21"/>
        </w:rPr>
        <w:t>其他合同文件：是指经合同当事人约定的与工程实施有关的具有合同约束力的文件或书面协议。合同当事人可以在专用合同条件中进行约定。</w:t>
      </w:r>
      <w:bookmarkEnd w:id="1033"/>
    </w:p>
    <w:p w14:paraId="037AA729">
      <w:pPr>
        <w:pStyle w:val="130"/>
        <w:numPr>
          <w:ilvl w:val="0"/>
          <w:numId w:val="0"/>
        </w:numPr>
        <w:ind w:firstLine="420" w:firstLineChars="200"/>
        <w:rPr>
          <w:color w:val="auto"/>
          <w:sz w:val="21"/>
        </w:rPr>
      </w:pPr>
      <w:bookmarkStart w:id="1034" w:name="_Ref4757418"/>
      <w:r>
        <w:rPr>
          <w:rFonts w:hint="eastAsia"/>
          <w:color w:val="auto"/>
          <w:sz w:val="21"/>
        </w:rPr>
        <w:t>1</w:t>
      </w:r>
      <w:r>
        <w:rPr>
          <w:color w:val="auto"/>
          <w:sz w:val="21"/>
        </w:rPr>
        <w:t xml:space="preserve">.1.2 </w:t>
      </w:r>
      <w:r>
        <w:rPr>
          <w:rFonts w:hint="eastAsia"/>
          <w:color w:val="auto"/>
          <w:sz w:val="21"/>
        </w:rPr>
        <w:t>合同当事人及其他相关方</w:t>
      </w:r>
      <w:bookmarkEnd w:id="1034"/>
    </w:p>
    <w:p w14:paraId="66D2B63B">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.1.2.1 </w:t>
      </w:r>
      <w:r>
        <w:rPr>
          <w:rFonts w:hint="eastAsia"/>
          <w:color w:val="auto"/>
          <w:sz w:val="21"/>
        </w:rPr>
        <w:t>合同当事人：是指发包人和（或）承包人。</w:t>
      </w:r>
    </w:p>
    <w:p w14:paraId="2D175B53">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.1.2.2 </w:t>
      </w:r>
      <w:r>
        <w:rPr>
          <w:rFonts w:hint="eastAsia"/>
          <w:color w:val="auto"/>
          <w:sz w:val="21"/>
        </w:rPr>
        <w:t>发包人：是指与承包人订立合同协议书的当事人及取得该当事人资格的合法继受人。本合同中“因发包人原因”里的“发包人”包括发包人及所有发包人人员。</w:t>
      </w:r>
    </w:p>
    <w:p w14:paraId="31F66305">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.1.2.3 </w:t>
      </w:r>
      <w:r>
        <w:rPr>
          <w:rFonts w:hint="eastAsia"/>
          <w:color w:val="auto"/>
          <w:sz w:val="21"/>
        </w:rPr>
        <w:t>承包人：是指与发包人订立合同协议书的当事人及取得该当事人资格的合法继受人。</w:t>
      </w:r>
    </w:p>
    <w:p w14:paraId="510C96D0">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.1.2.4 </w:t>
      </w:r>
      <w:r>
        <w:rPr>
          <w:rFonts w:hint="eastAsia"/>
          <w:color w:val="auto"/>
          <w:sz w:val="21"/>
        </w:rPr>
        <w:t>联合体：是指经发包人同意由两个或两个以上法人或者其他组织组成的，作为承包人的临时机构。</w:t>
      </w:r>
    </w:p>
    <w:p w14:paraId="6957596C">
      <w:pPr>
        <w:pStyle w:val="152"/>
        <w:numPr>
          <w:ilvl w:val="0"/>
          <w:numId w:val="0"/>
        </w:numPr>
        <w:tabs>
          <w:tab w:val="clear" w:pos="1680"/>
        </w:tabs>
        <w:ind w:firstLine="630" w:firstLineChars="300"/>
        <w:rPr>
          <w:color w:val="auto"/>
          <w:sz w:val="21"/>
        </w:rPr>
      </w:pPr>
      <w:bookmarkStart w:id="1035" w:name="_Ref4420046"/>
      <w:r>
        <w:rPr>
          <w:rFonts w:hint="eastAsia"/>
          <w:color w:val="auto"/>
          <w:sz w:val="21"/>
        </w:rPr>
        <w:t>1</w:t>
      </w:r>
      <w:r>
        <w:rPr>
          <w:color w:val="auto"/>
          <w:sz w:val="21"/>
        </w:rPr>
        <w:t xml:space="preserve">.1.2.5 </w:t>
      </w:r>
      <w:r>
        <w:rPr>
          <w:rFonts w:hint="eastAsia"/>
          <w:color w:val="auto"/>
          <w:sz w:val="21"/>
        </w:rPr>
        <w:t>发包人代表：是指由发包人任命并派驻工作现场，在发包人授权范围内行使发包人权利和履行发包人义务的人。</w:t>
      </w:r>
    </w:p>
    <w:p w14:paraId="537C0548">
      <w:pPr>
        <w:pStyle w:val="152"/>
        <w:numPr>
          <w:ilvl w:val="0"/>
          <w:numId w:val="0"/>
        </w:numPr>
        <w:tabs>
          <w:tab w:val="clear" w:pos="1680"/>
        </w:tabs>
        <w:ind w:firstLine="630" w:firstLineChars="300"/>
        <w:rPr>
          <w:color w:val="auto"/>
          <w:sz w:val="21"/>
        </w:rPr>
      </w:pPr>
      <w:bookmarkStart w:id="1036" w:name="_Ref4756982"/>
      <w:r>
        <w:rPr>
          <w:rFonts w:hint="eastAsia"/>
          <w:color w:val="auto"/>
          <w:sz w:val="21"/>
        </w:rPr>
        <w:t>1</w:t>
      </w:r>
      <w:r>
        <w:rPr>
          <w:color w:val="auto"/>
          <w:sz w:val="21"/>
        </w:rPr>
        <w:t xml:space="preserve">.1.2.6 </w:t>
      </w:r>
      <w:r>
        <w:rPr>
          <w:rFonts w:hint="eastAsia"/>
          <w:color w:val="auto"/>
          <w:sz w:val="21"/>
        </w:rPr>
        <w:t>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bookmarkEnd w:id="1035"/>
      <w:bookmarkEnd w:id="1036"/>
    </w:p>
    <w:p w14:paraId="1CCB4356">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.1.2.7 </w:t>
      </w:r>
      <w:r>
        <w:rPr>
          <w:rFonts w:hint="eastAsia"/>
          <w:color w:val="auto"/>
          <w:sz w:val="21"/>
        </w:rPr>
        <w:t>工程总承包项目经理：是指由承包人任命的，在承包人授权范围内负责合同履行的管理，且按照法律规定具有相应资格的项目负责人。</w:t>
      </w:r>
    </w:p>
    <w:p w14:paraId="7EB23E71">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.1.2.8 </w:t>
      </w:r>
      <w:r>
        <w:rPr>
          <w:rFonts w:hint="eastAsia"/>
          <w:color w:val="auto"/>
          <w:sz w:val="21"/>
        </w:rPr>
        <w:t>设计负责人：是指承包人指定负责组织、指导、协调设计工作并具有相应资格的人员。</w:t>
      </w:r>
    </w:p>
    <w:p w14:paraId="7B3547B0">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.1.2.9 </w:t>
      </w:r>
      <w:r>
        <w:rPr>
          <w:rFonts w:hint="eastAsia"/>
          <w:color w:val="auto"/>
          <w:sz w:val="21"/>
        </w:rPr>
        <w:t>采购负责人：是指承包人指定负责组织、指导、协调采购工作的人员。</w:t>
      </w:r>
    </w:p>
    <w:p w14:paraId="1E3E0C4F">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.1.2.10 </w:t>
      </w:r>
      <w:r>
        <w:rPr>
          <w:rFonts w:hint="eastAsia"/>
          <w:color w:val="auto"/>
          <w:sz w:val="21"/>
        </w:rPr>
        <w:t>施工负责人：是指承包人指定负责组织、指导、协调施工工作并具有相应资格的人员。</w:t>
      </w:r>
    </w:p>
    <w:p w14:paraId="455C42B3">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.1.2.11 </w:t>
      </w:r>
      <w:r>
        <w:rPr>
          <w:rFonts w:hint="eastAsia"/>
          <w:color w:val="auto"/>
          <w:sz w:val="21"/>
        </w:rPr>
        <w:t>分包人：是指按照法律规定和合同约定，分包部分工程或工作，并与承包人订立分包合同的具有相应资质或资格的法人或其他组织。</w:t>
      </w:r>
    </w:p>
    <w:p w14:paraId="128F5F3F">
      <w:pPr>
        <w:pStyle w:val="130"/>
        <w:numPr>
          <w:ilvl w:val="0"/>
          <w:numId w:val="0"/>
        </w:numPr>
        <w:ind w:firstLine="420" w:firstLineChars="200"/>
        <w:rPr>
          <w:color w:val="auto"/>
          <w:sz w:val="21"/>
        </w:rPr>
      </w:pPr>
      <w:bookmarkStart w:id="1037" w:name="_Ref4758319"/>
      <w:r>
        <w:rPr>
          <w:rFonts w:hint="eastAsia"/>
          <w:color w:val="auto"/>
          <w:sz w:val="21"/>
        </w:rPr>
        <w:t>1</w:t>
      </w:r>
      <w:r>
        <w:rPr>
          <w:color w:val="auto"/>
          <w:sz w:val="21"/>
        </w:rPr>
        <w:t xml:space="preserve">.1.3 </w:t>
      </w:r>
      <w:r>
        <w:rPr>
          <w:rFonts w:hint="eastAsia"/>
          <w:color w:val="auto"/>
          <w:sz w:val="21"/>
        </w:rPr>
        <w:t>工程和设备</w:t>
      </w:r>
      <w:bookmarkEnd w:id="1037"/>
    </w:p>
    <w:p w14:paraId="01707FC2">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.1.3.1 </w:t>
      </w:r>
      <w:r>
        <w:rPr>
          <w:rFonts w:hint="eastAsia"/>
          <w:color w:val="auto"/>
          <w:sz w:val="21"/>
        </w:rPr>
        <w:t>工程：是指与合同协议书中工程承包范围对应的永久工程和（或）临时工程。</w:t>
      </w:r>
    </w:p>
    <w:p w14:paraId="6216F4DF">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.1.3.2 </w:t>
      </w:r>
      <w:r>
        <w:rPr>
          <w:rFonts w:hint="eastAsia"/>
          <w:color w:val="auto"/>
          <w:sz w:val="21"/>
        </w:rPr>
        <w:t>工程实施：是指进行工程的设计、采购、施工和竣工以及对工程任何缺陷的修复。</w:t>
      </w:r>
    </w:p>
    <w:p w14:paraId="345013FE">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.1.3.3 </w:t>
      </w:r>
      <w:r>
        <w:rPr>
          <w:rFonts w:hint="eastAsia"/>
          <w:color w:val="auto"/>
          <w:sz w:val="21"/>
        </w:rPr>
        <w:t>永久工程：是指按合同约定建造并移交给发包人的工程，包括工程设备。</w:t>
      </w:r>
    </w:p>
    <w:p w14:paraId="2D92469D">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.1.3.4 </w:t>
      </w:r>
      <w:r>
        <w:rPr>
          <w:rFonts w:hint="eastAsia"/>
          <w:color w:val="auto"/>
          <w:sz w:val="21"/>
        </w:rPr>
        <w:t>临时工程：是指为完成合同约定的永久工程所修建的各类临时性工程，不包括施工设备。</w:t>
      </w:r>
    </w:p>
    <w:p w14:paraId="3C339DF7">
      <w:pPr>
        <w:pStyle w:val="152"/>
        <w:numPr>
          <w:ilvl w:val="0"/>
          <w:numId w:val="0"/>
        </w:numPr>
        <w:tabs>
          <w:tab w:val="clear" w:pos="1680"/>
        </w:tabs>
        <w:ind w:firstLine="630" w:firstLineChars="300"/>
        <w:rPr>
          <w:color w:val="auto"/>
          <w:sz w:val="21"/>
        </w:rPr>
      </w:pPr>
      <w:bookmarkStart w:id="1038" w:name="_Ref4419825"/>
      <w:r>
        <w:rPr>
          <w:rFonts w:hint="eastAsia"/>
          <w:color w:val="auto"/>
          <w:sz w:val="21"/>
        </w:rPr>
        <w:t>1</w:t>
      </w:r>
      <w:r>
        <w:rPr>
          <w:color w:val="auto"/>
          <w:sz w:val="21"/>
        </w:rPr>
        <w:t xml:space="preserve">.1.3.5 </w:t>
      </w:r>
      <w:r>
        <w:rPr>
          <w:rFonts w:hint="eastAsia"/>
          <w:color w:val="auto"/>
          <w:sz w:val="21"/>
        </w:rPr>
        <w:t>单位/区段工程：是指在专用合同条件中指明特定范围的，能单独接收并使用的永久工程。</w:t>
      </w:r>
      <w:bookmarkEnd w:id="1038"/>
    </w:p>
    <w:p w14:paraId="1B435E35">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.1.3.6 </w:t>
      </w:r>
      <w:r>
        <w:rPr>
          <w:rFonts w:hint="eastAsia"/>
          <w:color w:val="auto"/>
          <w:sz w:val="21"/>
        </w:rPr>
        <w:t>工程设备：指构成永久工程的机电设备、仪器装置、运载工具及其他类似的设备和装置，包括其配件及备品、备件、易损易耗件等。</w:t>
      </w:r>
    </w:p>
    <w:p w14:paraId="2782557D">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.1.3.7 </w:t>
      </w:r>
      <w:r>
        <w:rPr>
          <w:rFonts w:hint="eastAsia"/>
          <w:color w:val="auto"/>
          <w:sz w:val="21"/>
        </w:rPr>
        <w:t>施工设备：指为完成合同约定的各项工作所需的设备、器具和其他物品，不包括工程设备、临时工程和材料。</w:t>
      </w:r>
    </w:p>
    <w:p w14:paraId="1E6E8308">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.1.3.8 </w:t>
      </w:r>
      <w:r>
        <w:rPr>
          <w:rFonts w:hint="eastAsia"/>
          <w:color w:val="auto"/>
          <w:sz w:val="21"/>
        </w:rPr>
        <w:t>临时设施：指为完成合同约定的各项工作所服务的临时性生产和生活设施。</w:t>
      </w:r>
    </w:p>
    <w:p w14:paraId="0CE13E2A">
      <w:pPr>
        <w:pStyle w:val="152"/>
        <w:numPr>
          <w:ilvl w:val="0"/>
          <w:numId w:val="0"/>
        </w:numPr>
        <w:tabs>
          <w:tab w:val="clear" w:pos="1680"/>
        </w:tabs>
        <w:ind w:firstLine="630" w:firstLineChars="300"/>
        <w:rPr>
          <w:color w:val="auto"/>
          <w:sz w:val="21"/>
        </w:rPr>
      </w:pPr>
      <w:bookmarkStart w:id="1039" w:name="_Ref4420577"/>
      <w:r>
        <w:rPr>
          <w:rFonts w:hint="eastAsia"/>
          <w:color w:val="auto"/>
          <w:sz w:val="21"/>
        </w:rPr>
        <w:t>1</w:t>
      </w:r>
      <w:r>
        <w:rPr>
          <w:color w:val="auto"/>
          <w:sz w:val="21"/>
        </w:rPr>
        <w:t xml:space="preserve">.1.3.9 </w:t>
      </w:r>
      <w:r>
        <w:rPr>
          <w:rFonts w:hint="eastAsia"/>
          <w:color w:val="auto"/>
          <w:sz w:val="21"/>
        </w:rPr>
        <w:t>施工现场：是指用于工程施工的场所，以及在专用合同条件中指明作为施工场所组成部分的其他场所，包括永久占地和临时占地。</w:t>
      </w:r>
      <w:bookmarkEnd w:id="1039"/>
    </w:p>
    <w:p w14:paraId="7D752F61">
      <w:pPr>
        <w:pStyle w:val="152"/>
        <w:numPr>
          <w:ilvl w:val="0"/>
          <w:numId w:val="0"/>
        </w:numPr>
        <w:tabs>
          <w:tab w:val="clear" w:pos="1680"/>
        </w:tabs>
        <w:ind w:firstLine="630" w:firstLineChars="300"/>
        <w:rPr>
          <w:color w:val="auto"/>
          <w:sz w:val="21"/>
        </w:rPr>
      </w:pPr>
      <w:bookmarkStart w:id="1040" w:name="_Ref4420746"/>
      <w:r>
        <w:rPr>
          <w:rFonts w:hint="eastAsia"/>
          <w:color w:val="auto"/>
          <w:sz w:val="21"/>
        </w:rPr>
        <w:t>1</w:t>
      </w:r>
      <w:r>
        <w:rPr>
          <w:color w:val="auto"/>
          <w:sz w:val="21"/>
        </w:rPr>
        <w:t xml:space="preserve">.1.3.10 </w:t>
      </w:r>
      <w:r>
        <w:rPr>
          <w:rFonts w:hint="eastAsia"/>
          <w:color w:val="auto"/>
          <w:sz w:val="21"/>
        </w:rPr>
        <w:t>永久占地：是指专用合同条件中指明为实施工程需永久占用的土地。</w:t>
      </w:r>
      <w:bookmarkEnd w:id="1040"/>
    </w:p>
    <w:p w14:paraId="6BFD68EC">
      <w:pPr>
        <w:pStyle w:val="152"/>
        <w:numPr>
          <w:ilvl w:val="0"/>
          <w:numId w:val="0"/>
        </w:numPr>
        <w:tabs>
          <w:tab w:val="clear" w:pos="1680"/>
        </w:tabs>
        <w:ind w:firstLine="630" w:firstLineChars="300"/>
        <w:rPr>
          <w:color w:val="auto"/>
          <w:sz w:val="21"/>
        </w:rPr>
      </w:pPr>
      <w:bookmarkStart w:id="1041" w:name="_Ref4420821"/>
      <w:r>
        <w:rPr>
          <w:rFonts w:hint="eastAsia"/>
          <w:color w:val="auto"/>
          <w:sz w:val="21"/>
        </w:rPr>
        <w:t>1</w:t>
      </w:r>
      <w:r>
        <w:rPr>
          <w:color w:val="auto"/>
          <w:sz w:val="21"/>
        </w:rPr>
        <w:t xml:space="preserve">.1.3.11 </w:t>
      </w:r>
      <w:r>
        <w:rPr>
          <w:rFonts w:hint="eastAsia"/>
          <w:color w:val="auto"/>
          <w:sz w:val="21"/>
        </w:rPr>
        <w:t>临时占地：是指专用合同条件中指明为实施工程需临时占用的土地。</w:t>
      </w:r>
      <w:bookmarkEnd w:id="1041"/>
    </w:p>
    <w:p w14:paraId="7943AFBE">
      <w:pPr>
        <w:pStyle w:val="130"/>
        <w:numPr>
          <w:ilvl w:val="0"/>
          <w:numId w:val="0"/>
        </w:numPr>
        <w:ind w:firstLine="420" w:firstLineChars="200"/>
        <w:rPr>
          <w:color w:val="auto"/>
          <w:sz w:val="21"/>
        </w:rPr>
      </w:pPr>
      <w:r>
        <w:rPr>
          <w:rFonts w:hint="eastAsia"/>
          <w:color w:val="auto"/>
          <w:sz w:val="21"/>
        </w:rPr>
        <w:t>1</w:t>
      </w:r>
      <w:r>
        <w:rPr>
          <w:color w:val="auto"/>
          <w:sz w:val="21"/>
        </w:rPr>
        <w:t xml:space="preserve">.1.4 </w:t>
      </w:r>
      <w:r>
        <w:rPr>
          <w:rFonts w:hint="eastAsia"/>
          <w:color w:val="auto"/>
          <w:sz w:val="21"/>
        </w:rPr>
        <w:t>日期和期限</w:t>
      </w:r>
    </w:p>
    <w:p w14:paraId="75565A2F">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.1.4.1 </w:t>
      </w:r>
      <w:r>
        <w:rPr>
          <w:rFonts w:hint="eastAsia"/>
          <w:color w:val="auto"/>
          <w:sz w:val="21"/>
        </w:rPr>
        <w:t>开始工作通知：指工程师按第</w:t>
      </w:r>
      <w:r>
        <w:rPr>
          <w:color w:val="auto"/>
          <w:sz w:val="21"/>
        </w:rPr>
        <w:t>8.1.2</w:t>
      </w:r>
      <w:r>
        <w:rPr>
          <w:rFonts w:hint="eastAsia"/>
          <w:color w:val="auto"/>
          <w:sz w:val="21"/>
        </w:rPr>
        <w:t>项[开始工作通知]的约定通知承包人开始工作的函件。</w:t>
      </w:r>
    </w:p>
    <w:p w14:paraId="1FFBA98E">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.1.4.2 </w:t>
      </w:r>
      <w:r>
        <w:rPr>
          <w:rFonts w:hint="eastAsia"/>
          <w:color w:val="auto"/>
          <w:sz w:val="21"/>
        </w:rPr>
        <w:t>开始工作日期：包括计划开始工作日期和实际开始工作日期。计划开始工作日期是指合同协议书约定的开始工作日期；实际开始工作日期是指工程师按照第</w:t>
      </w:r>
      <w:r>
        <w:rPr>
          <w:color w:val="auto"/>
          <w:sz w:val="21"/>
        </w:rPr>
        <w:t>8.1</w:t>
      </w:r>
      <w:r>
        <w:rPr>
          <w:rFonts w:hint="eastAsia"/>
          <w:color w:val="auto"/>
          <w:sz w:val="21"/>
        </w:rPr>
        <w:t>款[开始工作]约定发出的符合法律规定的开始工作通知中载明的开始工作日期。</w:t>
      </w:r>
    </w:p>
    <w:p w14:paraId="45886BB6">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.1.4.3 </w:t>
      </w:r>
      <w:r>
        <w:rPr>
          <w:rFonts w:hint="eastAsia"/>
          <w:color w:val="auto"/>
          <w:sz w:val="21"/>
        </w:rPr>
        <w:t>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p>
    <w:p w14:paraId="27FF5E63">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.1.4.4 </w:t>
      </w:r>
      <w:r>
        <w:rPr>
          <w:rFonts w:hint="eastAsia"/>
          <w:color w:val="auto"/>
          <w:sz w:val="21"/>
        </w:rPr>
        <w:t>竣工日期：包括计划竣工日期和实际竣工日期。计划竣工日期是指合同协议书约定的竣工日期；实际竣工日期按照第</w:t>
      </w:r>
      <w:r>
        <w:rPr>
          <w:color w:val="auto"/>
          <w:sz w:val="21"/>
        </w:rPr>
        <w:t>8.2</w:t>
      </w:r>
      <w:r>
        <w:rPr>
          <w:rFonts w:hint="eastAsia"/>
          <w:color w:val="auto"/>
          <w:sz w:val="21"/>
        </w:rPr>
        <w:t>款[竣工日期]的约定确定。</w:t>
      </w:r>
    </w:p>
    <w:p w14:paraId="395AB593">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.1.4.5 </w:t>
      </w:r>
      <w:r>
        <w:rPr>
          <w:rFonts w:hint="eastAsia"/>
          <w:color w:val="auto"/>
          <w:sz w:val="21"/>
        </w:rPr>
        <w:t>工期：是指在合同协议书约定的承包人完成合同工作所需的期限，包括按照合同约定所作的期限变更及按合同约定承包人有权取得的工期延长。</w:t>
      </w:r>
    </w:p>
    <w:p w14:paraId="349CC4B6">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.1.4.6 </w:t>
      </w:r>
      <w:r>
        <w:rPr>
          <w:rFonts w:hint="eastAsia"/>
          <w:color w:val="auto"/>
          <w:sz w:val="21"/>
        </w:rPr>
        <w:t>缺陷责任期：是指发包人预留工程质量保证金以保证承包人履行第</w:t>
      </w:r>
      <w:r>
        <w:rPr>
          <w:color w:val="auto"/>
          <w:sz w:val="21"/>
        </w:rPr>
        <w:t>11.3</w:t>
      </w:r>
      <w:r>
        <w:rPr>
          <w:rFonts w:hint="eastAsia"/>
          <w:color w:val="auto"/>
          <w:sz w:val="21"/>
        </w:rPr>
        <w:t>款[缺陷调查]</w:t>
      </w:r>
      <w:r>
        <w:rPr>
          <w:color w:val="auto"/>
          <w:sz w:val="21"/>
        </w:rPr>
        <w:t>下质量缺陷责任的期限</w:t>
      </w:r>
      <w:r>
        <w:rPr>
          <w:rFonts w:hint="eastAsia"/>
          <w:color w:val="auto"/>
          <w:sz w:val="21"/>
        </w:rPr>
        <w:t>。</w:t>
      </w:r>
    </w:p>
    <w:p w14:paraId="41E0AB29">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.1.4.7 </w:t>
      </w:r>
      <w:r>
        <w:rPr>
          <w:rFonts w:hint="eastAsia"/>
          <w:color w:val="auto"/>
          <w:sz w:val="21"/>
        </w:rPr>
        <w:t>保修期：是指承包人按照合同约定和法律规定对工程质量承担保修责任的期限，该期限自缺陷责任期起算之日起计算。</w:t>
      </w:r>
    </w:p>
    <w:p w14:paraId="7787CC54">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.1.4.8 </w:t>
      </w:r>
      <w:r>
        <w:rPr>
          <w:rFonts w:hint="eastAsia"/>
          <w:color w:val="auto"/>
          <w:sz w:val="21"/>
        </w:rPr>
        <w:t>基准日期：招标发包的工程以投标截止日前28天的日期为基准日期，直接发包的工程以合同订立日前28天的日期为基准日期。</w:t>
      </w:r>
    </w:p>
    <w:p w14:paraId="4E70DAEA">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.1.4.9 </w:t>
      </w:r>
      <w:r>
        <w:rPr>
          <w:rFonts w:hint="eastAsia"/>
          <w:color w:val="auto"/>
          <w:sz w:val="21"/>
        </w:rPr>
        <w:t>天：除特别指明外，均指日历天。合同中按天计算时间的，开始当天不计入，从次日开始计算。期限最后一天的截止时间为当天24:00。</w:t>
      </w:r>
    </w:p>
    <w:p w14:paraId="6B80BBFD">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.1.4.10 </w:t>
      </w:r>
      <w:r>
        <w:rPr>
          <w:rFonts w:hint="eastAsia"/>
          <w:color w:val="auto"/>
          <w:sz w:val="21"/>
        </w:rPr>
        <w:t>竣工试验：是指在工程竣工验收前，根据第</w:t>
      </w:r>
      <w:r>
        <w:rPr>
          <w:color w:val="auto"/>
          <w:sz w:val="21"/>
        </w:rPr>
        <w:t>9条</w:t>
      </w:r>
      <w:r>
        <w:rPr>
          <w:rFonts w:hint="eastAsia"/>
          <w:color w:val="auto"/>
          <w:sz w:val="21"/>
        </w:rPr>
        <w:t>[竣工试验]要求进行的试验。</w:t>
      </w:r>
    </w:p>
    <w:p w14:paraId="74A811A3">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.1.4.11 </w:t>
      </w:r>
      <w:r>
        <w:rPr>
          <w:rFonts w:hint="eastAsia"/>
          <w:color w:val="auto"/>
          <w:sz w:val="21"/>
        </w:rPr>
        <w:t>竣工验收：是指承包人完成了合同约定的各项内容后，发包人按合同要求进行的验收。</w:t>
      </w:r>
    </w:p>
    <w:p w14:paraId="3EE62EF4">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.1.4.12 </w:t>
      </w:r>
      <w:r>
        <w:rPr>
          <w:rFonts w:hint="eastAsia"/>
          <w:color w:val="auto"/>
          <w:sz w:val="21"/>
        </w:rPr>
        <w:t>竣工后试验：是指在工程竣工验收后，根据第</w:t>
      </w:r>
      <w:r>
        <w:rPr>
          <w:color w:val="auto"/>
          <w:sz w:val="21"/>
        </w:rPr>
        <w:t>12条</w:t>
      </w:r>
      <w:r>
        <w:rPr>
          <w:rFonts w:hint="eastAsia"/>
          <w:color w:val="auto"/>
          <w:sz w:val="21"/>
        </w:rPr>
        <w:t>[竣工后试验]约定进行的试验。</w:t>
      </w:r>
    </w:p>
    <w:p w14:paraId="645E5F69">
      <w:pPr>
        <w:pStyle w:val="130"/>
        <w:numPr>
          <w:ilvl w:val="0"/>
          <w:numId w:val="0"/>
        </w:numPr>
        <w:ind w:firstLine="420" w:firstLineChars="200"/>
        <w:rPr>
          <w:color w:val="auto"/>
          <w:sz w:val="21"/>
        </w:rPr>
      </w:pPr>
      <w:r>
        <w:rPr>
          <w:rFonts w:hint="eastAsia"/>
          <w:color w:val="auto"/>
          <w:sz w:val="21"/>
        </w:rPr>
        <w:t>1</w:t>
      </w:r>
      <w:r>
        <w:rPr>
          <w:color w:val="auto"/>
          <w:sz w:val="21"/>
        </w:rPr>
        <w:t xml:space="preserve">.1.5 </w:t>
      </w:r>
      <w:r>
        <w:rPr>
          <w:rFonts w:hint="eastAsia"/>
          <w:color w:val="auto"/>
          <w:sz w:val="21"/>
        </w:rPr>
        <w:t>合同价格和费用</w:t>
      </w:r>
    </w:p>
    <w:p w14:paraId="4958AD58">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.1.5.1 </w:t>
      </w:r>
      <w:r>
        <w:rPr>
          <w:rFonts w:hint="eastAsia"/>
          <w:color w:val="auto"/>
          <w:sz w:val="21"/>
        </w:rPr>
        <w:t>签约合同价：是指发包人和承包人在合同协议书中确定的总金额，包括暂估价及暂列金额等。</w:t>
      </w:r>
    </w:p>
    <w:p w14:paraId="52F52179">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.1.5.2 </w:t>
      </w:r>
      <w:r>
        <w:rPr>
          <w:rFonts w:hint="eastAsia"/>
          <w:color w:val="auto"/>
          <w:sz w:val="21"/>
        </w:rPr>
        <w:t>合同价格：是指发包人用于支付承包人按照合同约定完成承包范围内全部工作的金额，包括合同履行过程中按合同约定发生的价格变化。</w:t>
      </w:r>
    </w:p>
    <w:p w14:paraId="335405B0">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.1.5.3 </w:t>
      </w:r>
      <w:r>
        <w:rPr>
          <w:rFonts w:hint="eastAsia"/>
          <w:color w:val="auto"/>
          <w:sz w:val="21"/>
        </w:rPr>
        <w:t>费用：是指为履行合同所发生的或将要发生的所有合理开支，包括管理费和应分摊的其他费用，但不包括利润。</w:t>
      </w:r>
    </w:p>
    <w:p w14:paraId="2BC37777">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.1.5.4 </w:t>
      </w:r>
      <w:r>
        <w:rPr>
          <w:rFonts w:hint="eastAsia"/>
          <w:color w:val="auto"/>
          <w:sz w:val="21"/>
        </w:rPr>
        <w:t>人工费：是指支付给直接从事建筑安装工程施工作业的建筑工人的各项费用。</w:t>
      </w:r>
    </w:p>
    <w:p w14:paraId="16EFE8ED">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.1.5.5 </w:t>
      </w:r>
      <w:r>
        <w:rPr>
          <w:rFonts w:hint="eastAsia"/>
          <w:color w:val="auto"/>
          <w:sz w:val="21"/>
        </w:rPr>
        <w:t>暂估价：</w:t>
      </w:r>
      <w:bookmarkStart w:id="1042" w:name="_Hlk18973781"/>
      <w:r>
        <w:rPr>
          <w:rFonts w:hint="eastAsia"/>
          <w:color w:val="auto"/>
          <w:sz w:val="21"/>
        </w:rPr>
        <w:t>是指发包人在项目清单中给定的，用于支付必然发生但暂时不能确定价格的专业服务、材料、设备、专业工程的金额。</w:t>
      </w:r>
      <w:bookmarkEnd w:id="1042"/>
    </w:p>
    <w:p w14:paraId="72554CE8">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.1.5.6 </w:t>
      </w:r>
      <w:r>
        <w:rPr>
          <w:rFonts w:hint="eastAsia"/>
          <w:color w:val="auto"/>
          <w:sz w:val="21"/>
        </w:rPr>
        <w:t>暂列金额：是指发包人在项目清单中给定的，用于在订立协议书时尚未确定或不可预见变更的设计、施工及其所需材料、工程设备、服务等的金额，包括以计日工方式支付的金额。</w:t>
      </w:r>
    </w:p>
    <w:p w14:paraId="0F3FC178">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.1.5.7 </w:t>
      </w:r>
      <w:r>
        <w:rPr>
          <w:rFonts w:hint="eastAsia"/>
          <w:color w:val="auto"/>
          <w:sz w:val="21"/>
        </w:rPr>
        <w:t>计日工：是指合同履行过程中，承包人完成发包人提出的零星工作或需要采用计日工计价的变更工作时，按合同中约定的单价计价的一种方式。</w:t>
      </w:r>
    </w:p>
    <w:p w14:paraId="2A0FBDBB">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.1.5.8 </w:t>
      </w:r>
      <w:r>
        <w:rPr>
          <w:rFonts w:hint="eastAsia"/>
          <w:color w:val="auto"/>
          <w:sz w:val="21"/>
        </w:rPr>
        <w:t>质量保证金：是指按第</w:t>
      </w:r>
      <w:r>
        <w:rPr>
          <w:color w:val="auto"/>
          <w:sz w:val="21"/>
        </w:rPr>
        <w:t>14.6</w:t>
      </w:r>
      <w:r>
        <w:rPr>
          <w:rFonts w:hint="eastAsia"/>
          <w:color w:val="auto"/>
          <w:sz w:val="21"/>
        </w:rPr>
        <w:t>款[质量保证金]约定承包人用于保证其在缺陷责任期内履行缺陷修复义务的担保。</w:t>
      </w:r>
    </w:p>
    <w:p w14:paraId="74C0B233">
      <w:pPr>
        <w:pStyle w:val="130"/>
        <w:numPr>
          <w:ilvl w:val="0"/>
          <w:numId w:val="0"/>
        </w:numPr>
        <w:ind w:firstLine="420" w:firstLineChars="200"/>
        <w:rPr>
          <w:color w:val="auto"/>
          <w:sz w:val="21"/>
        </w:rPr>
      </w:pPr>
      <w:r>
        <w:rPr>
          <w:rFonts w:hint="eastAsia"/>
          <w:color w:val="auto"/>
          <w:sz w:val="21"/>
        </w:rPr>
        <w:t>1</w:t>
      </w:r>
      <w:r>
        <w:rPr>
          <w:color w:val="auto"/>
          <w:sz w:val="21"/>
        </w:rPr>
        <w:t xml:space="preserve">.1.6 </w:t>
      </w:r>
      <w:r>
        <w:rPr>
          <w:rFonts w:hint="eastAsia"/>
          <w:color w:val="auto"/>
          <w:sz w:val="21"/>
        </w:rPr>
        <w:t>其他</w:t>
      </w:r>
    </w:p>
    <w:p w14:paraId="79395DD9">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.1.6.1 </w:t>
      </w:r>
      <w:r>
        <w:rPr>
          <w:rFonts w:hint="eastAsia"/>
          <w:color w:val="auto"/>
          <w:sz w:val="21"/>
        </w:rPr>
        <w:t>书面形式：指合同文件、信函、电报、传真、数据电文、电子邮件、会议纪要等可以有形地表现所载内容的形式。</w:t>
      </w:r>
    </w:p>
    <w:p w14:paraId="463DB32B">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.1.6.2 </w:t>
      </w:r>
      <w:r>
        <w:rPr>
          <w:rFonts w:hint="eastAsia"/>
          <w:color w:val="auto"/>
          <w:sz w:val="21"/>
        </w:rPr>
        <w:t>承包人文件：指由承包人根据合同约定应提交的所有图纸、手册、模型、计算书、软件、函件、洽商性文件和其他技术性文件。</w:t>
      </w:r>
    </w:p>
    <w:p w14:paraId="589EFB1E">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.1.6.3 </w:t>
      </w:r>
      <w:r>
        <w:rPr>
          <w:rFonts w:hint="eastAsia"/>
          <w:color w:val="auto"/>
          <w:sz w:val="21"/>
        </w:rPr>
        <w:t>变更：指根据第</w:t>
      </w:r>
      <w:r>
        <w:rPr>
          <w:color w:val="auto"/>
          <w:sz w:val="21"/>
        </w:rPr>
        <w:t>13条</w:t>
      </w:r>
      <w:r>
        <w:rPr>
          <w:rFonts w:hint="eastAsia"/>
          <w:color w:val="auto"/>
          <w:sz w:val="21"/>
        </w:rPr>
        <w:t>[变更与调整]的约定，经指示或批准对《发包人要求》或工程所做的改变。</w:t>
      </w:r>
    </w:p>
    <w:bookmarkEnd w:id="1032"/>
    <w:p w14:paraId="5AC3CE62">
      <w:pPr>
        <w:pStyle w:val="4"/>
        <w:spacing w:before="120" w:line="360" w:lineRule="auto"/>
        <w:rPr>
          <w:color w:val="auto"/>
        </w:rPr>
      </w:pPr>
      <w:bookmarkStart w:id="1043" w:name="_Toc54862179"/>
      <w:bookmarkStart w:id="1044" w:name="_Ref509042101"/>
      <w:bookmarkStart w:id="1045" w:name="_Ref509042104"/>
      <w:bookmarkStart w:id="1046" w:name="_Toc154063498"/>
      <w:bookmarkStart w:id="1047" w:name="_Ref522730349"/>
      <w:bookmarkStart w:id="1048" w:name="_Ref522730353"/>
      <w:r>
        <w:rPr>
          <w:rFonts w:hint="eastAsia"/>
          <w:color w:val="auto"/>
        </w:rPr>
        <w:t>1</w:t>
      </w:r>
      <w:r>
        <w:rPr>
          <w:color w:val="auto"/>
        </w:rPr>
        <w:t>.2 语言文字</w:t>
      </w:r>
      <w:bookmarkEnd w:id="1043"/>
      <w:bookmarkEnd w:id="1044"/>
      <w:bookmarkEnd w:id="1045"/>
      <w:bookmarkEnd w:id="1046"/>
    </w:p>
    <w:p w14:paraId="2FD678F2">
      <w:pPr>
        <w:spacing w:line="360" w:lineRule="auto"/>
        <w:ind w:firstLine="420" w:firstLineChars="200"/>
        <w:rPr>
          <w:rFonts w:ascii="宋体" w:hAnsi="宋体"/>
          <w:color w:val="auto"/>
          <w:szCs w:val="21"/>
        </w:rPr>
      </w:pPr>
      <w:r>
        <w:rPr>
          <w:rFonts w:hint="eastAsia" w:ascii="宋体" w:hAnsi="宋体"/>
          <w:color w:val="auto"/>
          <w:szCs w:val="21"/>
        </w:rPr>
        <w:t>合同文件以中国的汉语简体语言文字编写、解释和说明。专用术语使用外文的，应附有中文注释。合同当事人在专用合同条件约定使用两种及以上语言时，汉语为优先解释和说明合同的语言。</w:t>
      </w:r>
    </w:p>
    <w:p w14:paraId="085D6840">
      <w:pPr>
        <w:spacing w:line="360" w:lineRule="auto"/>
        <w:ind w:firstLine="420" w:firstLineChars="200"/>
        <w:rPr>
          <w:rFonts w:ascii="宋体" w:hAnsi="宋体"/>
          <w:color w:val="auto"/>
          <w:szCs w:val="21"/>
        </w:rPr>
      </w:pPr>
      <w:r>
        <w:rPr>
          <w:rFonts w:hint="eastAsia" w:ascii="宋体" w:hAnsi="宋体"/>
          <w:color w:val="auto"/>
          <w:szCs w:val="21"/>
        </w:rPr>
        <w:t>与合同有关的联络应使用专用合同条件约定的语言。如没有约定，则应使用中国的汉语简体语言文字。</w:t>
      </w:r>
    </w:p>
    <w:p w14:paraId="7D4DF6F6">
      <w:pPr>
        <w:pStyle w:val="4"/>
        <w:spacing w:before="120" w:line="360" w:lineRule="auto"/>
        <w:rPr>
          <w:color w:val="auto"/>
        </w:rPr>
      </w:pPr>
      <w:bookmarkStart w:id="1049" w:name="_Toc154063499"/>
      <w:bookmarkStart w:id="1050" w:name="_Ref531949543"/>
      <w:bookmarkStart w:id="1051" w:name="_Ref531949539"/>
      <w:bookmarkStart w:id="1052" w:name="_Toc54862180"/>
      <w:r>
        <w:rPr>
          <w:rFonts w:hint="eastAsia"/>
          <w:color w:val="auto"/>
        </w:rPr>
        <w:t>1</w:t>
      </w:r>
      <w:r>
        <w:rPr>
          <w:color w:val="auto"/>
        </w:rPr>
        <w:t xml:space="preserve">.3 </w:t>
      </w:r>
      <w:r>
        <w:rPr>
          <w:rFonts w:hint="eastAsia"/>
          <w:color w:val="auto"/>
        </w:rPr>
        <w:t>法律</w:t>
      </w:r>
      <w:bookmarkEnd w:id="1049"/>
      <w:bookmarkEnd w:id="1050"/>
      <w:bookmarkEnd w:id="1051"/>
      <w:bookmarkEnd w:id="1052"/>
    </w:p>
    <w:p w14:paraId="099DCFE6">
      <w:pPr>
        <w:spacing w:line="360" w:lineRule="auto"/>
        <w:ind w:firstLine="420" w:firstLineChars="200"/>
        <w:rPr>
          <w:rFonts w:ascii="宋体" w:hAnsi="宋体"/>
          <w:color w:val="auto"/>
          <w:szCs w:val="21"/>
        </w:rPr>
      </w:pPr>
      <w:r>
        <w:rPr>
          <w:rFonts w:hint="eastAsia" w:ascii="宋体" w:hAnsi="宋体"/>
          <w:color w:val="auto"/>
          <w:szCs w:val="21"/>
        </w:rPr>
        <w:t>合同所称法律是指</w:t>
      </w:r>
      <w:r>
        <w:rPr>
          <w:rFonts w:ascii="宋体" w:hAnsi="宋体"/>
          <w:color w:val="auto"/>
          <w:szCs w:val="21"/>
        </w:rPr>
        <w:t>中华人民共和国法律、行政法规、部门规章</w:t>
      </w:r>
      <w:r>
        <w:rPr>
          <w:rFonts w:hint="eastAsia" w:ascii="宋体" w:hAnsi="宋体"/>
          <w:color w:val="auto"/>
          <w:szCs w:val="21"/>
        </w:rPr>
        <w:t>，</w:t>
      </w:r>
      <w:r>
        <w:rPr>
          <w:rFonts w:ascii="宋体" w:hAnsi="宋体"/>
          <w:color w:val="auto"/>
          <w:szCs w:val="21"/>
        </w:rPr>
        <w:t>以及工程所在地的地方法规、自治条例、单行条例和地方政府规章</w:t>
      </w:r>
      <w:r>
        <w:rPr>
          <w:rFonts w:hint="eastAsia" w:ascii="宋体" w:hAnsi="宋体"/>
          <w:color w:val="auto"/>
          <w:szCs w:val="21"/>
        </w:rPr>
        <w:t>等。</w:t>
      </w:r>
    </w:p>
    <w:p w14:paraId="272BA9D8">
      <w:pPr>
        <w:spacing w:line="360" w:lineRule="auto"/>
        <w:ind w:firstLine="420" w:firstLineChars="200"/>
        <w:rPr>
          <w:rFonts w:ascii="宋体" w:hAnsi="宋体"/>
          <w:color w:val="auto"/>
          <w:szCs w:val="21"/>
        </w:rPr>
      </w:pPr>
      <w:r>
        <w:rPr>
          <w:rFonts w:ascii="宋体" w:hAnsi="宋体"/>
          <w:color w:val="auto"/>
          <w:szCs w:val="21"/>
        </w:rPr>
        <w:t>合同当事人可以在专用合同条件中约定合同适用的其他规范性文件</w:t>
      </w:r>
      <w:r>
        <w:rPr>
          <w:rFonts w:hint="eastAsia" w:ascii="宋体" w:hAnsi="宋体"/>
          <w:color w:val="auto"/>
          <w:szCs w:val="21"/>
        </w:rPr>
        <w:t>。</w:t>
      </w:r>
    </w:p>
    <w:p w14:paraId="122024FD">
      <w:pPr>
        <w:pStyle w:val="4"/>
        <w:spacing w:before="120" w:line="360" w:lineRule="auto"/>
        <w:rPr>
          <w:color w:val="auto"/>
        </w:rPr>
      </w:pPr>
      <w:bookmarkStart w:id="1053" w:name="_Ref531949589"/>
      <w:bookmarkStart w:id="1054" w:name="_Ref531949594"/>
      <w:bookmarkStart w:id="1055" w:name="_Toc54862181"/>
      <w:bookmarkStart w:id="1056" w:name="_Toc154063500"/>
      <w:r>
        <w:rPr>
          <w:rFonts w:hint="eastAsia"/>
          <w:color w:val="auto"/>
        </w:rPr>
        <w:t>1</w:t>
      </w:r>
      <w:r>
        <w:rPr>
          <w:color w:val="auto"/>
        </w:rPr>
        <w:t xml:space="preserve">.4 </w:t>
      </w:r>
      <w:r>
        <w:rPr>
          <w:rFonts w:hint="eastAsia"/>
          <w:color w:val="auto"/>
        </w:rPr>
        <w:t>标准和规范</w:t>
      </w:r>
      <w:bookmarkEnd w:id="1053"/>
      <w:bookmarkEnd w:id="1054"/>
      <w:bookmarkEnd w:id="1055"/>
      <w:bookmarkEnd w:id="1056"/>
    </w:p>
    <w:p w14:paraId="004BEC9D">
      <w:pPr>
        <w:pStyle w:val="130"/>
        <w:numPr>
          <w:ilvl w:val="0"/>
          <w:numId w:val="0"/>
        </w:numPr>
        <w:ind w:firstLine="420" w:firstLineChars="200"/>
        <w:rPr>
          <w:color w:val="auto"/>
          <w:sz w:val="21"/>
        </w:rPr>
      </w:pPr>
      <w:bookmarkStart w:id="1057" w:name="_Ref4420991"/>
      <w:r>
        <w:rPr>
          <w:rFonts w:hint="eastAsia"/>
          <w:color w:val="auto"/>
          <w:sz w:val="21"/>
        </w:rPr>
        <w:t>1</w:t>
      </w:r>
      <w:r>
        <w:rPr>
          <w:color w:val="auto"/>
          <w:sz w:val="21"/>
        </w:rPr>
        <w:t xml:space="preserve">.4.1 </w:t>
      </w:r>
      <w:r>
        <w:rPr>
          <w:rFonts w:hint="eastAsia"/>
          <w:color w:val="auto"/>
          <w:sz w:val="21"/>
        </w:rPr>
        <w:t>适用于工程的国家标准、行业标准、工程所在地的地方性标准，以及相应的规范、规程等，合同当事人有特别要求的，应在专用合同条件中约定。</w:t>
      </w:r>
      <w:bookmarkEnd w:id="1057"/>
    </w:p>
    <w:p w14:paraId="5F5D1D65">
      <w:pPr>
        <w:pStyle w:val="130"/>
        <w:numPr>
          <w:ilvl w:val="0"/>
          <w:numId w:val="0"/>
        </w:numPr>
        <w:ind w:firstLine="420" w:firstLineChars="200"/>
        <w:rPr>
          <w:color w:val="auto"/>
          <w:sz w:val="21"/>
        </w:rPr>
      </w:pPr>
      <w:bookmarkStart w:id="1058" w:name="_Ref531949642"/>
      <w:r>
        <w:rPr>
          <w:rFonts w:hint="eastAsia"/>
          <w:color w:val="auto"/>
          <w:sz w:val="21"/>
        </w:rPr>
        <w:t>1</w:t>
      </w:r>
      <w:r>
        <w:rPr>
          <w:color w:val="auto"/>
          <w:sz w:val="21"/>
        </w:rPr>
        <w:t xml:space="preserve">.4.2 </w:t>
      </w:r>
      <w:r>
        <w:rPr>
          <w:rFonts w:hint="eastAsia"/>
          <w:color w:val="auto"/>
          <w:sz w:val="21"/>
        </w:rPr>
        <w:t>发包人要求使用国外标准、规范的，发包人负责提供原文版本和中文译本，并在专用合同条件中约定提供标准规范的名称、份数和时间。</w:t>
      </w:r>
      <w:bookmarkEnd w:id="1058"/>
    </w:p>
    <w:p w14:paraId="6FF15EF9">
      <w:pPr>
        <w:pStyle w:val="130"/>
        <w:numPr>
          <w:ilvl w:val="0"/>
          <w:numId w:val="0"/>
        </w:numPr>
        <w:ind w:firstLine="420" w:firstLineChars="200"/>
        <w:rPr>
          <w:color w:val="auto"/>
          <w:sz w:val="21"/>
        </w:rPr>
      </w:pPr>
      <w:bookmarkStart w:id="1059" w:name="_Ref531949657"/>
      <w:r>
        <w:rPr>
          <w:rFonts w:hint="eastAsia"/>
          <w:color w:val="auto"/>
          <w:sz w:val="21"/>
        </w:rPr>
        <w:t>1</w:t>
      </w:r>
      <w:r>
        <w:rPr>
          <w:color w:val="auto"/>
          <w:sz w:val="21"/>
        </w:rPr>
        <w:t xml:space="preserve">.4.3 </w:t>
      </w:r>
      <w:r>
        <w:rPr>
          <w:rFonts w:hint="eastAsia"/>
          <w:color w:val="auto"/>
          <w:sz w:val="21"/>
        </w:rPr>
        <w:t>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bookmarkEnd w:id="1059"/>
    </w:p>
    <w:p w14:paraId="28F43524">
      <w:pPr>
        <w:pStyle w:val="130"/>
        <w:numPr>
          <w:ilvl w:val="0"/>
          <w:numId w:val="0"/>
        </w:numPr>
        <w:ind w:firstLine="420" w:firstLineChars="200"/>
        <w:rPr>
          <w:color w:val="auto"/>
          <w:sz w:val="21"/>
        </w:rPr>
      </w:pPr>
      <w:bookmarkStart w:id="1060" w:name="_Ref4421272"/>
      <w:r>
        <w:rPr>
          <w:rFonts w:hint="eastAsia"/>
          <w:color w:val="auto"/>
          <w:sz w:val="21"/>
        </w:rPr>
        <w:t>1</w:t>
      </w:r>
      <w:r>
        <w:rPr>
          <w:color w:val="auto"/>
          <w:sz w:val="21"/>
        </w:rPr>
        <w:t xml:space="preserve">.4.4 </w:t>
      </w:r>
      <w:r>
        <w:rPr>
          <w:rFonts w:hint="eastAsia"/>
          <w:color w:val="auto"/>
          <w:sz w:val="21"/>
        </w:rPr>
        <w:t>发包人对于工程的技术标准、功能要求高于或严于现行国家、行业或地方标准的，应当在《发包人要求》中予以明确。除专用合同条件另有约定外，应视为承包人在订立合同前已充分预见前述技术标准和功能要求的复杂程度，签约合同价中已包含由此产生的费用。</w:t>
      </w:r>
      <w:bookmarkEnd w:id="1060"/>
    </w:p>
    <w:p w14:paraId="5E392683">
      <w:pPr>
        <w:pStyle w:val="4"/>
        <w:spacing w:before="120" w:line="360" w:lineRule="auto"/>
        <w:rPr>
          <w:color w:val="auto"/>
        </w:rPr>
      </w:pPr>
      <w:bookmarkStart w:id="1061" w:name="_Toc54862182"/>
      <w:bookmarkStart w:id="1062" w:name="_Toc154063501"/>
      <w:bookmarkStart w:id="1063" w:name="_Ref4421717"/>
      <w:r>
        <w:rPr>
          <w:rFonts w:hint="eastAsia"/>
          <w:color w:val="auto"/>
        </w:rPr>
        <w:t>1</w:t>
      </w:r>
      <w:r>
        <w:rPr>
          <w:color w:val="auto"/>
        </w:rPr>
        <w:t xml:space="preserve">.5 </w:t>
      </w:r>
      <w:r>
        <w:rPr>
          <w:rFonts w:hint="eastAsia"/>
          <w:color w:val="auto"/>
        </w:rPr>
        <w:t>合同文件的优先顺序</w:t>
      </w:r>
      <w:bookmarkEnd w:id="1047"/>
      <w:bookmarkEnd w:id="1048"/>
      <w:bookmarkEnd w:id="1061"/>
      <w:bookmarkEnd w:id="1062"/>
      <w:bookmarkEnd w:id="1063"/>
    </w:p>
    <w:p w14:paraId="52AC4A08">
      <w:pPr>
        <w:spacing w:line="360" w:lineRule="auto"/>
        <w:ind w:firstLine="420" w:firstLineChars="200"/>
        <w:rPr>
          <w:rFonts w:ascii="宋体" w:hAnsi="宋体"/>
          <w:color w:val="auto"/>
          <w:szCs w:val="21"/>
        </w:rPr>
      </w:pPr>
      <w:bookmarkStart w:id="1064" w:name="_Ref531948776"/>
      <w:r>
        <w:rPr>
          <w:rFonts w:hint="eastAsia" w:ascii="宋体" w:hAnsi="宋体"/>
          <w:color w:val="auto"/>
          <w:szCs w:val="21"/>
        </w:rPr>
        <w:t>组成合同的各项文件应互相解释，互为说明。除专用合同条件另有约定外，</w:t>
      </w:r>
      <w:bookmarkEnd w:id="1064"/>
      <w:r>
        <w:rPr>
          <w:rFonts w:hint="eastAsia" w:ascii="宋体" w:hAnsi="宋体"/>
          <w:color w:val="auto"/>
          <w:szCs w:val="21"/>
        </w:rPr>
        <w:t>解释合同文件的优先顺序如下：</w:t>
      </w:r>
    </w:p>
    <w:p w14:paraId="233E9448">
      <w:pPr>
        <w:spacing w:line="360" w:lineRule="auto"/>
        <w:ind w:firstLine="420" w:firstLineChars="200"/>
        <w:rPr>
          <w:rFonts w:ascii="宋体" w:hAnsi="宋体"/>
          <w:color w:val="auto"/>
          <w:szCs w:val="21"/>
        </w:rPr>
      </w:pPr>
      <w:r>
        <w:rPr>
          <w:rFonts w:hint="eastAsia" w:ascii="宋体" w:hAnsi="宋体"/>
          <w:color w:val="auto"/>
          <w:szCs w:val="21"/>
        </w:rPr>
        <w:t>（1） 合同协议书；</w:t>
      </w:r>
    </w:p>
    <w:p w14:paraId="302ED3D4">
      <w:pPr>
        <w:spacing w:line="360" w:lineRule="auto"/>
        <w:ind w:firstLine="420" w:firstLineChars="200"/>
        <w:rPr>
          <w:rFonts w:ascii="宋体" w:hAnsi="宋体"/>
          <w:color w:val="auto"/>
          <w:szCs w:val="21"/>
        </w:rPr>
      </w:pPr>
      <w:r>
        <w:rPr>
          <w:rFonts w:hint="eastAsia" w:ascii="宋体" w:hAnsi="宋体"/>
          <w:color w:val="auto"/>
          <w:szCs w:val="21"/>
        </w:rPr>
        <w:t>（2） 中标通知书（如果有）；</w:t>
      </w:r>
    </w:p>
    <w:p w14:paraId="29F0E833">
      <w:pPr>
        <w:spacing w:line="360" w:lineRule="auto"/>
        <w:ind w:firstLine="420" w:firstLineChars="200"/>
        <w:rPr>
          <w:rFonts w:ascii="宋体" w:hAnsi="宋体"/>
          <w:color w:val="auto"/>
          <w:szCs w:val="21"/>
        </w:rPr>
      </w:pPr>
      <w:r>
        <w:rPr>
          <w:rFonts w:hint="eastAsia" w:ascii="宋体" w:hAnsi="宋体"/>
          <w:color w:val="auto"/>
          <w:szCs w:val="21"/>
        </w:rPr>
        <w:t>（3） 投标函及投标函附录（如果有）；</w:t>
      </w:r>
    </w:p>
    <w:p w14:paraId="1117E06C">
      <w:pPr>
        <w:spacing w:line="360" w:lineRule="auto"/>
        <w:ind w:firstLine="420" w:firstLineChars="200"/>
        <w:rPr>
          <w:rFonts w:ascii="宋体" w:hAnsi="宋体"/>
          <w:color w:val="auto"/>
          <w:szCs w:val="21"/>
        </w:rPr>
      </w:pPr>
      <w:r>
        <w:rPr>
          <w:rFonts w:hint="eastAsia" w:ascii="宋体" w:hAnsi="宋体"/>
          <w:color w:val="auto"/>
          <w:szCs w:val="21"/>
        </w:rPr>
        <w:t>（4） 专用合同条件及《发包人要求》等附件；</w:t>
      </w:r>
    </w:p>
    <w:p w14:paraId="77A729E1">
      <w:pPr>
        <w:spacing w:line="360" w:lineRule="auto"/>
        <w:ind w:firstLine="420" w:firstLineChars="200"/>
        <w:rPr>
          <w:rFonts w:hint="eastAsia" w:ascii="宋体" w:hAnsi="宋体"/>
          <w:color w:val="auto"/>
          <w:szCs w:val="21"/>
        </w:rPr>
      </w:pPr>
      <w:r>
        <w:rPr>
          <w:rFonts w:hint="eastAsia" w:ascii="宋体" w:hAnsi="宋体"/>
          <w:color w:val="auto"/>
          <w:szCs w:val="21"/>
        </w:rPr>
        <w:t>（5） 通用合同条件；</w:t>
      </w:r>
    </w:p>
    <w:p w14:paraId="5C14045D">
      <w:pPr>
        <w:spacing w:line="360" w:lineRule="auto"/>
        <w:ind w:firstLine="420" w:firstLineChars="200"/>
        <w:rPr>
          <w:rFonts w:hint="eastAsia" w:ascii="宋体" w:hAnsi="宋体"/>
          <w:color w:val="auto"/>
          <w:szCs w:val="21"/>
        </w:rPr>
      </w:pPr>
      <w:r>
        <w:rPr>
          <w:rFonts w:hint="eastAsia" w:ascii="宋体" w:hAnsi="宋体"/>
          <w:color w:val="auto"/>
          <w:szCs w:val="21"/>
        </w:rPr>
        <w:t xml:space="preserve">（6） 承包人建议书； </w:t>
      </w:r>
    </w:p>
    <w:p w14:paraId="0470E22A">
      <w:pPr>
        <w:spacing w:line="360" w:lineRule="auto"/>
        <w:ind w:firstLine="420" w:firstLineChars="200"/>
        <w:rPr>
          <w:rFonts w:hint="eastAsia" w:ascii="宋体" w:hAnsi="宋体"/>
          <w:color w:val="auto"/>
          <w:szCs w:val="21"/>
        </w:rPr>
      </w:pPr>
      <w:r>
        <w:rPr>
          <w:rFonts w:hint="eastAsia" w:ascii="宋体" w:hAnsi="宋体"/>
          <w:color w:val="auto"/>
          <w:szCs w:val="21"/>
        </w:rPr>
        <w:t>（7） 价格清单；</w:t>
      </w:r>
    </w:p>
    <w:p w14:paraId="1D375BEC">
      <w:pPr>
        <w:spacing w:line="360" w:lineRule="auto"/>
        <w:ind w:firstLine="420" w:firstLineChars="200"/>
        <w:rPr>
          <w:rFonts w:ascii="宋体" w:hAnsi="宋体"/>
          <w:color w:val="auto"/>
          <w:szCs w:val="21"/>
        </w:rPr>
      </w:pPr>
      <w:r>
        <w:rPr>
          <w:rFonts w:hint="eastAsia" w:ascii="宋体" w:hAnsi="宋体"/>
          <w:color w:val="auto"/>
          <w:szCs w:val="21"/>
        </w:rPr>
        <w:t>（8） 双方约定的其他合同文件。</w:t>
      </w:r>
    </w:p>
    <w:p w14:paraId="65B7E6B5">
      <w:pPr>
        <w:spacing w:line="360" w:lineRule="auto"/>
        <w:ind w:firstLine="420" w:firstLineChars="200"/>
        <w:rPr>
          <w:rFonts w:ascii="宋体" w:hAnsi="宋体"/>
          <w:color w:val="auto"/>
          <w:szCs w:val="21"/>
        </w:rPr>
      </w:pPr>
      <w:bookmarkStart w:id="1065" w:name="_Hlk18951547"/>
      <w:r>
        <w:rPr>
          <w:rFonts w:hint="eastAsia" w:ascii="宋体" w:hAnsi="宋体"/>
          <w:color w:val="auto"/>
          <w:szCs w:val="21"/>
        </w:rPr>
        <w:t>上述各项合同文件包括合同当事人就该项合同文件所作出的补充和修改，属于同一类内容的文件，应以最新签署的为准</w:t>
      </w:r>
      <w:bookmarkEnd w:id="1065"/>
      <w:r>
        <w:rPr>
          <w:rFonts w:hint="eastAsia" w:ascii="宋体" w:hAnsi="宋体"/>
          <w:color w:val="auto"/>
          <w:szCs w:val="21"/>
        </w:rPr>
        <w:t>。</w:t>
      </w:r>
    </w:p>
    <w:p w14:paraId="250B0476">
      <w:pPr>
        <w:spacing w:line="360" w:lineRule="auto"/>
        <w:ind w:firstLine="420" w:firstLineChars="200"/>
        <w:rPr>
          <w:rFonts w:ascii="宋体" w:hAnsi="宋体"/>
          <w:color w:val="auto"/>
          <w:szCs w:val="21"/>
        </w:rPr>
      </w:pPr>
      <w:r>
        <w:rPr>
          <w:rFonts w:hint="eastAsia" w:ascii="宋体" w:hAnsi="宋体"/>
          <w:color w:val="auto"/>
          <w:szCs w:val="21"/>
        </w:rPr>
        <w:t>在合同订立及履行过程中形成的与合同有关的文件均构成合同文件组成部分，并根据其性质确定优先解释顺序。</w:t>
      </w:r>
    </w:p>
    <w:p w14:paraId="760991EC">
      <w:pPr>
        <w:pStyle w:val="4"/>
        <w:spacing w:before="120" w:line="360" w:lineRule="auto"/>
        <w:rPr>
          <w:color w:val="auto"/>
        </w:rPr>
      </w:pPr>
      <w:bookmarkStart w:id="1066" w:name="_Ref4422060"/>
      <w:bookmarkStart w:id="1067" w:name="_Toc54862183"/>
      <w:bookmarkStart w:id="1068" w:name="_Ref11917818"/>
      <w:bookmarkStart w:id="1069" w:name="_Toc154063502"/>
      <w:bookmarkStart w:id="1070" w:name="_Ref531949807"/>
      <w:bookmarkStart w:id="1071" w:name="_Ref531949822"/>
      <w:bookmarkStart w:id="1072" w:name="_Ref531949803"/>
      <w:r>
        <w:rPr>
          <w:rFonts w:hint="eastAsia"/>
          <w:color w:val="auto"/>
        </w:rPr>
        <w:t>1</w:t>
      </w:r>
      <w:r>
        <w:rPr>
          <w:color w:val="auto"/>
        </w:rPr>
        <w:t xml:space="preserve">.6 </w:t>
      </w:r>
      <w:r>
        <w:rPr>
          <w:rFonts w:hint="eastAsia"/>
          <w:color w:val="auto"/>
        </w:rPr>
        <w:t>文件的提供和</w:t>
      </w:r>
      <w:bookmarkEnd w:id="1066"/>
      <w:r>
        <w:rPr>
          <w:rFonts w:hint="eastAsia"/>
          <w:color w:val="auto"/>
        </w:rPr>
        <w:t>照管</w:t>
      </w:r>
      <w:bookmarkEnd w:id="1067"/>
      <w:bookmarkEnd w:id="1068"/>
      <w:bookmarkEnd w:id="1069"/>
    </w:p>
    <w:p w14:paraId="1BDCEB30">
      <w:pPr>
        <w:pStyle w:val="130"/>
        <w:numPr>
          <w:ilvl w:val="0"/>
          <w:numId w:val="0"/>
        </w:numPr>
        <w:ind w:firstLine="420" w:firstLineChars="200"/>
        <w:rPr>
          <w:color w:val="auto"/>
          <w:sz w:val="21"/>
        </w:rPr>
      </w:pPr>
      <w:bookmarkStart w:id="1073" w:name="_Ref4421991"/>
      <w:r>
        <w:rPr>
          <w:rFonts w:hint="eastAsia"/>
          <w:color w:val="auto"/>
          <w:sz w:val="21"/>
        </w:rPr>
        <w:t>1</w:t>
      </w:r>
      <w:r>
        <w:rPr>
          <w:color w:val="auto"/>
          <w:sz w:val="21"/>
        </w:rPr>
        <w:t xml:space="preserve">.6.1 </w:t>
      </w:r>
      <w:r>
        <w:rPr>
          <w:rFonts w:hint="eastAsia"/>
          <w:color w:val="auto"/>
          <w:sz w:val="21"/>
        </w:rPr>
        <w:t>发包人文件的提供</w:t>
      </w:r>
      <w:bookmarkEnd w:id="1073"/>
    </w:p>
    <w:p w14:paraId="0537069C">
      <w:pPr>
        <w:spacing w:line="360" w:lineRule="auto"/>
        <w:ind w:firstLine="420" w:firstLineChars="200"/>
        <w:rPr>
          <w:rFonts w:ascii="宋体" w:hAnsi="宋体"/>
          <w:color w:val="auto"/>
          <w:szCs w:val="21"/>
        </w:rPr>
      </w:pPr>
      <w:r>
        <w:rPr>
          <w:rFonts w:hint="eastAsia" w:ascii="宋体" w:hAnsi="宋体"/>
          <w:color w:val="auto"/>
          <w:szCs w:val="21"/>
        </w:rPr>
        <w:t>发包人应按照专用合同条件约定的期限、数量和形式向承包人免费提供前期工作相关资料、环境保护、气象水文、地质条件进行工程设计、现场施工等工程实施所需的文件。因发包人未按合同约定提供文件造成工期延误的，按照第</w:t>
      </w:r>
      <w:r>
        <w:rPr>
          <w:rFonts w:ascii="宋体" w:hAnsi="宋体"/>
          <w:color w:val="auto"/>
          <w:szCs w:val="21"/>
        </w:rPr>
        <w:t>8.7.1</w:t>
      </w:r>
      <w:r>
        <w:rPr>
          <w:rFonts w:hint="eastAsia" w:ascii="宋体" w:hAnsi="宋体"/>
          <w:color w:val="auto"/>
          <w:szCs w:val="21"/>
        </w:rPr>
        <w:t>项[</w:t>
      </w:r>
      <w:r>
        <w:rPr>
          <w:rFonts w:ascii="宋体" w:hAnsi="宋体"/>
          <w:color w:val="auto"/>
          <w:szCs w:val="21"/>
        </w:rPr>
        <w:t>因发包人原因导致工期延误</w:t>
      </w:r>
      <w:r>
        <w:rPr>
          <w:rFonts w:hint="eastAsia" w:ascii="宋体" w:hAnsi="宋体"/>
          <w:color w:val="auto"/>
          <w:szCs w:val="21"/>
        </w:rPr>
        <w:t>]约定办理。</w:t>
      </w:r>
    </w:p>
    <w:p w14:paraId="507AFFD2">
      <w:pPr>
        <w:pStyle w:val="130"/>
        <w:numPr>
          <w:ilvl w:val="0"/>
          <w:numId w:val="0"/>
        </w:numPr>
        <w:ind w:firstLine="420" w:firstLineChars="200"/>
        <w:rPr>
          <w:color w:val="auto"/>
          <w:sz w:val="21"/>
        </w:rPr>
      </w:pPr>
      <w:bookmarkStart w:id="1074" w:name="_Ref4422317"/>
      <w:r>
        <w:rPr>
          <w:rFonts w:hint="eastAsia"/>
          <w:color w:val="auto"/>
          <w:sz w:val="21"/>
        </w:rPr>
        <w:t>1</w:t>
      </w:r>
      <w:r>
        <w:rPr>
          <w:color w:val="auto"/>
          <w:sz w:val="21"/>
        </w:rPr>
        <w:t xml:space="preserve">.6.2 </w:t>
      </w:r>
      <w:r>
        <w:rPr>
          <w:rFonts w:hint="eastAsia"/>
          <w:color w:val="auto"/>
          <w:sz w:val="21"/>
        </w:rPr>
        <w:t>承包人文件的提供</w:t>
      </w:r>
      <w:bookmarkEnd w:id="1074"/>
    </w:p>
    <w:p w14:paraId="220C98C6">
      <w:pPr>
        <w:spacing w:line="360" w:lineRule="auto"/>
        <w:ind w:firstLine="420" w:firstLineChars="200"/>
        <w:rPr>
          <w:rFonts w:hint="eastAsia" w:ascii="宋体" w:hAnsi="宋体"/>
          <w:color w:val="auto"/>
          <w:szCs w:val="21"/>
        </w:rPr>
      </w:pPr>
      <w:r>
        <w:rPr>
          <w:rFonts w:hint="eastAsia" w:ascii="宋体" w:hAnsi="宋体"/>
          <w:color w:val="auto"/>
          <w:szCs w:val="21"/>
        </w:rPr>
        <w:t>除专用合同条件另有约定外，承包人文件应包含下列内容，并用第</w:t>
      </w:r>
      <w:r>
        <w:rPr>
          <w:rFonts w:ascii="宋体" w:hAnsi="宋体"/>
          <w:color w:val="auto"/>
          <w:szCs w:val="21"/>
        </w:rPr>
        <w:t>1.2</w:t>
      </w:r>
      <w:r>
        <w:rPr>
          <w:rFonts w:hint="eastAsia" w:ascii="宋体" w:hAnsi="宋体"/>
          <w:color w:val="auto"/>
          <w:szCs w:val="21"/>
        </w:rPr>
        <w:t>款[语言文字]约定的语言制作：</w:t>
      </w:r>
    </w:p>
    <w:p w14:paraId="27964E80">
      <w:pPr>
        <w:spacing w:line="360" w:lineRule="auto"/>
        <w:ind w:firstLine="420" w:firstLineChars="200"/>
        <w:rPr>
          <w:rFonts w:hint="eastAsia" w:ascii="宋体" w:hAnsi="宋体"/>
          <w:color w:val="auto"/>
          <w:szCs w:val="21"/>
        </w:rPr>
      </w:pPr>
      <w:r>
        <w:rPr>
          <w:rFonts w:hint="eastAsia" w:ascii="宋体" w:hAnsi="宋体"/>
          <w:color w:val="auto"/>
          <w:szCs w:val="21"/>
        </w:rPr>
        <w:t>（1）《发包人要求》中规定的相关文件；</w:t>
      </w:r>
    </w:p>
    <w:p w14:paraId="631AD480">
      <w:pPr>
        <w:spacing w:line="360" w:lineRule="auto"/>
        <w:ind w:firstLine="420" w:firstLineChars="200"/>
        <w:rPr>
          <w:rFonts w:hint="eastAsia" w:ascii="宋体" w:hAnsi="宋体"/>
          <w:color w:val="auto"/>
          <w:szCs w:val="21"/>
        </w:rPr>
      </w:pPr>
      <w:r>
        <w:rPr>
          <w:rFonts w:hint="eastAsia" w:ascii="宋体" w:hAnsi="宋体"/>
          <w:color w:val="auto"/>
          <w:szCs w:val="21"/>
        </w:rPr>
        <w:t>（2）满足工程相关行政审批手续所必须的应由承包人负责的相关文件；</w:t>
      </w:r>
    </w:p>
    <w:p w14:paraId="7A782D57">
      <w:pPr>
        <w:spacing w:line="360" w:lineRule="auto"/>
        <w:ind w:firstLine="420" w:firstLineChars="200"/>
        <w:rPr>
          <w:rFonts w:ascii="宋体" w:hAnsi="宋体"/>
          <w:color w:val="auto"/>
          <w:szCs w:val="21"/>
        </w:rPr>
      </w:pPr>
      <w:r>
        <w:rPr>
          <w:rFonts w:hint="eastAsia" w:ascii="宋体" w:hAnsi="宋体"/>
          <w:color w:val="auto"/>
          <w:szCs w:val="21"/>
        </w:rPr>
        <w:t>（3）第</w:t>
      </w:r>
      <w:r>
        <w:rPr>
          <w:rFonts w:ascii="宋体" w:hAnsi="宋体"/>
          <w:color w:val="auto"/>
          <w:szCs w:val="21"/>
        </w:rPr>
        <w:t>5.4</w:t>
      </w:r>
      <w:r>
        <w:rPr>
          <w:rFonts w:hint="eastAsia" w:ascii="宋体" w:hAnsi="宋体"/>
          <w:color w:val="auto"/>
          <w:szCs w:val="21"/>
        </w:rPr>
        <w:t>款[竣工文件]与第</w:t>
      </w:r>
      <w:r>
        <w:rPr>
          <w:rFonts w:ascii="宋体" w:hAnsi="宋体"/>
          <w:color w:val="auto"/>
          <w:szCs w:val="21"/>
        </w:rPr>
        <w:t>5.5</w:t>
      </w:r>
      <w:r>
        <w:rPr>
          <w:rFonts w:hint="eastAsia" w:ascii="宋体" w:hAnsi="宋体"/>
          <w:color w:val="auto"/>
          <w:szCs w:val="21"/>
        </w:rPr>
        <w:t>款[操作和维修手册]中要求的相关文件。</w:t>
      </w:r>
    </w:p>
    <w:p w14:paraId="4F83D8AB">
      <w:pPr>
        <w:spacing w:line="360" w:lineRule="auto"/>
        <w:ind w:firstLine="420" w:firstLineChars="200"/>
        <w:rPr>
          <w:rFonts w:ascii="宋体" w:hAnsi="宋体"/>
          <w:color w:val="auto"/>
          <w:szCs w:val="21"/>
        </w:rPr>
      </w:pPr>
      <w:r>
        <w:rPr>
          <w:rFonts w:hint="eastAsia" w:ascii="宋体" w:hAnsi="宋体"/>
          <w:color w:val="auto"/>
          <w:szCs w:val="21"/>
        </w:rPr>
        <w:t>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w:t>
      </w:r>
      <w:r>
        <w:rPr>
          <w:rFonts w:ascii="宋体" w:hAnsi="宋体"/>
          <w:color w:val="auto"/>
          <w:szCs w:val="21"/>
        </w:rPr>
        <w:t>5.2</w:t>
      </w:r>
      <w:r>
        <w:rPr>
          <w:rFonts w:hint="eastAsia" w:ascii="宋体" w:hAnsi="宋体"/>
          <w:color w:val="auto"/>
          <w:szCs w:val="21"/>
        </w:rPr>
        <w:t>款[承包人文件审查]和第</w:t>
      </w:r>
      <w:r>
        <w:rPr>
          <w:rFonts w:ascii="宋体" w:hAnsi="宋体"/>
          <w:color w:val="auto"/>
          <w:szCs w:val="21"/>
        </w:rPr>
        <w:t>5.4</w:t>
      </w:r>
      <w:r>
        <w:rPr>
          <w:rFonts w:hint="eastAsia" w:ascii="宋体" w:hAnsi="宋体"/>
          <w:color w:val="auto"/>
          <w:szCs w:val="21"/>
        </w:rPr>
        <w:t>款[竣工文件]的约定。</w:t>
      </w:r>
    </w:p>
    <w:p w14:paraId="2F6168D8">
      <w:pPr>
        <w:pStyle w:val="130"/>
        <w:numPr>
          <w:ilvl w:val="0"/>
          <w:numId w:val="0"/>
        </w:numPr>
        <w:ind w:firstLine="420" w:firstLineChars="200"/>
        <w:rPr>
          <w:color w:val="auto"/>
          <w:sz w:val="21"/>
        </w:rPr>
      </w:pPr>
      <w:r>
        <w:rPr>
          <w:rFonts w:hint="eastAsia"/>
          <w:color w:val="auto"/>
          <w:sz w:val="21"/>
        </w:rPr>
        <w:t>1</w:t>
      </w:r>
      <w:r>
        <w:rPr>
          <w:color w:val="auto"/>
          <w:sz w:val="21"/>
        </w:rPr>
        <w:t xml:space="preserve">.6.3 </w:t>
      </w:r>
      <w:r>
        <w:rPr>
          <w:rFonts w:hint="eastAsia"/>
          <w:color w:val="auto"/>
          <w:sz w:val="21"/>
        </w:rPr>
        <w:t>文件错误的通知</w:t>
      </w:r>
    </w:p>
    <w:p w14:paraId="2EF93F93">
      <w:pPr>
        <w:spacing w:line="360" w:lineRule="auto"/>
        <w:ind w:firstLine="420" w:firstLineChars="200"/>
        <w:rPr>
          <w:rFonts w:ascii="宋体" w:hAnsi="宋体"/>
          <w:color w:val="auto"/>
          <w:szCs w:val="21"/>
        </w:rPr>
      </w:pPr>
      <w:r>
        <w:rPr>
          <w:rFonts w:hint="eastAsia" w:ascii="宋体" w:hAnsi="宋体"/>
          <w:color w:val="auto"/>
          <w:szCs w:val="21"/>
        </w:rPr>
        <w:t>任何一方发现文件中存在明显的错误或疏忽，应及时通知另一方。</w:t>
      </w:r>
    </w:p>
    <w:p w14:paraId="4729BDA5">
      <w:pPr>
        <w:pStyle w:val="130"/>
        <w:numPr>
          <w:ilvl w:val="0"/>
          <w:numId w:val="0"/>
        </w:numPr>
        <w:ind w:firstLine="420" w:firstLineChars="200"/>
        <w:rPr>
          <w:color w:val="auto"/>
          <w:sz w:val="21"/>
        </w:rPr>
      </w:pPr>
      <w:bookmarkStart w:id="1075" w:name="_Ref4678410"/>
      <w:bookmarkStart w:id="1076" w:name="_Ref11957673"/>
      <w:r>
        <w:rPr>
          <w:rFonts w:hint="eastAsia"/>
          <w:color w:val="auto"/>
          <w:sz w:val="21"/>
        </w:rPr>
        <w:t>1</w:t>
      </w:r>
      <w:r>
        <w:rPr>
          <w:color w:val="auto"/>
          <w:sz w:val="21"/>
        </w:rPr>
        <w:t xml:space="preserve">.6.4 </w:t>
      </w:r>
      <w:r>
        <w:rPr>
          <w:rFonts w:hint="eastAsia"/>
          <w:color w:val="auto"/>
          <w:sz w:val="21"/>
        </w:rPr>
        <w:t>文件的</w:t>
      </w:r>
      <w:bookmarkEnd w:id="1075"/>
      <w:r>
        <w:rPr>
          <w:rFonts w:hint="eastAsia"/>
          <w:color w:val="auto"/>
          <w:sz w:val="21"/>
        </w:rPr>
        <w:t>照管</w:t>
      </w:r>
      <w:bookmarkEnd w:id="1076"/>
    </w:p>
    <w:p w14:paraId="488916BD">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承包人应在现场保留一份合同、《发包人要求》中列出的所有文件、承包人文件、变更以及其他根据合同收发的往来信函。发包人和工程师有权在任何合理的时间查阅和使用上述所有文件。</w:t>
      </w:r>
    </w:p>
    <w:p w14:paraId="1F5AD661">
      <w:pPr>
        <w:pStyle w:val="4"/>
        <w:spacing w:before="120" w:line="360" w:lineRule="auto"/>
        <w:rPr>
          <w:color w:val="auto"/>
        </w:rPr>
      </w:pPr>
      <w:bookmarkStart w:id="1077" w:name="_Toc54862184"/>
      <w:bookmarkStart w:id="1078" w:name="_Toc154063503"/>
      <w:bookmarkStart w:id="1079" w:name="_Ref4415170"/>
      <w:r>
        <w:rPr>
          <w:rFonts w:hint="eastAsia"/>
          <w:color w:val="auto"/>
        </w:rPr>
        <w:t>1</w:t>
      </w:r>
      <w:r>
        <w:rPr>
          <w:color w:val="auto"/>
        </w:rPr>
        <w:t xml:space="preserve">.7 </w:t>
      </w:r>
      <w:r>
        <w:rPr>
          <w:rFonts w:hint="eastAsia"/>
          <w:color w:val="auto"/>
        </w:rPr>
        <w:t>联络</w:t>
      </w:r>
      <w:bookmarkEnd w:id="1077"/>
      <w:bookmarkEnd w:id="1078"/>
      <w:bookmarkEnd w:id="1079"/>
    </w:p>
    <w:p w14:paraId="025068D2">
      <w:pPr>
        <w:pStyle w:val="130"/>
        <w:numPr>
          <w:ilvl w:val="0"/>
          <w:numId w:val="0"/>
        </w:numPr>
        <w:ind w:firstLine="420" w:firstLineChars="200"/>
        <w:rPr>
          <w:color w:val="auto"/>
          <w:sz w:val="21"/>
        </w:rPr>
      </w:pPr>
      <w:r>
        <w:rPr>
          <w:rFonts w:hint="eastAsia"/>
          <w:color w:val="auto"/>
          <w:sz w:val="21"/>
        </w:rPr>
        <w:t>1</w:t>
      </w:r>
      <w:r>
        <w:rPr>
          <w:color w:val="auto"/>
          <w:sz w:val="21"/>
        </w:rPr>
        <w:t xml:space="preserve">.7.1 </w:t>
      </w:r>
      <w:r>
        <w:rPr>
          <w:rFonts w:hint="eastAsia"/>
          <w:color w:val="auto"/>
          <w:sz w:val="21"/>
        </w:rPr>
        <w:t>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p>
    <w:p w14:paraId="2FE52958">
      <w:pPr>
        <w:pStyle w:val="130"/>
        <w:numPr>
          <w:ilvl w:val="0"/>
          <w:numId w:val="0"/>
        </w:numPr>
        <w:ind w:firstLine="420" w:firstLineChars="200"/>
        <w:rPr>
          <w:color w:val="auto"/>
          <w:sz w:val="21"/>
        </w:rPr>
      </w:pPr>
      <w:bookmarkStart w:id="1080" w:name="_Ref531949897"/>
      <w:r>
        <w:rPr>
          <w:rFonts w:hint="eastAsia"/>
          <w:color w:val="auto"/>
          <w:sz w:val="21"/>
        </w:rPr>
        <w:t>1</w:t>
      </w:r>
      <w:r>
        <w:rPr>
          <w:color w:val="auto"/>
          <w:sz w:val="21"/>
        </w:rPr>
        <w:t xml:space="preserve">.7.2 </w:t>
      </w:r>
      <w:r>
        <w:rPr>
          <w:rFonts w:hint="eastAsia"/>
          <w:color w:val="auto"/>
          <w:sz w:val="21"/>
        </w:rPr>
        <w:t>发包人和承包人应在专用合同条件中约定各自的送达方式和收件地址。任何一方合同当事人指定的送达方式或收件地址发生变动的，应提前3天以书面形式通知对方。</w:t>
      </w:r>
      <w:bookmarkEnd w:id="1080"/>
    </w:p>
    <w:p w14:paraId="10FDD02A">
      <w:pPr>
        <w:pStyle w:val="130"/>
        <w:numPr>
          <w:ilvl w:val="0"/>
          <w:numId w:val="0"/>
        </w:numPr>
        <w:ind w:firstLine="420" w:firstLineChars="200"/>
        <w:rPr>
          <w:color w:val="auto"/>
          <w:sz w:val="21"/>
        </w:rPr>
      </w:pPr>
      <w:r>
        <w:rPr>
          <w:rFonts w:hint="eastAsia"/>
          <w:color w:val="auto"/>
          <w:sz w:val="21"/>
        </w:rPr>
        <w:t>1</w:t>
      </w:r>
      <w:r>
        <w:rPr>
          <w:color w:val="auto"/>
          <w:sz w:val="21"/>
        </w:rPr>
        <w:t xml:space="preserve">.7.3 </w:t>
      </w:r>
      <w:r>
        <w:rPr>
          <w:rFonts w:hint="eastAsia"/>
          <w:color w:val="auto"/>
          <w:sz w:val="21"/>
        </w:rPr>
        <w:t>发包人和承包人应当及时签收另一方通过约定的送达方式送达至收件地址的来往文件。拒不签收的，由此增加的费用和（或）延误的工期由拒绝接收一方承担。</w:t>
      </w:r>
    </w:p>
    <w:p w14:paraId="52742C4F">
      <w:pPr>
        <w:pStyle w:val="130"/>
        <w:numPr>
          <w:ilvl w:val="0"/>
          <w:numId w:val="0"/>
        </w:numPr>
        <w:ind w:firstLine="420" w:firstLineChars="200"/>
        <w:rPr>
          <w:color w:val="auto"/>
          <w:sz w:val="21"/>
        </w:rPr>
      </w:pPr>
      <w:r>
        <w:rPr>
          <w:rFonts w:hint="eastAsia"/>
          <w:color w:val="auto"/>
          <w:sz w:val="21"/>
        </w:rPr>
        <w:t>1</w:t>
      </w:r>
      <w:r>
        <w:rPr>
          <w:color w:val="auto"/>
          <w:sz w:val="21"/>
        </w:rPr>
        <w:t xml:space="preserve">.7.4 </w:t>
      </w:r>
      <w:r>
        <w:rPr>
          <w:rFonts w:hint="eastAsia"/>
          <w:color w:val="auto"/>
          <w:sz w:val="21"/>
        </w:rPr>
        <w:t>对于工程师向承包人发出的任何通知，均应以书面形式由工程师或其代表签认后送交承包人实施，并抄送发包人；对于合同一方向另一方发出的任何通知，均应抄送工程师。对于由工程师审查后报发包人批准的事项，应由工程师向承包人出具经发包人签认的批准文件。</w:t>
      </w:r>
    </w:p>
    <w:p w14:paraId="786AFD42">
      <w:pPr>
        <w:pStyle w:val="4"/>
        <w:spacing w:before="120" w:line="360" w:lineRule="auto"/>
        <w:rPr>
          <w:color w:val="auto"/>
        </w:rPr>
      </w:pPr>
      <w:bookmarkStart w:id="1081" w:name="_Toc154063504"/>
      <w:bookmarkStart w:id="1082" w:name="_Toc54862185"/>
      <w:r>
        <w:rPr>
          <w:rFonts w:hint="eastAsia"/>
          <w:color w:val="auto"/>
        </w:rPr>
        <w:t>1</w:t>
      </w:r>
      <w:r>
        <w:rPr>
          <w:color w:val="auto"/>
        </w:rPr>
        <w:t xml:space="preserve">.8 </w:t>
      </w:r>
      <w:r>
        <w:rPr>
          <w:rFonts w:hint="eastAsia"/>
          <w:color w:val="auto"/>
        </w:rPr>
        <w:t>严禁贿赂</w:t>
      </w:r>
      <w:bookmarkEnd w:id="1070"/>
      <w:bookmarkEnd w:id="1071"/>
      <w:bookmarkEnd w:id="1072"/>
      <w:bookmarkEnd w:id="1081"/>
      <w:bookmarkEnd w:id="1082"/>
    </w:p>
    <w:p w14:paraId="3ED08EB0">
      <w:pPr>
        <w:spacing w:line="360" w:lineRule="auto"/>
        <w:ind w:firstLine="420" w:firstLineChars="200"/>
        <w:rPr>
          <w:rFonts w:ascii="宋体" w:hAnsi="宋体"/>
          <w:color w:val="auto"/>
          <w:szCs w:val="21"/>
        </w:rPr>
      </w:pPr>
      <w:r>
        <w:rPr>
          <w:rFonts w:hint="eastAsia" w:ascii="宋体" w:hAnsi="宋体"/>
          <w:color w:val="auto"/>
          <w:szCs w:val="21"/>
        </w:rPr>
        <w:t>合同当事人不得以贿赂或变相贿赂的方式，谋取非法利益或损害对方权益。因一方合同当事人的贿赂造成对方损失的，应赔偿损失，并承担相应的法律责任。</w:t>
      </w:r>
    </w:p>
    <w:p w14:paraId="16FCF727">
      <w:pPr>
        <w:spacing w:line="360" w:lineRule="auto"/>
        <w:ind w:firstLine="420" w:firstLineChars="200"/>
        <w:rPr>
          <w:rFonts w:ascii="宋体" w:hAnsi="宋体"/>
          <w:color w:val="auto"/>
          <w:szCs w:val="21"/>
        </w:rPr>
      </w:pPr>
      <w:r>
        <w:rPr>
          <w:rFonts w:hint="eastAsia" w:ascii="宋体" w:hAnsi="宋体"/>
          <w:color w:val="auto"/>
          <w:szCs w:val="21"/>
        </w:rPr>
        <w:t>承包人不得与工程师或发包人聘请的第三方串通损害发包人利益。未经发包人书面同意，承包人不得为工程师提供合同约定以外的通讯设备、交通工具及其他任何形式的利益，不得向工程师支付报酬。</w:t>
      </w:r>
    </w:p>
    <w:p w14:paraId="60CFDD8D">
      <w:pPr>
        <w:pStyle w:val="4"/>
        <w:spacing w:before="120" w:line="360" w:lineRule="auto"/>
        <w:rPr>
          <w:color w:val="auto"/>
        </w:rPr>
      </w:pPr>
      <w:bookmarkStart w:id="1083" w:name="_Toc54862186"/>
      <w:bookmarkStart w:id="1084" w:name="_Toc154063505"/>
      <w:r>
        <w:rPr>
          <w:rFonts w:hint="eastAsia"/>
          <w:color w:val="auto"/>
        </w:rPr>
        <w:t>1</w:t>
      </w:r>
      <w:r>
        <w:rPr>
          <w:color w:val="auto"/>
        </w:rPr>
        <w:t>.9 化石、文物</w:t>
      </w:r>
      <w:bookmarkEnd w:id="1083"/>
      <w:bookmarkEnd w:id="1084"/>
    </w:p>
    <w:p w14:paraId="5C850200">
      <w:pPr>
        <w:spacing w:line="360" w:lineRule="auto"/>
        <w:ind w:firstLine="420" w:firstLineChars="200"/>
        <w:rPr>
          <w:rFonts w:ascii="宋体" w:hAnsi="宋体"/>
          <w:color w:val="auto"/>
          <w:szCs w:val="21"/>
        </w:rPr>
      </w:pPr>
      <w:r>
        <w:rPr>
          <w:rFonts w:hint="eastAsia" w:ascii="宋体" w:hAnsi="宋体"/>
          <w:color w:val="auto"/>
          <w:szCs w:val="21"/>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p>
    <w:p w14:paraId="0C3979AF">
      <w:pPr>
        <w:spacing w:line="360" w:lineRule="auto"/>
        <w:ind w:firstLine="420" w:firstLineChars="200"/>
        <w:rPr>
          <w:rFonts w:ascii="宋体" w:hAnsi="宋体"/>
          <w:color w:val="auto"/>
          <w:szCs w:val="21"/>
        </w:rPr>
      </w:pPr>
      <w:r>
        <w:rPr>
          <w:rFonts w:hint="eastAsia" w:ascii="宋体" w:hAnsi="宋体"/>
          <w:color w:val="auto"/>
          <w:szCs w:val="21"/>
        </w:rPr>
        <w:t>发包人、工程师和承包人应按有关政府行政管理部门要求采取妥善的保护措施，由此增加的费用和（或）延误的工期由发包人承担。</w:t>
      </w:r>
    </w:p>
    <w:p w14:paraId="2A5D4747">
      <w:pPr>
        <w:spacing w:line="360" w:lineRule="auto"/>
        <w:ind w:firstLine="420" w:firstLineChars="200"/>
        <w:rPr>
          <w:rFonts w:ascii="宋体" w:hAnsi="宋体"/>
          <w:color w:val="auto"/>
          <w:szCs w:val="21"/>
        </w:rPr>
      </w:pPr>
      <w:r>
        <w:rPr>
          <w:rFonts w:hint="eastAsia" w:ascii="宋体" w:hAnsi="宋体"/>
          <w:color w:val="auto"/>
          <w:szCs w:val="21"/>
        </w:rPr>
        <w:t>承包人发现文物后不及时报告或隐瞒不报，致使文物丢失或损坏的，应赔偿损失，并承担相应的法律责任。</w:t>
      </w:r>
    </w:p>
    <w:p w14:paraId="37D2ED78">
      <w:pPr>
        <w:pStyle w:val="4"/>
        <w:spacing w:before="120" w:line="360" w:lineRule="auto"/>
        <w:rPr>
          <w:color w:val="auto"/>
        </w:rPr>
      </w:pPr>
      <w:bookmarkStart w:id="1085" w:name="_Toc54862187"/>
      <w:bookmarkStart w:id="1086" w:name="_Ref4423426"/>
      <w:bookmarkStart w:id="1087" w:name="_Ref531949770"/>
      <w:bookmarkStart w:id="1088" w:name="_Ref531949766"/>
      <w:bookmarkStart w:id="1089" w:name="_Toc154063506"/>
      <w:bookmarkStart w:id="1090" w:name="_Ref531949826"/>
      <w:bookmarkStart w:id="1091" w:name="_Ref531949855"/>
      <w:bookmarkStart w:id="1092" w:name="_Ref531949841"/>
      <w:r>
        <w:rPr>
          <w:rFonts w:hint="eastAsia"/>
          <w:color w:val="auto"/>
        </w:rPr>
        <w:t>1</w:t>
      </w:r>
      <w:r>
        <w:rPr>
          <w:color w:val="auto"/>
        </w:rPr>
        <w:t xml:space="preserve">.10 </w:t>
      </w:r>
      <w:r>
        <w:rPr>
          <w:rFonts w:hint="eastAsia"/>
          <w:color w:val="auto"/>
        </w:rPr>
        <w:t>知识产权</w:t>
      </w:r>
      <w:bookmarkEnd w:id="1085"/>
      <w:bookmarkEnd w:id="1086"/>
      <w:bookmarkEnd w:id="1087"/>
      <w:bookmarkEnd w:id="1088"/>
      <w:bookmarkEnd w:id="1089"/>
      <w:r>
        <w:rPr>
          <w:color w:val="auto"/>
        </w:rPr>
        <w:t xml:space="preserve"> </w:t>
      </w:r>
    </w:p>
    <w:p w14:paraId="75750606">
      <w:pPr>
        <w:pStyle w:val="130"/>
        <w:numPr>
          <w:ilvl w:val="0"/>
          <w:numId w:val="0"/>
        </w:numPr>
        <w:ind w:firstLine="420" w:firstLineChars="200"/>
        <w:rPr>
          <w:color w:val="auto"/>
          <w:sz w:val="21"/>
        </w:rPr>
      </w:pPr>
      <w:bookmarkStart w:id="1093" w:name="_Ref4423563"/>
      <w:r>
        <w:rPr>
          <w:rFonts w:hint="eastAsia"/>
          <w:color w:val="auto"/>
          <w:sz w:val="21"/>
        </w:rPr>
        <w:t>1</w:t>
      </w:r>
      <w:r>
        <w:rPr>
          <w:color w:val="auto"/>
          <w:sz w:val="21"/>
        </w:rPr>
        <w:t xml:space="preserve">.10.1 </w:t>
      </w:r>
      <w:r>
        <w:rPr>
          <w:rFonts w:hint="eastAsia"/>
          <w:color w:val="auto"/>
          <w:sz w:val="21"/>
        </w:rPr>
        <w:t>除专用合同条件另有约定外，由发包人（或以发包人名义）编制的《发包人要求》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bookmarkEnd w:id="1093"/>
    </w:p>
    <w:p w14:paraId="2A1CFAC4">
      <w:pPr>
        <w:pStyle w:val="130"/>
        <w:numPr>
          <w:ilvl w:val="0"/>
          <w:numId w:val="0"/>
        </w:numPr>
        <w:ind w:firstLine="420" w:firstLineChars="200"/>
        <w:rPr>
          <w:color w:val="auto"/>
          <w:sz w:val="21"/>
        </w:rPr>
      </w:pPr>
      <w:bookmarkStart w:id="1094" w:name="_Ref4423604"/>
      <w:r>
        <w:rPr>
          <w:rFonts w:hint="eastAsia"/>
          <w:color w:val="auto"/>
          <w:sz w:val="21"/>
        </w:rPr>
        <w:t>1</w:t>
      </w:r>
      <w:r>
        <w:rPr>
          <w:color w:val="auto"/>
          <w:sz w:val="21"/>
        </w:rPr>
        <w:t xml:space="preserve">.10.2 </w:t>
      </w:r>
      <w:r>
        <w:rPr>
          <w:rFonts w:hint="eastAsia"/>
          <w:color w:val="auto"/>
          <w:sz w:val="21"/>
        </w:rPr>
        <w:t>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bookmarkEnd w:id="1094"/>
    </w:p>
    <w:p w14:paraId="0F5D176F">
      <w:pPr>
        <w:pStyle w:val="130"/>
        <w:numPr>
          <w:ilvl w:val="0"/>
          <w:numId w:val="0"/>
        </w:numPr>
        <w:ind w:firstLine="420" w:firstLineChars="200"/>
        <w:rPr>
          <w:color w:val="auto"/>
          <w:sz w:val="21"/>
        </w:rPr>
      </w:pPr>
      <w:r>
        <w:rPr>
          <w:rFonts w:hint="eastAsia"/>
          <w:color w:val="auto"/>
          <w:sz w:val="21"/>
        </w:rPr>
        <w:t>1</w:t>
      </w:r>
      <w:r>
        <w:rPr>
          <w:color w:val="auto"/>
          <w:sz w:val="21"/>
        </w:rPr>
        <w:t xml:space="preserve">.10.3 </w:t>
      </w:r>
      <w:r>
        <w:rPr>
          <w:rFonts w:hint="eastAsia"/>
          <w:color w:val="auto"/>
          <w:sz w:val="21"/>
        </w:rPr>
        <w:t>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p>
    <w:p w14:paraId="16297A42">
      <w:pPr>
        <w:pStyle w:val="130"/>
        <w:numPr>
          <w:ilvl w:val="0"/>
          <w:numId w:val="0"/>
        </w:numPr>
        <w:ind w:firstLine="420" w:firstLineChars="200"/>
        <w:rPr>
          <w:color w:val="auto"/>
          <w:sz w:val="21"/>
        </w:rPr>
      </w:pPr>
      <w:bookmarkStart w:id="1095" w:name="_Ref4423695"/>
      <w:r>
        <w:rPr>
          <w:rFonts w:hint="eastAsia"/>
          <w:color w:val="auto"/>
          <w:sz w:val="21"/>
        </w:rPr>
        <w:t>1</w:t>
      </w:r>
      <w:r>
        <w:rPr>
          <w:color w:val="auto"/>
          <w:sz w:val="21"/>
        </w:rPr>
        <w:t xml:space="preserve">.10.4 </w:t>
      </w:r>
      <w:r>
        <w:rPr>
          <w:rFonts w:hint="eastAsia"/>
          <w:color w:val="auto"/>
          <w:sz w:val="21"/>
        </w:rPr>
        <w:t>除专用合同条件另有约定外，承包人在投标文件中采用的专利、专有技术、商业软件、技术秘密的使用费已包含在签约合同价中。</w:t>
      </w:r>
      <w:bookmarkEnd w:id="1095"/>
    </w:p>
    <w:p w14:paraId="33F9B4ED">
      <w:pPr>
        <w:pStyle w:val="130"/>
        <w:numPr>
          <w:ilvl w:val="0"/>
          <w:numId w:val="0"/>
        </w:numPr>
        <w:ind w:firstLine="420" w:firstLineChars="200"/>
        <w:rPr>
          <w:color w:val="auto"/>
          <w:sz w:val="21"/>
        </w:rPr>
      </w:pPr>
      <w:r>
        <w:rPr>
          <w:rFonts w:hint="eastAsia"/>
          <w:color w:val="auto"/>
          <w:sz w:val="21"/>
        </w:rPr>
        <w:t>1</w:t>
      </w:r>
      <w:r>
        <w:rPr>
          <w:color w:val="auto"/>
          <w:sz w:val="21"/>
        </w:rPr>
        <w:t xml:space="preserve">.10.5 </w:t>
      </w:r>
      <w:r>
        <w:rPr>
          <w:rFonts w:hint="eastAsia"/>
          <w:color w:val="auto"/>
          <w:sz w:val="21"/>
        </w:rPr>
        <w:t>合同当事人可就本合同涉及的合同一方、或合同双方（含一方或双方相关的专利商或第三方设计单位)的技术专利、建筑设计方案、专有技术、设计文件著作权等知识产权，订立知识产权及保密协议，作为本合同的组成部分。</w:t>
      </w:r>
    </w:p>
    <w:p w14:paraId="2A48EE78">
      <w:pPr>
        <w:pStyle w:val="4"/>
        <w:spacing w:before="120" w:line="360" w:lineRule="auto"/>
        <w:rPr>
          <w:color w:val="auto"/>
        </w:rPr>
      </w:pPr>
      <w:bookmarkStart w:id="1096" w:name="_Toc54862188"/>
      <w:bookmarkStart w:id="1097" w:name="_Toc154063507"/>
      <w:bookmarkStart w:id="1098" w:name="_Ref4423873"/>
      <w:bookmarkStart w:id="1099" w:name="_Ref4423898"/>
      <w:r>
        <w:rPr>
          <w:rFonts w:hint="eastAsia"/>
          <w:color w:val="auto"/>
        </w:rPr>
        <w:t>1</w:t>
      </w:r>
      <w:r>
        <w:rPr>
          <w:color w:val="auto"/>
        </w:rPr>
        <w:t xml:space="preserve">.11 </w:t>
      </w:r>
      <w:r>
        <w:rPr>
          <w:rFonts w:hint="eastAsia"/>
          <w:color w:val="auto"/>
        </w:rPr>
        <w:t>保密</w:t>
      </w:r>
      <w:bookmarkEnd w:id="1090"/>
      <w:bookmarkEnd w:id="1091"/>
      <w:bookmarkEnd w:id="1092"/>
      <w:bookmarkEnd w:id="1096"/>
      <w:bookmarkEnd w:id="1097"/>
      <w:bookmarkEnd w:id="1098"/>
      <w:bookmarkEnd w:id="1099"/>
    </w:p>
    <w:p w14:paraId="16C6B23D">
      <w:pPr>
        <w:spacing w:line="360" w:lineRule="auto"/>
        <w:ind w:firstLine="420" w:firstLineChars="200"/>
        <w:rPr>
          <w:rFonts w:ascii="宋体" w:hAnsi="宋体"/>
          <w:color w:val="auto"/>
          <w:szCs w:val="21"/>
        </w:rPr>
      </w:pPr>
      <w:r>
        <w:rPr>
          <w:rFonts w:hint="eastAsia" w:ascii="宋体" w:hAnsi="宋体"/>
          <w:color w:val="auto"/>
          <w:szCs w:val="21"/>
        </w:rPr>
        <w:t>合同当事人一方对在订立和履行合同过程中知悉的另一方的商业秘密、技术秘密，以及任何一方明确要求保密的其它信息，负有保密责任。</w:t>
      </w:r>
    </w:p>
    <w:p w14:paraId="06DB6236">
      <w:pPr>
        <w:spacing w:line="360" w:lineRule="auto"/>
        <w:ind w:firstLine="420" w:firstLineChars="200"/>
        <w:rPr>
          <w:rFonts w:ascii="宋体" w:hAnsi="宋体"/>
          <w:color w:val="auto"/>
          <w:szCs w:val="21"/>
        </w:rPr>
      </w:pPr>
      <w:r>
        <w:rPr>
          <w:rFonts w:hint="eastAsia" w:ascii="宋体" w:hAnsi="宋体"/>
          <w:color w:val="auto"/>
          <w:szCs w:val="21"/>
        </w:rPr>
        <w:t>除法律规定或合同另有约定外，未经对方同意，任何一方当事人不得将对方提供的文件、技术秘密以及声明需要保密的资料信息等商业秘密泄露给第三方或者用于本合同以外的目的。</w:t>
      </w:r>
    </w:p>
    <w:p w14:paraId="4F4756AC">
      <w:pPr>
        <w:spacing w:line="360" w:lineRule="auto"/>
        <w:ind w:firstLine="420" w:firstLineChars="200"/>
        <w:rPr>
          <w:rFonts w:ascii="宋体" w:hAnsi="宋体"/>
          <w:color w:val="auto"/>
          <w:szCs w:val="21"/>
        </w:rPr>
      </w:pPr>
      <w:r>
        <w:rPr>
          <w:rFonts w:hint="eastAsia" w:ascii="宋体" w:hAnsi="宋体"/>
          <w:color w:val="auto"/>
          <w:szCs w:val="21"/>
        </w:rPr>
        <w:t>一方泄露或者在本合同以外使用该商业秘密、技术秘密等保密信息给另一方造成损失的，应承担损害赔偿责任。当事人为履行合同所需要的信息，另一方应予以提供。当事人认为必要时，可订立保密协议，作为合同附件。</w:t>
      </w:r>
    </w:p>
    <w:p w14:paraId="0BB27664">
      <w:pPr>
        <w:pStyle w:val="4"/>
        <w:spacing w:before="120" w:line="360" w:lineRule="auto"/>
        <w:rPr>
          <w:color w:val="auto"/>
        </w:rPr>
      </w:pPr>
      <w:bookmarkStart w:id="1100" w:name="_Toc54862189"/>
      <w:bookmarkStart w:id="1101" w:name="_Ref532336812"/>
      <w:bookmarkStart w:id="1102" w:name="_Toc154063508"/>
      <w:r>
        <w:rPr>
          <w:rFonts w:hint="eastAsia"/>
          <w:color w:val="auto"/>
        </w:rPr>
        <w:t>1</w:t>
      </w:r>
      <w:r>
        <w:rPr>
          <w:color w:val="auto"/>
        </w:rPr>
        <w:t xml:space="preserve">.12 </w:t>
      </w:r>
      <w:bookmarkStart w:id="1103" w:name="_Hlk55215423"/>
      <w:r>
        <w:rPr>
          <w:rFonts w:hint="eastAsia"/>
          <w:color w:val="auto"/>
        </w:rPr>
        <w:t>《发包人要求》和基础资料中的错误</w:t>
      </w:r>
      <w:bookmarkEnd w:id="1100"/>
      <w:bookmarkEnd w:id="1101"/>
      <w:bookmarkEnd w:id="1102"/>
      <w:bookmarkEnd w:id="1103"/>
    </w:p>
    <w:p w14:paraId="3A0C8F29">
      <w:pPr>
        <w:spacing w:line="360" w:lineRule="auto"/>
        <w:ind w:firstLine="420" w:firstLineChars="200"/>
        <w:rPr>
          <w:rFonts w:ascii="宋体" w:hAnsi="宋体"/>
          <w:color w:val="auto"/>
          <w:szCs w:val="21"/>
        </w:rPr>
      </w:pPr>
      <w:r>
        <w:rPr>
          <w:rFonts w:hint="eastAsia" w:ascii="宋体" w:hAnsi="宋体"/>
          <w:color w:val="auto"/>
          <w:szCs w:val="21"/>
        </w:rPr>
        <w:t>承包人应尽早认真阅读、复核《发包人要求》以及其提供的基础资料，发现错误的，应及时书面通知发包人补正。发包人作相应修改的，按照第</w:t>
      </w:r>
      <w:r>
        <w:rPr>
          <w:rFonts w:ascii="宋体" w:hAnsi="宋体"/>
          <w:color w:val="auto"/>
          <w:szCs w:val="21"/>
        </w:rPr>
        <w:t>13条</w:t>
      </w:r>
      <w:r>
        <w:rPr>
          <w:rFonts w:hint="eastAsia" w:ascii="宋体" w:hAnsi="宋体"/>
          <w:color w:val="auto"/>
          <w:szCs w:val="21"/>
        </w:rPr>
        <w:t>[变更与调整</w:t>
      </w:r>
      <w:bookmarkStart w:id="1104" w:name="_Ref523403776"/>
      <w:bookmarkStart w:id="1105" w:name="_Ref523403409"/>
      <w:r>
        <w:rPr>
          <w:rFonts w:hint="eastAsia" w:ascii="宋体" w:hAnsi="宋体"/>
          <w:color w:val="auto"/>
          <w:szCs w:val="21"/>
        </w:rPr>
        <w:t>]的约定处理。</w:t>
      </w:r>
    </w:p>
    <w:p w14:paraId="580FB54F">
      <w:pPr>
        <w:spacing w:line="360" w:lineRule="auto"/>
        <w:ind w:firstLine="420" w:firstLineChars="200"/>
        <w:rPr>
          <w:rFonts w:ascii="宋体" w:hAnsi="宋体"/>
          <w:color w:val="auto"/>
          <w:szCs w:val="21"/>
        </w:rPr>
      </w:pPr>
      <w:r>
        <w:rPr>
          <w:rFonts w:hint="eastAsia" w:ascii="宋体" w:hAnsi="宋体"/>
          <w:color w:val="auto"/>
          <w:szCs w:val="21"/>
        </w:rPr>
        <w:t>《发包人要求》或其提供的基础资料中的错误导致承包人增加费用和（或）工期延误的，发包人应承担由此增加的费用和（或）工期延误，并向承包人支付合理利润。</w:t>
      </w:r>
    </w:p>
    <w:bookmarkEnd w:id="1104"/>
    <w:bookmarkEnd w:id="1105"/>
    <w:p w14:paraId="3E62B60C">
      <w:pPr>
        <w:pStyle w:val="4"/>
        <w:spacing w:before="120" w:line="360" w:lineRule="auto"/>
        <w:rPr>
          <w:color w:val="auto"/>
        </w:rPr>
      </w:pPr>
      <w:bookmarkStart w:id="1106" w:name="_Ref531949933"/>
      <w:bookmarkStart w:id="1107" w:name="_Ref531949937"/>
      <w:bookmarkStart w:id="1108" w:name="_Toc154063509"/>
      <w:bookmarkStart w:id="1109" w:name="_Toc54862190"/>
      <w:r>
        <w:rPr>
          <w:rFonts w:hint="eastAsia"/>
          <w:color w:val="auto"/>
        </w:rPr>
        <w:t>1</w:t>
      </w:r>
      <w:r>
        <w:rPr>
          <w:color w:val="auto"/>
        </w:rPr>
        <w:t xml:space="preserve">.13 </w:t>
      </w:r>
      <w:r>
        <w:rPr>
          <w:rFonts w:hint="eastAsia"/>
          <w:color w:val="auto"/>
        </w:rPr>
        <w:t>责任限制</w:t>
      </w:r>
      <w:bookmarkEnd w:id="1106"/>
      <w:bookmarkEnd w:id="1107"/>
      <w:bookmarkEnd w:id="1108"/>
      <w:bookmarkEnd w:id="1109"/>
    </w:p>
    <w:p w14:paraId="40B36EC6">
      <w:pPr>
        <w:spacing w:line="360" w:lineRule="auto"/>
        <w:ind w:firstLine="420" w:firstLineChars="200"/>
        <w:rPr>
          <w:rFonts w:ascii="宋体" w:hAnsi="宋体"/>
          <w:color w:val="auto"/>
          <w:szCs w:val="21"/>
        </w:rPr>
      </w:pPr>
      <w:r>
        <w:rPr>
          <w:rFonts w:ascii="宋体" w:hAnsi="宋体"/>
          <w:color w:val="auto"/>
          <w:szCs w:val="21"/>
        </w:rPr>
        <w:t>承包人对发包人的赔偿责任不应超过专用合同条件约定的赔偿最高限额。若专用合同条件未约定，则承包人对发包人的赔偿责任不应超过</w:t>
      </w:r>
      <w:r>
        <w:rPr>
          <w:rFonts w:hint="eastAsia" w:ascii="宋体" w:hAnsi="宋体"/>
          <w:color w:val="auto"/>
          <w:szCs w:val="21"/>
        </w:rPr>
        <w:t>签约合同价。</w:t>
      </w:r>
      <w:r>
        <w:rPr>
          <w:rFonts w:ascii="宋体" w:hAnsi="宋体"/>
          <w:color w:val="auto"/>
          <w:szCs w:val="21"/>
        </w:rPr>
        <w:t>但对于因欺诈、</w:t>
      </w:r>
      <w:r>
        <w:rPr>
          <w:rFonts w:hint="eastAsia" w:ascii="宋体" w:hAnsi="宋体"/>
          <w:color w:val="auto"/>
          <w:szCs w:val="21"/>
        </w:rPr>
        <w:t>犯罪、</w:t>
      </w:r>
      <w:r>
        <w:rPr>
          <w:rFonts w:ascii="宋体" w:hAnsi="宋体"/>
          <w:color w:val="auto"/>
          <w:szCs w:val="21"/>
        </w:rPr>
        <w:t>故意、</w:t>
      </w:r>
      <w:r>
        <w:rPr>
          <w:rFonts w:hint="eastAsia" w:ascii="宋体" w:hAnsi="宋体"/>
          <w:color w:val="auto"/>
          <w:szCs w:val="21"/>
        </w:rPr>
        <w:t>重大过失、人身伤害</w:t>
      </w:r>
      <w:r>
        <w:rPr>
          <w:rFonts w:ascii="宋体" w:hAnsi="宋体"/>
          <w:color w:val="auto"/>
          <w:szCs w:val="21"/>
        </w:rPr>
        <w:t>等不当行为造成的损失，赔偿的责任限度不受</w:t>
      </w:r>
      <w:r>
        <w:rPr>
          <w:rFonts w:hint="eastAsia" w:ascii="宋体" w:hAnsi="宋体"/>
          <w:color w:val="auto"/>
          <w:szCs w:val="21"/>
        </w:rPr>
        <w:t>上述最高</w:t>
      </w:r>
      <w:r>
        <w:rPr>
          <w:rFonts w:ascii="宋体" w:hAnsi="宋体"/>
          <w:color w:val="auto"/>
          <w:szCs w:val="21"/>
        </w:rPr>
        <w:t>限额的限制</w:t>
      </w:r>
      <w:r>
        <w:rPr>
          <w:rFonts w:hint="eastAsia" w:ascii="宋体" w:hAnsi="宋体"/>
          <w:color w:val="auto"/>
          <w:szCs w:val="21"/>
        </w:rPr>
        <w:t>。</w:t>
      </w:r>
    </w:p>
    <w:p w14:paraId="7606C73A">
      <w:pPr>
        <w:pStyle w:val="4"/>
        <w:spacing w:before="120" w:line="360" w:lineRule="auto"/>
        <w:rPr>
          <w:color w:val="auto"/>
        </w:rPr>
      </w:pPr>
      <w:bookmarkStart w:id="1110" w:name="_Toc154063510"/>
      <w:bookmarkStart w:id="1111" w:name="_Toc54862191"/>
      <w:bookmarkStart w:id="1112" w:name="_Hlk51506160"/>
      <w:r>
        <w:rPr>
          <w:rFonts w:hint="eastAsia"/>
          <w:color w:val="auto"/>
        </w:rPr>
        <w:t>1</w:t>
      </w:r>
      <w:r>
        <w:rPr>
          <w:color w:val="auto"/>
        </w:rPr>
        <w:t>.14 建筑信息模型技术的应用</w:t>
      </w:r>
      <w:bookmarkEnd w:id="1110"/>
      <w:bookmarkEnd w:id="1111"/>
    </w:p>
    <w:bookmarkEnd w:id="1112"/>
    <w:p w14:paraId="222DC46D">
      <w:pPr>
        <w:spacing w:line="360" w:lineRule="auto"/>
        <w:ind w:firstLine="420" w:firstLineChars="200"/>
        <w:rPr>
          <w:rFonts w:ascii="宋体" w:hAnsi="宋体"/>
          <w:color w:val="auto"/>
          <w:szCs w:val="21"/>
        </w:rPr>
      </w:pPr>
      <w:r>
        <w:rPr>
          <w:rFonts w:hint="eastAsia" w:ascii="宋体" w:hAnsi="宋体"/>
          <w:color w:val="auto"/>
          <w:szCs w:val="21"/>
        </w:rPr>
        <w:t>如果项目中拟采用建筑信息模型技术，合同双方应遵守国家现行相关标准的规定，并符合项目所在地的相关地方标准或指南。合同双方应在专用合同条件中就建筑信息模型的开发、使用、存储、传输、交付及费用等相关内容进行约定。除专用合同条件另有约定外，承包人应负责与本项目中其他使用方协商。</w:t>
      </w:r>
    </w:p>
    <w:p w14:paraId="2CA42992">
      <w:pPr>
        <w:pStyle w:val="3"/>
        <w:spacing w:before="48" w:line="360" w:lineRule="auto"/>
        <w:rPr>
          <w:rFonts w:ascii="黑体" w:hAnsi="黑体"/>
          <w:bCs w:val="0"/>
          <w:color w:val="auto"/>
          <w:sz w:val="28"/>
        </w:rPr>
      </w:pPr>
      <w:bookmarkStart w:id="1113" w:name="_Toc154063511"/>
      <w:bookmarkStart w:id="1114" w:name="_Ref4796511"/>
      <w:bookmarkStart w:id="1115" w:name="_Toc54862192"/>
      <w:r>
        <w:rPr>
          <w:rFonts w:hint="eastAsia" w:ascii="黑体" w:hAnsi="黑体"/>
          <w:bCs w:val="0"/>
          <w:color w:val="auto"/>
          <w:sz w:val="28"/>
        </w:rPr>
        <w:t>第2条 发包人</w:t>
      </w:r>
      <w:bookmarkEnd w:id="1113"/>
      <w:bookmarkEnd w:id="1114"/>
      <w:bookmarkEnd w:id="1115"/>
    </w:p>
    <w:p w14:paraId="1DBE8F2C">
      <w:pPr>
        <w:pStyle w:val="4"/>
        <w:spacing w:before="120" w:line="360" w:lineRule="auto"/>
        <w:rPr>
          <w:color w:val="auto"/>
        </w:rPr>
      </w:pPr>
      <w:bookmarkStart w:id="1116" w:name="_Toc54862193"/>
      <w:bookmarkStart w:id="1117" w:name="_Toc154063512"/>
      <w:r>
        <w:rPr>
          <w:rFonts w:hint="eastAsia"/>
          <w:color w:val="auto"/>
        </w:rPr>
        <w:t>2</w:t>
      </w:r>
      <w:r>
        <w:rPr>
          <w:color w:val="auto"/>
        </w:rPr>
        <w:t xml:space="preserve">.1 </w:t>
      </w:r>
      <w:r>
        <w:rPr>
          <w:rFonts w:hint="eastAsia"/>
          <w:color w:val="auto"/>
        </w:rPr>
        <w:t>遵守法律</w:t>
      </w:r>
      <w:bookmarkEnd w:id="1116"/>
      <w:bookmarkEnd w:id="1117"/>
    </w:p>
    <w:p w14:paraId="15D62671">
      <w:pPr>
        <w:spacing w:line="360" w:lineRule="auto"/>
        <w:ind w:firstLine="420" w:firstLineChars="200"/>
        <w:rPr>
          <w:rFonts w:ascii="宋体" w:hAnsi="宋体"/>
          <w:color w:val="auto"/>
          <w:szCs w:val="21"/>
        </w:rPr>
      </w:pPr>
      <w:r>
        <w:rPr>
          <w:rFonts w:hint="eastAsia" w:ascii="宋体" w:hAnsi="宋体"/>
          <w:color w:val="auto"/>
          <w:szCs w:val="21"/>
        </w:rPr>
        <w:t>发包人在履行合同过程中应遵守法律，并承担因发包人违反法律给承包人造成的任何费用和损失。发包人不得以任何理由，要求承包人在工程实施过程中违反法律、行政法规以及建设工程质量、安全、环保标准，任意压缩合理工期或者降低工程质量。</w:t>
      </w:r>
    </w:p>
    <w:p w14:paraId="78F95F6B">
      <w:pPr>
        <w:pStyle w:val="4"/>
        <w:spacing w:before="120" w:line="360" w:lineRule="auto"/>
        <w:rPr>
          <w:rFonts w:hint="eastAsia"/>
          <w:color w:val="auto"/>
        </w:rPr>
      </w:pPr>
      <w:bookmarkStart w:id="1118" w:name="_Toc154063513"/>
      <w:bookmarkStart w:id="1119" w:name="_Ref11917995"/>
      <w:bookmarkStart w:id="1120" w:name="_Ref11917977"/>
      <w:bookmarkStart w:id="1121" w:name="_Toc54862194"/>
      <w:r>
        <w:rPr>
          <w:rFonts w:hint="eastAsia"/>
          <w:color w:val="auto"/>
        </w:rPr>
        <w:t>2</w:t>
      </w:r>
      <w:r>
        <w:rPr>
          <w:color w:val="auto"/>
        </w:rPr>
        <w:t xml:space="preserve">.2 </w:t>
      </w:r>
      <w:r>
        <w:rPr>
          <w:rFonts w:hint="eastAsia"/>
          <w:color w:val="auto"/>
        </w:rPr>
        <w:t>提供施工现场和工作条件</w:t>
      </w:r>
      <w:bookmarkEnd w:id="1118"/>
      <w:bookmarkEnd w:id="1119"/>
      <w:bookmarkEnd w:id="1120"/>
      <w:bookmarkEnd w:id="1121"/>
      <w:bookmarkStart w:id="1122" w:name="_Toc54862196"/>
      <w:bookmarkEnd w:id="1122"/>
      <w:bookmarkStart w:id="1123" w:name="_Toc54862195"/>
      <w:bookmarkEnd w:id="1123"/>
      <w:bookmarkStart w:id="1124" w:name="_Toc51505124"/>
      <w:bookmarkEnd w:id="1124"/>
      <w:bookmarkStart w:id="1125" w:name="_Toc51505125"/>
      <w:bookmarkEnd w:id="1125"/>
      <w:bookmarkStart w:id="1126" w:name="_Toc51505123"/>
      <w:bookmarkEnd w:id="1126"/>
      <w:bookmarkStart w:id="1127" w:name="_Toc54862197"/>
      <w:bookmarkEnd w:id="1127"/>
      <w:bookmarkStart w:id="1128" w:name="_Ref531950085"/>
    </w:p>
    <w:p w14:paraId="296C675D">
      <w:pPr>
        <w:pStyle w:val="130"/>
        <w:numPr>
          <w:ilvl w:val="0"/>
          <w:numId w:val="0"/>
        </w:numPr>
        <w:ind w:firstLine="420" w:firstLineChars="200"/>
        <w:rPr>
          <w:color w:val="auto"/>
          <w:sz w:val="21"/>
        </w:rPr>
      </w:pPr>
      <w:r>
        <w:rPr>
          <w:rFonts w:hint="eastAsia"/>
          <w:color w:val="auto"/>
          <w:sz w:val="21"/>
        </w:rPr>
        <w:t>2</w:t>
      </w:r>
      <w:r>
        <w:rPr>
          <w:color w:val="auto"/>
          <w:sz w:val="21"/>
        </w:rPr>
        <w:t xml:space="preserve">.2.1 </w:t>
      </w:r>
      <w:r>
        <w:rPr>
          <w:rFonts w:hint="eastAsia"/>
          <w:color w:val="auto"/>
          <w:sz w:val="21"/>
        </w:rPr>
        <w:t>提供施工</w:t>
      </w:r>
      <w:bookmarkEnd w:id="1128"/>
      <w:r>
        <w:rPr>
          <w:rFonts w:hint="eastAsia"/>
          <w:color w:val="auto"/>
          <w:sz w:val="21"/>
        </w:rPr>
        <w:t>现场</w:t>
      </w:r>
    </w:p>
    <w:p w14:paraId="0BBD4963">
      <w:pPr>
        <w:spacing w:line="360" w:lineRule="auto"/>
        <w:ind w:firstLine="420" w:firstLineChars="200"/>
        <w:rPr>
          <w:rFonts w:ascii="宋体" w:hAnsi="宋体"/>
          <w:color w:val="auto"/>
          <w:szCs w:val="21"/>
        </w:rPr>
      </w:pPr>
      <w:r>
        <w:rPr>
          <w:rFonts w:hint="eastAsia" w:ascii="宋体" w:hAnsi="宋体"/>
          <w:color w:val="auto"/>
          <w:szCs w:val="21"/>
        </w:rPr>
        <w:t>发包人应按专用合同条件约定向承包人移交施工现场，给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p>
    <w:p w14:paraId="4AC94984">
      <w:pPr>
        <w:pStyle w:val="130"/>
        <w:numPr>
          <w:ilvl w:val="0"/>
          <w:numId w:val="0"/>
        </w:numPr>
        <w:ind w:firstLine="420" w:firstLineChars="200"/>
        <w:rPr>
          <w:color w:val="auto"/>
          <w:sz w:val="21"/>
        </w:rPr>
      </w:pPr>
      <w:bookmarkStart w:id="1129" w:name="_Ref531950101"/>
      <w:r>
        <w:rPr>
          <w:rFonts w:hint="eastAsia"/>
          <w:color w:val="auto"/>
          <w:sz w:val="21"/>
        </w:rPr>
        <w:t>2</w:t>
      </w:r>
      <w:r>
        <w:rPr>
          <w:color w:val="auto"/>
          <w:sz w:val="21"/>
        </w:rPr>
        <w:t xml:space="preserve">.2.2 </w:t>
      </w:r>
      <w:r>
        <w:rPr>
          <w:rFonts w:hint="eastAsia"/>
          <w:color w:val="auto"/>
          <w:sz w:val="21"/>
        </w:rPr>
        <w:t>提供工作条件</w:t>
      </w:r>
      <w:bookmarkEnd w:id="1129"/>
    </w:p>
    <w:p w14:paraId="0295CF3D">
      <w:pPr>
        <w:spacing w:line="360" w:lineRule="auto"/>
        <w:ind w:firstLine="420" w:firstLineChars="200"/>
        <w:rPr>
          <w:rFonts w:ascii="宋体" w:hAnsi="宋体"/>
          <w:color w:val="auto"/>
          <w:szCs w:val="21"/>
        </w:rPr>
      </w:pPr>
      <w:r>
        <w:rPr>
          <w:rFonts w:hint="eastAsia" w:ascii="宋体" w:hAnsi="宋体"/>
          <w:color w:val="auto"/>
          <w:szCs w:val="21"/>
        </w:rPr>
        <w:t>发包人应按专用合同条件约定向承包人提供工作条件。专用合同条件对此没有约定的，发包人应负责提供开展本合同相关工作所需要的条件，包括：</w:t>
      </w:r>
    </w:p>
    <w:p w14:paraId="560FB52D">
      <w:pPr>
        <w:spacing w:line="360" w:lineRule="auto"/>
        <w:ind w:firstLine="420" w:firstLineChars="200"/>
        <w:rPr>
          <w:rFonts w:hint="eastAsia" w:ascii="宋体" w:hAnsi="宋体"/>
          <w:color w:val="auto"/>
          <w:szCs w:val="21"/>
        </w:rPr>
      </w:pPr>
      <w:r>
        <w:rPr>
          <w:rFonts w:hint="eastAsia" w:ascii="宋体" w:hAnsi="宋体"/>
          <w:color w:val="auto"/>
          <w:szCs w:val="21"/>
        </w:rPr>
        <w:t>（1）将施工用水、电力、通讯线路等施工所必需的条件接至施工现场内；</w:t>
      </w:r>
    </w:p>
    <w:p w14:paraId="54831212">
      <w:pPr>
        <w:spacing w:line="360" w:lineRule="auto"/>
        <w:ind w:firstLine="420" w:firstLineChars="200"/>
        <w:rPr>
          <w:rFonts w:hint="eastAsia" w:ascii="宋体" w:hAnsi="宋体"/>
          <w:color w:val="auto"/>
          <w:szCs w:val="21"/>
        </w:rPr>
      </w:pPr>
      <w:r>
        <w:rPr>
          <w:rFonts w:hint="eastAsia" w:ascii="宋体" w:hAnsi="宋体"/>
          <w:color w:val="auto"/>
          <w:szCs w:val="21"/>
        </w:rPr>
        <w:t>（2）保证向承包人提供正常施工所需要的进入施工现场的交通条件；</w:t>
      </w:r>
    </w:p>
    <w:p w14:paraId="7D255C5E">
      <w:pPr>
        <w:spacing w:line="360" w:lineRule="auto"/>
        <w:ind w:firstLine="420" w:firstLineChars="200"/>
        <w:rPr>
          <w:rFonts w:hint="eastAsia" w:ascii="宋体" w:hAnsi="宋体"/>
          <w:color w:val="auto"/>
          <w:szCs w:val="21"/>
        </w:rPr>
      </w:pPr>
      <w:r>
        <w:rPr>
          <w:rFonts w:hint="eastAsia" w:ascii="宋体" w:hAnsi="宋体"/>
          <w:color w:val="auto"/>
          <w:szCs w:val="21"/>
        </w:rPr>
        <w:t>（3）协调处理施工现场周围地下管线和邻近建筑物、构筑物、古树名木、文物、化石及坟墓等的保护工作，并承担相关费用；</w:t>
      </w:r>
    </w:p>
    <w:p w14:paraId="303B52F1">
      <w:pPr>
        <w:spacing w:line="360" w:lineRule="auto"/>
        <w:ind w:firstLine="420" w:firstLineChars="200"/>
        <w:rPr>
          <w:rFonts w:hint="eastAsia" w:ascii="宋体" w:hAnsi="宋体"/>
          <w:color w:val="auto"/>
          <w:szCs w:val="21"/>
        </w:rPr>
      </w:pPr>
      <w:r>
        <w:rPr>
          <w:rFonts w:hint="eastAsia" w:ascii="宋体" w:hAnsi="宋体"/>
          <w:color w:val="auto"/>
          <w:szCs w:val="21"/>
        </w:rPr>
        <w:t>（4）对工程现场临近发包人正在使用、运行、或由发包人用于生产的建筑物、构筑物、生产装置、设施、设备等，设置隔离设施，竖立禁止入内、禁止动火的明显标志，</w:t>
      </w:r>
      <w:r>
        <w:rPr>
          <w:rFonts w:ascii="宋体" w:hAnsi="宋体"/>
          <w:color w:val="auto"/>
          <w:szCs w:val="21"/>
        </w:rPr>
        <w:t xml:space="preserve"> 并以书面形式通知承包人须遵守的安全规定和位置范围；</w:t>
      </w:r>
    </w:p>
    <w:p w14:paraId="0B773685">
      <w:pPr>
        <w:spacing w:line="360" w:lineRule="auto"/>
        <w:ind w:firstLine="420" w:firstLineChars="200"/>
        <w:rPr>
          <w:rFonts w:ascii="宋体" w:hAnsi="宋体"/>
          <w:color w:val="auto"/>
          <w:szCs w:val="21"/>
        </w:rPr>
      </w:pPr>
      <w:r>
        <w:rPr>
          <w:rFonts w:hint="eastAsia" w:ascii="宋体" w:hAnsi="宋体"/>
          <w:color w:val="auto"/>
          <w:szCs w:val="21"/>
        </w:rPr>
        <w:t>（5）按照专用合同条件约定应提供的其他设施和条件。</w:t>
      </w:r>
    </w:p>
    <w:p w14:paraId="18947C08">
      <w:pPr>
        <w:pStyle w:val="130"/>
        <w:numPr>
          <w:ilvl w:val="0"/>
          <w:numId w:val="0"/>
        </w:numPr>
        <w:ind w:firstLine="420" w:firstLineChars="200"/>
        <w:rPr>
          <w:color w:val="auto"/>
          <w:sz w:val="21"/>
        </w:rPr>
      </w:pPr>
      <w:r>
        <w:rPr>
          <w:rFonts w:hint="eastAsia"/>
          <w:color w:val="auto"/>
          <w:sz w:val="21"/>
        </w:rPr>
        <w:t>2</w:t>
      </w:r>
      <w:r>
        <w:rPr>
          <w:color w:val="auto"/>
          <w:sz w:val="21"/>
        </w:rPr>
        <w:t xml:space="preserve">.2.3 </w:t>
      </w:r>
      <w:r>
        <w:rPr>
          <w:rFonts w:hint="eastAsia"/>
          <w:color w:val="auto"/>
          <w:sz w:val="21"/>
        </w:rPr>
        <w:t>逾期提供的责任</w:t>
      </w:r>
    </w:p>
    <w:p w14:paraId="4CA3625C">
      <w:pPr>
        <w:spacing w:line="360" w:lineRule="auto"/>
        <w:ind w:firstLine="420" w:firstLineChars="200"/>
        <w:rPr>
          <w:rFonts w:ascii="宋体" w:hAnsi="宋体"/>
          <w:color w:val="auto"/>
          <w:szCs w:val="21"/>
        </w:rPr>
      </w:pPr>
      <w:r>
        <w:rPr>
          <w:rFonts w:hint="eastAsia" w:ascii="宋体" w:hAnsi="宋体"/>
          <w:color w:val="auto"/>
          <w:szCs w:val="21"/>
        </w:rPr>
        <w:t>因发包人原因未能按合同约定及时向承包人提供施工现场和施工条件的，由发包人承担由此增加的费用和（或）延误的工期。</w:t>
      </w:r>
    </w:p>
    <w:p w14:paraId="791FC595">
      <w:pPr>
        <w:pStyle w:val="4"/>
        <w:spacing w:before="120" w:line="360" w:lineRule="auto"/>
        <w:rPr>
          <w:color w:val="auto"/>
        </w:rPr>
      </w:pPr>
      <w:bookmarkStart w:id="1130" w:name="_Ref11918036"/>
      <w:bookmarkStart w:id="1131" w:name="_Ref11956654"/>
      <w:bookmarkStart w:id="1132" w:name="_Toc154063514"/>
      <w:bookmarkStart w:id="1133" w:name="_Toc54862198"/>
      <w:bookmarkStart w:id="1134" w:name="_Ref11918025"/>
      <w:bookmarkStart w:id="1135" w:name="_Ref11956647"/>
      <w:r>
        <w:rPr>
          <w:rFonts w:hint="eastAsia"/>
          <w:color w:val="auto"/>
        </w:rPr>
        <w:t>2</w:t>
      </w:r>
      <w:r>
        <w:rPr>
          <w:color w:val="auto"/>
        </w:rPr>
        <w:t xml:space="preserve">.3 </w:t>
      </w:r>
      <w:r>
        <w:rPr>
          <w:rFonts w:hint="eastAsia"/>
          <w:color w:val="auto"/>
        </w:rPr>
        <w:t>提供基础资料</w:t>
      </w:r>
      <w:bookmarkEnd w:id="1130"/>
      <w:bookmarkEnd w:id="1131"/>
      <w:bookmarkEnd w:id="1132"/>
      <w:bookmarkEnd w:id="1133"/>
      <w:bookmarkEnd w:id="1134"/>
      <w:bookmarkEnd w:id="1135"/>
    </w:p>
    <w:p w14:paraId="1EFF8A22">
      <w:pPr>
        <w:spacing w:line="360" w:lineRule="auto"/>
        <w:ind w:firstLine="420" w:firstLineChars="200"/>
        <w:rPr>
          <w:rFonts w:ascii="宋体" w:hAnsi="宋体"/>
          <w:color w:val="auto"/>
          <w:szCs w:val="21"/>
        </w:rPr>
      </w:pPr>
      <w:bookmarkStart w:id="1136" w:name="_Hlk51506429"/>
      <w:r>
        <w:rPr>
          <w:rFonts w:hint="eastAsia" w:ascii="宋体" w:hAnsi="宋体"/>
          <w:color w:val="auto"/>
          <w:szCs w:val="21"/>
        </w:rPr>
        <w:t>发包人应按专用合同条件和《发包人要求》中的约定向承包人提供</w:t>
      </w:r>
      <w:bookmarkEnd w:id="1136"/>
      <w:r>
        <w:rPr>
          <w:rFonts w:hint="eastAsia" w:ascii="宋体" w:hAnsi="宋体"/>
          <w:color w:val="auto"/>
          <w:szCs w:val="21"/>
        </w:rPr>
        <w:t>施工现场及工程实施所必需的毗邻区域内的供水、排水、供电、供气、供热、通信、广播电视等地上、地下管线和设施资料，气象和水文观测资料，地质勘察资料，相邻建筑物、构筑物和地下工程等有关基础资料，并根据第</w:t>
      </w:r>
      <w:r>
        <w:rPr>
          <w:rFonts w:ascii="宋体" w:hAnsi="宋体"/>
          <w:color w:val="auto"/>
          <w:szCs w:val="21"/>
        </w:rPr>
        <w:t>1.12</w:t>
      </w:r>
      <w:r>
        <w:rPr>
          <w:rFonts w:hint="eastAsia" w:ascii="宋体" w:hAnsi="宋体"/>
          <w:color w:val="auto"/>
          <w:szCs w:val="21"/>
        </w:rPr>
        <w:t>款[</w:t>
      </w:r>
      <w:r>
        <w:rPr>
          <w:rFonts w:ascii="宋体" w:hAnsi="宋体"/>
          <w:color w:val="auto"/>
          <w:szCs w:val="21"/>
        </w:rPr>
        <w:t>《发包人要求》和基础资料中的错误</w:t>
      </w:r>
      <w:r>
        <w:rPr>
          <w:rFonts w:hint="eastAsia" w:ascii="宋体" w:hAnsi="宋体"/>
          <w:color w:val="auto"/>
          <w:szCs w:val="21"/>
        </w:rPr>
        <w:t>]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的费用和延误的工期。</w:t>
      </w:r>
    </w:p>
    <w:p w14:paraId="0C606C85">
      <w:pPr>
        <w:pStyle w:val="4"/>
        <w:spacing w:before="120" w:line="360" w:lineRule="auto"/>
        <w:rPr>
          <w:color w:val="auto"/>
        </w:rPr>
      </w:pPr>
      <w:bookmarkStart w:id="1137" w:name="_Ref531950045"/>
      <w:bookmarkStart w:id="1138" w:name="_Toc54862199"/>
      <w:bookmarkStart w:id="1139" w:name="_Ref531950041"/>
      <w:bookmarkStart w:id="1140" w:name="_Toc154063515"/>
      <w:r>
        <w:rPr>
          <w:rFonts w:hint="eastAsia"/>
          <w:color w:val="auto"/>
        </w:rPr>
        <w:t>2</w:t>
      </w:r>
      <w:r>
        <w:rPr>
          <w:color w:val="auto"/>
        </w:rPr>
        <w:t xml:space="preserve">.4 </w:t>
      </w:r>
      <w:r>
        <w:rPr>
          <w:rFonts w:hint="eastAsia"/>
          <w:color w:val="auto"/>
        </w:rPr>
        <w:t>办理许可和批准</w:t>
      </w:r>
      <w:bookmarkEnd w:id="1137"/>
      <w:bookmarkEnd w:id="1138"/>
      <w:bookmarkEnd w:id="1139"/>
      <w:bookmarkEnd w:id="1140"/>
    </w:p>
    <w:p w14:paraId="55DAE611">
      <w:pPr>
        <w:pStyle w:val="130"/>
        <w:numPr>
          <w:ilvl w:val="0"/>
          <w:numId w:val="0"/>
        </w:numPr>
        <w:ind w:firstLine="420" w:firstLineChars="200"/>
        <w:rPr>
          <w:color w:val="auto"/>
          <w:sz w:val="21"/>
        </w:rPr>
      </w:pPr>
      <w:bookmarkStart w:id="1141" w:name="_Toc51505128"/>
      <w:r>
        <w:rPr>
          <w:rFonts w:hint="eastAsia"/>
          <w:color w:val="auto"/>
          <w:sz w:val="21"/>
        </w:rPr>
        <w:t>2</w:t>
      </w:r>
      <w:r>
        <w:rPr>
          <w:color w:val="auto"/>
          <w:sz w:val="21"/>
        </w:rPr>
        <w:t xml:space="preserve">.4.1 </w:t>
      </w:r>
      <w:r>
        <w:rPr>
          <w:rFonts w:hint="eastAsia"/>
          <w:color w:val="auto"/>
          <w:sz w:val="21"/>
        </w:rPr>
        <w:t>发包人在履行合同过程中应遵守法律，并办理法律规定或合同约定由其办理的许可、批准或备案，包括但不限于建设用地规划许可证、建设工程规划许可证、建设工程施工许可证等许可和批准。对于法律规定或合同约定由承包人负责的有关设计、施工证件、批件或备案，发包人应给予必要的协助。</w:t>
      </w:r>
      <w:bookmarkEnd w:id="1141"/>
    </w:p>
    <w:p w14:paraId="68539F8B">
      <w:pPr>
        <w:pStyle w:val="130"/>
        <w:numPr>
          <w:ilvl w:val="0"/>
          <w:numId w:val="0"/>
        </w:numPr>
        <w:ind w:firstLine="420" w:firstLineChars="200"/>
        <w:rPr>
          <w:color w:val="auto"/>
          <w:sz w:val="21"/>
        </w:rPr>
      </w:pPr>
      <w:bookmarkStart w:id="1142" w:name="_Toc51505129"/>
      <w:r>
        <w:rPr>
          <w:rFonts w:hint="eastAsia"/>
          <w:color w:val="auto"/>
          <w:sz w:val="21"/>
        </w:rPr>
        <w:t>2</w:t>
      </w:r>
      <w:r>
        <w:rPr>
          <w:color w:val="auto"/>
          <w:sz w:val="21"/>
        </w:rPr>
        <w:t xml:space="preserve">.4.2 </w:t>
      </w:r>
      <w:r>
        <w:rPr>
          <w:rFonts w:hint="eastAsia"/>
          <w:color w:val="auto"/>
          <w:sz w:val="21"/>
        </w:rPr>
        <w:t>因发包人原因未能及时办理完毕前述许可、批准或备案，由发包人承担由此增加的费用和（或）延误的工期，并支付承包人合理的利润。</w:t>
      </w:r>
      <w:bookmarkEnd w:id="1142"/>
    </w:p>
    <w:p w14:paraId="25A3C6F9">
      <w:pPr>
        <w:pStyle w:val="4"/>
        <w:spacing w:before="120" w:line="360" w:lineRule="auto"/>
        <w:rPr>
          <w:color w:val="auto"/>
        </w:rPr>
      </w:pPr>
      <w:bookmarkStart w:id="1143" w:name="_Ref11918060"/>
      <w:bookmarkStart w:id="1144" w:name="_Ref11956533"/>
      <w:bookmarkStart w:id="1145" w:name="_Toc154063516"/>
      <w:bookmarkStart w:id="1146" w:name="_Toc54862200"/>
      <w:bookmarkStart w:id="1147" w:name="_Ref11918070"/>
      <w:bookmarkStart w:id="1148" w:name="_Ref11956525"/>
      <w:r>
        <w:rPr>
          <w:rFonts w:hint="eastAsia"/>
          <w:color w:val="auto"/>
        </w:rPr>
        <w:t>2</w:t>
      </w:r>
      <w:r>
        <w:rPr>
          <w:color w:val="auto"/>
        </w:rPr>
        <w:t>.5 支付合同价款</w:t>
      </w:r>
      <w:bookmarkEnd w:id="1143"/>
      <w:bookmarkEnd w:id="1144"/>
      <w:bookmarkEnd w:id="1145"/>
      <w:bookmarkEnd w:id="1146"/>
      <w:bookmarkEnd w:id="1147"/>
      <w:bookmarkEnd w:id="1148"/>
    </w:p>
    <w:p w14:paraId="5EC69D0C">
      <w:pPr>
        <w:pStyle w:val="130"/>
        <w:numPr>
          <w:ilvl w:val="0"/>
          <w:numId w:val="0"/>
        </w:numPr>
        <w:ind w:firstLine="420" w:firstLineChars="200"/>
        <w:rPr>
          <w:color w:val="auto"/>
          <w:sz w:val="21"/>
        </w:rPr>
      </w:pPr>
      <w:bookmarkStart w:id="1149" w:name="_Toc51505131"/>
      <w:bookmarkStart w:id="1150" w:name="_Ref531950147"/>
      <w:r>
        <w:rPr>
          <w:rFonts w:hint="eastAsia"/>
          <w:color w:val="auto"/>
          <w:sz w:val="21"/>
        </w:rPr>
        <w:t>2</w:t>
      </w:r>
      <w:r>
        <w:rPr>
          <w:color w:val="auto"/>
          <w:sz w:val="21"/>
        </w:rPr>
        <w:t xml:space="preserve">.5.1 </w:t>
      </w:r>
      <w:r>
        <w:rPr>
          <w:rFonts w:hint="eastAsia"/>
          <w:color w:val="auto"/>
          <w:sz w:val="21"/>
        </w:rPr>
        <w:t>发包人应按合同约定向承包人及时支付合同价款。</w:t>
      </w:r>
      <w:bookmarkEnd w:id="1149"/>
    </w:p>
    <w:bookmarkEnd w:id="1150"/>
    <w:p w14:paraId="33C3B46F">
      <w:pPr>
        <w:pStyle w:val="130"/>
        <w:numPr>
          <w:ilvl w:val="0"/>
          <w:numId w:val="0"/>
        </w:numPr>
        <w:ind w:firstLine="420" w:firstLineChars="200"/>
        <w:rPr>
          <w:color w:val="auto"/>
          <w:sz w:val="21"/>
        </w:rPr>
      </w:pPr>
      <w:bookmarkStart w:id="1151" w:name="_Toc51505132"/>
      <w:r>
        <w:rPr>
          <w:rFonts w:hint="eastAsia"/>
          <w:color w:val="auto"/>
          <w:sz w:val="21"/>
        </w:rPr>
        <w:t>2</w:t>
      </w:r>
      <w:r>
        <w:rPr>
          <w:color w:val="auto"/>
          <w:sz w:val="21"/>
        </w:rPr>
        <w:t xml:space="preserve">.5.2 </w:t>
      </w:r>
      <w:r>
        <w:rPr>
          <w:rFonts w:hint="eastAsia"/>
          <w:color w:val="auto"/>
          <w:sz w:val="21"/>
        </w:rPr>
        <w:t>发包人应当制定资金安排计划，除专用合同条件另有约定外，如发包人拟对资金安排做任何重要变更，应将变更的详细情况通知承包人。如发生承包人收到价格大于签约合同价</w:t>
      </w:r>
      <w:r>
        <w:rPr>
          <w:color w:val="auto"/>
          <w:sz w:val="21"/>
        </w:rPr>
        <w:t>10%</w:t>
      </w:r>
      <w:r>
        <w:rPr>
          <w:rFonts w:hint="eastAsia"/>
          <w:color w:val="auto"/>
          <w:sz w:val="21"/>
        </w:rPr>
        <w:t>的变更指示或累计变更的总价超过签约合同价</w:t>
      </w:r>
      <w:r>
        <w:rPr>
          <w:color w:val="auto"/>
          <w:sz w:val="21"/>
        </w:rPr>
        <w:t>30%；或承包人未能根据</w:t>
      </w:r>
      <w:r>
        <w:rPr>
          <w:rFonts w:hint="eastAsia"/>
          <w:color w:val="auto"/>
          <w:sz w:val="21"/>
        </w:rPr>
        <w:t>第</w:t>
      </w:r>
      <w:r>
        <w:rPr>
          <w:color w:val="auto"/>
          <w:sz w:val="21"/>
        </w:rPr>
        <w:t>14条</w:t>
      </w:r>
      <w:r>
        <w:rPr>
          <w:rFonts w:hint="eastAsia"/>
          <w:color w:val="auto"/>
          <w:sz w:val="21"/>
        </w:rPr>
        <w:t>[合同价格与支付]收到付款，或承包人得知发包人的资金安排发生重要变更但并未收到发包人上述重要变更通知的情况，则承包人可随时要求发包人在</w:t>
      </w:r>
      <w:r>
        <w:rPr>
          <w:color w:val="auto"/>
          <w:sz w:val="21"/>
        </w:rPr>
        <w:t>28</w:t>
      </w:r>
      <w:r>
        <w:rPr>
          <w:rFonts w:hint="eastAsia"/>
          <w:color w:val="auto"/>
          <w:sz w:val="21"/>
        </w:rPr>
        <w:t>天内补充提供能够按照合同约定支付合同价款的相应资金来源证明。</w:t>
      </w:r>
      <w:bookmarkEnd w:id="1151"/>
    </w:p>
    <w:p w14:paraId="262CFD02">
      <w:pPr>
        <w:pStyle w:val="130"/>
        <w:numPr>
          <w:ilvl w:val="0"/>
          <w:numId w:val="0"/>
        </w:numPr>
        <w:ind w:firstLine="420" w:firstLineChars="200"/>
        <w:rPr>
          <w:color w:val="auto"/>
          <w:sz w:val="21"/>
        </w:rPr>
      </w:pPr>
      <w:bookmarkStart w:id="1152" w:name="_Ref531950161"/>
      <w:bookmarkStart w:id="1153" w:name="_Toc51505133"/>
      <w:r>
        <w:rPr>
          <w:rFonts w:hint="eastAsia"/>
          <w:color w:val="auto"/>
          <w:sz w:val="21"/>
        </w:rPr>
        <w:t>2</w:t>
      </w:r>
      <w:r>
        <w:rPr>
          <w:color w:val="auto"/>
          <w:sz w:val="21"/>
        </w:rPr>
        <w:t xml:space="preserve">.5.3 </w:t>
      </w:r>
      <w:r>
        <w:rPr>
          <w:rFonts w:hint="eastAsia"/>
          <w:color w:val="auto"/>
          <w:sz w:val="21"/>
        </w:rPr>
        <w:t>发包人应当向承包人提供支付担保。支付担保可以采用银行保函或担保公司担保等形式，具体由合同当事人在专用合同条件中约定。</w:t>
      </w:r>
      <w:bookmarkEnd w:id="1152"/>
      <w:bookmarkEnd w:id="1153"/>
    </w:p>
    <w:p w14:paraId="79103D97">
      <w:pPr>
        <w:pStyle w:val="4"/>
        <w:spacing w:before="120" w:line="360" w:lineRule="auto"/>
        <w:rPr>
          <w:color w:val="auto"/>
        </w:rPr>
      </w:pPr>
      <w:bookmarkStart w:id="1154" w:name="_Toc54862201"/>
      <w:bookmarkStart w:id="1155" w:name="_Toc154063517"/>
      <w:r>
        <w:rPr>
          <w:rFonts w:hint="eastAsia"/>
          <w:color w:val="auto"/>
        </w:rPr>
        <w:t>2</w:t>
      </w:r>
      <w:r>
        <w:rPr>
          <w:color w:val="auto"/>
        </w:rPr>
        <w:t xml:space="preserve">.6 </w:t>
      </w:r>
      <w:r>
        <w:rPr>
          <w:rFonts w:hint="eastAsia"/>
          <w:color w:val="auto"/>
        </w:rPr>
        <w:t>现场管理配合</w:t>
      </w:r>
      <w:bookmarkEnd w:id="1154"/>
      <w:bookmarkEnd w:id="1155"/>
    </w:p>
    <w:p w14:paraId="60402D48">
      <w:pPr>
        <w:spacing w:line="360" w:lineRule="auto"/>
        <w:ind w:firstLine="420" w:firstLineChars="200"/>
        <w:rPr>
          <w:rFonts w:hint="eastAsia" w:ascii="宋体" w:hAnsi="宋体"/>
          <w:color w:val="auto"/>
          <w:szCs w:val="21"/>
        </w:rPr>
      </w:pPr>
      <w:r>
        <w:rPr>
          <w:rFonts w:hint="eastAsia" w:ascii="宋体" w:hAnsi="宋体"/>
          <w:color w:val="auto"/>
          <w:szCs w:val="21"/>
        </w:rPr>
        <w:t>发包人应负责保证在现场或现场附近的发包人人员和发包人的其他承包人（如有）：</w:t>
      </w:r>
    </w:p>
    <w:p w14:paraId="5FFF9599">
      <w:pPr>
        <w:spacing w:line="360" w:lineRule="auto"/>
        <w:ind w:firstLine="420" w:firstLineChars="200"/>
        <w:rPr>
          <w:rFonts w:hint="eastAsia" w:ascii="宋体" w:hAnsi="宋体"/>
          <w:color w:val="auto"/>
          <w:szCs w:val="21"/>
        </w:rPr>
      </w:pPr>
      <w:r>
        <w:rPr>
          <w:rFonts w:hint="eastAsia" w:ascii="宋体" w:hAnsi="宋体"/>
          <w:color w:val="auto"/>
          <w:szCs w:val="21"/>
        </w:rPr>
        <w:t>（1）根据第</w:t>
      </w:r>
      <w:r>
        <w:rPr>
          <w:rFonts w:ascii="宋体" w:hAnsi="宋体"/>
          <w:color w:val="auto"/>
          <w:szCs w:val="21"/>
        </w:rPr>
        <w:t>7.3</w:t>
      </w:r>
      <w:r>
        <w:rPr>
          <w:rFonts w:hint="eastAsia" w:ascii="宋体" w:hAnsi="宋体"/>
          <w:color w:val="auto"/>
          <w:szCs w:val="21"/>
        </w:rPr>
        <w:t>款[现场合作]的约定，与承包人进行合作；</w:t>
      </w:r>
    </w:p>
    <w:p w14:paraId="37F93CE0">
      <w:pPr>
        <w:spacing w:line="360" w:lineRule="auto"/>
        <w:ind w:firstLine="420" w:firstLineChars="200"/>
        <w:rPr>
          <w:rFonts w:ascii="宋体" w:hAnsi="宋体"/>
          <w:color w:val="auto"/>
          <w:szCs w:val="21"/>
        </w:rPr>
      </w:pPr>
      <w:r>
        <w:rPr>
          <w:rFonts w:hint="eastAsia" w:ascii="宋体" w:hAnsi="宋体"/>
          <w:color w:val="auto"/>
          <w:szCs w:val="21"/>
        </w:rPr>
        <w:t>（2）遵守第</w:t>
      </w:r>
      <w:r>
        <w:rPr>
          <w:rFonts w:ascii="宋体" w:hAnsi="宋体"/>
          <w:color w:val="auto"/>
          <w:szCs w:val="21"/>
        </w:rPr>
        <w:t>7.5</w:t>
      </w:r>
      <w:r>
        <w:rPr>
          <w:rFonts w:hint="eastAsia" w:ascii="宋体" w:hAnsi="宋体"/>
          <w:color w:val="auto"/>
          <w:szCs w:val="21"/>
        </w:rPr>
        <w:t>款[现场劳动用工</w:t>
      </w:r>
      <w:r>
        <w:rPr>
          <w:rFonts w:ascii="宋体" w:hAnsi="宋体"/>
          <w:color w:val="auto"/>
          <w:szCs w:val="21"/>
        </w:rPr>
        <w:t>]</w:t>
      </w:r>
      <w:r>
        <w:rPr>
          <w:rFonts w:hint="eastAsia" w:ascii="宋体" w:hAnsi="宋体"/>
          <w:color w:val="auto"/>
          <w:szCs w:val="21"/>
        </w:rPr>
        <w:t>、第7</w:t>
      </w:r>
      <w:r>
        <w:rPr>
          <w:rFonts w:ascii="宋体" w:hAnsi="宋体"/>
          <w:color w:val="auto"/>
          <w:szCs w:val="21"/>
        </w:rPr>
        <w:t>.6</w:t>
      </w:r>
      <w:r>
        <w:rPr>
          <w:rFonts w:hint="eastAsia" w:ascii="宋体" w:hAnsi="宋体"/>
          <w:color w:val="auto"/>
          <w:szCs w:val="21"/>
        </w:rPr>
        <w:t>款[安全文明施工]、第</w:t>
      </w:r>
      <w:r>
        <w:rPr>
          <w:rFonts w:ascii="宋体" w:hAnsi="宋体"/>
          <w:color w:val="auto"/>
          <w:szCs w:val="21"/>
        </w:rPr>
        <w:t>7.7</w:t>
      </w:r>
      <w:r>
        <w:rPr>
          <w:rFonts w:hint="eastAsia" w:ascii="宋体" w:hAnsi="宋体"/>
          <w:color w:val="auto"/>
          <w:szCs w:val="21"/>
        </w:rPr>
        <w:t>款[职业健康</w:t>
      </w:r>
      <w:bookmarkStart w:id="1156" w:name="_Ref531952761"/>
      <w:bookmarkStart w:id="1157" w:name="_Ref531952756"/>
      <w:r>
        <w:rPr>
          <w:rFonts w:hint="eastAsia" w:ascii="宋体" w:hAnsi="宋体"/>
          <w:color w:val="auto"/>
          <w:szCs w:val="21"/>
        </w:rPr>
        <w:t>]和第</w:t>
      </w:r>
      <w:r>
        <w:rPr>
          <w:rFonts w:ascii="宋体" w:hAnsi="宋体"/>
          <w:color w:val="auto"/>
          <w:szCs w:val="21"/>
        </w:rPr>
        <w:t>7.8</w:t>
      </w:r>
      <w:r>
        <w:rPr>
          <w:rFonts w:hint="eastAsia" w:ascii="宋体" w:hAnsi="宋体"/>
          <w:color w:val="auto"/>
          <w:szCs w:val="21"/>
        </w:rPr>
        <w:t>款[</w:t>
      </w:r>
      <w:r>
        <w:rPr>
          <w:rFonts w:ascii="宋体" w:hAnsi="宋体"/>
          <w:color w:val="auto"/>
          <w:szCs w:val="21"/>
        </w:rPr>
        <w:t>环境保护</w:t>
      </w:r>
      <w:r>
        <w:rPr>
          <w:rFonts w:hint="eastAsia" w:ascii="宋体" w:hAnsi="宋体"/>
          <w:color w:val="auto"/>
          <w:szCs w:val="21"/>
        </w:rPr>
        <w:t>]的相关约定。</w:t>
      </w:r>
    </w:p>
    <w:p w14:paraId="00E8A87C">
      <w:pPr>
        <w:spacing w:line="360" w:lineRule="auto"/>
        <w:ind w:firstLine="420" w:firstLineChars="200"/>
        <w:rPr>
          <w:rFonts w:ascii="宋体" w:hAnsi="宋体"/>
          <w:color w:val="auto"/>
          <w:szCs w:val="21"/>
        </w:rPr>
      </w:pPr>
      <w:r>
        <w:rPr>
          <w:rFonts w:hint="eastAsia" w:ascii="宋体" w:hAnsi="宋体"/>
          <w:color w:val="auto"/>
          <w:szCs w:val="21"/>
        </w:rPr>
        <w:t>发包人应与承包人、由发包人直接发包的其他承包人（如有）订立施工现场统一管理协议，明确各方的权利义务。</w:t>
      </w:r>
    </w:p>
    <w:p w14:paraId="57B92A76">
      <w:pPr>
        <w:pStyle w:val="4"/>
        <w:spacing w:before="120" w:line="360" w:lineRule="auto"/>
        <w:rPr>
          <w:color w:val="auto"/>
        </w:rPr>
      </w:pPr>
      <w:bookmarkStart w:id="1158" w:name="_Ref11959376"/>
      <w:bookmarkStart w:id="1159" w:name="_Toc54862202"/>
      <w:bookmarkStart w:id="1160" w:name="_Ref11959372"/>
      <w:bookmarkStart w:id="1161" w:name="_Toc154063518"/>
      <w:r>
        <w:rPr>
          <w:rFonts w:hint="eastAsia"/>
          <w:color w:val="auto"/>
        </w:rPr>
        <w:t>2</w:t>
      </w:r>
      <w:r>
        <w:rPr>
          <w:color w:val="auto"/>
        </w:rPr>
        <w:t xml:space="preserve">.7 </w:t>
      </w:r>
      <w:r>
        <w:rPr>
          <w:rFonts w:hint="eastAsia"/>
          <w:color w:val="auto"/>
        </w:rPr>
        <w:t>其他义务</w:t>
      </w:r>
      <w:bookmarkEnd w:id="1158"/>
      <w:bookmarkEnd w:id="1159"/>
      <w:bookmarkEnd w:id="1160"/>
      <w:bookmarkEnd w:id="1161"/>
    </w:p>
    <w:p w14:paraId="2546F41B">
      <w:pPr>
        <w:spacing w:line="360" w:lineRule="auto"/>
        <w:ind w:firstLine="420" w:firstLineChars="200"/>
        <w:rPr>
          <w:rFonts w:ascii="宋体" w:hAnsi="宋体"/>
          <w:color w:val="auto"/>
          <w:szCs w:val="21"/>
        </w:rPr>
      </w:pPr>
      <w:r>
        <w:rPr>
          <w:rFonts w:hint="eastAsia" w:ascii="宋体" w:hAnsi="宋体"/>
          <w:color w:val="auto"/>
          <w:szCs w:val="21"/>
        </w:rPr>
        <w:t>发包人应履行合同约定的其他义务，双方可在专用合同条件内对发包人应履行的其他义务进行补充约定。</w:t>
      </w:r>
    </w:p>
    <w:bookmarkEnd w:id="1156"/>
    <w:bookmarkEnd w:id="1157"/>
    <w:p w14:paraId="4086956B">
      <w:pPr>
        <w:pStyle w:val="3"/>
        <w:spacing w:before="48" w:line="360" w:lineRule="auto"/>
        <w:rPr>
          <w:rFonts w:ascii="黑体" w:hAnsi="黑体"/>
          <w:bCs w:val="0"/>
          <w:color w:val="auto"/>
          <w:sz w:val="28"/>
        </w:rPr>
      </w:pPr>
      <w:bookmarkStart w:id="1162" w:name="_Toc154063519"/>
      <w:bookmarkStart w:id="1163" w:name="_Toc54862203"/>
      <w:bookmarkStart w:id="1164" w:name="_Ref531952791"/>
      <w:r>
        <w:rPr>
          <w:rFonts w:hint="eastAsia" w:ascii="黑体" w:hAnsi="黑体"/>
          <w:bCs w:val="0"/>
          <w:color w:val="auto"/>
          <w:sz w:val="28"/>
        </w:rPr>
        <w:t>第3条 发包人的管理</w:t>
      </w:r>
      <w:bookmarkEnd w:id="1162"/>
      <w:bookmarkEnd w:id="1163"/>
      <w:bookmarkEnd w:id="1164"/>
    </w:p>
    <w:p w14:paraId="01D2A017">
      <w:pPr>
        <w:pStyle w:val="4"/>
        <w:spacing w:before="120" w:line="360" w:lineRule="auto"/>
        <w:rPr>
          <w:color w:val="auto"/>
        </w:rPr>
      </w:pPr>
      <w:bookmarkStart w:id="1165" w:name="_Ref522810094"/>
      <w:bookmarkStart w:id="1166" w:name="_Ref522810097"/>
      <w:bookmarkStart w:id="1167" w:name="_Toc54862204"/>
      <w:bookmarkStart w:id="1168" w:name="_Ref531951538"/>
      <w:bookmarkStart w:id="1169" w:name="_Ref531951533"/>
      <w:bookmarkStart w:id="1170" w:name="_Toc154063520"/>
      <w:r>
        <w:rPr>
          <w:rFonts w:hint="eastAsia"/>
          <w:color w:val="auto"/>
        </w:rPr>
        <w:t>3</w:t>
      </w:r>
      <w:r>
        <w:rPr>
          <w:color w:val="auto"/>
        </w:rPr>
        <w:t xml:space="preserve">.1 </w:t>
      </w:r>
      <w:r>
        <w:rPr>
          <w:rFonts w:hint="eastAsia"/>
          <w:color w:val="auto"/>
        </w:rPr>
        <w:t>发包人</w:t>
      </w:r>
      <w:bookmarkEnd w:id="1165"/>
      <w:bookmarkEnd w:id="1166"/>
      <w:r>
        <w:rPr>
          <w:rFonts w:hint="eastAsia"/>
          <w:color w:val="auto"/>
        </w:rPr>
        <w:t>代表</w:t>
      </w:r>
      <w:bookmarkEnd w:id="1167"/>
      <w:bookmarkEnd w:id="1168"/>
      <w:bookmarkEnd w:id="1169"/>
      <w:bookmarkEnd w:id="1170"/>
    </w:p>
    <w:p w14:paraId="1936BDBF">
      <w:pPr>
        <w:spacing w:line="360" w:lineRule="auto"/>
        <w:ind w:firstLine="420" w:firstLineChars="200"/>
        <w:rPr>
          <w:rFonts w:ascii="宋体" w:hAnsi="宋体"/>
          <w:color w:val="auto"/>
          <w:szCs w:val="21"/>
        </w:rPr>
      </w:pPr>
      <w:r>
        <w:rPr>
          <w:rFonts w:hint="eastAsia" w:ascii="宋体" w:hAnsi="宋体"/>
          <w:color w:val="auto"/>
          <w:szCs w:val="21"/>
        </w:rPr>
        <w:t>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p>
    <w:p w14:paraId="6061FB73">
      <w:pPr>
        <w:spacing w:line="360" w:lineRule="auto"/>
        <w:ind w:firstLine="420" w:firstLineChars="200"/>
        <w:rPr>
          <w:rFonts w:ascii="宋体" w:hAnsi="宋体"/>
          <w:color w:val="auto"/>
          <w:szCs w:val="21"/>
        </w:rPr>
      </w:pPr>
      <w:r>
        <w:rPr>
          <w:rFonts w:hint="eastAsia" w:ascii="宋体" w:hAnsi="宋体"/>
          <w:color w:val="auto"/>
          <w:szCs w:val="21"/>
        </w:rPr>
        <w:t>除非发包人另行通知承包人，发包人代表应被授予并且被认为具有发包人在授权范围内享有的相应权利，涉及第</w:t>
      </w:r>
      <w:r>
        <w:rPr>
          <w:rFonts w:ascii="宋体" w:hAnsi="宋体"/>
          <w:color w:val="auto"/>
          <w:szCs w:val="21"/>
        </w:rPr>
        <w:t>16.1</w:t>
      </w:r>
      <w:r>
        <w:rPr>
          <w:rFonts w:hint="eastAsia" w:ascii="宋体" w:hAnsi="宋体"/>
          <w:color w:val="auto"/>
          <w:szCs w:val="21"/>
        </w:rPr>
        <w:t>款[由发包人解除合同]的权利除外。</w:t>
      </w:r>
    </w:p>
    <w:p w14:paraId="760C752A">
      <w:pPr>
        <w:spacing w:line="360" w:lineRule="auto"/>
        <w:ind w:firstLine="420" w:firstLineChars="200"/>
        <w:rPr>
          <w:rFonts w:hint="eastAsia" w:ascii="宋体" w:hAnsi="宋体"/>
          <w:color w:val="auto"/>
          <w:szCs w:val="21"/>
        </w:rPr>
      </w:pPr>
      <w:r>
        <w:rPr>
          <w:rFonts w:hint="eastAsia" w:ascii="宋体" w:hAnsi="宋体"/>
          <w:color w:val="auto"/>
          <w:szCs w:val="21"/>
        </w:rPr>
        <w:t>发包人代表（或者在其为法人的情况下，被任命代表其行事的自然人）应：</w:t>
      </w:r>
    </w:p>
    <w:p w14:paraId="4E392251">
      <w:pPr>
        <w:spacing w:line="360" w:lineRule="auto"/>
        <w:ind w:firstLine="420" w:firstLineChars="200"/>
        <w:rPr>
          <w:rFonts w:hint="eastAsia" w:ascii="宋体" w:hAnsi="宋体"/>
          <w:color w:val="auto"/>
          <w:szCs w:val="21"/>
        </w:rPr>
      </w:pPr>
      <w:r>
        <w:rPr>
          <w:rFonts w:hint="eastAsia" w:ascii="宋体" w:hAnsi="宋体"/>
          <w:color w:val="auto"/>
          <w:szCs w:val="21"/>
        </w:rPr>
        <w:t>（1）履行指派给其的职责，行使发包人托付给的权利；</w:t>
      </w:r>
    </w:p>
    <w:p w14:paraId="7490602E">
      <w:pPr>
        <w:spacing w:line="360" w:lineRule="auto"/>
        <w:ind w:firstLine="420" w:firstLineChars="200"/>
        <w:rPr>
          <w:rFonts w:hint="eastAsia" w:ascii="宋体" w:hAnsi="宋体"/>
          <w:color w:val="auto"/>
          <w:szCs w:val="21"/>
        </w:rPr>
      </w:pPr>
      <w:r>
        <w:rPr>
          <w:rFonts w:hint="eastAsia" w:ascii="宋体" w:hAnsi="宋体"/>
          <w:color w:val="auto"/>
          <w:szCs w:val="21"/>
        </w:rPr>
        <w:t>（2）具备履行这些职责、行使这些权利的能力；</w:t>
      </w:r>
    </w:p>
    <w:p w14:paraId="6F1E4841">
      <w:pPr>
        <w:spacing w:line="360" w:lineRule="auto"/>
        <w:ind w:firstLine="420" w:firstLineChars="200"/>
        <w:rPr>
          <w:rFonts w:ascii="宋体" w:hAnsi="宋体"/>
          <w:color w:val="auto"/>
          <w:szCs w:val="21"/>
        </w:rPr>
      </w:pPr>
      <w:r>
        <w:rPr>
          <w:rFonts w:hint="eastAsia" w:ascii="宋体" w:hAnsi="宋体"/>
          <w:color w:val="auto"/>
          <w:szCs w:val="21"/>
        </w:rPr>
        <w:t>（3）作为熟练的专业人员行事。</w:t>
      </w:r>
    </w:p>
    <w:p w14:paraId="7AC8B6A9">
      <w:pPr>
        <w:spacing w:line="360" w:lineRule="auto"/>
        <w:ind w:firstLine="420" w:firstLineChars="200"/>
        <w:rPr>
          <w:rFonts w:ascii="宋体" w:hAnsi="宋体"/>
          <w:color w:val="auto"/>
          <w:szCs w:val="21"/>
        </w:rPr>
      </w:pPr>
      <w:r>
        <w:rPr>
          <w:rFonts w:hint="eastAsia" w:ascii="宋体" w:hAnsi="宋体"/>
          <w:color w:val="auto"/>
          <w:szCs w:val="21"/>
        </w:rPr>
        <w:t>如果发包人代表为法人且在签订本合同时未能确定授权代表的，发包人代表应在本合同签订之日起</w:t>
      </w:r>
      <w:r>
        <w:rPr>
          <w:rFonts w:ascii="宋体" w:hAnsi="宋体"/>
          <w:color w:val="auto"/>
          <w:szCs w:val="21"/>
        </w:rPr>
        <w:t>3日内</w:t>
      </w:r>
      <w:r>
        <w:rPr>
          <w:rFonts w:hint="eastAsia" w:ascii="宋体" w:hAnsi="宋体"/>
          <w:color w:val="auto"/>
          <w:szCs w:val="21"/>
        </w:rPr>
        <w:t>向双方发出书面通知，告知被任命和授权的自然人以及任何替代人员。此授权在双方收到本通知后生效。发包人代表撤销该授权或者变更授权代表时也应同样发出该通知。</w:t>
      </w:r>
    </w:p>
    <w:p w14:paraId="5D153119">
      <w:pPr>
        <w:spacing w:line="360" w:lineRule="auto"/>
        <w:ind w:firstLine="420" w:firstLineChars="200"/>
        <w:rPr>
          <w:rFonts w:ascii="宋体" w:hAnsi="宋体"/>
          <w:color w:val="auto"/>
          <w:szCs w:val="21"/>
        </w:rPr>
      </w:pPr>
      <w:r>
        <w:rPr>
          <w:rFonts w:hint="eastAsia" w:ascii="宋体" w:hAnsi="宋体"/>
          <w:color w:val="auto"/>
          <w:szCs w:val="21"/>
        </w:rPr>
        <w:t>发包人更换发包人代表的，应提前14天将更换人的姓名、地址、任务和权利、以及任命的日期书面通知承包人。发包人不得将发包人代表更换为承包人根据本款发出通知提出合理反对意见的人员，不论是法人还是自然人。</w:t>
      </w:r>
    </w:p>
    <w:p w14:paraId="60EC074B">
      <w:pPr>
        <w:spacing w:line="360" w:lineRule="auto"/>
        <w:ind w:firstLine="420" w:firstLineChars="200"/>
        <w:rPr>
          <w:rFonts w:ascii="宋体" w:hAnsi="宋体"/>
          <w:color w:val="auto"/>
          <w:szCs w:val="21"/>
        </w:rPr>
      </w:pPr>
      <w:r>
        <w:rPr>
          <w:rFonts w:hint="eastAsia" w:ascii="宋体" w:hAnsi="宋体"/>
          <w:color w:val="auto"/>
          <w:szCs w:val="21"/>
        </w:rPr>
        <w:t>发包人代表不能按照合同约定履行其职责及义务，并导致合同无法继续正常履行的，承包人可以要求发包人撤换发包人代表。</w:t>
      </w:r>
    </w:p>
    <w:p w14:paraId="3C287F97">
      <w:pPr>
        <w:pStyle w:val="4"/>
        <w:spacing w:before="120" w:line="360" w:lineRule="auto"/>
        <w:rPr>
          <w:color w:val="auto"/>
        </w:rPr>
      </w:pPr>
      <w:bookmarkStart w:id="1171" w:name="_Toc54862205"/>
      <w:bookmarkStart w:id="1172" w:name="_Ref531951553"/>
      <w:bookmarkStart w:id="1173" w:name="_Ref531951557"/>
      <w:bookmarkStart w:id="1174" w:name="_Toc154063521"/>
      <w:r>
        <w:rPr>
          <w:rFonts w:hint="eastAsia"/>
          <w:color w:val="auto"/>
        </w:rPr>
        <w:t>3</w:t>
      </w:r>
      <w:r>
        <w:rPr>
          <w:color w:val="auto"/>
        </w:rPr>
        <w:t xml:space="preserve">.2 </w:t>
      </w:r>
      <w:r>
        <w:rPr>
          <w:rFonts w:hint="eastAsia"/>
          <w:color w:val="auto"/>
        </w:rPr>
        <w:t>发包人人员</w:t>
      </w:r>
      <w:bookmarkEnd w:id="1171"/>
      <w:bookmarkEnd w:id="1172"/>
      <w:bookmarkEnd w:id="1173"/>
      <w:bookmarkEnd w:id="1174"/>
    </w:p>
    <w:p w14:paraId="79E6F133">
      <w:pPr>
        <w:spacing w:line="360" w:lineRule="auto"/>
        <w:ind w:firstLine="420" w:firstLineChars="200"/>
        <w:rPr>
          <w:rFonts w:ascii="宋体" w:hAnsi="宋体"/>
          <w:color w:val="auto"/>
          <w:szCs w:val="21"/>
        </w:rPr>
      </w:pPr>
      <w:r>
        <w:rPr>
          <w:rFonts w:hint="eastAsia" w:ascii="宋体" w:hAnsi="宋体"/>
          <w:color w:val="auto"/>
          <w:szCs w:val="21"/>
        </w:rPr>
        <w:t>发包人人员包括发包人代表、工程师及其他由发包人派驻施工现场的人员，发包人可以在专用合同条件中明确发包人人员的姓名、职务及职责等事项。发包人或发包人代表可随时对一些助手指派和托付一定的任务和权利，也可撤销这些指派和托付。这些助手可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p>
    <w:p w14:paraId="0E866226">
      <w:pPr>
        <w:spacing w:line="360" w:lineRule="auto"/>
        <w:ind w:firstLine="420" w:firstLineChars="200"/>
        <w:rPr>
          <w:rFonts w:ascii="宋体" w:hAnsi="宋体"/>
          <w:color w:val="auto"/>
          <w:szCs w:val="21"/>
        </w:rPr>
      </w:pPr>
      <w:r>
        <w:rPr>
          <w:rFonts w:hint="eastAsia" w:ascii="宋体" w:hAnsi="宋体"/>
          <w:color w:val="auto"/>
          <w:szCs w:val="21"/>
        </w:rPr>
        <w:t>发包人应要求在施工现场的发包人人员遵守法律及有关安全、质量、环境保护、文明施工等规定，因发包人人员未遵守上述要求给承包人造成的损失和责任由发包人承担。</w:t>
      </w:r>
    </w:p>
    <w:p w14:paraId="5B51AC6D">
      <w:pPr>
        <w:pStyle w:val="4"/>
        <w:spacing w:before="120" w:line="360" w:lineRule="auto"/>
        <w:rPr>
          <w:color w:val="auto"/>
        </w:rPr>
      </w:pPr>
      <w:bookmarkStart w:id="1175" w:name="_Toc154063522"/>
      <w:bookmarkStart w:id="1176" w:name="_Toc54862206"/>
      <w:r>
        <w:rPr>
          <w:rFonts w:hint="eastAsia"/>
          <w:color w:val="auto"/>
        </w:rPr>
        <w:t>3</w:t>
      </w:r>
      <w:r>
        <w:rPr>
          <w:color w:val="auto"/>
        </w:rPr>
        <w:t>.3 工程师</w:t>
      </w:r>
      <w:bookmarkEnd w:id="1175"/>
      <w:bookmarkEnd w:id="1176"/>
      <w:r>
        <w:rPr>
          <w:rFonts w:hint="eastAsia"/>
          <w:color w:val="auto"/>
        </w:rPr>
        <w:t xml:space="preserve"> </w:t>
      </w:r>
    </w:p>
    <w:p w14:paraId="7655CD14">
      <w:pPr>
        <w:pStyle w:val="130"/>
        <w:numPr>
          <w:ilvl w:val="0"/>
          <w:numId w:val="0"/>
        </w:numPr>
        <w:ind w:firstLine="420" w:firstLineChars="200"/>
        <w:rPr>
          <w:color w:val="auto"/>
          <w:sz w:val="21"/>
        </w:rPr>
      </w:pPr>
      <w:r>
        <w:rPr>
          <w:rFonts w:hint="eastAsia"/>
          <w:color w:val="auto"/>
          <w:sz w:val="21"/>
        </w:rPr>
        <w:t>3</w:t>
      </w:r>
      <w:r>
        <w:rPr>
          <w:color w:val="auto"/>
          <w:sz w:val="21"/>
        </w:rPr>
        <w:t xml:space="preserve">.3.1 </w:t>
      </w:r>
      <w:r>
        <w:rPr>
          <w:rFonts w:hint="eastAsia"/>
          <w:color w:val="auto"/>
          <w:sz w:val="21"/>
        </w:rPr>
        <w:t>发包人需对承包人的设计、采购、施工、服务等工作过程或过程节点实施监督管理的，有权委任工程师。工程师的名称、监督管理范围、内容和权限在专用合同条件中写明。根据国家相关法律法规规定，如本合同工程属于强制监理项目的，由工程师履行法定的监理相关职责，但发包人另行授权第三方进行监理的除外。</w:t>
      </w:r>
    </w:p>
    <w:p w14:paraId="247FA533">
      <w:pPr>
        <w:pStyle w:val="130"/>
        <w:numPr>
          <w:ilvl w:val="0"/>
          <w:numId w:val="0"/>
        </w:numPr>
        <w:ind w:firstLine="420" w:firstLineChars="200"/>
        <w:rPr>
          <w:color w:val="auto"/>
          <w:sz w:val="21"/>
        </w:rPr>
      </w:pPr>
      <w:r>
        <w:rPr>
          <w:rFonts w:hint="eastAsia"/>
          <w:color w:val="auto"/>
          <w:sz w:val="21"/>
        </w:rPr>
        <w:t>3</w:t>
      </w:r>
      <w:r>
        <w:rPr>
          <w:color w:val="auto"/>
          <w:sz w:val="21"/>
        </w:rPr>
        <w:t xml:space="preserve">.3.2 </w:t>
      </w:r>
      <w:r>
        <w:rPr>
          <w:rFonts w:hint="eastAsia"/>
          <w:color w:val="auto"/>
          <w:sz w:val="21"/>
        </w:rPr>
        <w:t>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p>
    <w:p w14:paraId="3D6E3028">
      <w:pPr>
        <w:pStyle w:val="130"/>
        <w:numPr>
          <w:ilvl w:val="0"/>
          <w:numId w:val="0"/>
        </w:numPr>
        <w:ind w:firstLine="420" w:firstLineChars="200"/>
        <w:rPr>
          <w:color w:val="auto"/>
          <w:sz w:val="21"/>
        </w:rPr>
      </w:pPr>
      <w:r>
        <w:rPr>
          <w:rFonts w:hint="eastAsia"/>
          <w:color w:val="auto"/>
          <w:sz w:val="21"/>
        </w:rPr>
        <w:t>3</w:t>
      </w:r>
      <w:r>
        <w:rPr>
          <w:color w:val="auto"/>
          <w:sz w:val="21"/>
        </w:rPr>
        <w:t xml:space="preserve">.3.3 </w:t>
      </w:r>
      <w:r>
        <w:rPr>
          <w:rFonts w:hint="eastAsia"/>
          <w:color w:val="auto"/>
          <w:sz w:val="21"/>
        </w:rPr>
        <w:t>在发包人和承包人之间提供证明、行使决定权或处理权时，工程师应作为独立专业的第三方，根据自己的专业技能和判断进行工作。但工程师或其人员均无权修改合同，且无权减轻或免除合同当事人的任何责任与义务。</w:t>
      </w:r>
    </w:p>
    <w:p w14:paraId="18A9717F">
      <w:pPr>
        <w:pStyle w:val="130"/>
        <w:numPr>
          <w:ilvl w:val="0"/>
          <w:numId w:val="0"/>
        </w:numPr>
        <w:ind w:firstLine="420" w:firstLineChars="200"/>
        <w:rPr>
          <w:color w:val="auto"/>
          <w:sz w:val="21"/>
        </w:rPr>
      </w:pPr>
      <w:r>
        <w:rPr>
          <w:rFonts w:hint="eastAsia"/>
          <w:color w:val="auto"/>
          <w:sz w:val="21"/>
        </w:rPr>
        <w:t>3</w:t>
      </w:r>
      <w:r>
        <w:rPr>
          <w:color w:val="auto"/>
          <w:sz w:val="21"/>
        </w:rPr>
        <w:t xml:space="preserve">.3.4 </w:t>
      </w:r>
      <w:r>
        <w:rPr>
          <w:rFonts w:hint="eastAsia"/>
          <w:color w:val="auto"/>
          <w:sz w:val="21"/>
        </w:rPr>
        <w:t>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p>
    <w:p w14:paraId="450B09C9">
      <w:pPr>
        <w:pStyle w:val="4"/>
        <w:spacing w:before="120" w:line="360" w:lineRule="auto"/>
        <w:rPr>
          <w:color w:val="auto"/>
        </w:rPr>
      </w:pPr>
      <w:bookmarkStart w:id="1177" w:name="_Toc54862207"/>
      <w:bookmarkStart w:id="1178" w:name="_Toc154063523"/>
      <w:bookmarkStart w:id="1179" w:name="_Ref531951594"/>
      <w:bookmarkStart w:id="1180" w:name="_Ref531951597"/>
      <w:r>
        <w:rPr>
          <w:rFonts w:hint="eastAsia"/>
          <w:color w:val="auto"/>
        </w:rPr>
        <w:t>3</w:t>
      </w:r>
      <w:r>
        <w:rPr>
          <w:color w:val="auto"/>
        </w:rPr>
        <w:t xml:space="preserve">.4 </w:t>
      </w:r>
      <w:r>
        <w:rPr>
          <w:rFonts w:hint="eastAsia"/>
          <w:color w:val="auto"/>
        </w:rPr>
        <w:t>任命和授权</w:t>
      </w:r>
      <w:bookmarkEnd w:id="1177"/>
      <w:bookmarkEnd w:id="1178"/>
    </w:p>
    <w:p w14:paraId="5AECFD17">
      <w:pPr>
        <w:pStyle w:val="130"/>
        <w:numPr>
          <w:ilvl w:val="0"/>
          <w:numId w:val="0"/>
        </w:numPr>
        <w:ind w:firstLine="420" w:firstLineChars="200"/>
        <w:rPr>
          <w:color w:val="auto"/>
          <w:sz w:val="21"/>
        </w:rPr>
      </w:pPr>
      <w:r>
        <w:rPr>
          <w:rFonts w:hint="eastAsia"/>
          <w:color w:val="auto"/>
          <w:sz w:val="21"/>
        </w:rPr>
        <w:t>3</w:t>
      </w:r>
      <w:r>
        <w:rPr>
          <w:color w:val="auto"/>
          <w:sz w:val="21"/>
        </w:rPr>
        <w:t xml:space="preserve">.4.1 </w:t>
      </w:r>
      <w:r>
        <w:rPr>
          <w:rFonts w:hint="eastAsia"/>
          <w:color w:val="auto"/>
          <w:sz w:val="21"/>
        </w:rPr>
        <w:t>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p>
    <w:p w14:paraId="1F69B78B">
      <w:pPr>
        <w:pStyle w:val="130"/>
        <w:numPr>
          <w:ilvl w:val="0"/>
          <w:numId w:val="0"/>
        </w:numPr>
        <w:ind w:firstLine="420" w:firstLineChars="200"/>
        <w:rPr>
          <w:color w:val="auto"/>
          <w:sz w:val="21"/>
        </w:rPr>
      </w:pPr>
      <w:r>
        <w:rPr>
          <w:rFonts w:hint="eastAsia"/>
          <w:color w:val="auto"/>
          <w:sz w:val="21"/>
        </w:rPr>
        <w:t>3</w:t>
      </w:r>
      <w:r>
        <w:rPr>
          <w:color w:val="auto"/>
          <w:sz w:val="21"/>
        </w:rPr>
        <w:t xml:space="preserve">.4.2 </w:t>
      </w:r>
      <w:r>
        <w:rPr>
          <w:rFonts w:hint="eastAsia"/>
          <w:color w:val="auto"/>
          <w:sz w:val="21"/>
        </w:rPr>
        <w:t>工程师可以授权其他人员负责执行其指派的一项或多项工作，但第</w:t>
      </w:r>
      <w:r>
        <w:rPr>
          <w:color w:val="auto"/>
          <w:sz w:val="21"/>
        </w:rPr>
        <w:t>3.6</w:t>
      </w:r>
      <w:r>
        <w:rPr>
          <w:rFonts w:hint="eastAsia"/>
          <w:color w:val="auto"/>
          <w:sz w:val="21"/>
        </w:rPr>
        <w:t>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p>
    <w:p w14:paraId="53137876">
      <w:pPr>
        <w:pStyle w:val="4"/>
        <w:spacing w:before="120" w:line="360" w:lineRule="auto"/>
        <w:rPr>
          <w:color w:val="auto"/>
        </w:rPr>
      </w:pPr>
      <w:bookmarkStart w:id="1181" w:name="_Ref20165400"/>
      <w:bookmarkStart w:id="1182" w:name="_Toc154063524"/>
      <w:bookmarkStart w:id="1183" w:name="_Toc54862208"/>
      <w:r>
        <w:rPr>
          <w:rFonts w:hint="eastAsia"/>
          <w:color w:val="auto"/>
        </w:rPr>
        <w:t>3</w:t>
      </w:r>
      <w:r>
        <w:rPr>
          <w:color w:val="auto"/>
        </w:rPr>
        <w:t>.5 指示</w:t>
      </w:r>
      <w:bookmarkEnd w:id="1179"/>
      <w:bookmarkEnd w:id="1180"/>
      <w:bookmarkEnd w:id="1181"/>
      <w:bookmarkEnd w:id="1182"/>
      <w:bookmarkEnd w:id="1183"/>
    </w:p>
    <w:p w14:paraId="4872FD8D">
      <w:pPr>
        <w:pStyle w:val="130"/>
        <w:numPr>
          <w:ilvl w:val="0"/>
          <w:numId w:val="0"/>
        </w:numPr>
        <w:ind w:firstLine="420" w:firstLineChars="200"/>
        <w:rPr>
          <w:color w:val="auto"/>
          <w:sz w:val="21"/>
        </w:rPr>
      </w:pPr>
      <w:r>
        <w:rPr>
          <w:rFonts w:hint="eastAsia"/>
          <w:color w:val="auto"/>
          <w:sz w:val="21"/>
        </w:rPr>
        <w:t>3</w:t>
      </w:r>
      <w:r>
        <w:rPr>
          <w:color w:val="auto"/>
          <w:sz w:val="21"/>
        </w:rPr>
        <w:t xml:space="preserve">.5.1 </w:t>
      </w:r>
      <w:r>
        <w:rPr>
          <w:rFonts w:hint="eastAsia"/>
          <w:color w:val="auto"/>
          <w:sz w:val="21"/>
        </w:rPr>
        <w:t>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p>
    <w:p w14:paraId="3E059444">
      <w:pPr>
        <w:pStyle w:val="130"/>
        <w:numPr>
          <w:ilvl w:val="0"/>
          <w:numId w:val="0"/>
        </w:numPr>
        <w:ind w:firstLine="420" w:firstLineChars="200"/>
        <w:rPr>
          <w:color w:val="auto"/>
          <w:sz w:val="21"/>
        </w:rPr>
      </w:pPr>
      <w:r>
        <w:rPr>
          <w:rFonts w:hint="eastAsia"/>
          <w:color w:val="auto"/>
          <w:sz w:val="21"/>
        </w:rPr>
        <w:t>3</w:t>
      </w:r>
      <w:r>
        <w:rPr>
          <w:color w:val="auto"/>
          <w:sz w:val="21"/>
        </w:rPr>
        <w:t xml:space="preserve">.5.2 </w:t>
      </w:r>
      <w:r>
        <w:rPr>
          <w:rFonts w:hint="eastAsia"/>
          <w:color w:val="auto"/>
          <w:sz w:val="21"/>
        </w:rPr>
        <w:t>承包人收到工程师作出的指示后应遵照执行。如果任何此类指示构成一项变更时，应按照第</w:t>
      </w:r>
      <w:r>
        <w:rPr>
          <w:color w:val="auto"/>
          <w:sz w:val="21"/>
        </w:rPr>
        <w:t>13条</w:t>
      </w:r>
      <w:r>
        <w:rPr>
          <w:rFonts w:hint="eastAsia"/>
          <w:color w:val="auto"/>
          <w:sz w:val="21"/>
        </w:rPr>
        <w:t>[变更与调整]的约定办理。</w:t>
      </w:r>
    </w:p>
    <w:p w14:paraId="61E298A4">
      <w:pPr>
        <w:pStyle w:val="130"/>
        <w:numPr>
          <w:ilvl w:val="0"/>
          <w:numId w:val="0"/>
        </w:numPr>
        <w:ind w:firstLine="420" w:firstLineChars="200"/>
        <w:rPr>
          <w:color w:val="auto"/>
          <w:sz w:val="21"/>
        </w:rPr>
      </w:pPr>
      <w:r>
        <w:rPr>
          <w:rFonts w:hint="eastAsia"/>
          <w:color w:val="auto"/>
          <w:sz w:val="21"/>
        </w:rPr>
        <w:t>3</w:t>
      </w:r>
      <w:r>
        <w:rPr>
          <w:color w:val="auto"/>
          <w:sz w:val="21"/>
        </w:rPr>
        <w:t xml:space="preserve">.5.3 </w:t>
      </w:r>
      <w:r>
        <w:rPr>
          <w:rFonts w:hint="eastAsia"/>
          <w:color w:val="auto"/>
          <w:sz w:val="21"/>
        </w:rPr>
        <w:t>由于工程师未能按合同约定发出指示、指示延误或指示错误而导致承包人费用增加和（或）工期延误的，发包人应承担由此增加的费用和（或）工期延误，并向承包人支付合理利润。</w:t>
      </w:r>
    </w:p>
    <w:p w14:paraId="1AB03CB9">
      <w:pPr>
        <w:pStyle w:val="4"/>
        <w:spacing w:before="120" w:line="360" w:lineRule="auto"/>
        <w:rPr>
          <w:color w:val="auto"/>
        </w:rPr>
      </w:pPr>
      <w:bookmarkStart w:id="1184" w:name="_Ref531951609"/>
      <w:bookmarkStart w:id="1185" w:name="_Toc154063525"/>
      <w:bookmarkStart w:id="1186" w:name="_Ref531951611"/>
      <w:bookmarkStart w:id="1187" w:name="_Toc54862209"/>
      <w:r>
        <w:rPr>
          <w:rFonts w:hint="eastAsia"/>
          <w:color w:val="auto"/>
        </w:rPr>
        <w:t>3</w:t>
      </w:r>
      <w:r>
        <w:rPr>
          <w:color w:val="auto"/>
        </w:rPr>
        <w:t>.6 商定或确定</w:t>
      </w:r>
      <w:bookmarkEnd w:id="1184"/>
      <w:bookmarkEnd w:id="1185"/>
      <w:bookmarkEnd w:id="1186"/>
      <w:bookmarkEnd w:id="1187"/>
    </w:p>
    <w:p w14:paraId="45BA1068">
      <w:pPr>
        <w:pStyle w:val="130"/>
        <w:numPr>
          <w:ilvl w:val="0"/>
          <w:numId w:val="0"/>
        </w:numPr>
        <w:ind w:firstLine="420" w:firstLineChars="200"/>
        <w:rPr>
          <w:color w:val="auto"/>
          <w:sz w:val="21"/>
        </w:rPr>
      </w:pPr>
      <w:r>
        <w:rPr>
          <w:rFonts w:hint="eastAsia"/>
          <w:color w:val="auto"/>
          <w:sz w:val="21"/>
        </w:rPr>
        <w:t>3</w:t>
      </w:r>
      <w:r>
        <w:rPr>
          <w:color w:val="auto"/>
          <w:sz w:val="21"/>
        </w:rPr>
        <w:t xml:space="preserve">.6.1 </w:t>
      </w:r>
      <w:r>
        <w:rPr>
          <w:rFonts w:hint="eastAsia"/>
          <w:color w:val="auto"/>
          <w:sz w:val="21"/>
        </w:rPr>
        <w:t>合同约定工程师应按照本款对任何事项进行商定或确定时，工程师应及时与合同当事人协商，尽量达成一致。工程师应将商定的结果以书面形式通知发包人和承包人，并由双方签署确认。</w:t>
      </w:r>
    </w:p>
    <w:p w14:paraId="3C5C8179">
      <w:pPr>
        <w:pStyle w:val="130"/>
        <w:numPr>
          <w:ilvl w:val="0"/>
          <w:numId w:val="0"/>
        </w:numPr>
        <w:ind w:firstLine="420" w:firstLineChars="200"/>
        <w:rPr>
          <w:color w:val="auto"/>
          <w:sz w:val="21"/>
        </w:rPr>
      </w:pPr>
      <w:r>
        <w:rPr>
          <w:rFonts w:hint="eastAsia"/>
          <w:color w:val="auto"/>
          <w:sz w:val="21"/>
        </w:rPr>
        <w:t>3</w:t>
      </w:r>
      <w:r>
        <w:rPr>
          <w:color w:val="auto"/>
          <w:sz w:val="21"/>
        </w:rPr>
        <w:t xml:space="preserve">.6.2 </w:t>
      </w:r>
      <w:r>
        <w:rPr>
          <w:rFonts w:hint="eastAsia"/>
          <w:color w:val="auto"/>
          <w:sz w:val="21"/>
        </w:rPr>
        <w:t>除专用合同条件另有约定外，商定的期限应为工程师收到任何一方就商定事由发出的通知后42天内或工程师提出并经双方同意的其他期限。未能在该期限内达成一致的，由工程师按照合同约定审慎做出公正的确定。确定的期限应为商定的期限届满后42天内或工程师提出并经双方同意的其他期限。工程师应将确定的结果以书面形式通知发包人和承包人，并附详细依据。</w:t>
      </w:r>
    </w:p>
    <w:p w14:paraId="23477946">
      <w:pPr>
        <w:pStyle w:val="130"/>
        <w:numPr>
          <w:ilvl w:val="0"/>
          <w:numId w:val="0"/>
        </w:numPr>
        <w:ind w:firstLine="420" w:firstLineChars="200"/>
        <w:rPr>
          <w:color w:val="auto"/>
          <w:sz w:val="21"/>
        </w:rPr>
      </w:pPr>
      <w:bookmarkStart w:id="1188" w:name="_Ref532287856"/>
      <w:r>
        <w:rPr>
          <w:rFonts w:hint="eastAsia"/>
          <w:color w:val="auto"/>
          <w:sz w:val="21"/>
        </w:rPr>
        <w:t>3</w:t>
      </w:r>
      <w:r>
        <w:rPr>
          <w:color w:val="auto"/>
          <w:sz w:val="21"/>
        </w:rPr>
        <w:t xml:space="preserve">.6.3 </w:t>
      </w:r>
      <w:r>
        <w:rPr>
          <w:rFonts w:hint="eastAsia"/>
          <w:color w:val="auto"/>
          <w:sz w:val="21"/>
        </w:rPr>
        <w:t>任何一方对工程师的确定有异议的，应在收到确定的结果后28天内向另一方发出书面异议通知并抄送工程师。除第</w:t>
      </w:r>
      <w:r>
        <w:rPr>
          <w:color w:val="auto"/>
          <w:sz w:val="21"/>
        </w:rPr>
        <w:t>19.2</w:t>
      </w:r>
      <w:r>
        <w:rPr>
          <w:rFonts w:hint="eastAsia"/>
          <w:color w:val="auto"/>
          <w:sz w:val="21"/>
        </w:rPr>
        <w:t>款[</w:t>
      </w:r>
      <w:r>
        <w:rPr>
          <w:color w:val="auto"/>
          <w:sz w:val="21"/>
        </w:rPr>
        <w:t>承包人索赔的处理程序</w:t>
      </w:r>
      <w:r>
        <w:rPr>
          <w:rFonts w:hint="eastAsia"/>
          <w:color w:val="auto"/>
          <w:sz w:val="21"/>
        </w:rPr>
        <w:t>]另有约定外，工程师未能在确定的期限内发出确定的结果通知的，或者任何一方发出对确定的结果有异议的通知的，则构成争议并应按照第</w:t>
      </w:r>
      <w:r>
        <w:rPr>
          <w:color w:val="auto"/>
          <w:sz w:val="21"/>
        </w:rPr>
        <w:t>20条</w:t>
      </w:r>
      <w:r>
        <w:rPr>
          <w:rFonts w:hint="eastAsia"/>
          <w:color w:val="auto"/>
          <w:sz w:val="21"/>
        </w:rPr>
        <w:t>[争议解决]的约定处理。如未在28天内发出上述通知的，工程师的确定应被视为已被双方接受并对双方具有约束力，但专用合同条件另有约定的除外。</w:t>
      </w:r>
      <w:bookmarkEnd w:id="1188"/>
    </w:p>
    <w:p w14:paraId="73890BEB">
      <w:pPr>
        <w:pStyle w:val="130"/>
        <w:numPr>
          <w:ilvl w:val="0"/>
          <w:numId w:val="0"/>
        </w:numPr>
        <w:ind w:firstLine="420" w:firstLineChars="200"/>
        <w:rPr>
          <w:color w:val="auto"/>
          <w:sz w:val="21"/>
        </w:rPr>
      </w:pPr>
      <w:r>
        <w:rPr>
          <w:rFonts w:hint="eastAsia"/>
          <w:color w:val="auto"/>
          <w:sz w:val="21"/>
        </w:rPr>
        <w:t>3</w:t>
      </w:r>
      <w:r>
        <w:rPr>
          <w:color w:val="auto"/>
          <w:sz w:val="21"/>
        </w:rPr>
        <w:t xml:space="preserve">.6.4 </w:t>
      </w:r>
      <w:r>
        <w:rPr>
          <w:rFonts w:hint="eastAsia"/>
          <w:color w:val="auto"/>
          <w:sz w:val="21"/>
        </w:rPr>
        <w:t>在该争议解决前，双方应暂按工程师的确定执行。按照第</w:t>
      </w:r>
      <w:r>
        <w:rPr>
          <w:color w:val="auto"/>
          <w:sz w:val="21"/>
        </w:rPr>
        <w:t>20条</w:t>
      </w:r>
      <w:r>
        <w:rPr>
          <w:rFonts w:hint="eastAsia"/>
          <w:color w:val="auto"/>
          <w:sz w:val="21"/>
        </w:rPr>
        <w:t>[争议解决]的约定对工程师的确定作出修改的，按修改后的结果执行，由此导致承包人增加的费用和延误的工期由责任方承担。</w:t>
      </w:r>
    </w:p>
    <w:p w14:paraId="4B5D9CF7">
      <w:pPr>
        <w:pStyle w:val="4"/>
        <w:spacing w:before="120" w:line="360" w:lineRule="auto"/>
        <w:rPr>
          <w:color w:val="auto"/>
        </w:rPr>
      </w:pPr>
      <w:bookmarkStart w:id="1189" w:name="_Ref531951747"/>
      <w:bookmarkStart w:id="1190" w:name="_Toc154063526"/>
      <w:bookmarkStart w:id="1191" w:name="_Toc54862210"/>
      <w:bookmarkStart w:id="1192" w:name="_Ref531951749"/>
      <w:r>
        <w:rPr>
          <w:rFonts w:hint="eastAsia"/>
          <w:color w:val="auto"/>
        </w:rPr>
        <w:t>3</w:t>
      </w:r>
      <w:r>
        <w:rPr>
          <w:color w:val="auto"/>
        </w:rPr>
        <w:t xml:space="preserve">.7 </w:t>
      </w:r>
      <w:r>
        <w:rPr>
          <w:rFonts w:hint="eastAsia"/>
          <w:color w:val="auto"/>
        </w:rPr>
        <w:t>会议</w:t>
      </w:r>
      <w:bookmarkEnd w:id="1189"/>
      <w:bookmarkEnd w:id="1190"/>
      <w:bookmarkEnd w:id="1191"/>
      <w:bookmarkEnd w:id="1192"/>
    </w:p>
    <w:p w14:paraId="483D7401">
      <w:pPr>
        <w:pStyle w:val="130"/>
        <w:numPr>
          <w:ilvl w:val="0"/>
          <w:numId w:val="0"/>
        </w:numPr>
        <w:ind w:firstLine="420" w:firstLineChars="200"/>
        <w:rPr>
          <w:color w:val="auto"/>
          <w:sz w:val="21"/>
        </w:rPr>
      </w:pPr>
      <w:r>
        <w:rPr>
          <w:rFonts w:hint="eastAsia"/>
          <w:color w:val="auto"/>
          <w:sz w:val="21"/>
        </w:rPr>
        <w:t>3</w:t>
      </w:r>
      <w:r>
        <w:rPr>
          <w:color w:val="auto"/>
          <w:sz w:val="21"/>
        </w:rPr>
        <w:t xml:space="preserve">.7.1 </w:t>
      </w:r>
      <w:r>
        <w:rPr>
          <w:rFonts w:hint="eastAsia"/>
          <w:color w:val="auto"/>
          <w:sz w:val="21"/>
        </w:rPr>
        <w:t>除专用合同条件另有约定外，任何一方可向另一方发出通知，要求另一方出席会议，讨论工程的实施安排或与本合同履行有关的其他事项。发包人的其他承包人、承包人的分包人和其他第三方可应任何一方的请求出席任何此类会议。</w:t>
      </w:r>
    </w:p>
    <w:p w14:paraId="16340F71">
      <w:pPr>
        <w:pStyle w:val="130"/>
        <w:numPr>
          <w:ilvl w:val="0"/>
          <w:numId w:val="0"/>
        </w:numPr>
        <w:ind w:firstLine="420" w:firstLineChars="200"/>
        <w:rPr>
          <w:color w:val="auto"/>
          <w:sz w:val="21"/>
        </w:rPr>
      </w:pPr>
      <w:r>
        <w:rPr>
          <w:rFonts w:hint="eastAsia"/>
          <w:color w:val="auto"/>
          <w:sz w:val="21"/>
        </w:rPr>
        <w:t>3</w:t>
      </w:r>
      <w:r>
        <w:rPr>
          <w:color w:val="auto"/>
          <w:sz w:val="21"/>
        </w:rPr>
        <w:t xml:space="preserve">.7.2 </w:t>
      </w:r>
      <w:r>
        <w:rPr>
          <w:rFonts w:hint="eastAsia"/>
          <w:color w:val="auto"/>
          <w:sz w:val="21"/>
        </w:rPr>
        <w:t>除专用合同条件另有约定外，发包人应保存每次会议参加人签名的记录，并将会议纪要提供给出席会议的人员。任何根据此类会议以及会议纪要采取的行动应符合本合同的约定。</w:t>
      </w:r>
    </w:p>
    <w:p w14:paraId="4AA4F398">
      <w:pPr>
        <w:pStyle w:val="3"/>
        <w:spacing w:before="48" w:line="360" w:lineRule="auto"/>
        <w:rPr>
          <w:rFonts w:ascii="黑体" w:hAnsi="黑体"/>
          <w:bCs w:val="0"/>
          <w:color w:val="auto"/>
          <w:sz w:val="28"/>
        </w:rPr>
      </w:pPr>
      <w:bookmarkStart w:id="1193" w:name="_Ref531952805"/>
      <w:bookmarkStart w:id="1194" w:name="_Toc54862211"/>
      <w:bookmarkStart w:id="1195" w:name="_Toc154063527"/>
      <w:r>
        <w:rPr>
          <w:rFonts w:hint="eastAsia" w:ascii="黑体" w:hAnsi="黑体"/>
          <w:bCs w:val="0"/>
          <w:color w:val="auto"/>
          <w:sz w:val="28"/>
        </w:rPr>
        <w:t>第4条 承包人</w:t>
      </w:r>
      <w:bookmarkEnd w:id="1193"/>
      <w:bookmarkEnd w:id="1194"/>
      <w:bookmarkEnd w:id="1195"/>
    </w:p>
    <w:p w14:paraId="27C3B4DD">
      <w:pPr>
        <w:pStyle w:val="4"/>
        <w:spacing w:before="120" w:line="360" w:lineRule="auto"/>
        <w:rPr>
          <w:color w:val="auto"/>
        </w:rPr>
      </w:pPr>
      <w:bookmarkStart w:id="1196" w:name="_Ref531951961"/>
      <w:bookmarkStart w:id="1197" w:name="_Toc54862212"/>
      <w:bookmarkStart w:id="1198" w:name="_Ref531951941"/>
      <w:bookmarkStart w:id="1199" w:name="_Toc154063528"/>
      <w:bookmarkStart w:id="1200" w:name="_Ref531951975"/>
      <w:bookmarkStart w:id="1201" w:name="_Ref531951958"/>
      <w:bookmarkStart w:id="1202" w:name="_Ref531951945"/>
      <w:r>
        <w:rPr>
          <w:rFonts w:hint="eastAsia"/>
          <w:color w:val="auto"/>
        </w:rPr>
        <w:t>4</w:t>
      </w:r>
      <w:r>
        <w:rPr>
          <w:color w:val="auto"/>
        </w:rPr>
        <w:t>.1 承包人的一般义务</w:t>
      </w:r>
      <w:bookmarkEnd w:id="1196"/>
      <w:bookmarkEnd w:id="1197"/>
      <w:bookmarkEnd w:id="1198"/>
      <w:bookmarkEnd w:id="1199"/>
      <w:bookmarkEnd w:id="1200"/>
      <w:bookmarkEnd w:id="1201"/>
      <w:bookmarkEnd w:id="1202"/>
      <w:r>
        <w:rPr>
          <w:rFonts w:hint="eastAsia"/>
          <w:color w:val="auto"/>
        </w:rPr>
        <w:t xml:space="preserve"> </w:t>
      </w:r>
    </w:p>
    <w:p w14:paraId="5787BC48">
      <w:pPr>
        <w:spacing w:line="360" w:lineRule="auto"/>
        <w:ind w:firstLine="420" w:firstLineChars="200"/>
        <w:rPr>
          <w:rFonts w:hint="eastAsia" w:ascii="宋体" w:hAnsi="宋体"/>
          <w:color w:val="auto"/>
          <w:szCs w:val="21"/>
        </w:rPr>
      </w:pPr>
      <w:bookmarkStart w:id="1203" w:name="_Ref509046929"/>
      <w:r>
        <w:rPr>
          <w:rFonts w:hint="eastAsia" w:ascii="宋体" w:hAnsi="宋体"/>
          <w:color w:val="auto"/>
          <w:szCs w:val="21"/>
        </w:rPr>
        <w:t>除专用合同条件另有约定外，承包人在履行合同过程中应遵守法律和工程建设标准规范，并履行以下义务：</w:t>
      </w:r>
    </w:p>
    <w:p w14:paraId="14E783FB">
      <w:pPr>
        <w:spacing w:line="360" w:lineRule="auto"/>
        <w:ind w:firstLine="420" w:firstLineChars="200"/>
        <w:rPr>
          <w:rFonts w:hint="eastAsia" w:ascii="宋体" w:hAnsi="宋体"/>
          <w:color w:val="auto"/>
          <w:szCs w:val="21"/>
        </w:rPr>
      </w:pPr>
      <w:r>
        <w:rPr>
          <w:rFonts w:hint="eastAsia" w:ascii="宋体" w:hAnsi="宋体"/>
          <w:color w:val="auto"/>
          <w:szCs w:val="21"/>
        </w:rPr>
        <w:t>（1）办理法律规定和合同约定由承包人办理的许可和批准，将办理结果书面报送发包人留存，并承担因承包人违反法律或合同约定给发包人造成的任何费用和损失；</w:t>
      </w:r>
    </w:p>
    <w:p w14:paraId="3C08E825">
      <w:pPr>
        <w:spacing w:line="360" w:lineRule="auto"/>
        <w:ind w:firstLine="420" w:firstLineChars="200"/>
        <w:rPr>
          <w:rFonts w:hint="eastAsia" w:ascii="宋体" w:hAnsi="宋体"/>
          <w:color w:val="auto"/>
          <w:szCs w:val="21"/>
        </w:rPr>
      </w:pPr>
      <w:r>
        <w:rPr>
          <w:rFonts w:hint="eastAsia" w:ascii="宋体" w:hAnsi="宋体"/>
          <w:color w:val="auto"/>
          <w:szCs w:val="21"/>
        </w:rPr>
        <w:t>（2）按合同约定完成全部工作并在缺陷责任期和保修期内承担缺陷保证责任和保修义务，对工作中的任何缺陷进行整改、完善和修补，使其满足合同约定的目的；</w:t>
      </w:r>
    </w:p>
    <w:p w14:paraId="084A07FE">
      <w:pPr>
        <w:spacing w:line="360" w:lineRule="auto"/>
        <w:ind w:firstLine="420" w:firstLineChars="200"/>
        <w:rPr>
          <w:rFonts w:hint="eastAsia" w:ascii="宋体" w:hAnsi="宋体"/>
          <w:color w:val="auto"/>
          <w:szCs w:val="21"/>
        </w:rPr>
      </w:pPr>
      <w:r>
        <w:rPr>
          <w:rFonts w:hint="eastAsia" w:ascii="宋体" w:hAnsi="宋体"/>
          <w:color w:val="auto"/>
          <w:szCs w:val="21"/>
        </w:rPr>
        <w:t>（3）提供合同约定的工程设备和承包人文件，以及为完成合同工作所需的劳务、材料、施工设备和其他物品，并按合同约定负责临时设施的设计、施工、运行、维护、管理和拆除；</w:t>
      </w:r>
    </w:p>
    <w:p w14:paraId="405883A9">
      <w:pPr>
        <w:spacing w:line="360" w:lineRule="auto"/>
        <w:ind w:firstLine="420" w:firstLineChars="200"/>
        <w:rPr>
          <w:rFonts w:hint="eastAsia" w:ascii="宋体" w:hAnsi="宋体"/>
          <w:color w:val="auto"/>
          <w:szCs w:val="21"/>
        </w:rPr>
      </w:pPr>
      <w:r>
        <w:rPr>
          <w:rFonts w:hint="eastAsia" w:ascii="宋体" w:hAnsi="宋体"/>
          <w:color w:val="auto"/>
          <w:szCs w:val="21"/>
        </w:rPr>
        <w:t>（4）按合同约定的工作内容和进度要求，编制设计、施工的组织和实施计划，保证项目进度计划的实现，并对所有设计、施工作业和施工方法，以及全部工程的完备性和安全可靠性负责；</w:t>
      </w:r>
    </w:p>
    <w:p w14:paraId="107C5EB3">
      <w:pPr>
        <w:spacing w:line="360" w:lineRule="auto"/>
        <w:ind w:firstLine="420" w:firstLineChars="200"/>
        <w:rPr>
          <w:rFonts w:hint="eastAsia" w:ascii="宋体" w:hAnsi="宋体"/>
          <w:color w:val="auto"/>
          <w:szCs w:val="21"/>
        </w:rPr>
      </w:pPr>
      <w:r>
        <w:rPr>
          <w:rFonts w:hint="eastAsia" w:ascii="宋体" w:hAnsi="宋体"/>
          <w:color w:val="auto"/>
          <w:szCs w:val="21"/>
        </w:rPr>
        <w:t>（5）按法律规定和合同约定采取安全文明施工、职业健康和环境保护措施，办理员工工伤保险等相关保险，确保工程及人员、材料、设备和设施的安全，防止因工程实施造成的人身伤害和财产损失；</w:t>
      </w:r>
    </w:p>
    <w:p w14:paraId="1F436817">
      <w:pPr>
        <w:spacing w:line="360" w:lineRule="auto"/>
        <w:ind w:firstLine="420" w:firstLineChars="200"/>
        <w:rPr>
          <w:rFonts w:hint="eastAsia" w:ascii="宋体" w:hAnsi="宋体"/>
          <w:color w:val="auto"/>
          <w:szCs w:val="21"/>
        </w:rPr>
      </w:pPr>
      <w:r>
        <w:rPr>
          <w:rFonts w:hint="eastAsia" w:ascii="宋体" w:hAnsi="宋体"/>
          <w:color w:val="auto"/>
          <w:szCs w:val="21"/>
        </w:rPr>
        <w:t>（6）将发包人按合同约定支付的各项价款专用于合同工程，且应及时支付其雇用人员（包括建筑工人）工资，并及时向分包人支付合同价款；</w:t>
      </w:r>
    </w:p>
    <w:p w14:paraId="0BB7FB16">
      <w:pPr>
        <w:spacing w:line="360" w:lineRule="auto"/>
        <w:ind w:firstLine="420" w:firstLineChars="200"/>
        <w:rPr>
          <w:rFonts w:ascii="宋体" w:hAnsi="宋体"/>
          <w:color w:val="auto"/>
          <w:szCs w:val="21"/>
        </w:rPr>
      </w:pPr>
      <w:r>
        <w:rPr>
          <w:rFonts w:hint="eastAsia" w:ascii="宋体" w:hAnsi="宋体"/>
          <w:color w:val="auto"/>
          <w:szCs w:val="21"/>
        </w:rPr>
        <w:t>（7）在进行合同约定的各项工作时，不得侵害发包人与他人使用公用道路、水源、市政管网等公共设施的权利，避免对邻近的公共设施产生干扰。</w:t>
      </w:r>
    </w:p>
    <w:p w14:paraId="7EBAEF22">
      <w:pPr>
        <w:pStyle w:val="4"/>
        <w:spacing w:before="120" w:line="360" w:lineRule="auto"/>
        <w:rPr>
          <w:color w:val="auto"/>
        </w:rPr>
      </w:pPr>
      <w:bookmarkStart w:id="1204" w:name="_Toc154063529"/>
      <w:bookmarkStart w:id="1205" w:name="_Ref4426803"/>
      <w:bookmarkStart w:id="1206" w:name="_Toc54862213"/>
      <w:bookmarkStart w:id="1207" w:name="_Ref4428418"/>
      <w:r>
        <w:rPr>
          <w:rFonts w:hint="eastAsia"/>
          <w:color w:val="auto"/>
        </w:rPr>
        <w:t>4</w:t>
      </w:r>
      <w:r>
        <w:rPr>
          <w:color w:val="auto"/>
        </w:rPr>
        <w:t xml:space="preserve">.2 </w:t>
      </w:r>
      <w:r>
        <w:rPr>
          <w:rFonts w:hint="eastAsia"/>
          <w:color w:val="auto"/>
        </w:rPr>
        <w:t>履约担保</w:t>
      </w:r>
      <w:bookmarkEnd w:id="1204"/>
      <w:bookmarkEnd w:id="1205"/>
      <w:bookmarkEnd w:id="1206"/>
    </w:p>
    <w:p w14:paraId="102B8AD4">
      <w:pPr>
        <w:spacing w:line="360" w:lineRule="auto"/>
        <w:ind w:firstLine="420" w:firstLineChars="200"/>
        <w:rPr>
          <w:rFonts w:ascii="宋体" w:hAnsi="宋体"/>
          <w:color w:val="auto"/>
          <w:szCs w:val="21"/>
        </w:rPr>
      </w:pPr>
      <w:r>
        <w:rPr>
          <w:rFonts w:hint="eastAsia" w:ascii="宋体" w:hAnsi="宋体"/>
          <w:color w:val="auto"/>
          <w:szCs w:val="21"/>
        </w:rPr>
        <w:t>发包人需要承包人提供履约担保的，由合同当事人在专用合同条件中约定履约担保的方式、金额及提交的时间等，并应符合第</w:t>
      </w:r>
      <w:r>
        <w:rPr>
          <w:rFonts w:ascii="宋体" w:hAnsi="宋体"/>
          <w:color w:val="auto"/>
          <w:szCs w:val="21"/>
        </w:rPr>
        <w:t>2.5</w:t>
      </w:r>
      <w:r>
        <w:rPr>
          <w:rFonts w:hint="eastAsia" w:ascii="宋体" w:hAnsi="宋体"/>
          <w:color w:val="auto"/>
          <w:szCs w:val="21"/>
        </w:rPr>
        <w:t>款[支付合同价款]的规定。履约担保可以采用银行保函或担保公司担保等形式，承包人为联合体的，其履约担保由联合体各方或者联合体中牵头人的名义代表联合体提交，具体由合同当事人在专用合同条件中约定。</w:t>
      </w:r>
    </w:p>
    <w:p w14:paraId="02C0B8B7">
      <w:pPr>
        <w:spacing w:line="360" w:lineRule="auto"/>
        <w:ind w:firstLine="420" w:firstLineChars="200"/>
        <w:rPr>
          <w:rFonts w:ascii="宋体" w:hAnsi="宋体"/>
          <w:color w:val="auto"/>
          <w:szCs w:val="21"/>
        </w:rPr>
      </w:pPr>
      <w:r>
        <w:rPr>
          <w:rFonts w:hint="eastAsia" w:ascii="宋体" w:hAnsi="宋体"/>
          <w:color w:val="auto"/>
          <w:szCs w:val="21"/>
        </w:rPr>
        <w:t>承包人应保证其履约担保在发包人竣工验收前一直有效，发包人应在竣工验收合格后</w:t>
      </w:r>
      <w:r>
        <w:rPr>
          <w:rFonts w:ascii="宋体" w:hAnsi="宋体"/>
          <w:color w:val="auto"/>
          <w:szCs w:val="21"/>
        </w:rPr>
        <w:t>7</w:t>
      </w:r>
      <w:r>
        <w:rPr>
          <w:rFonts w:hint="eastAsia" w:ascii="宋体" w:hAnsi="宋体"/>
          <w:color w:val="auto"/>
          <w:szCs w:val="21"/>
        </w:rPr>
        <w:t>天内将履约担保款项退还给承包人或者解除履约担保。</w:t>
      </w:r>
    </w:p>
    <w:p w14:paraId="4EE1E5B5">
      <w:pPr>
        <w:spacing w:line="360" w:lineRule="auto"/>
        <w:ind w:firstLine="420" w:firstLineChars="200"/>
        <w:rPr>
          <w:rFonts w:ascii="宋体" w:hAnsi="宋体"/>
          <w:color w:val="auto"/>
          <w:szCs w:val="21"/>
        </w:rPr>
      </w:pPr>
      <w:r>
        <w:rPr>
          <w:rFonts w:hint="eastAsia" w:ascii="宋体" w:hAnsi="宋体"/>
          <w:color w:val="auto"/>
          <w:szCs w:val="21"/>
        </w:rPr>
        <w:t>因承包人原因导致工期延长的，继续提供履约担保所增加的费用由承包人承担；非因承包人原因导致工期延长的，继续提供履约担保所增加的费用由发包人承担。</w:t>
      </w:r>
    </w:p>
    <w:bookmarkEnd w:id="1203"/>
    <w:bookmarkEnd w:id="1207"/>
    <w:p w14:paraId="07158F93">
      <w:pPr>
        <w:pStyle w:val="4"/>
        <w:spacing w:before="120" w:line="360" w:lineRule="auto"/>
        <w:rPr>
          <w:color w:val="auto"/>
        </w:rPr>
      </w:pPr>
      <w:bookmarkStart w:id="1208" w:name="_Toc54862214"/>
      <w:bookmarkStart w:id="1209" w:name="_Ref532689105"/>
      <w:bookmarkStart w:id="1210" w:name="_Ref532689108"/>
      <w:bookmarkStart w:id="1211" w:name="_Toc154063530"/>
      <w:r>
        <w:rPr>
          <w:rFonts w:hint="eastAsia"/>
          <w:color w:val="auto"/>
        </w:rPr>
        <w:t>4</w:t>
      </w:r>
      <w:r>
        <w:rPr>
          <w:color w:val="auto"/>
        </w:rPr>
        <w:t xml:space="preserve">.3 </w:t>
      </w:r>
      <w:r>
        <w:rPr>
          <w:rFonts w:hint="eastAsia"/>
          <w:color w:val="auto"/>
        </w:rPr>
        <w:t>工程总承包项目经理</w:t>
      </w:r>
      <w:bookmarkEnd w:id="1208"/>
      <w:bookmarkEnd w:id="1209"/>
      <w:bookmarkEnd w:id="1210"/>
      <w:bookmarkEnd w:id="1211"/>
    </w:p>
    <w:p w14:paraId="4F4D8A17">
      <w:pPr>
        <w:pStyle w:val="130"/>
        <w:numPr>
          <w:ilvl w:val="0"/>
          <w:numId w:val="0"/>
        </w:numPr>
        <w:ind w:firstLine="420" w:firstLineChars="200"/>
        <w:rPr>
          <w:color w:val="auto"/>
          <w:sz w:val="21"/>
        </w:rPr>
      </w:pPr>
      <w:bookmarkStart w:id="1212" w:name="_Ref532351726"/>
      <w:r>
        <w:rPr>
          <w:rFonts w:hint="eastAsia"/>
          <w:color w:val="auto"/>
          <w:sz w:val="21"/>
        </w:rPr>
        <w:t>4</w:t>
      </w:r>
      <w:r>
        <w:rPr>
          <w:color w:val="auto"/>
          <w:sz w:val="21"/>
        </w:rPr>
        <w:t xml:space="preserve">.3.1 </w:t>
      </w:r>
      <w:r>
        <w:rPr>
          <w:rFonts w:hint="eastAsia"/>
          <w:color w:val="auto"/>
          <w:sz w:val="21"/>
        </w:rPr>
        <w:t>工程总承包项目经理应为合同当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包人承担。同时，发包人有权根据专用合同条件约定要求承包人承担违约责任。</w:t>
      </w:r>
      <w:bookmarkEnd w:id="1212"/>
    </w:p>
    <w:p w14:paraId="03DA1D1D">
      <w:pPr>
        <w:pStyle w:val="130"/>
        <w:numPr>
          <w:ilvl w:val="0"/>
          <w:numId w:val="0"/>
        </w:numPr>
        <w:ind w:firstLine="420" w:firstLineChars="200"/>
        <w:rPr>
          <w:color w:val="auto"/>
          <w:sz w:val="21"/>
        </w:rPr>
      </w:pPr>
      <w:bookmarkStart w:id="1213" w:name="_Ref532689263"/>
      <w:r>
        <w:rPr>
          <w:rFonts w:hint="eastAsia"/>
          <w:color w:val="auto"/>
          <w:sz w:val="21"/>
        </w:rPr>
        <w:t>4</w:t>
      </w:r>
      <w:r>
        <w:rPr>
          <w:color w:val="auto"/>
          <w:sz w:val="21"/>
        </w:rPr>
        <w:t xml:space="preserve">.3.2 </w:t>
      </w:r>
      <w:r>
        <w:rPr>
          <w:rFonts w:hint="eastAsia"/>
          <w:color w:val="auto"/>
          <w:sz w:val="21"/>
        </w:rPr>
        <w:t>承包人应按合同协议书的约定指派工程总承包项目经理，并在约定的期限内到职。工程总承包项目经理不得同时担任其他工程项目的工程总承包项目经理或施工工程总承包项目经理（含施工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按照专用合同条件的约定承担违约责任。工程总承包项目经理的通知中应当载明临时代行其职责的人员的注册执业资格、管理经验等资料，该人员应具备履行相应职责的资格、经验和能力。</w:t>
      </w:r>
      <w:bookmarkEnd w:id="1213"/>
    </w:p>
    <w:p w14:paraId="3302DA01">
      <w:pPr>
        <w:pStyle w:val="130"/>
        <w:numPr>
          <w:ilvl w:val="0"/>
          <w:numId w:val="0"/>
        </w:numPr>
        <w:ind w:firstLine="420" w:firstLineChars="200"/>
        <w:rPr>
          <w:color w:val="auto"/>
          <w:sz w:val="21"/>
        </w:rPr>
      </w:pPr>
      <w:bookmarkStart w:id="1214" w:name="_Ref532689178"/>
      <w:bookmarkStart w:id="1215" w:name="_Ref531952112"/>
      <w:r>
        <w:rPr>
          <w:rFonts w:hint="eastAsia"/>
          <w:color w:val="auto"/>
          <w:sz w:val="21"/>
        </w:rPr>
        <w:t>4</w:t>
      </w:r>
      <w:r>
        <w:rPr>
          <w:color w:val="auto"/>
          <w:sz w:val="21"/>
        </w:rPr>
        <w:t xml:space="preserve">.3.3 </w:t>
      </w:r>
      <w:r>
        <w:rPr>
          <w:rFonts w:hint="eastAsia"/>
          <w:color w:val="auto"/>
          <w:sz w:val="21"/>
        </w:rPr>
        <w:t>承包人应根据本合同的约定授予工程总承包项目经理代表承包人履行合同所需的权利，工程总承包项目经理权限以专用合同条件中约定的权限为准。经承包人授权后，工程总承包项目经理应按合同约定以及工程师按第</w:t>
      </w:r>
      <w:r>
        <w:rPr>
          <w:color w:val="auto"/>
          <w:sz w:val="21"/>
        </w:rPr>
        <w:t>3.5</w:t>
      </w:r>
      <w:r>
        <w:rPr>
          <w:rFonts w:hint="eastAsia"/>
          <w:color w:val="auto"/>
          <w:sz w:val="21"/>
        </w:rPr>
        <w:t>款[指示]作出的指示，代表承包人负责组织合同的实施。在紧急情况下，且无法与发包人和工程师取得联系时，工程总承包项目经理有权采取必要的措施保证人身、工程和财产的安全，但须在事后48小时内向工程师送交书面报告。</w:t>
      </w:r>
      <w:bookmarkEnd w:id="1214"/>
    </w:p>
    <w:bookmarkEnd w:id="1215"/>
    <w:p w14:paraId="77B2B090">
      <w:pPr>
        <w:pStyle w:val="130"/>
        <w:numPr>
          <w:ilvl w:val="0"/>
          <w:numId w:val="0"/>
        </w:numPr>
        <w:ind w:firstLine="420" w:firstLineChars="200"/>
        <w:rPr>
          <w:color w:val="auto"/>
          <w:sz w:val="21"/>
        </w:rPr>
      </w:pPr>
      <w:bookmarkStart w:id="1216" w:name="_Ref4426412"/>
      <w:r>
        <w:rPr>
          <w:rFonts w:hint="eastAsia"/>
          <w:color w:val="auto"/>
          <w:sz w:val="21"/>
        </w:rPr>
        <w:t>4</w:t>
      </w:r>
      <w:r>
        <w:rPr>
          <w:color w:val="auto"/>
          <w:sz w:val="21"/>
        </w:rPr>
        <w:t xml:space="preserve">.3.4 </w:t>
      </w:r>
      <w:r>
        <w:rPr>
          <w:rFonts w:hint="eastAsia"/>
          <w:color w:val="auto"/>
          <w:sz w:val="21"/>
        </w:rPr>
        <w:t>承包人需要更换工程总承包项目经理的，应提前14天书面通知发包人并抄送工程师，征得发包人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w:t>
      </w:r>
      <w:bookmarkStart w:id="1217" w:name="_Hlk55056591"/>
      <w:r>
        <w:rPr>
          <w:rFonts w:hint="eastAsia"/>
          <w:color w:val="auto"/>
          <w:sz w:val="21"/>
        </w:rPr>
        <w:t>应按照专用合同条件的约定承担违约责任。</w:t>
      </w:r>
      <w:bookmarkEnd w:id="1216"/>
      <w:bookmarkEnd w:id="1217"/>
    </w:p>
    <w:p w14:paraId="14750765">
      <w:pPr>
        <w:pStyle w:val="130"/>
        <w:numPr>
          <w:ilvl w:val="0"/>
          <w:numId w:val="0"/>
        </w:numPr>
        <w:ind w:firstLine="420" w:firstLineChars="200"/>
        <w:rPr>
          <w:color w:val="auto"/>
          <w:sz w:val="21"/>
        </w:rPr>
      </w:pPr>
      <w:bookmarkStart w:id="1218" w:name="_Ref531952137"/>
      <w:r>
        <w:rPr>
          <w:rFonts w:hint="eastAsia"/>
          <w:color w:val="auto"/>
          <w:sz w:val="21"/>
        </w:rPr>
        <w:t>4</w:t>
      </w:r>
      <w:r>
        <w:rPr>
          <w:color w:val="auto"/>
          <w:sz w:val="21"/>
        </w:rPr>
        <w:t xml:space="preserve">.3.5 </w:t>
      </w:r>
      <w:r>
        <w:rPr>
          <w:rFonts w:hint="eastAsia"/>
          <w:color w:val="auto"/>
          <w:sz w:val="21"/>
        </w:rPr>
        <w:t>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w:t>
      </w:r>
      <w:r>
        <w:rPr>
          <w:color w:val="auto"/>
          <w:sz w:val="21"/>
        </w:rPr>
        <w:t>28天内更换项目经理。</w:t>
      </w:r>
      <w:r>
        <w:rPr>
          <w:rFonts w:hint="eastAsia"/>
          <w:color w:val="auto"/>
          <w:sz w:val="21"/>
        </w:rPr>
        <w:t>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bookmarkEnd w:id="1218"/>
    </w:p>
    <w:p w14:paraId="322CA114">
      <w:pPr>
        <w:pStyle w:val="130"/>
        <w:numPr>
          <w:ilvl w:val="0"/>
          <w:numId w:val="0"/>
        </w:numPr>
        <w:ind w:firstLine="420" w:firstLineChars="200"/>
        <w:rPr>
          <w:color w:val="auto"/>
          <w:sz w:val="21"/>
        </w:rPr>
      </w:pPr>
      <w:bookmarkStart w:id="1219" w:name="_Ref122620"/>
      <w:r>
        <w:rPr>
          <w:rFonts w:hint="eastAsia"/>
          <w:color w:val="auto"/>
          <w:sz w:val="21"/>
        </w:rPr>
        <w:t>4</w:t>
      </w:r>
      <w:r>
        <w:rPr>
          <w:color w:val="auto"/>
          <w:sz w:val="21"/>
        </w:rPr>
        <w:t xml:space="preserve">.3.6 </w:t>
      </w:r>
      <w:r>
        <w:rPr>
          <w:rFonts w:hint="eastAsia"/>
          <w:color w:val="auto"/>
          <w:sz w:val="21"/>
        </w:rPr>
        <w:t>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bookmarkEnd w:id="1219"/>
    </w:p>
    <w:p w14:paraId="5F54EAB6">
      <w:pPr>
        <w:pStyle w:val="4"/>
        <w:spacing w:before="120" w:line="360" w:lineRule="auto"/>
        <w:rPr>
          <w:color w:val="auto"/>
        </w:rPr>
      </w:pPr>
      <w:bookmarkStart w:id="1220" w:name="_Toc54862215"/>
      <w:bookmarkStart w:id="1221" w:name="_Ref531952172"/>
      <w:bookmarkStart w:id="1222" w:name="_Toc154063531"/>
      <w:bookmarkStart w:id="1223" w:name="_Ref531952175"/>
      <w:r>
        <w:rPr>
          <w:rFonts w:hint="eastAsia"/>
          <w:color w:val="auto"/>
        </w:rPr>
        <w:t>4</w:t>
      </w:r>
      <w:r>
        <w:rPr>
          <w:color w:val="auto"/>
        </w:rPr>
        <w:t xml:space="preserve">.4 </w:t>
      </w:r>
      <w:r>
        <w:rPr>
          <w:rFonts w:hint="eastAsia"/>
          <w:color w:val="auto"/>
        </w:rPr>
        <w:t>承包人人员</w:t>
      </w:r>
      <w:bookmarkEnd w:id="1220"/>
      <w:bookmarkEnd w:id="1221"/>
      <w:bookmarkEnd w:id="1222"/>
      <w:bookmarkEnd w:id="1223"/>
    </w:p>
    <w:p w14:paraId="42A47840">
      <w:pPr>
        <w:pStyle w:val="130"/>
        <w:numPr>
          <w:ilvl w:val="0"/>
          <w:numId w:val="0"/>
        </w:numPr>
        <w:ind w:firstLine="420" w:firstLineChars="200"/>
        <w:rPr>
          <w:color w:val="auto"/>
          <w:sz w:val="21"/>
        </w:rPr>
      </w:pPr>
      <w:bookmarkStart w:id="1224" w:name="_Ref531952185"/>
      <w:r>
        <w:rPr>
          <w:rFonts w:hint="eastAsia"/>
          <w:color w:val="auto"/>
          <w:sz w:val="21"/>
        </w:rPr>
        <w:t>4</w:t>
      </w:r>
      <w:r>
        <w:rPr>
          <w:color w:val="auto"/>
          <w:sz w:val="21"/>
        </w:rPr>
        <w:t xml:space="preserve">.4.1 </w:t>
      </w:r>
      <w:r>
        <w:rPr>
          <w:rFonts w:hint="eastAsia"/>
          <w:color w:val="auto"/>
          <w:sz w:val="21"/>
        </w:rPr>
        <w:t>人员安排</w:t>
      </w:r>
      <w:bookmarkEnd w:id="1224"/>
    </w:p>
    <w:p w14:paraId="1E451B81">
      <w:pPr>
        <w:spacing w:line="360" w:lineRule="auto"/>
        <w:ind w:firstLine="420" w:firstLineChars="200"/>
        <w:rPr>
          <w:rFonts w:ascii="宋体" w:hAnsi="宋体"/>
          <w:color w:val="auto"/>
          <w:szCs w:val="21"/>
        </w:rPr>
      </w:pPr>
      <w:r>
        <w:rPr>
          <w:rFonts w:hint="eastAsia" w:ascii="宋体" w:hAnsi="宋体"/>
          <w:color w:val="auto"/>
          <w:szCs w:val="21"/>
        </w:rPr>
        <w:t>承包人人员的资质、数量、配置和管理应能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p>
    <w:p w14:paraId="3F5AC533">
      <w:pPr>
        <w:spacing w:line="360" w:lineRule="auto"/>
        <w:ind w:firstLine="420" w:firstLineChars="200"/>
        <w:rPr>
          <w:rFonts w:ascii="宋体" w:hAnsi="宋体"/>
          <w:color w:val="auto"/>
          <w:szCs w:val="21"/>
        </w:rPr>
      </w:pPr>
      <w:r>
        <w:rPr>
          <w:rFonts w:hint="eastAsia" w:ascii="宋体" w:hAnsi="宋体"/>
          <w:color w:val="auto"/>
          <w:szCs w:val="21"/>
        </w:rPr>
        <w:t>关键人员</w:t>
      </w:r>
      <w:bookmarkStart w:id="1225" w:name="_Hlk16210335"/>
      <w:r>
        <w:rPr>
          <w:rFonts w:hint="eastAsia" w:ascii="宋体" w:hAnsi="宋体"/>
          <w:color w:val="auto"/>
          <w:szCs w:val="21"/>
        </w:rPr>
        <w:t>是发包人及承包人一致认为对工程建设起重要作用的承包人主要管理人员或技术人员。关键人员的具体范围由发包人及承包人在附件</w:t>
      </w:r>
      <w:r>
        <w:rPr>
          <w:rFonts w:ascii="宋体" w:hAnsi="宋体"/>
          <w:color w:val="auto"/>
          <w:szCs w:val="21"/>
        </w:rPr>
        <w:t>5[承包人主要管理人员表]</w:t>
      </w:r>
      <w:r>
        <w:rPr>
          <w:rFonts w:hint="eastAsia" w:ascii="宋体" w:hAnsi="宋体"/>
          <w:color w:val="auto"/>
          <w:szCs w:val="21"/>
        </w:rPr>
        <w:t>中另行约定。</w:t>
      </w:r>
    </w:p>
    <w:bookmarkEnd w:id="1225"/>
    <w:p w14:paraId="44F630C2">
      <w:pPr>
        <w:pStyle w:val="130"/>
        <w:numPr>
          <w:ilvl w:val="0"/>
          <w:numId w:val="0"/>
        </w:numPr>
        <w:ind w:firstLine="420" w:firstLineChars="200"/>
        <w:rPr>
          <w:color w:val="auto"/>
          <w:sz w:val="21"/>
        </w:rPr>
      </w:pPr>
      <w:bookmarkStart w:id="1226" w:name="_Ref531952211"/>
      <w:bookmarkStart w:id="1227" w:name="_Ref4426641"/>
      <w:r>
        <w:rPr>
          <w:rFonts w:hint="eastAsia"/>
          <w:color w:val="auto"/>
          <w:sz w:val="21"/>
        </w:rPr>
        <w:t>4</w:t>
      </w:r>
      <w:r>
        <w:rPr>
          <w:color w:val="auto"/>
          <w:sz w:val="21"/>
        </w:rPr>
        <w:t xml:space="preserve">.4.2 </w:t>
      </w:r>
      <w:r>
        <w:rPr>
          <w:rFonts w:hint="eastAsia"/>
          <w:color w:val="auto"/>
          <w:sz w:val="21"/>
        </w:rPr>
        <w:t>关键人员更换</w:t>
      </w:r>
      <w:bookmarkEnd w:id="1226"/>
      <w:bookmarkEnd w:id="1227"/>
    </w:p>
    <w:p w14:paraId="4549C51E">
      <w:pPr>
        <w:spacing w:line="360" w:lineRule="auto"/>
        <w:ind w:firstLine="420" w:firstLineChars="200"/>
        <w:rPr>
          <w:rFonts w:ascii="宋体" w:hAnsi="宋体"/>
          <w:color w:val="auto"/>
          <w:szCs w:val="21"/>
        </w:rPr>
      </w:pPr>
      <w:r>
        <w:rPr>
          <w:rFonts w:hint="eastAsia" w:ascii="宋体" w:hAnsi="宋体"/>
          <w:color w:val="auto"/>
          <w:szCs w:val="21"/>
        </w:rPr>
        <w:t>承包人派驻到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该关键人员职位，履行该关键人员职责，临时继任关键人员将履行职责直至发包人同意新的关键人员任命之日止。承包人擅自更换关键人员，应按照专用合同条件约定承担违约责任。</w:t>
      </w:r>
    </w:p>
    <w:p w14:paraId="7ABC9BD2">
      <w:pPr>
        <w:spacing w:line="360" w:lineRule="auto"/>
        <w:ind w:firstLine="420" w:firstLineChars="200"/>
        <w:rPr>
          <w:rFonts w:ascii="宋体" w:hAnsi="宋体"/>
          <w:color w:val="auto"/>
          <w:szCs w:val="21"/>
        </w:rPr>
      </w:pPr>
      <w:r>
        <w:rPr>
          <w:rFonts w:hint="eastAsia" w:ascii="宋体" w:hAnsi="宋体"/>
          <w:color w:val="auto"/>
          <w:szCs w:val="21"/>
        </w:rPr>
        <w:t>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p>
    <w:p w14:paraId="2BA4EA2C">
      <w:pPr>
        <w:pStyle w:val="130"/>
        <w:numPr>
          <w:ilvl w:val="0"/>
          <w:numId w:val="0"/>
        </w:numPr>
        <w:ind w:firstLine="420" w:firstLineChars="200"/>
        <w:rPr>
          <w:color w:val="auto"/>
          <w:sz w:val="21"/>
        </w:rPr>
      </w:pPr>
      <w:bookmarkStart w:id="1228" w:name="_Ref531952227"/>
      <w:r>
        <w:rPr>
          <w:rFonts w:hint="eastAsia"/>
          <w:color w:val="auto"/>
          <w:sz w:val="21"/>
        </w:rPr>
        <w:t>4</w:t>
      </w:r>
      <w:r>
        <w:rPr>
          <w:color w:val="auto"/>
          <w:sz w:val="21"/>
        </w:rPr>
        <w:t xml:space="preserve">.4.3 </w:t>
      </w:r>
      <w:r>
        <w:rPr>
          <w:rFonts w:hint="eastAsia"/>
          <w:color w:val="auto"/>
          <w:sz w:val="21"/>
        </w:rPr>
        <w:t>现场管理关键人员在岗要求</w:t>
      </w:r>
      <w:bookmarkEnd w:id="1228"/>
    </w:p>
    <w:p w14:paraId="399D9758">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p>
    <w:p w14:paraId="424B9172">
      <w:pPr>
        <w:pStyle w:val="4"/>
        <w:spacing w:before="120" w:line="360" w:lineRule="auto"/>
        <w:rPr>
          <w:color w:val="auto"/>
        </w:rPr>
      </w:pPr>
      <w:bookmarkStart w:id="1229" w:name="_Toc54862216"/>
      <w:bookmarkStart w:id="1230" w:name="_Ref531952259"/>
      <w:bookmarkStart w:id="1231" w:name="_Toc154063532"/>
      <w:bookmarkStart w:id="1232" w:name="_Ref531952262"/>
      <w:r>
        <w:rPr>
          <w:rFonts w:hint="eastAsia"/>
          <w:color w:val="auto"/>
        </w:rPr>
        <w:t>4</w:t>
      </w:r>
      <w:r>
        <w:rPr>
          <w:color w:val="auto"/>
        </w:rPr>
        <w:t xml:space="preserve">.5 </w:t>
      </w:r>
      <w:r>
        <w:rPr>
          <w:rFonts w:hint="eastAsia"/>
          <w:color w:val="auto"/>
        </w:rPr>
        <w:t>分包</w:t>
      </w:r>
      <w:bookmarkEnd w:id="1229"/>
      <w:bookmarkEnd w:id="1230"/>
      <w:bookmarkEnd w:id="1231"/>
      <w:bookmarkEnd w:id="1232"/>
      <w:r>
        <w:rPr>
          <w:rFonts w:hint="eastAsia"/>
          <w:color w:val="auto"/>
        </w:rPr>
        <w:t xml:space="preserve"> </w:t>
      </w:r>
    </w:p>
    <w:p w14:paraId="22EA5BB0">
      <w:pPr>
        <w:pStyle w:val="130"/>
        <w:numPr>
          <w:ilvl w:val="0"/>
          <w:numId w:val="0"/>
        </w:numPr>
        <w:ind w:firstLine="420" w:firstLineChars="200"/>
        <w:rPr>
          <w:color w:val="auto"/>
          <w:sz w:val="21"/>
        </w:rPr>
      </w:pPr>
      <w:bookmarkStart w:id="1233" w:name="_Ref531952273"/>
      <w:r>
        <w:rPr>
          <w:rFonts w:hint="eastAsia"/>
          <w:color w:val="auto"/>
          <w:sz w:val="21"/>
        </w:rPr>
        <w:t>4</w:t>
      </w:r>
      <w:r>
        <w:rPr>
          <w:color w:val="auto"/>
          <w:sz w:val="21"/>
        </w:rPr>
        <w:t xml:space="preserve">.5.1 </w:t>
      </w:r>
      <w:r>
        <w:rPr>
          <w:rFonts w:hint="eastAsia"/>
          <w:color w:val="auto"/>
          <w:sz w:val="21"/>
        </w:rPr>
        <w:t>一般约定</w:t>
      </w:r>
      <w:bookmarkEnd w:id="1233"/>
    </w:p>
    <w:p w14:paraId="18046AD2">
      <w:pPr>
        <w:spacing w:line="360" w:lineRule="auto"/>
        <w:ind w:firstLine="420" w:firstLineChars="200"/>
        <w:rPr>
          <w:rFonts w:ascii="宋体" w:hAnsi="宋体"/>
          <w:color w:val="auto"/>
          <w:szCs w:val="21"/>
        </w:rPr>
      </w:pPr>
      <w:r>
        <w:rPr>
          <w:rFonts w:hint="eastAsia" w:ascii="宋体" w:hAnsi="宋体"/>
          <w:color w:val="auto"/>
          <w:szCs w:val="21"/>
        </w:rPr>
        <w:t>承包人不得将其承包的全部工程转包给第三人，或将其承包的全部工程支解后以分包的名义转包给第三人。承包人不得将法律或专用合同条件中禁止分包的工作事项分包给第三人，不得以劳务分包的名义转包或违法分包工程。</w:t>
      </w:r>
    </w:p>
    <w:p w14:paraId="617E4895">
      <w:pPr>
        <w:pStyle w:val="130"/>
        <w:numPr>
          <w:ilvl w:val="0"/>
          <w:numId w:val="0"/>
        </w:numPr>
        <w:ind w:firstLine="420" w:firstLineChars="200"/>
        <w:rPr>
          <w:color w:val="auto"/>
          <w:sz w:val="21"/>
        </w:rPr>
      </w:pPr>
      <w:bookmarkStart w:id="1234" w:name="_Ref531952286"/>
      <w:r>
        <w:rPr>
          <w:rFonts w:hint="eastAsia"/>
          <w:color w:val="auto"/>
          <w:sz w:val="21"/>
        </w:rPr>
        <w:t>4</w:t>
      </w:r>
      <w:r>
        <w:rPr>
          <w:color w:val="auto"/>
          <w:sz w:val="21"/>
        </w:rPr>
        <w:t xml:space="preserve">.5.2 </w:t>
      </w:r>
      <w:r>
        <w:rPr>
          <w:rFonts w:hint="eastAsia"/>
          <w:color w:val="auto"/>
          <w:sz w:val="21"/>
        </w:rPr>
        <w:t>分包的确定</w:t>
      </w:r>
      <w:bookmarkEnd w:id="1234"/>
    </w:p>
    <w:p w14:paraId="5D765F95">
      <w:pPr>
        <w:spacing w:line="360" w:lineRule="auto"/>
        <w:ind w:firstLine="420" w:firstLineChars="200"/>
        <w:rPr>
          <w:rFonts w:ascii="宋体" w:hAnsi="宋体"/>
          <w:color w:val="auto"/>
          <w:szCs w:val="21"/>
        </w:rPr>
      </w:pPr>
      <w:r>
        <w:rPr>
          <w:rFonts w:hint="eastAsia" w:ascii="宋体" w:hAnsi="宋体"/>
          <w:color w:val="auto"/>
          <w:szCs w:val="21"/>
        </w:rPr>
        <w:t>承包人应按照专用合同条件约定对工作事项进行分包，确定分包人。</w:t>
      </w:r>
    </w:p>
    <w:p w14:paraId="71108BA4">
      <w:pPr>
        <w:spacing w:line="360" w:lineRule="auto"/>
        <w:ind w:firstLine="420" w:firstLineChars="200"/>
        <w:rPr>
          <w:rFonts w:ascii="宋体" w:hAnsi="宋体"/>
          <w:color w:val="auto"/>
          <w:szCs w:val="21"/>
        </w:rPr>
      </w:pPr>
      <w:r>
        <w:rPr>
          <w:rFonts w:hint="eastAsia" w:ascii="宋体" w:hAnsi="宋体"/>
          <w:color w:val="auto"/>
          <w:szCs w:val="21"/>
        </w:rPr>
        <w:t>专用合同条件未列出的分包事项，承包人可在工程实施阶段分批分期就分包事项向发包人提交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p>
    <w:p w14:paraId="212669A9">
      <w:pPr>
        <w:pStyle w:val="130"/>
        <w:numPr>
          <w:ilvl w:val="0"/>
          <w:numId w:val="0"/>
        </w:numPr>
        <w:ind w:firstLine="420" w:firstLineChars="200"/>
        <w:rPr>
          <w:color w:val="auto"/>
          <w:sz w:val="21"/>
        </w:rPr>
      </w:pPr>
      <w:r>
        <w:rPr>
          <w:rFonts w:hint="eastAsia"/>
          <w:color w:val="auto"/>
          <w:sz w:val="21"/>
        </w:rPr>
        <w:t>4</w:t>
      </w:r>
      <w:r>
        <w:rPr>
          <w:color w:val="auto"/>
          <w:sz w:val="21"/>
        </w:rPr>
        <w:t xml:space="preserve">.5.3 </w:t>
      </w:r>
      <w:r>
        <w:rPr>
          <w:rFonts w:hint="eastAsia"/>
          <w:color w:val="auto"/>
          <w:sz w:val="21"/>
        </w:rPr>
        <w:t>分包人资质</w:t>
      </w:r>
    </w:p>
    <w:p w14:paraId="328DCA4A">
      <w:pPr>
        <w:spacing w:line="360" w:lineRule="auto"/>
        <w:ind w:firstLine="420" w:firstLineChars="200"/>
        <w:rPr>
          <w:rFonts w:ascii="宋体" w:hAnsi="宋体"/>
          <w:color w:val="auto"/>
          <w:szCs w:val="21"/>
        </w:rPr>
      </w:pPr>
      <w:r>
        <w:rPr>
          <w:rFonts w:hint="eastAsia" w:ascii="宋体" w:hAnsi="宋体"/>
          <w:color w:val="auto"/>
          <w:szCs w:val="21"/>
        </w:rPr>
        <w:t>分包人应符合国家法律规定的资质等级，否则不能作为分包人。承包人有义务对分包人的资质进行审查。</w:t>
      </w:r>
    </w:p>
    <w:p w14:paraId="0D98C09E">
      <w:pPr>
        <w:pStyle w:val="130"/>
        <w:numPr>
          <w:ilvl w:val="0"/>
          <w:numId w:val="0"/>
        </w:numPr>
        <w:ind w:firstLine="420" w:firstLineChars="200"/>
        <w:rPr>
          <w:color w:val="auto"/>
          <w:sz w:val="21"/>
        </w:rPr>
      </w:pPr>
      <w:r>
        <w:rPr>
          <w:rFonts w:hint="eastAsia"/>
          <w:color w:val="auto"/>
          <w:sz w:val="21"/>
        </w:rPr>
        <w:t>4</w:t>
      </w:r>
      <w:r>
        <w:rPr>
          <w:color w:val="auto"/>
          <w:sz w:val="21"/>
        </w:rPr>
        <w:t xml:space="preserve">.5.4 </w:t>
      </w:r>
      <w:r>
        <w:rPr>
          <w:rFonts w:hint="eastAsia"/>
          <w:color w:val="auto"/>
          <w:sz w:val="21"/>
        </w:rPr>
        <w:t>分包管理</w:t>
      </w:r>
    </w:p>
    <w:p w14:paraId="64D6754F">
      <w:pPr>
        <w:spacing w:line="360" w:lineRule="auto"/>
        <w:ind w:firstLine="420" w:firstLineChars="200"/>
        <w:rPr>
          <w:rFonts w:ascii="宋体" w:hAnsi="宋体"/>
          <w:color w:val="auto"/>
          <w:szCs w:val="21"/>
        </w:rPr>
      </w:pPr>
      <w:r>
        <w:rPr>
          <w:rFonts w:hint="eastAsia" w:ascii="宋体" w:hAnsi="宋体"/>
          <w:color w:val="auto"/>
          <w:szCs w:val="21"/>
        </w:rPr>
        <w:t>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p>
    <w:p w14:paraId="135A3EEE">
      <w:pPr>
        <w:pStyle w:val="130"/>
        <w:numPr>
          <w:ilvl w:val="0"/>
          <w:numId w:val="0"/>
        </w:numPr>
        <w:ind w:firstLine="420" w:firstLineChars="200"/>
        <w:rPr>
          <w:color w:val="auto"/>
          <w:sz w:val="21"/>
        </w:rPr>
      </w:pPr>
      <w:bookmarkStart w:id="1235" w:name="_Ref531952298"/>
      <w:r>
        <w:rPr>
          <w:rFonts w:hint="eastAsia"/>
          <w:color w:val="auto"/>
          <w:sz w:val="21"/>
        </w:rPr>
        <w:t>4</w:t>
      </w:r>
      <w:r>
        <w:rPr>
          <w:color w:val="auto"/>
          <w:sz w:val="21"/>
        </w:rPr>
        <w:t xml:space="preserve">.5.5 </w:t>
      </w:r>
      <w:r>
        <w:rPr>
          <w:rFonts w:hint="eastAsia"/>
          <w:color w:val="auto"/>
          <w:sz w:val="21"/>
        </w:rPr>
        <w:t>分包合同价款支付</w:t>
      </w:r>
      <w:bookmarkEnd w:id="1235"/>
    </w:p>
    <w:p w14:paraId="560056FB">
      <w:pPr>
        <w:spacing w:line="360" w:lineRule="auto"/>
        <w:ind w:firstLine="420" w:firstLineChars="200"/>
        <w:rPr>
          <w:rFonts w:hint="eastAsia" w:ascii="宋体" w:hAnsi="宋体"/>
          <w:color w:val="auto"/>
          <w:szCs w:val="21"/>
        </w:rPr>
      </w:pPr>
      <w:r>
        <w:rPr>
          <w:rFonts w:hint="eastAsia" w:ascii="宋体" w:hAnsi="宋体"/>
          <w:color w:val="auto"/>
          <w:szCs w:val="21"/>
        </w:rPr>
        <w:t>（1）除本项第（2）目约定的情况或专用合同条件另有约定外，分包合同价款由承包人与分包人结算，未经承包人同意，发包人不得向分包人支付分包合同价款；</w:t>
      </w:r>
      <w:bookmarkStart w:id="1236" w:name="_Ref4613798"/>
    </w:p>
    <w:p w14:paraId="52ADBF1F">
      <w:pPr>
        <w:spacing w:line="360" w:lineRule="auto"/>
        <w:ind w:firstLine="420" w:firstLineChars="200"/>
        <w:rPr>
          <w:rFonts w:ascii="宋体" w:hAnsi="宋体"/>
          <w:color w:val="auto"/>
          <w:szCs w:val="21"/>
        </w:rPr>
      </w:pPr>
      <w:r>
        <w:rPr>
          <w:rFonts w:hint="eastAsia" w:ascii="宋体" w:hAnsi="宋体"/>
          <w:color w:val="auto"/>
          <w:szCs w:val="21"/>
        </w:rPr>
        <w:t>（2）生效法律文书要求发包人向分包人支付分包合同价款的，发包人有权从应付承包人工程款中扣除该部分款项</w:t>
      </w:r>
      <w:bookmarkEnd w:id="1236"/>
      <w:r>
        <w:rPr>
          <w:rFonts w:hint="eastAsia" w:ascii="宋体" w:hAnsi="宋体"/>
          <w:color w:val="auto"/>
          <w:szCs w:val="21"/>
        </w:rPr>
        <w:t>，将扣款直接支付给分包人，并书面通知承包人。</w:t>
      </w:r>
    </w:p>
    <w:p w14:paraId="5A31BC33">
      <w:pPr>
        <w:pStyle w:val="130"/>
        <w:numPr>
          <w:ilvl w:val="0"/>
          <w:numId w:val="0"/>
        </w:numPr>
        <w:ind w:firstLine="420" w:firstLineChars="200"/>
        <w:rPr>
          <w:color w:val="auto"/>
          <w:sz w:val="21"/>
        </w:rPr>
      </w:pPr>
      <w:r>
        <w:rPr>
          <w:rFonts w:hint="eastAsia"/>
          <w:color w:val="auto"/>
          <w:sz w:val="21"/>
        </w:rPr>
        <w:t>4</w:t>
      </w:r>
      <w:r>
        <w:rPr>
          <w:color w:val="auto"/>
          <w:sz w:val="21"/>
        </w:rPr>
        <w:t xml:space="preserve">.5.6 </w:t>
      </w:r>
      <w:r>
        <w:rPr>
          <w:rFonts w:hint="eastAsia"/>
          <w:color w:val="auto"/>
          <w:sz w:val="21"/>
        </w:rPr>
        <w:t>责任承担</w:t>
      </w:r>
    </w:p>
    <w:p w14:paraId="71AA2A71">
      <w:pPr>
        <w:spacing w:line="360" w:lineRule="auto"/>
        <w:ind w:firstLine="420" w:firstLineChars="200"/>
        <w:rPr>
          <w:rFonts w:ascii="宋体" w:hAnsi="宋体"/>
          <w:color w:val="auto"/>
          <w:szCs w:val="21"/>
        </w:rPr>
      </w:pPr>
      <w:r>
        <w:rPr>
          <w:rFonts w:hint="eastAsia" w:ascii="宋体" w:hAnsi="宋体"/>
          <w:color w:val="auto"/>
          <w:szCs w:val="21"/>
        </w:rPr>
        <w:t>承包人对分包人的行为向发包人负责，承包人和分包人就分包工作向发包人承担连带责任。</w:t>
      </w:r>
    </w:p>
    <w:p w14:paraId="2DA04A5E">
      <w:pPr>
        <w:pStyle w:val="4"/>
        <w:spacing w:before="120" w:line="360" w:lineRule="auto"/>
        <w:rPr>
          <w:color w:val="auto"/>
        </w:rPr>
      </w:pPr>
      <w:bookmarkStart w:id="1237" w:name="_Ref4426916"/>
      <w:bookmarkStart w:id="1238" w:name="_Toc54862217"/>
      <w:bookmarkStart w:id="1239" w:name="_Toc154063533"/>
      <w:bookmarkStart w:id="1240" w:name="_Ref531952321"/>
      <w:bookmarkStart w:id="1241" w:name="_Ref4768805"/>
      <w:bookmarkStart w:id="1242" w:name="_Ref531952317"/>
      <w:r>
        <w:rPr>
          <w:rFonts w:hint="eastAsia"/>
          <w:color w:val="auto"/>
        </w:rPr>
        <w:t>4</w:t>
      </w:r>
      <w:r>
        <w:rPr>
          <w:color w:val="auto"/>
        </w:rPr>
        <w:t xml:space="preserve">.6 </w:t>
      </w:r>
      <w:r>
        <w:rPr>
          <w:rFonts w:hint="eastAsia"/>
          <w:color w:val="auto"/>
        </w:rPr>
        <w:t>联合体</w:t>
      </w:r>
      <w:bookmarkEnd w:id="1237"/>
      <w:bookmarkEnd w:id="1238"/>
      <w:bookmarkEnd w:id="1239"/>
    </w:p>
    <w:p w14:paraId="53402AA3">
      <w:pPr>
        <w:pStyle w:val="130"/>
        <w:numPr>
          <w:ilvl w:val="0"/>
          <w:numId w:val="0"/>
        </w:numPr>
        <w:ind w:firstLine="420" w:firstLineChars="200"/>
        <w:rPr>
          <w:color w:val="auto"/>
          <w:sz w:val="21"/>
        </w:rPr>
      </w:pPr>
      <w:bookmarkStart w:id="1243" w:name="_Hlk16235129"/>
      <w:r>
        <w:rPr>
          <w:rFonts w:hint="eastAsia"/>
          <w:color w:val="auto"/>
          <w:sz w:val="21"/>
        </w:rPr>
        <w:t>4</w:t>
      </w:r>
      <w:r>
        <w:rPr>
          <w:color w:val="auto"/>
          <w:sz w:val="21"/>
        </w:rPr>
        <w:t xml:space="preserve">.6.1 </w:t>
      </w:r>
      <w:r>
        <w:rPr>
          <w:rFonts w:hint="eastAsia"/>
          <w:color w:val="auto"/>
          <w:sz w:val="21"/>
        </w:rPr>
        <w:t>经发包人同意，</w:t>
      </w:r>
      <w:bookmarkEnd w:id="1243"/>
      <w:r>
        <w:rPr>
          <w:rFonts w:hint="eastAsia"/>
          <w:color w:val="auto"/>
          <w:sz w:val="21"/>
        </w:rPr>
        <w:t>以联合体方式承包工程的，联合体各方应共同与发包人订立合同协议书。联合体各方应为履行合同向发包人承担连带责任。</w:t>
      </w:r>
    </w:p>
    <w:p w14:paraId="677225F0">
      <w:pPr>
        <w:pStyle w:val="130"/>
        <w:numPr>
          <w:ilvl w:val="0"/>
          <w:numId w:val="0"/>
        </w:numPr>
        <w:ind w:firstLine="420" w:firstLineChars="200"/>
        <w:rPr>
          <w:color w:val="auto"/>
          <w:sz w:val="21"/>
        </w:rPr>
      </w:pPr>
      <w:r>
        <w:rPr>
          <w:rFonts w:hint="eastAsia"/>
          <w:color w:val="auto"/>
          <w:sz w:val="21"/>
        </w:rPr>
        <w:t>4</w:t>
      </w:r>
      <w:r>
        <w:rPr>
          <w:color w:val="auto"/>
          <w:sz w:val="21"/>
        </w:rPr>
        <w:t xml:space="preserve">.6.2 </w:t>
      </w:r>
      <w:r>
        <w:rPr>
          <w:rFonts w:hint="eastAsia"/>
          <w:color w:val="auto"/>
          <w:sz w:val="21"/>
        </w:rPr>
        <w:t>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w:t>
      </w:r>
    </w:p>
    <w:p w14:paraId="6DF165E5">
      <w:pPr>
        <w:pStyle w:val="130"/>
        <w:numPr>
          <w:ilvl w:val="0"/>
          <w:numId w:val="0"/>
        </w:numPr>
        <w:ind w:firstLine="420" w:firstLineChars="200"/>
        <w:rPr>
          <w:color w:val="auto"/>
          <w:sz w:val="21"/>
        </w:rPr>
      </w:pPr>
      <w:r>
        <w:rPr>
          <w:rFonts w:hint="eastAsia"/>
          <w:color w:val="auto"/>
          <w:sz w:val="21"/>
        </w:rPr>
        <w:t>4</w:t>
      </w:r>
      <w:r>
        <w:rPr>
          <w:color w:val="auto"/>
          <w:sz w:val="21"/>
        </w:rPr>
        <w:t xml:space="preserve">.6.3 </w:t>
      </w:r>
      <w:r>
        <w:rPr>
          <w:rFonts w:hint="eastAsia"/>
          <w:color w:val="auto"/>
          <w:sz w:val="21"/>
        </w:rPr>
        <w:t>联合体协议经发包人确认后作为合同附件。在履行合同过程中，未经发包人同意，不得变更联合体成员和其负责的工作范围，或者修改联合体协议中与本合同履行相关的内容。</w:t>
      </w:r>
    </w:p>
    <w:p w14:paraId="01513F32">
      <w:pPr>
        <w:pStyle w:val="4"/>
        <w:spacing w:before="120" w:line="360" w:lineRule="auto"/>
        <w:rPr>
          <w:color w:val="auto"/>
        </w:rPr>
      </w:pPr>
      <w:bookmarkStart w:id="1244" w:name="_Ref11926629"/>
      <w:bookmarkStart w:id="1245" w:name="_Ref11926631"/>
      <w:bookmarkStart w:id="1246" w:name="_Toc154063534"/>
      <w:bookmarkStart w:id="1247" w:name="_Toc54862218"/>
      <w:r>
        <w:rPr>
          <w:rFonts w:hint="eastAsia"/>
          <w:color w:val="auto"/>
        </w:rPr>
        <w:t>4</w:t>
      </w:r>
      <w:r>
        <w:rPr>
          <w:color w:val="auto"/>
        </w:rPr>
        <w:t xml:space="preserve">.7 </w:t>
      </w:r>
      <w:r>
        <w:rPr>
          <w:rFonts w:hint="eastAsia"/>
          <w:color w:val="auto"/>
        </w:rPr>
        <w:t>承包人现场查勘</w:t>
      </w:r>
      <w:bookmarkEnd w:id="1244"/>
      <w:bookmarkEnd w:id="1245"/>
      <w:bookmarkEnd w:id="1246"/>
      <w:bookmarkEnd w:id="1247"/>
    </w:p>
    <w:p w14:paraId="0D968D9A">
      <w:pPr>
        <w:pStyle w:val="130"/>
        <w:numPr>
          <w:ilvl w:val="0"/>
          <w:numId w:val="0"/>
        </w:numPr>
        <w:ind w:firstLine="420" w:firstLineChars="200"/>
        <w:rPr>
          <w:color w:val="auto"/>
          <w:sz w:val="21"/>
        </w:rPr>
      </w:pPr>
      <w:r>
        <w:rPr>
          <w:rFonts w:hint="eastAsia"/>
          <w:color w:val="auto"/>
          <w:sz w:val="21"/>
        </w:rPr>
        <w:t>4</w:t>
      </w:r>
      <w:r>
        <w:rPr>
          <w:color w:val="auto"/>
          <w:sz w:val="21"/>
        </w:rPr>
        <w:t xml:space="preserve">.7.1 </w:t>
      </w:r>
      <w:r>
        <w:rPr>
          <w:rFonts w:hint="eastAsia"/>
          <w:color w:val="auto"/>
          <w:sz w:val="21"/>
        </w:rPr>
        <w:t>除专用合同条件另有约定外，承包人应对基于发包人提交的基础资料所做出的解释和推断负责，因基础资料存在错误、遗漏导致承包人解释或推断失实的，按照第</w:t>
      </w:r>
      <w:r>
        <w:rPr>
          <w:color w:val="auto"/>
          <w:sz w:val="21"/>
        </w:rPr>
        <w:t>2.3</w:t>
      </w:r>
      <w:r>
        <w:rPr>
          <w:rFonts w:hint="eastAsia"/>
          <w:color w:val="auto"/>
          <w:sz w:val="21"/>
        </w:rPr>
        <w:t>项[</w:t>
      </w:r>
      <w:r>
        <w:rPr>
          <w:color w:val="auto"/>
          <w:sz w:val="21"/>
        </w:rPr>
        <w:t>提供基础资料</w:t>
      </w:r>
      <w:r>
        <w:rPr>
          <w:rFonts w:hint="eastAsia"/>
          <w:color w:val="auto"/>
          <w:sz w:val="21"/>
        </w:rPr>
        <w:t>]的规定承担责任。承包人发现基础资料中存在明显错误或疏忽的，应及时书面通知发包人。</w:t>
      </w:r>
    </w:p>
    <w:p w14:paraId="14A04E9E">
      <w:pPr>
        <w:pStyle w:val="130"/>
        <w:numPr>
          <w:ilvl w:val="0"/>
          <w:numId w:val="0"/>
        </w:numPr>
        <w:ind w:firstLine="420" w:firstLineChars="200"/>
        <w:rPr>
          <w:color w:val="auto"/>
          <w:sz w:val="21"/>
        </w:rPr>
      </w:pPr>
      <w:r>
        <w:rPr>
          <w:rFonts w:hint="eastAsia"/>
          <w:color w:val="auto"/>
          <w:sz w:val="21"/>
        </w:rPr>
        <w:t>4</w:t>
      </w:r>
      <w:r>
        <w:rPr>
          <w:color w:val="auto"/>
          <w:sz w:val="21"/>
        </w:rPr>
        <w:t xml:space="preserve">.7.2 </w:t>
      </w:r>
      <w:r>
        <w:rPr>
          <w:rFonts w:hint="eastAsia"/>
          <w:color w:val="auto"/>
          <w:sz w:val="21"/>
        </w:rPr>
        <w:t>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但属于</w:t>
      </w:r>
      <w:r>
        <w:rPr>
          <w:color w:val="auto"/>
          <w:sz w:val="21"/>
        </w:rPr>
        <w:t>4.8</w:t>
      </w:r>
      <w:r>
        <w:rPr>
          <w:rFonts w:hint="eastAsia"/>
          <w:color w:val="auto"/>
          <w:sz w:val="21"/>
        </w:rPr>
        <w:t>款</w:t>
      </w:r>
      <w:r>
        <w:rPr>
          <w:color w:val="auto"/>
          <w:sz w:val="21"/>
        </w:rPr>
        <w:t>[</w:t>
      </w:r>
      <w:r>
        <w:rPr>
          <w:rFonts w:hint="eastAsia"/>
          <w:color w:val="auto"/>
          <w:sz w:val="21"/>
        </w:rPr>
        <w:t>不可预见的困难</w:t>
      </w:r>
      <w:r>
        <w:rPr>
          <w:color w:val="auto"/>
          <w:sz w:val="21"/>
        </w:rPr>
        <w:t>]约定的情形除外</w:t>
      </w:r>
      <w:r>
        <w:rPr>
          <w:rFonts w:hint="eastAsia"/>
          <w:color w:val="auto"/>
          <w:sz w:val="21"/>
        </w:rPr>
        <w:t>。</w:t>
      </w:r>
    </w:p>
    <w:p w14:paraId="44E2E701">
      <w:pPr>
        <w:pStyle w:val="4"/>
        <w:spacing w:before="120" w:line="360" w:lineRule="auto"/>
        <w:rPr>
          <w:color w:val="auto"/>
        </w:rPr>
      </w:pPr>
      <w:bookmarkStart w:id="1248" w:name="_Toc54862219"/>
      <w:bookmarkStart w:id="1249" w:name="不可预见的困难"/>
      <w:bookmarkStart w:id="1250" w:name="_Ref11918693"/>
      <w:bookmarkStart w:id="1251" w:name="_Ref11918789"/>
      <w:bookmarkStart w:id="1252" w:name="_Toc154063535"/>
      <w:bookmarkStart w:id="1253" w:name="_Ref11918626"/>
      <w:r>
        <w:rPr>
          <w:rFonts w:hint="eastAsia"/>
          <w:color w:val="auto"/>
        </w:rPr>
        <w:t>4</w:t>
      </w:r>
      <w:r>
        <w:rPr>
          <w:color w:val="auto"/>
        </w:rPr>
        <w:t xml:space="preserve">.8 </w:t>
      </w:r>
      <w:r>
        <w:rPr>
          <w:rFonts w:hint="eastAsia"/>
          <w:color w:val="auto"/>
        </w:rPr>
        <w:t>不可预见的困难</w:t>
      </w:r>
      <w:bookmarkEnd w:id="1240"/>
      <w:bookmarkEnd w:id="1241"/>
      <w:bookmarkEnd w:id="1242"/>
      <w:bookmarkEnd w:id="1248"/>
      <w:bookmarkEnd w:id="1249"/>
      <w:bookmarkEnd w:id="1250"/>
      <w:bookmarkEnd w:id="1251"/>
      <w:bookmarkEnd w:id="1252"/>
      <w:bookmarkEnd w:id="1253"/>
      <w:r>
        <w:rPr>
          <w:color w:val="auto"/>
        </w:rPr>
        <w:t xml:space="preserve"> </w:t>
      </w:r>
    </w:p>
    <w:p w14:paraId="5025463A">
      <w:pPr>
        <w:spacing w:line="360" w:lineRule="auto"/>
        <w:ind w:firstLine="420" w:firstLineChars="200"/>
        <w:rPr>
          <w:rFonts w:ascii="宋体" w:hAnsi="宋体"/>
          <w:color w:val="auto"/>
          <w:szCs w:val="21"/>
        </w:rPr>
      </w:pPr>
      <w:r>
        <w:rPr>
          <w:rFonts w:hint="eastAsia" w:ascii="宋体" w:hAnsi="宋体"/>
          <w:color w:val="auto"/>
          <w:szCs w:val="21"/>
        </w:rPr>
        <w:t>不可预见的困难是指有经验的承包人在施工现场遇到的不可预见的自然物质条件、非自然的物质障碍和污染物，包括地表以下物质条件和水文条件以及专用合同条件约定的其他情形，但不包括气候条件。</w:t>
      </w:r>
    </w:p>
    <w:p w14:paraId="63E89CFF">
      <w:pPr>
        <w:spacing w:line="360" w:lineRule="auto"/>
        <w:ind w:firstLine="420" w:firstLineChars="200"/>
        <w:rPr>
          <w:rFonts w:ascii="宋体" w:hAnsi="宋体"/>
          <w:color w:val="auto"/>
          <w:szCs w:val="21"/>
        </w:rPr>
      </w:pPr>
      <w:r>
        <w:rPr>
          <w:rFonts w:hint="eastAsia" w:ascii="宋体" w:hAnsi="宋体"/>
          <w:color w:val="auto"/>
          <w:szCs w:val="21"/>
        </w:rPr>
        <w:t>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w:t>
      </w:r>
      <w:r>
        <w:rPr>
          <w:rFonts w:ascii="宋体" w:hAnsi="宋体"/>
          <w:color w:val="auto"/>
          <w:szCs w:val="21"/>
        </w:rPr>
        <w:t>13条</w:t>
      </w:r>
      <w:r>
        <w:rPr>
          <w:rFonts w:hint="eastAsia" w:ascii="宋体" w:hAnsi="宋体"/>
          <w:color w:val="auto"/>
          <w:szCs w:val="21"/>
        </w:rPr>
        <w:t>[变更与调整]约定执行。承包人因采取合理措施而增加的费用和（或）延误的工期由发包人承担。</w:t>
      </w:r>
    </w:p>
    <w:p w14:paraId="3BEF4B0C">
      <w:pPr>
        <w:pStyle w:val="4"/>
        <w:spacing w:before="120" w:line="360" w:lineRule="auto"/>
        <w:rPr>
          <w:color w:val="auto"/>
        </w:rPr>
      </w:pPr>
      <w:bookmarkStart w:id="1254" w:name="_Ref11926570"/>
      <w:bookmarkStart w:id="1255" w:name="_Toc54862220"/>
      <w:bookmarkStart w:id="1256" w:name="_Toc154063536"/>
      <w:bookmarkStart w:id="1257" w:name="_Ref11926566"/>
      <w:r>
        <w:rPr>
          <w:rFonts w:hint="eastAsia"/>
          <w:color w:val="auto"/>
        </w:rPr>
        <w:t>4</w:t>
      </w:r>
      <w:r>
        <w:rPr>
          <w:color w:val="auto"/>
        </w:rPr>
        <w:t xml:space="preserve">.9 </w:t>
      </w:r>
      <w:r>
        <w:rPr>
          <w:rFonts w:hint="eastAsia"/>
          <w:color w:val="auto"/>
        </w:rPr>
        <w:t>工程质量管理</w:t>
      </w:r>
      <w:bookmarkEnd w:id="1254"/>
      <w:bookmarkEnd w:id="1255"/>
      <w:bookmarkEnd w:id="1256"/>
      <w:bookmarkEnd w:id="1257"/>
    </w:p>
    <w:p w14:paraId="6D31B669">
      <w:pPr>
        <w:pStyle w:val="130"/>
        <w:numPr>
          <w:ilvl w:val="0"/>
          <w:numId w:val="0"/>
        </w:numPr>
        <w:ind w:firstLine="420" w:firstLineChars="200"/>
        <w:rPr>
          <w:color w:val="auto"/>
          <w:sz w:val="21"/>
        </w:rPr>
      </w:pPr>
      <w:r>
        <w:rPr>
          <w:rFonts w:hint="eastAsia"/>
          <w:color w:val="auto"/>
          <w:sz w:val="21"/>
        </w:rPr>
        <w:t>4</w:t>
      </w:r>
      <w:r>
        <w:rPr>
          <w:color w:val="auto"/>
          <w:sz w:val="21"/>
        </w:rPr>
        <w:t xml:space="preserve">.9.1 </w:t>
      </w:r>
      <w:r>
        <w:rPr>
          <w:rFonts w:hint="eastAsia"/>
          <w:color w:val="auto"/>
          <w:sz w:val="21"/>
        </w:rPr>
        <w:t>承包人应按合同约定的质量标准规范，建立有效的质量管理系统，确保设计、采购、加工制造、施工、竣工试验等各项工作的质量，并按照国家有关规定，通过质量保修责任书的形式约定保修范围、保修期限和保修责任。</w:t>
      </w:r>
    </w:p>
    <w:p w14:paraId="65986634">
      <w:pPr>
        <w:pStyle w:val="130"/>
        <w:numPr>
          <w:ilvl w:val="0"/>
          <w:numId w:val="0"/>
        </w:numPr>
        <w:ind w:firstLine="420" w:firstLineChars="200"/>
        <w:rPr>
          <w:color w:val="auto"/>
          <w:sz w:val="21"/>
        </w:rPr>
      </w:pPr>
      <w:r>
        <w:rPr>
          <w:color w:val="auto"/>
          <w:sz w:val="21"/>
        </w:rPr>
        <w:t xml:space="preserve">4.9.2 </w:t>
      </w:r>
      <w:r>
        <w:rPr>
          <w:rFonts w:hint="eastAsia"/>
          <w:color w:val="auto"/>
          <w:sz w:val="21"/>
        </w:rPr>
        <w:t>承包人按照第</w:t>
      </w:r>
      <w:r>
        <w:rPr>
          <w:color w:val="auto"/>
          <w:sz w:val="21"/>
        </w:rPr>
        <w:t>8.4</w:t>
      </w:r>
      <w:r>
        <w:rPr>
          <w:rFonts w:hint="eastAsia"/>
          <w:color w:val="auto"/>
          <w:sz w:val="21"/>
        </w:rPr>
        <w:t>款[项目进度计划]约定向工程师提交工程质量保证体系及措施文件，建立完善的质量检查制度，并提交相应的工程质量文件。对于发包人和工程师违反法律规定和合同约定的错误指示，承包人有权拒绝实施。</w:t>
      </w:r>
    </w:p>
    <w:p w14:paraId="30291265">
      <w:pPr>
        <w:pStyle w:val="130"/>
        <w:numPr>
          <w:ilvl w:val="0"/>
          <w:numId w:val="0"/>
        </w:numPr>
        <w:ind w:firstLine="420" w:firstLineChars="200"/>
        <w:rPr>
          <w:color w:val="auto"/>
          <w:sz w:val="21"/>
        </w:rPr>
      </w:pPr>
      <w:r>
        <w:rPr>
          <w:rFonts w:hint="eastAsia"/>
          <w:color w:val="auto"/>
          <w:sz w:val="21"/>
        </w:rPr>
        <w:t>4</w:t>
      </w:r>
      <w:r>
        <w:rPr>
          <w:color w:val="auto"/>
          <w:sz w:val="21"/>
        </w:rPr>
        <w:t xml:space="preserve">.9.3 </w:t>
      </w:r>
      <w:r>
        <w:rPr>
          <w:rFonts w:hint="eastAsia"/>
          <w:color w:val="auto"/>
          <w:sz w:val="21"/>
        </w:rPr>
        <w:t>承包人应对其人员进行质量教育和技术培训，定期考核人员的劳动技能，严格执行相关规范和操作规程。</w:t>
      </w:r>
    </w:p>
    <w:p w14:paraId="67A15BB6">
      <w:pPr>
        <w:pStyle w:val="130"/>
        <w:numPr>
          <w:ilvl w:val="0"/>
          <w:numId w:val="0"/>
        </w:numPr>
        <w:ind w:firstLine="420" w:firstLineChars="200"/>
        <w:rPr>
          <w:color w:val="auto"/>
          <w:sz w:val="21"/>
        </w:rPr>
      </w:pPr>
      <w:r>
        <w:rPr>
          <w:rFonts w:hint="eastAsia"/>
          <w:color w:val="auto"/>
          <w:sz w:val="21"/>
        </w:rPr>
        <w:t>4</w:t>
      </w:r>
      <w:r>
        <w:rPr>
          <w:color w:val="auto"/>
          <w:sz w:val="21"/>
        </w:rPr>
        <w:t xml:space="preserve">.9.4 </w:t>
      </w:r>
      <w:r>
        <w:rPr>
          <w:rFonts w:hint="eastAsia"/>
          <w:color w:val="auto"/>
          <w:sz w:val="21"/>
        </w:rPr>
        <w:t>承包人应按照法律规定和合同约定，对设计、材料、工程设备以及全部工程内容及其施工工艺进行全过程的质量检查和检验，并作详细记录，编制工程质量报表，报送工程师审查。此外，承包人还应按照法律规定和合同约定，进行施工现场取样试验、工程复核测量和设备性能检测，提供试验样品、提交试验报告和测量成果以及其他工作。</w:t>
      </w:r>
    </w:p>
    <w:p w14:paraId="68E3A409">
      <w:pPr>
        <w:pStyle w:val="3"/>
        <w:spacing w:before="48" w:line="360" w:lineRule="auto"/>
        <w:rPr>
          <w:rFonts w:ascii="黑体" w:hAnsi="黑体"/>
          <w:bCs w:val="0"/>
          <w:color w:val="auto"/>
          <w:sz w:val="28"/>
        </w:rPr>
      </w:pPr>
      <w:bookmarkStart w:id="1258" w:name="_Toc54862221"/>
      <w:bookmarkStart w:id="1259" w:name="_Toc154063537"/>
      <w:bookmarkStart w:id="1260" w:name="_Ref531952837"/>
      <w:r>
        <w:rPr>
          <w:rFonts w:hint="eastAsia" w:ascii="黑体" w:hAnsi="黑体"/>
          <w:bCs w:val="0"/>
          <w:color w:val="auto"/>
          <w:sz w:val="28"/>
        </w:rPr>
        <w:t>第5条 设计</w:t>
      </w:r>
      <w:bookmarkEnd w:id="1258"/>
      <w:bookmarkEnd w:id="1259"/>
      <w:bookmarkEnd w:id="1260"/>
    </w:p>
    <w:p w14:paraId="65A3026E">
      <w:pPr>
        <w:pStyle w:val="4"/>
        <w:spacing w:before="120" w:line="360" w:lineRule="auto"/>
        <w:rPr>
          <w:color w:val="auto"/>
        </w:rPr>
      </w:pPr>
      <w:bookmarkStart w:id="1261" w:name="_Ref531952863"/>
      <w:bookmarkStart w:id="1262" w:name="_Ref531952860"/>
      <w:bookmarkStart w:id="1263" w:name="_Toc54862222"/>
      <w:bookmarkStart w:id="1264" w:name="_Toc154063538"/>
      <w:r>
        <w:rPr>
          <w:rFonts w:hint="eastAsia"/>
          <w:color w:val="auto"/>
        </w:rPr>
        <w:t>5</w:t>
      </w:r>
      <w:r>
        <w:rPr>
          <w:color w:val="auto"/>
        </w:rPr>
        <w:t xml:space="preserve">.1 </w:t>
      </w:r>
      <w:r>
        <w:rPr>
          <w:rFonts w:hint="eastAsia"/>
          <w:color w:val="auto"/>
        </w:rPr>
        <w:t>承包人的设计义务</w:t>
      </w:r>
      <w:bookmarkEnd w:id="1261"/>
      <w:bookmarkEnd w:id="1262"/>
      <w:bookmarkEnd w:id="1263"/>
      <w:bookmarkEnd w:id="1264"/>
      <w:r>
        <w:rPr>
          <w:rFonts w:hint="eastAsia"/>
          <w:color w:val="auto"/>
        </w:rPr>
        <w:t xml:space="preserve"> </w:t>
      </w:r>
    </w:p>
    <w:p w14:paraId="43A41CB9">
      <w:pPr>
        <w:pStyle w:val="130"/>
        <w:numPr>
          <w:ilvl w:val="0"/>
          <w:numId w:val="0"/>
        </w:numPr>
        <w:ind w:firstLine="420" w:firstLineChars="200"/>
        <w:rPr>
          <w:color w:val="auto"/>
          <w:sz w:val="21"/>
        </w:rPr>
      </w:pPr>
      <w:bookmarkStart w:id="1265" w:name="_Ref531952881"/>
      <w:r>
        <w:rPr>
          <w:rFonts w:hint="eastAsia"/>
          <w:color w:val="auto"/>
          <w:sz w:val="21"/>
        </w:rPr>
        <w:t>5</w:t>
      </w:r>
      <w:r>
        <w:rPr>
          <w:color w:val="auto"/>
          <w:sz w:val="21"/>
        </w:rPr>
        <w:t xml:space="preserve">.1.1 </w:t>
      </w:r>
      <w:r>
        <w:rPr>
          <w:rFonts w:hint="eastAsia"/>
          <w:color w:val="auto"/>
          <w:sz w:val="21"/>
        </w:rPr>
        <w:t>设计义务的一般要求</w:t>
      </w:r>
      <w:bookmarkEnd w:id="1265"/>
    </w:p>
    <w:p w14:paraId="3097A443">
      <w:pPr>
        <w:spacing w:line="360" w:lineRule="auto"/>
        <w:ind w:firstLine="420" w:firstLineChars="200"/>
        <w:rPr>
          <w:rFonts w:ascii="宋体" w:hAnsi="宋体"/>
          <w:color w:val="auto"/>
          <w:szCs w:val="21"/>
        </w:rPr>
      </w:pPr>
      <w:r>
        <w:rPr>
          <w:rFonts w:hint="eastAsia" w:ascii="宋体" w:hAnsi="宋体"/>
          <w:color w:val="auto"/>
          <w:szCs w:val="21"/>
        </w:rPr>
        <w:t>承包人应当按照法律规定，国家、行业和地方的规范和标准，以及《发包人要求》和合同约定完成设计工作和设计相关的其他服务，并对工程的设计负责。承包人应根据工程实施的需要及时向发包人和工程师说明设计文件的意图，解释设计文件。</w:t>
      </w:r>
    </w:p>
    <w:p w14:paraId="7F16E342">
      <w:pPr>
        <w:pStyle w:val="130"/>
        <w:numPr>
          <w:ilvl w:val="0"/>
          <w:numId w:val="0"/>
        </w:numPr>
        <w:ind w:firstLine="420" w:firstLineChars="200"/>
        <w:rPr>
          <w:color w:val="auto"/>
          <w:sz w:val="21"/>
        </w:rPr>
      </w:pPr>
      <w:bookmarkStart w:id="1266" w:name="_Ref531952952"/>
      <w:bookmarkStart w:id="1267" w:name="_Ref531952899"/>
      <w:r>
        <w:rPr>
          <w:rFonts w:hint="eastAsia"/>
          <w:color w:val="auto"/>
          <w:sz w:val="21"/>
        </w:rPr>
        <w:t>5</w:t>
      </w:r>
      <w:r>
        <w:rPr>
          <w:color w:val="auto"/>
          <w:sz w:val="21"/>
        </w:rPr>
        <w:t xml:space="preserve">.1.2 </w:t>
      </w:r>
      <w:r>
        <w:rPr>
          <w:rFonts w:hint="eastAsia"/>
          <w:color w:val="auto"/>
          <w:sz w:val="21"/>
        </w:rPr>
        <w:t>对设计人员的要求</w:t>
      </w:r>
      <w:bookmarkEnd w:id="1266"/>
    </w:p>
    <w:p w14:paraId="1E74D806">
      <w:pPr>
        <w:spacing w:line="360" w:lineRule="auto"/>
        <w:ind w:firstLine="420" w:firstLineChars="200"/>
        <w:rPr>
          <w:rFonts w:ascii="宋体" w:hAnsi="宋体"/>
          <w:color w:val="auto"/>
          <w:szCs w:val="21"/>
        </w:rPr>
      </w:pPr>
      <w:r>
        <w:rPr>
          <w:rFonts w:hint="eastAsia" w:ascii="宋体" w:hAnsi="宋体"/>
          <w:color w:val="auto"/>
          <w:szCs w:val="21"/>
        </w:rPr>
        <w:t>承包人应保证其或其设计分包人的设计资质在合同有效期内满足法律法规、行业标准或合同约定的相关要求，并指派符合法律法规、行业标准或合同约定的资质要求并具有从事设计所必需的经验与能力的的设计人员完成设计工作。承包人应保证其设计人员（包括分包人的设计人员）在合同期限内，都能按时参加发包人或工程师组织的工作会议。</w:t>
      </w:r>
    </w:p>
    <w:bookmarkEnd w:id="1267"/>
    <w:p w14:paraId="5317E589">
      <w:pPr>
        <w:pStyle w:val="130"/>
        <w:numPr>
          <w:ilvl w:val="0"/>
          <w:numId w:val="0"/>
        </w:numPr>
        <w:ind w:firstLine="420" w:firstLineChars="200"/>
        <w:rPr>
          <w:color w:val="auto"/>
          <w:sz w:val="21"/>
        </w:rPr>
      </w:pPr>
      <w:r>
        <w:rPr>
          <w:rFonts w:hint="eastAsia"/>
          <w:color w:val="auto"/>
          <w:sz w:val="21"/>
        </w:rPr>
        <w:t>5</w:t>
      </w:r>
      <w:r>
        <w:rPr>
          <w:color w:val="auto"/>
          <w:sz w:val="21"/>
        </w:rPr>
        <w:t xml:space="preserve">.1.3 </w:t>
      </w:r>
      <w:r>
        <w:rPr>
          <w:rFonts w:hint="eastAsia"/>
          <w:color w:val="auto"/>
          <w:sz w:val="21"/>
        </w:rPr>
        <w:t>法律和标准的变化</w:t>
      </w:r>
    </w:p>
    <w:p w14:paraId="64EED9D6">
      <w:pPr>
        <w:spacing w:line="360" w:lineRule="auto"/>
        <w:ind w:firstLine="420" w:firstLineChars="200"/>
        <w:rPr>
          <w:rFonts w:ascii="宋体" w:hAnsi="宋体"/>
          <w:color w:val="auto"/>
          <w:szCs w:val="21"/>
        </w:rPr>
      </w:pPr>
      <w:r>
        <w:rPr>
          <w:rFonts w:hint="eastAsia" w:ascii="宋体" w:hAnsi="宋体"/>
          <w:color w:val="auto"/>
          <w:szCs w:val="21"/>
        </w:rPr>
        <w:t>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w:t>
      </w:r>
      <w:r>
        <w:rPr>
          <w:rFonts w:ascii="宋体" w:hAnsi="宋体"/>
          <w:color w:val="auto"/>
          <w:szCs w:val="21"/>
        </w:rPr>
        <w:t>13.2</w:t>
      </w:r>
      <w:r>
        <w:rPr>
          <w:rFonts w:hint="eastAsia" w:ascii="宋体" w:hAnsi="宋体"/>
          <w:color w:val="auto"/>
          <w:szCs w:val="21"/>
        </w:rPr>
        <w:t>款[承包人的合理化建议]的约定执行。</w:t>
      </w:r>
    </w:p>
    <w:p w14:paraId="657D0F0F">
      <w:pPr>
        <w:spacing w:line="360" w:lineRule="auto"/>
        <w:ind w:firstLine="420" w:firstLineChars="200"/>
        <w:rPr>
          <w:rFonts w:ascii="宋体" w:hAnsi="宋体"/>
          <w:color w:val="auto"/>
          <w:szCs w:val="21"/>
        </w:rPr>
      </w:pPr>
      <w:r>
        <w:rPr>
          <w:rFonts w:hint="eastAsia" w:ascii="宋体" w:hAnsi="宋体"/>
          <w:color w:val="auto"/>
          <w:szCs w:val="21"/>
        </w:rPr>
        <w:t>在基准日期之后，因国家颁布新的强制性规范、标准导致承包人的费用变化的，发包人应合理调整合同价格；导致工期延误的，发包人应合理延长工期。</w:t>
      </w:r>
    </w:p>
    <w:p w14:paraId="207D30AB">
      <w:pPr>
        <w:pStyle w:val="4"/>
        <w:spacing w:before="120" w:line="360" w:lineRule="auto"/>
        <w:rPr>
          <w:color w:val="auto"/>
        </w:rPr>
      </w:pPr>
      <w:bookmarkStart w:id="1268" w:name="_Ref531953051"/>
      <w:bookmarkStart w:id="1269" w:name="_Ref531953054"/>
      <w:bookmarkStart w:id="1270" w:name="_Toc154063539"/>
      <w:bookmarkStart w:id="1271" w:name="_Toc54862223"/>
      <w:r>
        <w:rPr>
          <w:rFonts w:hint="eastAsia"/>
          <w:color w:val="auto"/>
        </w:rPr>
        <w:t>5</w:t>
      </w:r>
      <w:r>
        <w:rPr>
          <w:color w:val="auto"/>
        </w:rPr>
        <w:t xml:space="preserve">.2 </w:t>
      </w:r>
      <w:r>
        <w:rPr>
          <w:rFonts w:hint="eastAsia"/>
          <w:color w:val="auto"/>
        </w:rPr>
        <w:t>承包人文件审查</w:t>
      </w:r>
      <w:bookmarkEnd w:id="1268"/>
      <w:bookmarkEnd w:id="1269"/>
      <w:bookmarkEnd w:id="1270"/>
      <w:bookmarkEnd w:id="1271"/>
      <w:r>
        <w:rPr>
          <w:rFonts w:hint="eastAsia"/>
          <w:color w:val="auto"/>
        </w:rPr>
        <w:t xml:space="preserve"> </w:t>
      </w:r>
    </w:p>
    <w:p w14:paraId="343CC57A">
      <w:pPr>
        <w:pStyle w:val="130"/>
        <w:numPr>
          <w:ilvl w:val="0"/>
          <w:numId w:val="0"/>
        </w:numPr>
        <w:ind w:firstLine="420" w:firstLineChars="200"/>
        <w:rPr>
          <w:color w:val="auto"/>
          <w:sz w:val="21"/>
        </w:rPr>
      </w:pPr>
      <w:bookmarkStart w:id="1272" w:name="_Ref531953064"/>
      <w:r>
        <w:rPr>
          <w:rFonts w:hint="eastAsia"/>
          <w:color w:val="auto"/>
          <w:sz w:val="21"/>
        </w:rPr>
        <w:t>5</w:t>
      </w:r>
      <w:r>
        <w:rPr>
          <w:color w:val="auto"/>
          <w:sz w:val="21"/>
        </w:rPr>
        <w:t xml:space="preserve">.2.1 </w:t>
      </w:r>
      <w:r>
        <w:rPr>
          <w:rFonts w:hint="eastAsia"/>
          <w:color w:val="auto"/>
          <w:sz w:val="21"/>
        </w:rPr>
        <w:t>根据《发包人要求》应当通过工程师报发包人审查同意的承包人文件，承包人应当按照《发包人要求》约定的范围和内容及时报送审查。</w:t>
      </w:r>
      <w:bookmarkEnd w:id="1272"/>
    </w:p>
    <w:p w14:paraId="3FF590B7">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期重新起算。</w:t>
      </w:r>
    </w:p>
    <w:p w14:paraId="5F47E4BC">
      <w:pPr>
        <w:spacing w:line="360" w:lineRule="auto"/>
        <w:ind w:firstLine="420" w:firstLineChars="200"/>
        <w:rPr>
          <w:rFonts w:ascii="宋体" w:hAnsi="宋体"/>
          <w:color w:val="auto"/>
          <w:szCs w:val="21"/>
        </w:rPr>
      </w:pPr>
      <w:r>
        <w:rPr>
          <w:rFonts w:hint="eastAsia" w:ascii="宋体" w:hAnsi="宋体"/>
          <w:color w:val="auto"/>
          <w:szCs w:val="21"/>
        </w:rPr>
        <w:t>发包人同意承包人文件的，应及时通知承包人，发包人不同意承包人文件的，应在审查期限内通过工程师以书面形式通知承包人，并说明不同意的具体内容和理由。</w:t>
      </w:r>
    </w:p>
    <w:p w14:paraId="01E3D69B">
      <w:pPr>
        <w:spacing w:line="360" w:lineRule="auto"/>
        <w:ind w:firstLine="420" w:firstLineChars="200"/>
        <w:rPr>
          <w:rFonts w:hint="eastAsia" w:ascii="宋体" w:hAnsi="宋体"/>
          <w:color w:val="auto"/>
          <w:szCs w:val="21"/>
        </w:rPr>
      </w:pPr>
      <w:r>
        <w:rPr>
          <w:rFonts w:hint="eastAsia" w:ascii="宋体" w:hAnsi="宋体"/>
          <w:color w:val="auto"/>
          <w:szCs w:val="21"/>
        </w:rPr>
        <w:t>承包人对发包人的意见按以下方式处理：</w:t>
      </w:r>
    </w:p>
    <w:p w14:paraId="5252995A">
      <w:pPr>
        <w:spacing w:line="360" w:lineRule="auto"/>
        <w:ind w:firstLine="420" w:firstLineChars="200"/>
        <w:rPr>
          <w:rFonts w:hint="eastAsia" w:ascii="宋体" w:hAnsi="宋体"/>
          <w:color w:val="auto"/>
          <w:szCs w:val="21"/>
        </w:rPr>
      </w:pPr>
      <w:r>
        <w:rPr>
          <w:rFonts w:hint="eastAsia" w:ascii="宋体" w:hAnsi="宋体"/>
          <w:color w:val="auto"/>
          <w:szCs w:val="21"/>
        </w:rPr>
        <w:t>（1）发包人的意见构成变更的，承包人应在7天内通知发包人按照第1</w:t>
      </w:r>
      <w:r>
        <w:rPr>
          <w:rFonts w:ascii="宋体" w:hAnsi="宋体"/>
          <w:color w:val="auto"/>
          <w:szCs w:val="21"/>
        </w:rPr>
        <w:t>3</w:t>
      </w:r>
      <w:r>
        <w:rPr>
          <w:rFonts w:hint="eastAsia" w:ascii="宋体" w:hAnsi="宋体"/>
          <w:color w:val="auto"/>
          <w:szCs w:val="21"/>
        </w:rPr>
        <w:t>条</w:t>
      </w:r>
      <w:r>
        <w:rPr>
          <w:rFonts w:ascii="宋体" w:hAnsi="宋体"/>
          <w:color w:val="auto"/>
          <w:szCs w:val="21"/>
        </w:rPr>
        <w:t>[</w:t>
      </w:r>
      <w:r>
        <w:rPr>
          <w:rFonts w:hint="eastAsia" w:ascii="宋体" w:hAnsi="宋体"/>
          <w:color w:val="auto"/>
          <w:szCs w:val="21"/>
        </w:rPr>
        <w:t>变更与调整</w:t>
      </w:r>
      <w:r>
        <w:rPr>
          <w:rFonts w:ascii="宋体" w:hAnsi="宋体"/>
          <w:color w:val="auto"/>
          <w:szCs w:val="21"/>
        </w:rPr>
        <w:t>]</w:t>
      </w:r>
      <w:r>
        <w:rPr>
          <w:rFonts w:hint="eastAsia" w:ascii="宋体" w:hAnsi="宋体"/>
          <w:color w:val="auto"/>
          <w:szCs w:val="21"/>
        </w:rPr>
        <w:t>中关于发包人指示变更的约定执行，双方对是否构成变更无法达成一致的，按照第</w:t>
      </w:r>
      <w:r>
        <w:rPr>
          <w:rFonts w:ascii="宋体" w:hAnsi="宋体"/>
          <w:color w:val="auto"/>
          <w:szCs w:val="21"/>
        </w:rPr>
        <w:t>20条[</w:t>
      </w:r>
      <w:r>
        <w:rPr>
          <w:rFonts w:hint="eastAsia" w:ascii="宋体" w:hAnsi="宋体"/>
          <w:color w:val="auto"/>
          <w:szCs w:val="21"/>
        </w:rPr>
        <w:t>争议解决</w:t>
      </w:r>
      <w:r>
        <w:rPr>
          <w:rFonts w:ascii="宋体" w:hAnsi="宋体"/>
          <w:color w:val="auto"/>
          <w:szCs w:val="21"/>
        </w:rPr>
        <w:t>]</w:t>
      </w:r>
      <w:r>
        <w:rPr>
          <w:rFonts w:hint="eastAsia" w:ascii="宋体" w:hAnsi="宋体"/>
          <w:color w:val="auto"/>
          <w:szCs w:val="21"/>
        </w:rPr>
        <w:t>的约定执行；</w:t>
      </w:r>
    </w:p>
    <w:p w14:paraId="5F5B9453">
      <w:pPr>
        <w:spacing w:line="360" w:lineRule="auto"/>
        <w:ind w:firstLine="420" w:firstLineChars="200"/>
        <w:rPr>
          <w:rFonts w:ascii="宋体" w:hAnsi="宋体"/>
          <w:color w:val="auto"/>
          <w:szCs w:val="21"/>
        </w:rPr>
      </w:pPr>
      <w:r>
        <w:rPr>
          <w:rFonts w:hint="eastAsia" w:ascii="宋体" w:hAnsi="宋体"/>
          <w:color w:val="auto"/>
          <w:szCs w:val="21"/>
        </w:rPr>
        <w:t>（2）因承包人原因导致无法通过审查的，承包人应根据发包人的书面说明，对承包人文件进行修改后重新报送发包人审查，审查期重新起算。因此引起的工期延长和必要的工程费用增加，由承包人负责。</w:t>
      </w:r>
    </w:p>
    <w:p w14:paraId="26826C1A">
      <w:pPr>
        <w:spacing w:line="360" w:lineRule="auto"/>
        <w:ind w:firstLine="420" w:firstLineChars="200"/>
        <w:rPr>
          <w:rFonts w:ascii="宋体" w:hAnsi="宋体"/>
          <w:color w:val="auto"/>
          <w:szCs w:val="21"/>
        </w:rPr>
      </w:pPr>
      <w:r>
        <w:rPr>
          <w:rFonts w:hint="eastAsia" w:ascii="宋体" w:hAnsi="宋体"/>
          <w:color w:val="auto"/>
          <w:szCs w:val="21"/>
        </w:rPr>
        <w:t>合同约定的审查期满，发包人没有做出审查结论也没有提出异议的，视为承包人文件已获发包人同意。</w:t>
      </w:r>
    </w:p>
    <w:p w14:paraId="467640FD">
      <w:pPr>
        <w:spacing w:line="360" w:lineRule="auto"/>
        <w:ind w:firstLine="420" w:firstLineChars="200"/>
        <w:rPr>
          <w:rFonts w:ascii="宋体" w:hAnsi="宋体"/>
          <w:color w:val="auto"/>
          <w:szCs w:val="21"/>
        </w:rPr>
      </w:pPr>
      <w:r>
        <w:rPr>
          <w:rFonts w:hint="eastAsia" w:ascii="宋体" w:hAnsi="宋体"/>
          <w:color w:val="auto"/>
          <w:szCs w:val="21"/>
        </w:rPr>
        <w:t>发包人对承包人文件的审查和同意不得被理解为对合同的修改或改变，也并不减轻或免除承包人任何的责任和义务。</w:t>
      </w:r>
    </w:p>
    <w:p w14:paraId="03D73FC8">
      <w:pPr>
        <w:pStyle w:val="130"/>
        <w:numPr>
          <w:ilvl w:val="0"/>
          <w:numId w:val="0"/>
        </w:numPr>
        <w:ind w:firstLine="420" w:firstLineChars="200"/>
        <w:rPr>
          <w:color w:val="auto"/>
          <w:sz w:val="21"/>
        </w:rPr>
      </w:pPr>
      <w:r>
        <w:rPr>
          <w:rFonts w:hint="eastAsia"/>
          <w:color w:val="auto"/>
          <w:sz w:val="21"/>
        </w:rPr>
        <w:t>5</w:t>
      </w:r>
      <w:r>
        <w:rPr>
          <w:color w:val="auto"/>
          <w:sz w:val="21"/>
        </w:rPr>
        <w:t xml:space="preserve">.2.2 </w:t>
      </w:r>
      <w:r>
        <w:rPr>
          <w:rFonts w:hint="eastAsia"/>
          <w:color w:val="auto"/>
          <w:sz w:val="21"/>
        </w:rPr>
        <w:t>承包人文件不需要政府有关部门或专用合同条件约定的第三方审查单位审查或批准的，承包人应当严格按照经发包人审查同意的承包人文件设计和实施工程。</w:t>
      </w:r>
    </w:p>
    <w:p w14:paraId="5594C83A">
      <w:pPr>
        <w:spacing w:line="360" w:lineRule="auto"/>
        <w:ind w:firstLine="420" w:firstLineChars="200"/>
        <w:rPr>
          <w:rFonts w:ascii="宋体" w:hAnsi="宋体"/>
          <w:color w:val="auto"/>
          <w:szCs w:val="21"/>
        </w:rPr>
      </w:pPr>
      <w:r>
        <w:rPr>
          <w:rFonts w:hint="eastAsia" w:ascii="宋体" w:hAnsi="宋体"/>
          <w:color w:val="auto"/>
          <w:szCs w:val="21"/>
        </w:rPr>
        <w:t>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p>
    <w:p w14:paraId="1A791890">
      <w:pPr>
        <w:spacing w:line="360" w:lineRule="auto"/>
        <w:ind w:firstLine="420" w:firstLineChars="200"/>
        <w:rPr>
          <w:rFonts w:ascii="宋体" w:hAnsi="宋体"/>
          <w:color w:val="auto"/>
          <w:szCs w:val="21"/>
        </w:rPr>
      </w:pPr>
      <w:r>
        <w:rPr>
          <w:rFonts w:hint="eastAsia" w:ascii="宋体" w:hAnsi="宋体"/>
          <w:color w:val="auto"/>
          <w:szCs w:val="21"/>
        </w:rPr>
        <w:t>发包人有义务向承包人提供审查会议的批准文件和纪要。承包人有义务按照相关审查会议批准的文件和纪要，并依据合同约定及相关技术标准，对承包人文件进行修改、补充和完善。</w:t>
      </w:r>
    </w:p>
    <w:p w14:paraId="3F087768">
      <w:pPr>
        <w:pStyle w:val="130"/>
        <w:numPr>
          <w:ilvl w:val="0"/>
          <w:numId w:val="0"/>
        </w:numPr>
        <w:ind w:firstLine="420" w:firstLineChars="200"/>
        <w:rPr>
          <w:color w:val="auto"/>
          <w:sz w:val="21"/>
        </w:rPr>
      </w:pPr>
      <w:bookmarkStart w:id="1273" w:name="_Ref531953074"/>
      <w:r>
        <w:rPr>
          <w:rFonts w:hint="eastAsia"/>
          <w:color w:val="auto"/>
          <w:sz w:val="21"/>
        </w:rPr>
        <w:t>5</w:t>
      </w:r>
      <w:r>
        <w:rPr>
          <w:color w:val="auto"/>
          <w:sz w:val="21"/>
        </w:rPr>
        <w:t xml:space="preserve">.2.3 </w:t>
      </w:r>
      <w:r>
        <w:rPr>
          <w:rFonts w:hint="eastAsia"/>
          <w:color w:val="auto"/>
          <w:sz w:val="21"/>
        </w:rPr>
        <w:t>承包人文件需政府有关部门或专用合同条件约定的第三方审查单位审查或批准的，发包人应在发包人审查同意承包人文件后7天内，向政府有关部门或第三方报送承包人文件，承包人应予以协助。</w:t>
      </w:r>
      <w:bookmarkEnd w:id="1273"/>
    </w:p>
    <w:p w14:paraId="15AB949B">
      <w:pPr>
        <w:spacing w:line="360" w:lineRule="auto"/>
        <w:ind w:firstLine="420" w:firstLineChars="200"/>
        <w:rPr>
          <w:rFonts w:ascii="宋体" w:hAnsi="宋体"/>
          <w:color w:val="auto"/>
          <w:szCs w:val="21"/>
        </w:rPr>
      </w:pPr>
      <w:r>
        <w:rPr>
          <w:rFonts w:hint="eastAsia" w:ascii="宋体" w:hAnsi="宋体"/>
          <w:color w:val="auto"/>
          <w:szCs w:val="21"/>
        </w:rPr>
        <w:t>对于政府有关部门或第三方审查单位的审查意见，不需要修改《发包人要求》的，承包人需按该审查意见修改承包人的设计文件；需要修改《发包人要求》的，承包人应按第</w:t>
      </w:r>
      <w:r>
        <w:rPr>
          <w:rFonts w:ascii="宋体" w:hAnsi="宋体"/>
          <w:color w:val="auto"/>
          <w:szCs w:val="21"/>
        </w:rPr>
        <w:t>13.2</w:t>
      </w:r>
      <w:r>
        <w:rPr>
          <w:rFonts w:hint="eastAsia" w:ascii="宋体" w:hAnsi="宋体"/>
          <w:color w:val="auto"/>
          <w:szCs w:val="21"/>
        </w:rPr>
        <w:t>款[承包人的合理化建议]的约定执行。上述情形还应适用第</w:t>
      </w:r>
      <w:r>
        <w:rPr>
          <w:rFonts w:ascii="宋体" w:hAnsi="宋体"/>
          <w:color w:val="auto"/>
          <w:szCs w:val="21"/>
        </w:rPr>
        <w:t>5.1</w:t>
      </w:r>
      <w:r>
        <w:rPr>
          <w:rFonts w:hint="eastAsia" w:ascii="宋体" w:hAnsi="宋体"/>
          <w:color w:val="auto"/>
          <w:szCs w:val="21"/>
        </w:rPr>
        <w:t>款[承包人的设计义务]和第</w:t>
      </w:r>
      <w:r>
        <w:rPr>
          <w:rFonts w:ascii="宋体" w:hAnsi="宋体"/>
          <w:color w:val="auto"/>
          <w:szCs w:val="21"/>
        </w:rPr>
        <w:t>13条</w:t>
      </w:r>
      <w:r>
        <w:rPr>
          <w:rFonts w:hint="eastAsia" w:ascii="宋体" w:hAnsi="宋体"/>
          <w:color w:val="auto"/>
          <w:szCs w:val="21"/>
        </w:rPr>
        <w:t>[变更与调整]的有关约定。</w:t>
      </w:r>
    </w:p>
    <w:p w14:paraId="5B1DDDD5">
      <w:pPr>
        <w:spacing w:line="360" w:lineRule="auto"/>
        <w:ind w:firstLine="420" w:firstLineChars="200"/>
        <w:rPr>
          <w:rFonts w:ascii="宋体" w:hAnsi="宋体"/>
          <w:color w:val="auto"/>
          <w:szCs w:val="21"/>
        </w:rPr>
      </w:pPr>
      <w:r>
        <w:rPr>
          <w:rFonts w:hint="eastAsia" w:ascii="宋体" w:hAnsi="宋体"/>
          <w:color w:val="auto"/>
          <w:szCs w:val="21"/>
        </w:rPr>
        <w:t>政府有关部门或第三方审查单位审查批准后，承包人应当严格按照批准后的承包人文件实施工程。政府有关部门或第三方审查单位批准时间较合同约定时间延长的，竣工日期相应顺延。因此给双方带来的费用增加，由双方在负责的范围内各自承担。</w:t>
      </w:r>
    </w:p>
    <w:p w14:paraId="6F48D71D">
      <w:pPr>
        <w:pStyle w:val="4"/>
        <w:spacing w:before="120" w:line="360" w:lineRule="auto"/>
        <w:rPr>
          <w:color w:val="auto"/>
        </w:rPr>
      </w:pPr>
      <w:bookmarkStart w:id="1274" w:name="_Toc54862224"/>
      <w:bookmarkStart w:id="1275" w:name="_Ref531953095"/>
      <w:bookmarkStart w:id="1276" w:name="_Toc154063540"/>
      <w:bookmarkStart w:id="1277" w:name="_Ref531953097"/>
      <w:r>
        <w:rPr>
          <w:rFonts w:hint="eastAsia"/>
          <w:color w:val="auto"/>
        </w:rPr>
        <w:t>5</w:t>
      </w:r>
      <w:r>
        <w:rPr>
          <w:color w:val="auto"/>
        </w:rPr>
        <w:t xml:space="preserve">.3 </w:t>
      </w:r>
      <w:r>
        <w:rPr>
          <w:rFonts w:hint="eastAsia"/>
          <w:color w:val="auto"/>
        </w:rPr>
        <w:t>培训</w:t>
      </w:r>
      <w:bookmarkEnd w:id="1274"/>
      <w:bookmarkEnd w:id="1275"/>
      <w:bookmarkEnd w:id="1276"/>
      <w:bookmarkEnd w:id="1277"/>
    </w:p>
    <w:p w14:paraId="1DAC8D4B">
      <w:pPr>
        <w:spacing w:line="360" w:lineRule="auto"/>
        <w:ind w:firstLine="420" w:firstLineChars="200"/>
        <w:rPr>
          <w:rFonts w:ascii="宋体" w:hAnsi="宋体"/>
          <w:color w:val="auto"/>
          <w:szCs w:val="21"/>
        </w:rPr>
      </w:pPr>
      <w:r>
        <w:rPr>
          <w:rFonts w:hint="eastAsia" w:ascii="宋体" w:hAnsi="宋体"/>
          <w:color w:val="auto"/>
          <w:szCs w:val="21"/>
        </w:rPr>
        <w:t>承包人应按照《发包人要求》，对发包人的雇员或其它发包人指定的人员进行工程操作、维修或其它合同中约定的培训。合同约定接收之前进行培训的，应在第</w:t>
      </w:r>
      <w:r>
        <w:rPr>
          <w:rFonts w:ascii="宋体" w:hAnsi="宋体"/>
          <w:color w:val="auto"/>
          <w:szCs w:val="21"/>
        </w:rPr>
        <w:t>10.1</w:t>
      </w:r>
      <w:r>
        <w:rPr>
          <w:rFonts w:hint="eastAsia" w:ascii="宋体" w:hAnsi="宋体"/>
          <w:color w:val="auto"/>
          <w:szCs w:val="21"/>
        </w:rPr>
        <w:t>款[</w:t>
      </w:r>
      <w:r>
        <w:rPr>
          <w:rFonts w:ascii="宋体" w:hAnsi="宋体"/>
          <w:color w:val="auto"/>
          <w:szCs w:val="21"/>
        </w:rPr>
        <w:t>竣工验收</w:t>
      </w:r>
      <w:r>
        <w:rPr>
          <w:rFonts w:hint="eastAsia" w:ascii="宋体" w:hAnsi="宋体"/>
          <w:color w:val="auto"/>
          <w:szCs w:val="21"/>
        </w:rPr>
        <w:t>]约定的竣工验收前或试运行结束前完成培训。</w:t>
      </w:r>
    </w:p>
    <w:p w14:paraId="79149912">
      <w:pPr>
        <w:spacing w:line="360" w:lineRule="auto"/>
        <w:ind w:firstLine="420" w:firstLineChars="200"/>
        <w:rPr>
          <w:rFonts w:ascii="宋体" w:hAnsi="宋体"/>
          <w:color w:val="auto"/>
          <w:szCs w:val="21"/>
        </w:rPr>
      </w:pPr>
      <w:r>
        <w:rPr>
          <w:rFonts w:hint="eastAsia" w:ascii="宋体" w:hAnsi="宋体"/>
          <w:color w:val="auto"/>
          <w:szCs w:val="21"/>
        </w:rPr>
        <w:t>培训的时长应由双方在专用合同条件中约定，承包人应为培训提供有经验的人员、设施和其它必要条件。</w:t>
      </w:r>
    </w:p>
    <w:p w14:paraId="696216AB">
      <w:pPr>
        <w:pStyle w:val="4"/>
        <w:spacing w:before="120" w:line="360" w:lineRule="auto"/>
        <w:rPr>
          <w:color w:val="auto"/>
        </w:rPr>
      </w:pPr>
      <w:bookmarkStart w:id="1278" w:name="_Ref531953108"/>
      <w:bookmarkStart w:id="1279" w:name="_Toc154063541"/>
      <w:bookmarkStart w:id="1280" w:name="_Ref531953105"/>
      <w:bookmarkStart w:id="1281" w:name="_Toc54862225"/>
      <w:r>
        <w:rPr>
          <w:rFonts w:hint="eastAsia"/>
          <w:color w:val="auto"/>
        </w:rPr>
        <w:t>5</w:t>
      </w:r>
      <w:r>
        <w:rPr>
          <w:color w:val="auto"/>
        </w:rPr>
        <w:t xml:space="preserve">.4 </w:t>
      </w:r>
      <w:r>
        <w:rPr>
          <w:rFonts w:hint="eastAsia"/>
          <w:color w:val="auto"/>
        </w:rPr>
        <w:t>竣工文件</w:t>
      </w:r>
      <w:bookmarkEnd w:id="1278"/>
      <w:bookmarkEnd w:id="1279"/>
      <w:bookmarkEnd w:id="1280"/>
      <w:bookmarkEnd w:id="1281"/>
    </w:p>
    <w:p w14:paraId="515E93CC">
      <w:pPr>
        <w:pStyle w:val="130"/>
        <w:numPr>
          <w:ilvl w:val="0"/>
          <w:numId w:val="0"/>
        </w:numPr>
        <w:ind w:firstLine="420" w:firstLineChars="200"/>
        <w:rPr>
          <w:color w:val="auto"/>
          <w:sz w:val="21"/>
        </w:rPr>
      </w:pPr>
      <w:bookmarkStart w:id="1282" w:name="_Ref531953134"/>
      <w:r>
        <w:rPr>
          <w:rFonts w:hint="eastAsia"/>
          <w:color w:val="auto"/>
          <w:sz w:val="21"/>
        </w:rPr>
        <w:t>5</w:t>
      </w:r>
      <w:r>
        <w:rPr>
          <w:color w:val="auto"/>
          <w:sz w:val="21"/>
        </w:rPr>
        <w:t xml:space="preserve">.4.1 </w:t>
      </w:r>
      <w:r>
        <w:rPr>
          <w:rFonts w:hint="eastAsia"/>
          <w:color w:val="auto"/>
          <w:sz w:val="21"/>
        </w:rPr>
        <w:t>承包人应编制并及时更新反映工程实施结果的竣工记录，如实记载竣工工程的确切位置、尺寸和已实施工作的详细说明。竣工文件的形式、技术标准以及其它相关内容应按照相关法律法规、行业标准与《发包人要求》执行。竣工记录应保存在施工现场，并在竣工试验开始前，按照专用合同条件约定的份数提交给工程师。</w:t>
      </w:r>
      <w:bookmarkEnd w:id="1282"/>
    </w:p>
    <w:p w14:paraId="76666858">
      <w:pPr>
        <w:pStyle w:val="130"/>
        <w:numPr>
          <w:ilvl w:val="0"/>
          <w:numId w:val="0"/>
        </w:numPr>
        <w:ind w:firstLine="420" w:firstLineChars="200"/>
        <w:rPr>
          <w:color w:val="auto"/>
          <w:sz w:val="21"/>
        </w:rPr>
      </w:pPr>
      <w:r>
        <w:rPr>
          <w:rFonts w:hint="eastAsia"/>
          <w:color w:val="auto"/>
          <w:sz w:val="21"/>
        </w:rPr>
        <w:t>5</w:t>
      </w:r>
      <w:r>
        <w:rPr>
          <w:color w:val="auto"/>
          <w:sz w:val="21"/>
        </w:rPr>
        <w:t xml:space="preserve">.4.2 </w:t>
      </w:r>
      <w:r>
        <w:rPr>
          <w:rFonts w:hint="eastAsia"/>
          <w:color w:val="auto"/>
          <w:sz w:val="21"/>
        </w:rPr>
        <w:t>在颁发工程接收证书之前，承包人应按照《发包人要求》的份数和形式向工程师提交相应竣工图纸，并取得工程师对尺寸、参照系统及其他有关细节的认可。工程师应按照第</w:t>
      </w:r>
      <w:r>
        <w:rPr>
          <w:color w:val="auto"/>
          <w:sz w:val="21"/>
        </w:rPr>
        <w:t>5.2</w:t>
      </w:r>
      <w:r>
        <w:rPr>
          <w:rFonts w:hint="eastAsia"/>
          <w:color w:val="auto"/>
          <w:sz w:val="21"/>
        </w:rPr>
        <w:t>款[</w:t>
      </w:r>
      <w:r>
        <w:rPr>
          <w:color w:val="auto"/>
          <w:sz w:val="21"/>
        </w:rPr>
        <w:t>承包人文件审查</w:t>
      </w:r>
      <w:r>
        <w:rPr>
          <w:rFonts w:hint="eastAsia"/>
          <w:color w:val="auto"/>
          <w:sz w:val="21"/>
        </w:rPr>
        <w:t>]的约定进行审查。</w:t>
      </w:r>
    </w:p>
    <w:p w14:paraId="38F9A9F7">
      <w:pPr>
        <w:pStyle w:val="130"/>
        <w:numPr>
          <w:ilvl w:val="0"/>
          <w:numId w:val="0"/>
        </w:numPr>
        <w:ind w:firstLine="420" w:firstLineChars="200"/>
        <w:rPr>
          <w:color w:val="auto"/>
          <w:sz w:val="21"/>
        </w:rPr>
      </w:pPr>
      <w:r>
        <w:rPr>
          <w:rFonts w:hint="eastAsia"/>
          <w:color w:val="auto"/>
          <w:sz w:val="21"/>
        </w:rPr>
        <w:t>5</w:t>
      </w:r>
      <w:r>
        <w:rPr>
          <w:color w:val="auto"/>
          <w:sz w:val="21"/>
        </w:rPr>
        <w:t xml:space="preserve">.4.3 </w:t>
      </w:r>
      <w:r>
        <w:rPr>
          <w:rFonts w:hint="eastAsia"/>
          <w:color w:val="auto"/>
          <w:sz w:val="21"/>
        </w:rPr>
        <w:t>除专用合同条件另有约定外，在工程师收到本款下的文件前，不应认为工程已根据第</w:t>
      </w:r>
      <w:r>
        <w:rPr>
          <w:color w:val="auto"/>
          <w:sz w:val="21"/>
        </w:rPr>
        <w:t>10.1</w:t>
      </w:r>
      <w:r>
        <w:rPr>
          <w:rFonts w:hint="eastAsia"/>
          <w:color w:val="auto"/>
          <w:sz w:val="21"/>
        </w:rPr>
        <w:t>款[竣工验收]和第</w:t>
      </w:r>
      <w:r>
        <w:rPr>
          <w:color w:val="auto"/>
          <w:sz w:val="21"/>
        </w:rPr>
        <w:t>10.2</w:t>
      </w:r>
      <w:r>
        <w:rPr>
          <w:rFonts w:hint="eastAsia"/>
          <w:color w:val="auto"/>
          <w:sz w:val="21"/>
        </w:rPr>
        <w:t>款[</w:t>
      </w:r>
      <w:r>
        <w:rPr>
          <w:color w:val="auto"/>
          <w:sz w:val="21"/>
        </w:rPr>
        <w:t>单位/区段工程的验收</w:t>
      </w:r>
      <w:r>
        <w:rPr>
          <w:rFonts w:hint="eastAsia"/>
          <w:color w:val="auto"/>
          <w:sz w:val="21"/>
        </w:rPr>
        <w:t>]的约定完成验收。</w:t>
      </w:r>
    </w:p>
    <w:p w14:paraId="7457DE52">
      <w:pPr>
        <w:pStyle w:val="4"/>
        <w:spacing w:before="120" w:line="360" w:lineRule="auto"/>
        <w:rPr>
          <w:color w:val="auto"/>
        </w:rPr>
      </w:pPr>
      <w:bookmarkStart w:id="1283" w:name="_Toc54862226"/>
      <w:bookmarkStart w:id="1284" w:name="_Toc154063542"/>
      <w:bookmarkStart w:id="1285" w:name="_Ref531953117"/>
      <w:bookmarkStart w:id="1286" w:name="_Ref531953119"/>
      <w:r>
        <w:rPr>
          <w:rFonts w:hint="eastAsia"/>
          <w:color w:val="auto"/>
        </w:rPr>
        <w:t>5</w:t>
      </w:r>
      <w:r>
        <w:rPr>
          <w:color w:val="auto"/>
        </w:rPr>
        <w:t xml:space="preserve">.5 </w:t>
      </w:r>
      <w:r>
        <w:rPr>
          <w:rFonts w:hint="eastAsia"/>
          <w:color w:val="auto"/>
        </w:rPr>
        <w:t>操作和维修手册</w:t>
      </w:r>
      <w:bookmarkEnd w:id="1283"/>
      <w:bookmarkEnd w:id="1284"/>
      <w:bookmarkEnd w:id="1285"/>
      <w:bookmarkEnd w:id="1286"/>
    </w:p>
    <w:p w14:paraId="0EE7AFBB">
      <w:pPr>
        <w:pStyle w:val="130"/>
        <w:numPr>
          <w:ilvl w:val="0"/>
          <w:numId w:val="0"/>
        </w:numPr>
        <w:ind w:firstLine="420" w:firstLineChars="200"/>
        <w:rPr>
          <w:color w:val="auto"/>
          <w:sz w:val="21"/>
        </w:rPr>
      </w:pPr>
      <w:bookmarkStart w:id="1287" w:name="_Ref531953145"/>
      <w:r>
        <w:rPr>
          <w:rFonts w:hint="eastAsia"/>
          <w:color w:val="auto"/>
          <w:sz w:val="21"/>
        </w:rPr>
        <w:t>5</w:t>
      </w:r>
      <w:r>
        <w:rPr>
          <w:color w:val="auto"/>
          <w:sz w:val="21"/>
        </w:rPr>
        <w:t xml:space="preserve">.5.1 </w:t>
      </w:r>
      <w:r>
        <w:rPr>
          <w:rFonts w:hint="eastAsia"/>
          <w:color w:val="auto"/>
          <w:sz w:val="21"/>
        </w:rPr>
        <w:t>在竣工试验开始前，承包人应向工程师提交暂行的操作和维修手册并负责及时更新，该手册应足够详细，以便发包人能够对工程设备进行操作、维修、拆卸、重新安装、调整及修理，以及实现《发包人要求》。同时，手册还应包含发包人未来可能需要的备品备件清单。</w:t>
      </w:r>
      <w:bookmarkEnd w:id="1287"/>
    </w:p>
    <w:p w14:paraId="14A8FC5D">
      <w:pPr>
        <w:pStyle w:val="130"/>
        <w:numPr>
          <w:ilvl w:val="0"/>
          <w:numId w:val="0"/>
        </w:numPr>
        <w:ind w:firstLine="420" w:firstLineChars="200"/>
        <w:rPr>
          <w:color w:val="auto"/>
          <w:sz w:val="21"/>
        </w:rPr>
      </w:pPr>
      <w:r>
        <w:rPr>
          <w:rFonts w:hint="eastAsia"/>
          <w:color w:val="auto"/>
          <w:sz w:val="21"/>
        </w:rPr>
        <w:t>5</w:t>
      </w:r>
      <w:r>
        <w:rPr>
          <w:color w:val="auto"/>
          <w:sz w:val="21"/>
        </w:rPr>
        <w:t xml:space="preserve">.5.2 </w:t>
      </w:r>
      <w:r>
        <w:rPr>
          <w:rFonts w:hint="eastAsia"/>
          <w:color w:val="auto"/>
          <w:sz w:val="21"/>
        </w:rPr>
        <w:t>工程师收到承包人提交的文件后，应依据第</w:t>
      </w:r>
      <w:r>
        <w:rPr>
          <w:color w:val="auto"/>
          <w:sz w:val="21"/>
        </w:rPr>
        <w:t>5.2</w:t>
      </w:r>
      <w:r>
        <w:rPr>
          <w:rFonts w:hint="eastAsia"/>
          <w:color w:val="auto"/>
          <w:sz w:val="21"/>
        </w:rPr>
        <w:t>款[</w:t>
      </w:r>
      <w:r>
        <w:rPr>
          <w:color w:val="auto"/>
          <w:sz w:val="21"/>
        </w:rPr>
        <w:t>承包人文件审查</w:t>
      </w:r>
      <w:r>
        <w:rPr>
          <w:rFonts w:hint="eastAsia"/>
          <w:color w:val="auto"/>
          <w:sz w:val="21"/>
        </w:rPr>
        <w:t>]的约定对操作和维修手册进行审查，竣工试验工程中，承包人应为任何因操作和维修手册错误或遗漏引起的风险或损失承担责任。</w:t>
      </w:r>
    </w:p>
    <w:p w14:paraId="56685E93">
      <w:pPr>
        <w:pStyle w:val="130"/>
        <w:numPr>
          <w:ilvl w:val="0"/>
          <w:numId w:val="0"/>
        </w:numPr>
        <w:ind w:firstLine="420" w:firstLineChars="200"/>
        <w:rPr>
          <w:color w:val="auto"/>
          <w:sz w:val="21"/>
        </w:rPr>
      </w:pPr>
      <w:r>
        <w:rPr>
          <w:rFonts w:hint="eastAsia"/>
          <w:color w:val="auto"/>
          <w:sz w:val="21"/>
        </w:rPr>
        <w:t>5</w:t>
      </w:r>
      <w:r>
        <w:rPr>
          <w:color w:val="auto"/>
          <w:sz w:val="21"/>
        </w:rPr>
        <w:t xml:space="preserve">.5.3 </w:t>
      </w:r>
      <w:r>
        <w:rPr>
          <w:rFonts w:hint="eastAsia"/>
          <w:color w:val="auto"/>
          <w:sz w:val="21"/>
        </w:rPr>
        <w:t>除专用合同条件另有约定外，承包人应提交足够详细的最终操作和维修手册，以及在《发包人要求》中明确的相关操作和维修手册。除专用合同条件另有约定外，在工程师收到上述文件前，不应认为工程已根据第</w:t>
      </w:r>
      <w:r>
        <w:rPr>
          <w:color w:val="auto"/>
          <w:sz w:val="21"/>
        </w:rPr>
        <w:t>10.1</w:t>
      </w:r>
      <w:r>
        <w:rPr>
          <w:rFonts w:hint="eastAsia"/>
          <w:color w:val="auto"/>
          <w:sz w:val="21"/>
        </w:rPr>
        <w:t>款[竣工验收]和第</w:t>
      </w:r>
      <w:r>
        <w:rPr>
          <w:color w:val="auto"/>
          <w:sz w:val="21"/>
        </w:rPr>
        <w:t>10.2</w:t>
      </w:r>
      <w:r>
        <w:rPr>
          <w:rFonts w:hint="eastAsia"/>
          <w:color w:val="auto"/>
          <w:sz w:val="21"/>
        </w:rPr>
        <w:t>款[</w:t>
      </w:r>
      <w:r>
        <w:rPr>
          <w:color w:val="auto"/>
          <w:sz w:val="21"/>
        </w:rPr>
        <w:t>单位/区段工程的验收</w:t>
      </w:r>
      <w:r>
        <w:rPr>
          <w:rFonts w:hint="eastAsia"/>
          <w:color w:val="auto"/>
          <w:sz w:val="21"/>
        </w:rPr>
        <w:t>]的约定完成验收。</w:t>
      </w:r>
    </w:p>
    <w:p w14:paraId="6E4F2166">
      <w:pPr>
        <w:pStyle w:val="4"/>
        <w:spacing w:before="120" w:line="360" w:lineRule="auto"/>
        <w:rPr>
          <w:color w:val="auto"/>
        </w:rPr>
      </w:pPr>
      <w:bookmarkStart w:id="1288" w:name="_Toc54862227"/>
      <w:bookmarkStart w:id="1289" w:name="_Toc154063543"/>
      <w:r>
        <w:rPr>
          <w:rFonts w:hint="eastAsia"/>
          <w:color w:val="auto"/>
        </w:rPr>
        <w:t>5</w:t>
      </w:r>
      <w:r>
        <w:rPr>
          <w:color w:val="auto"/>
        </w:rPr>
        <w:t xml:space="preserve">.6 </w:t>
      </w:r>
      <w:r>
        <w:rPr>
          <w:rFonts w:hint="eastAsia"/>
          <w:color w:val="auto"/>
        </w:rPr>
        <w:t>承包人文件错误</w:t>
      </w:r>
      <w:bookmarkEnd w:id="1288"/>
      <w:bookmarkEnd w:id="1289"/>
      <w:r>
        <w:rPr>
          <w:rFonts w:hint="eastAsia"/>
          <w:color w:val="auto"/>
        </w:rPr>
        <w:t xml:space="preserve"> </w:t>
      </w:r>
    </w:p>
    <w:p w14:paraId="663660B2">
      <w:pPr>
        <w:spacing w:line="360" w:lineRule="auto"/>
        <w:ind w:firstLine="420" w:firstLineChars="200"/>
        <w:rPr>
          <w:rFonts w:ascii="宋体" w:hAnsi="宋体"/>
          <w:color w:val="auto"/>
          <w:szCs w:val="21"/>
        </w:rPr>
      </w:pPr>
      <w:r>
        <w:rPr>
          <w:rFonts w:hint="eastAsia" w:ascii="宋体" w:hAnsi="宋体"/>
          <w:color w:val="auto"/>
          <w:szCs w:val="21"/>
        </w:rPr>
        <w:t>承包人文件存在错误、遗漏、含混、矛盾、不充分之处或其他缺陷，无论承包人是否根据本款获得了同意，承包人均应自费对前述问题带来的缺陷和工程问题进行改正，并按照第</w:t>
      </w:r>
      <w:r>
        <w:rPr>
          <w:rFonts w:ascii="宋体" w:hAnsi="宋体"/>
          <w:color w:val="auto"/>
          <w:szCs w:val="21"/>
        </w:rPr>
        <w:t>5.2</w:t>
      </w:r>
      <w:r>
        <w:rPr>
          <w:rFonts w:hint="eastAsia" w:ascii="宋体" w:hAnsi="宋体"/>
          <w:color w:val="auto"/>
          <w:szCs w:val="21"/>
        </w:rPr>
        <w:t>款[承包人文件审查]的要求，重新送工程师审查，审查日期从工程师收到文件开始重新计算。因此款原因重新提交审查文件导致的工程延误和必要费用增加由承包人承担。《发包人要求》的错误导致承包人文件错误、遗漏、含混、矛盾、不充分或其他缺陷的除外。</w:t>
      </w:r>
    </w:p>
    <w:p w14:paraId="422793A2">
      <w:pPr>
        <w:pStyle w:val="3"/>
        <w:spacing w:before="48" w:line="360" w:lineRule="auto"/>
        <w:rPr>
          <w:rFonts w:ascii="黑体" w:hAnsi="黑体"/>
          <w:bCs w:val="0"/>
          <w:color w:val="auto"/>
          <w:sz w:val="28"/>
        </w:rPr>
      </w:pPr>
      <w:bookmarkStart w:id="1290" w:name="_Ref531953765"/>
      <w:bookmarkStart w:id="1291" w:name="_Toc54862228"/>
      <w:bookmarkStart w:id="1292" w:name="_Ref531953761"/>
      <w:bookmarkStart w:id="1293" w:name="_Toc154063544"/>
      <w:r>
        <w:rPr>
          <w:rFonts w:hint="eastAsia" w:ascii="黑体" w:hAnsi="黑体"/>
          <w:bCs w:val="0"/>
          <w:color w:val="auto"/>
          <w:sz w:val="28"/>
        </w:rPr>
        <w:t>第6条 材料、工程设备</w:t>
      </w:r>
      <w:bookmarkEnd w:id="1290"/>
      <w:bookmarkEnd w:id="1291"/>
      <w:bookmarkEnd w:id="1292"/>
      <w:bookmarkEnd w:id="1293"/>
    </w:p>
    <w:p w14:paraId="44F976B7">
      <w:pPr>
        <w:pStyle w:val="4"/>
        <w:spacing w:before="120" w:line="360" w:lineRule="auto"/>
        <w:rPr>
          <w:color w:val="auto"/>
        </w:rPr>
      </w:pPr>
      <w:bookmarkStart w:id="1294" w:name="_Toc54862229"/>
      <w:bookmarkStart w:id="1295" w:name="_Toc154063545"/>
      <w:bookmarkStart w:id="1296" w:name="_Ref531953832"/>
      <w:bookmarkStart w:id="1297" w:name="_Ref531953828"/>
      <w:r>
        <w:rPr>
          <w:rFonts w:hint="eastAsia"/>
          <w:color w:val="auto"/>
        </w:rPr>
        <w:t>6</w:t>
      </w:r>
      <w:r>
        <w:rPr>
          <w:color w:val="auto"/>
        </w:rPr>
        <w:t xml:space="preserve">.1 </w:t>
      </w:r>
      <w:r>
        <w:rPr>
          <w:rFonts w:hint="eastAsia"/>
          <w:color w:val="auto"/>
        </w:rPr>
        <w:t>实施方法</w:t>
      </w:r>
      <w:bookmarkEnd w:id="1294"/>
      <w:bookmarkEnd w:id="1295"/>
      <w:bookmarkEnd w:id="1296"/>
      <w:bookmarkEnd w:id="1297"/>
      <w:r>
        <w:rPr>
          <w:rFonts w:hint="eastAsia"/>
          <w:color w:val="auto"/>
        </w:rPr>
        <w:t xml:space="preserve"> </w:t>
      </w:r>
    </w:p>
    <w:p w14:paraId="205980D7">
      <w:pPr>
        <w:spacing w:line="360" w:lineRule="auto"/>
        <w:ind w:firstLine="420" w:firstLineChars="200"/>
        <w:rPr>
          <w:rFonts w:hint="eastAsia" w:ascii="宋体" w:hAnsi="宋体"/>
          <w:color w:val="auto"/>
          <w:szCs w:val="21"/>
        </w:rPr>
      </w:pPr>
      <w:r>
        <w:rPr>
          <w:rFonts w:hint="eastAsia" w:ascii="宋体" w:hAnsi="宋体"/>
          <w:color w:val="auto"/>
          <w:szCs w:val="21"/>
        </w:rPr>
        <w:t>承包人应按以下方法进行材料的加工、工程设备的采购、制造和安装、以及工程的所有其他实施作业：</w:t>
      </w:r>
      <w:bookmarkStart w:id="1298" w:name="_Ref531953847"/>
    </w:p>
    <w:p w14:paraId="37DADDDF">
      <w:pPr>
        <w:spacing w:line="360" w:lineRule="auto"/>
        <w:ind w:firstLine="420" w:firstLineChars="200"/>
        <w:rPr>
          <w:rFonts w:hint="eastAsia" w:ascii="宋体" w:hAnsi="宋体"/>
          <w:color w:val="auto"/>
          <w:szCs w:val="21"/>
        </w:rPr>
      </w:pPr>
      <w:r>
        <w:rPr>
          <w:rFonts w:hint="eastAsia" w:ascii="宋体" w:hAnsi="宋体"/>
          <w:color w:val="auto"/>
          <w:szCs w:val="21"/>
        </w:rPr>
        <w:t>（1）按照法律规定和合同约定的方法；</w:t>
      </w:r>
      <w:bookmarkEnd w:id="1298"/>
    </w:p>
    <w:p w14:paraId="11125B7A">
      <w:pPr>
        <w:spacing w:line="360" w:lineRule="auto"/>
        <w:ind w:firstLine="420" w:firstLineChars="200"/>
        <w:rPr>
          <w:rFonts w:hint="eastAsia" w:ascii="宋体" w:hAnsi="宋体"/>
          <w:color w:val="auto"/>
          <w:szCs w:val="21"/>
        </w:rPr>
      </w:pPr>
      <w:r>
        <w:rPr>
          <w:rFonts w:hint="eastAsia" w:ascii="宋体" w:hAnsi="宋体"/>
          <w:color w:val="auto"/>
          <w:szCs w:val="21"/>
        </w:rPr>
        <w:t>（2）按照公认的良好行业习惯，使用恰当、审慎、先进的方法；</w:t>
      </w:r>
    </w:p>
    <w:p w14:paraId="737B3C5E">
      <w:pPr>
        <w:spacing w:line="360" w:lineRule="auto"/>
        <w:ind w:firstLine="420" w:firstLineChars="200"/>
        <w:rPr>
          <w:rFonts w:ascii="宋体" w:hAnsi="宋体"/>
          <w:color w:val="auto"/>
          <w:szCs w:val="21"/>
        </w:rPr>
      </w:pPr>
      <w:r>
        <w:rPr>
          <w:rFonts w:hint="eastAsia" w:ascii="宋体" w:hAnsi="宋体"/>
          <w:color w:val="auto"/>
          <w:szCs w:val="21"/>
        </w:rPr>
        <w:t>（3）除专用合同条件另有规定外，应使用适当配备的实施方法、设备、设施和无危险的材料。</w:t>
      </w:r>
    </w:p>
    <w:p w14:paraId="546A29D8">
      <w:pPr>
        <w:pStyle w:val="4"/>
        <w:spacing w:before="120" w:line="360" w:lineRule="auto"/>
        <w:rPr>
          <w:color w:val="auto"/>
        </w:rPr>
      </w:pPr>
      <w:bookmarkStart w:id="1299" w:name="_Toc54862230"/>
      <w:bookmarkStart w:id="1300" w:name="_Ref11926422"/>
      <w:bookmarkStart w:id="1301" w:name="_Toc154063546"/>
      <w:bookmarkStart w:id="1302" w:name="_Ref4427594"/>
      <w:r>
        <w:rPr>
          <w:rFonts w:hint="eastAsia"/>
          <w:color w:val="auto"/>
        </w:rPr>
        <w:t>6</w:t>
      </w:r>
      <w:r>
        <w:rPr>
          <w:color w:val="auto"/>
        </w:rPr>
        <w:t xml:space="preserve">.2 </w:t>
      </w:r>
      <w:r>
        <w:rPr>
          <w:rFonts w:hint="eastAsia"/>
          <w:color w:val="auto"/>
        </w:rPr>
        <w:t>材料和工程设备</w:t>
      </w:r>
      <w:bookmarkEnd w:id="1299"/>
      <w:bookmarkEnd w:id="1300"/>
      <w:bookmarkEnd w:id="1301"/>
    </w:p>
    <w:p w14:paraId="49A92A4F">
      <w:pPr>
        <w:pStyle w:val="130"/>
        <w:numPr>
          <w:ilvl w:val="0"/>
          <w:numId w:val="0"/>
        </w:numPr>
        <w:ind w:firstLine="420" w:firstLineChars="200"/>
        <w:rPr>
          <w:color w:val="auto"/>
          <w:sz w:val="21"/>
        </w:rPr>
      </w:pPr>
      <w:bookmarkStart w:id="1303" w:name="_Ref11960295"/>
      <w:r>
        <w:rPr>
          <w:rFonts w:hint="eastAsia"/>
          <w:color w:val="auto"/>
          <w:sz w:val="21"/>
        </w:rPr>
        <w:t>6</w:t>
      </w:r>
      <w:r>
        <w:rPr>
          <w:color w:val="auto"/>
          <w:sz w:val="21"/>
        </w:rPr>
        <w:t xml:space="preserve">.2.1 </w:t>
      </w:r>
      <w:r>
        <w:rPr>
          <w:rFonts w:hint="eastAsia"/>
          <w:color w:val="auto"/>
          <w:sz w:val="21"/>
        </w:rPr>
        <w:t>发包人提供的材料和工程设备</w:t>
      </w:r>
      <w:bookmarkEnd w:id="1302"/>
      <w:bookmarkEnd w:id="1303"/>
    </w:p>
    <w:p w14:paraId="377367CC">
      <w:pPr>
        <w:spacing w:line="360" w:lineRule="auto"/>
        <w:ind w:firstLine="420" w:firstLineChars="200"/>
        <w:rPr>
          <w:rFonts w:ascii="宋体" w:hAnsi="宋体"/>
          <w:color w:val="auto"/>
          <w:szCs w:val="21"/>
        </w:rPr>
      </w:pPr>
      <w:r>
        <w:rPr>
          <w:rFonts w:hint="eastAsia" w:ascii="宋体" w:hAnsi="宋体"/>
          <w:color w:val="auto"/>
          <w:szCs w:val="21"/>
        </w:rPr>
        <w:t>发包人自行供应材料、工程设备的，应在订立合同时在专用合同条件的附件《发包人供应材料设备一览表》中明确材料、工程设备的品种、规格、型号、主要参数、数量、单价、质量等级和交接地点等。</w:t>
      </w:r>
    </w:p>
    <w:p w14:paraId="4A20B609">
      <w:pPr>
        <w:spacing w:line="360" w:lineRule="auto"/>
        <w:ind w:firstLine="420" w:firstLineChars="200"/>
        <w:rPr>
          <w:rFonts w:ascii="宋体" w:hAnsi="宋体"/>
          <w:color w:val="auto"/>
          <w:szCs w:val="21"/>
        </w:rPr>
      </w:pPr>
      <w:r>
        <w:rPr>
          <w:rFonts w:hint="eastAsia" w:ascii="宋体" w:hAnsi="宋体"/>
          <w:color w:val="auto"/>
          <w:szCs w:val="21"/>
        </w:rPr>
        <w:t>承包人应根据项目进度计划的安排，提前28天以书面形式通知工程师供应材料与工程设备的进场计划。承包人按照第</w:t>
      </w:r>
      <w:r>
        <w:rPr>
          <w:rFonts w:ascii="宋体" w:hAnsi="宋体"/>
          <w:color w:val="auto"/>
          <w:szCs w:val="21"/>
        </w:rPr>
        <w:t>8.4</w:t>
      </w:r>
      <w:r>
        <w:rPr>
          <w:rFonts w:hint="eastAsia" w:ascii="宋体" w:hAnsi="宋体"/>
          <w:color w:val="auto"/>
          <w:szCs w:val="21"/>
        </w:rPr>
        <w:t>款[项目进度计划]约定修订项目进度计划时，需同时提交经修订后的发包人供应材料与工程设备的进场计划。发包人应按照上述进场计划，向承包人提交材料和工程设备。</w:t>
      </w:r>
    </w:p>
    <w:p w14:paraId="2B0D51D4">
      <w:pPr>
        <w:spacing w:line="360" w:lineRule="auto"/>
        <w:ind w:firstLine="420" w:firstLineChars="200"/>
        <w:rPr>
          <w:rFonts w:ascii="宋体" w:hAnsi="宋体"/>
          <w:color w:val="auto"/>
          <w:szCs w:val="21"/>
        </w:rPr>
      </w:pPr>
      <w:r>
        <w:rPr>
          <w:rFonts w:hint="eastAsia" w:ascii="宋体" w:hAnsi="宋体"/>
          <w:color w:val="auto"/>
          <w:szCs w:val="21"/>
        </w:rPr>
        <w:t>发包人应在材料和工程设备到货7天前通知承包人，承包人应会同工程师在约定的时间内，赴交货地点共同进行验收。除专用合同条件另有约定外，发包人提供的材料和工程设备验收后，由承包人负责接收、运输和保管。</w:t>
      </w:r>
    </w:p>
    <w:p w14:paraId="671F8EC5">
      <w:pPr>
        <w:spacing w:line="360" w:lineRule="auto"/>
        <w:ind w:firstLine="420" w:firstLineChars="200"/>
        <w:rPr>
          <w:rFonts w:ascii="宋体" w:hAnsi="宋体"/>
          <w:color w:val="auto"/>
          <w:szCs w:val="21"/>
        </w:rPr>
      </w:pPr>
      <w:r>
        <w:rPr>
          <w:rFonts w:hint="eastAsia" w:ascii="宋体" w:hAnsi="宋体"/>
          <w:color w:val="auto"/>
          <w:szCs w:val="21"/>
        </w:rPr>
        <w:t>发包人需要对进场计划进行变更的，承包人不得拒绝，应根据第1</w:t>
      </w:r>
      <w:r>
        <w:rPr>
          <w:rFonts w:ascii="宋体" w:hAnsi="宋体"/>
          <w:color w:val="auto"/>
          <w:szCs w:val="21"/>
        </w:rPr>
        <w:t>3</w:t>
      </w:r>
      <w:r>
        <w:rPr>
          <w:rFonts w:hint="eastAsia" w:ascii="宋体" w:hAnsi="宋体"/>
          <w:color w:val="auto"/>
          <w:szCs w:val="21"/>
        </w:rPr>
        <w:t>条[变更与调整]的规定执行，并由发包人承担承包人由此增加的费用，以及引起的工期延误。承包人需要对进场计划进行变更的，应事先报请工程师批准，由此增加的费用和（或）工期延误由承包人承担。</w:t>
      </w:r>
    </w:p>
    <w:p w14:paraId="20D89923">
      <w:pPr>
        <w:spacing w:line="360" w:lineRule="auto"/>
        <w:ind w:firstLine="420" w:firstLineChars="200"/>
        <w:rPr>
          <w:rFonts w:ascii="宋体" w:hAnsi="宋体"/>
          <w:color w:val="auto"/>
          <w:szCs w:val="21"/>
        </w:rPr>
      </w:pPr>
      <w:r>
        <w:rPr>
          <w:rFonts w:hint="eastAsia" w:ascii="宋体" w:hAnsi="宋体"/>
          <w:color w:val="auto"/>
          <w:szCs w:val="21"/>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50005934">
      <w:pPr>
        <w:pStyle w:val="130"/>
        <w:numPr>
          <w:ilvl w:val="0"/>
          <w:numId w:val="0"/>
        </w:numPr>
        <w:ind w:firstLine="420" w:firstLineChars="200"/>
        <w:rPr>
          <w:color w:val="auto"/>
          <w:sz w:val="21"/>
        </w:rPr>
      </w:pPr>
      <w:bookmarkStart w:id="1304" w:name="_Ref531953918"/>
      <w:r>
        <w:rPr>
          <w:rFonts w:hint="eastAsia"/>
          <w:color w:val="auto"/>
          <w:sz w:val="21"/>
        </w:rPr>
        <w:t>6</w:t>
      </w:r>
      <w:r>
        <w:rPr>
          <w:color w:val="auto"/>
          <w:sz w:val="21"/>
        </w:rPr>
        <w:t xml:space="preserve">.2.2 </w:t>
      </w:r>
      <w:r>
        <w:rPr>
          <w:rFonts w:hint="eastAsia"/>
          <w:color w:val="auto"/>
          <w:sz w:val="21"/>
        </w:rPr>
        <w:t>承包人提供的材料和工程设备</w:t>
      </w:r>
      <w:bookmarkEnd w:id="1304"/>
    </w:p>
    <w:p w14:paraId="3DBF6F6A">
      <w:pPr>
        <w:spacing w:line="360" w:lineRule="auto"/>
        <w:ind w:firstLine="420" w:firstLineChars="200"/>
        <w:rPr>
          <w:rFonts w:ascii="宋体" w:hAnsi="宋体"/>
          <w:color w:val="auto"/>
          <w:szCs w:val="21"/>
        </w:rPr>
      </w:pPr>
      <w:r>
        <w:rPr>
          <w:rFonts w:hint="eastAsia" w:ascii="宋体" w:hAnsi="宋体"/>
          <w:color w:val="auto"/>
          <w:szCs w:val="21"/>
        </w:rPr>
        <w:t>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p>
    <w:p w14:paraId="51080729">
      <w:pPr>
        <w:spacing w:line="360" w:lineRule="auto"/>
        <w:ind w:firstLine="420" w:firstLineChars="200"/>
        <w:rPr>
          <w:rFonts w:ascii="宋体" w:hAnsi="宋体"/>
          <w:color w:val="auto"/>
          <w:szCs w:val="21"/>
        </w:rPr>
      </w:pPr>
      <w:r>
        <w:rPr>
          <w:rFonts w:hint="eastAsia" w:ascii="宋体" w:hAnsi="宋体"/>
          <w:color w:val="auto"/>
          <w:szCs w:val="21"/>
        </w:rPr>
        <w:t>承包人应按照已被批准的第</w:t>
      </w:r>
      <w:r>
        <w:rPr>
          <w:rFonts w:ascii="宋体" w:hAnsi="宋体"/>
          <w:color w:val="auto"/>
          <w:szCs w:val="21"/>
        </w:rPr>
        <w:t>8.4</w:t>
      </w:r>
      <w:r>
        <w:rPr>
          <w:rFonts w:hint="eastAsia" w:ascii="宋体" w:hAnsi="宋体"/>
          <w:color w:val="auto"/>
          <w:szCs w:val="21"/>
        </w:rPr>
        <w:t>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供应商，发包人违反本款约定指定生产厂家或供应商的，承包人有权拒绝，并由发包人承担相应责任。</w:t>
      </w:r>
    </w:p>
    <w:p w14:paraId="20D12FF6">
      <w:pPr>
        <w:spacing w:line="360" w:lineRule="auto"/>
        <w:ind w:firstLine="420" w:firstLineChars="200"/>
        <w:rPr>
          <w:rFonts w:ascii="宋体" w:hAnsi="宋体"/>
          <w:color w:val="auto"/>
          <w:szCs w:val="21"/>
        </w:rPr>
      </w:pPr>
      <w:r>
        <w:rPr>
          <w:rFonts w:hint="eastAsia" w:ascii="宋体" w:hAnsi="宋体"/>
          <w:color w:val="auto"/>
          <w:szCs w:val="21"/>
        </w:rPr>
        <w:t>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p>
    <w:p w14:paraId="3CCB5161">
      <w:pPr>
        <w:spacing w:line="360" w:lineRule="auto"/>
        <w:ind w:firstLine="420" w:firstLineChars="200"/>
        <w:rPr>
          <w:rFonts w:ascii="宋体" w:hAnsi="宋体"/>
          <w:color w:val="auto"/>
          <w:szCs w:val="21"/>
        </w:rPr>
      </w:pPr>
      <w:r>
        <w:rPr>
          <w:rFonts w:hint="eastAsia" w:ascii="宋体" w:hAnsi="宋体"/>
          <w:color w:val="auto"/>
          <w:szCs w:val="21"/>
        </w:rPr>
        <w:t>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p>
    <w:p w14:paraId="2A6DF654">
      <w:pPr>
        <w:spacing w:line="360" w:lineRule="auto"/>
        <w:ind w:firstLine="420" w:firstLineChars="200"/>
        <w:rPr>
          <w:rFonts w:hint="eastAsia" w:ascii="宋体" w:hAnsi="宋体"/>
          <w:color w:val="auto"/>
          <w:szCs w:val="21"/>
        </w:rPr>
      </w:pPr>
      <w:bookmarkStart w:id="1305" w:name="_Ref531953999"/>
      <w:bookmarkStart w:id="1306" w:name="_Ref531953991"/>
      <w:r>
        <w:rPr>
          <w:rFonts w:hint="eastAsia" w:ascii="宋体" w:hAnsi="宋体"/>
          <w:color w:val="auto"/>
          <w:szCs w:val="21"/>
        </w:rPr>
        <w:t>6</w:t>
      </w:r>
      <w:r>
        <w:rPr>
          <w:rFonts w:ascii="宋体" w:hAnsi="宋体"/>
          <w:color w:val="auto"/>
          <w:szCs w:val="21"/>
        </w:rPr>
        <w:t xml:space="preserve">.2.3 </w:t>
      </w:r>
      <w:r>
        <w:rPr>
          <w:rFonts w:hint="eastAsia" w:ascii="宋体" w:hAnsi="宋体"/>
          <w:color w:val="auto"/>
          <w:szCs w:val="21"/>
        </w:rPr>
        <w:t>材料和工程设备的保管</w:t>
      </w:r>
      <w:bookmarkEnd w:id="1305"/>
      <w:bookmarkEnd w:id="1306"/>
      <w:r>
        <w:rPr>
          <w:rFonts w:hint="eastAsia" w:ascii="宋体" w:hAnsi="宋体"/>
          <w:color w:val="auto"/>
          <w:szCs w:val="21"/>
        </w:rPr>
        <w:t xml:space="preserve"> </w:t>
      </w:r>
    </w:p>
    <w:p w14:paraId="422E99C9">
      <w:pPr>
        <w:spacing w:line="360" w:lineRule="auto"/>
        <w:ind w:firstLine="420" w:firstLineChars="200"/>
        <w:rPr>
          <w:rFonts w:ascii="宋体" w:hAnsi="宋体"/>
          <w:color w:val="auto"/>
          <w:szCs w:val="21"/>
        </w:rPr>
      </w:pPr>
      <w:r>
        <w:rPr>
          <w:rFonts w:hint="eastAsia" w:ascii="宋体" w:hAnsi="宋体"/>
          <w:color w:val="auto"/>
          <w:szCs w:val="21"/>
        </w:rPr>
        <w:t>（1）发包人供应材料与工程设备的保管与使用</w:t>
      </w:r>
    </w:p>
    <w:p w14:paraId="41C923F0">
      <w:pPr>
        <w:spacing w:line="360" w:lineRule="auto"/>
        <w:ind w:firstLine="420" w:firstLineChars="200"/>
        <w:rPr>
          <w:rFonts w:ascii="宋体" w:hAnsi="宋体"/>
          <w:color w:val="auto"/>
          <w:szCs w:val="21"/>
        </w:rPr>
      </w:pPr>
      <w:r>
        <w:rPr>
          <w:rFonts w:hint="eastAsia" w:ascii="宋体" w:hAnsi="宋体"/>
          <w:color w:val="auto"/>
          <w:szCs w:val="21"/>
        </w:rPr>
        <w:t>发包人供应的材料和工程设备，承包人清点并接收后由承包人妥善保管，保管费用由承包人承担，但专用合同条件另有约定除外。因承包人原因发生丢失毁损的，由承包人负责赔偿。</w:t>
      </w:r>
    </w:p>
    <w:p w14:paraId="33528030">
      <w:pPr>
        <w:spacing w:line="360" w:lineRule="auto"/>
        <w:ind w:firstLine="420" w:firstLineChars="200"/>
        <w:rPr>
          <w:rFonts w:ascii="宋体" w:hAnsi="宋体"/>
          <w:color w:val="auto"/>
          <w:szCs w:val="21"/>
        </w:rPr>
      </w:pPr>
      <w:r>
        <w:rPr>
          <w:rFonts w:hint="eastAsia" w:ascii="宋体" w:hAnsi="宋体"/>
          <w:color w:val="auto"/>
          <w:szCs w:val="21"/>
        </w:rPr>
        <w:t>发包人供应的材料和工程设备使用前，由承包人负责必要的检验，检验费用由发包人承担，不合格的不得使用。</w:t>
      </w:r>
    </w:p>
    <w:p w14:paraId="648B71D0">
      <w:pPr>
        <w:spacing w:line="360" w:lineRule="auto"/>
        <w:ind w:firstLine="420" w:firstLineChars="200"/>
        <w:rPr>
          <w:rFonts w:ascii="宋体" w:hAnsi="宋体"/>
          <w:color w:val="auto"/>
          <w:szCs w:val="21"/>
        </w:rPr>
      </w:pPr>
      <w:r>
        <w:rPr>
          <w:rFonts w:hint="eastAsia" w:ascii="宋体" w:hAnsi="宋体"/>
          <w:color w:val="auto"/>
          <w:szCs w:val="21"/>
        </w:rPr>
        <w:t>（2）承包人采购材料与工程设备的保管与使用</w:t>
      </w:r>
    </w:p>
    <w:p w14:paraId="09D73C68">
      <w:pPr>
        <w:spacing w:line="360" w:lineRule="auto"/>
        <w:ind w:firstLine="420" w:firstLineChars="200"/>
        <w:rPr>
          <w:rFonts w:ascii="宋体" w:hAnsi="宋体"/>
          <w:color w:val="auto"/>
          <w:szCs w:val="21"/>
        </w:rPr>
      </w:pPr>
      <w:r>
        <w:rPr>
          <w:rFonts w:hint="eastAsia" w:ascii="宋体" w:hAnsi="宋体"/>
          <w:color w:val="auto"/>
          <w:szCs w:val="21"/>
        </w:rPr>
        <w:t>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p>
    <w:p w14:paraId="631F0563">
      <w:pPr>
        <w:spacing w:line="360" w:lineRule="auto"/>
        <w:ind w:firstLine="420" w:firstLineChars="200"/>
        <w:rPr>
          <w:rFonts w:ascii="宋体" w:hAnsi="宋体"/>
          <w:color w:val="auto"/>
          <w:szCs w:val="21"/>
        </w:rPr>
      </w:pPr>
      <w:r>
        <w:rPr>
          <w:rFonts w:hint="eastAsia" w:ascii="宋体" w:hAnsi="宋体"/>
          <w:color w:val="auto"/>
          <w:szCs w:val="21"/>
        </w:rPr>
        <w:t>工程师发现承包人使用不符合设计或有关标准要求的材料和工程设备时，有权要求承包人进行修复、拆除或重新采购，由此增加的费用和（或）延误的工期，由承包人承担。</w:t>
      </w:r>
    </w:p>
    <w:p w14:paraId="0E113F88">
      <w:pPr>
        <w:pStyle w:val="130"/>
        <w:numPr>
          <w:ilvl w:val="0"/>
          <w:numId w:val="0"/>
        </w:numPr>
        <w:ind w:firstLine="420" w:firstLineChars="200"/>
        <w:rPr>
          <w:color w:val="auto"/>
          <w:sz w:val="21"/>
        </w:rPr>
      </w:pPr>
      <w:r>
        <w:rPr>
          <w:rFonts w:hint="eastAsia"/>
          <w:color w:val="auto"/>
          <w:sz w:val="21"/>
        </w:rPr>
        <w:t>6</w:t>
      </w:r>
      <w:r>
        <w:rPr>
          <w:color w:val="auto"/>
          <w:sz w:val="21"/>
        </w:rPr>
        <w:t xml:space="preserve">.2.4 </w:t>
      </w:r>
      <w:r>
        <w:rPr>
          <w:rFonts w:hint="eastAsia"/>
          <w:color w:val="auto"/>
          <w:sz w:val="21"/>
        </w:rPr>
        <w:t>材料和工程设备的所有权</w:t>
      </w:r>
    </w:p>
    <w:p w14:paraId="765C9529">
      <w:pPr>
        <w:spacing w:line="360" w:lineRule="auto"/>
        <w:ind w:firstLine="420" w:firstLineChars="200"/>
        <w:rPr>
          <w:rFonts w:ascii="宋体" w:hAnsi="宋体"/>
          <w:color w:val="auto"/>
          <w:szCs w:val="21"/>
        </w:rPr>
      </w:pPr>
      <w:r>
        <w:rPr>
          <w:rFonts w:hint="eastAsia" w:ascii="宋体" w:hAnsi="宋体"/>
          <w:color w:val="auto"/>
          <w:szCs w:val="21"/>
        </w:rPr>
        <w:t>除本合同另有约定外，承包人根据第</w:t>
      </w:r>
      <w:r>
        <w:rPr>
          <w:rFonts w:ascii="宋体" w:hAnsi="宋体"/>
          <w:color w:val="auto"/>
          <w:szCs w:val="21"/>
        </w:rPr>
        <w:t>6.2.2</w:t>
      </w:r>
      <w:r>
        <w:rPr>
          <w:rFonts w:hint="eastAsia" w:ascii="宋体" w:hAnsi="宋体"/>
          <w:color w:val="auto"/>
          <w:szCs w:val="21"/>
        </w:rPr>
        <w:t>项[承包人提供的材料和工程设备]约定提供的材料和工程设备后，材料及工程设备的价款应列入第1</w:t>
      </w:r>
      <w:r>
        <w:rPr>
          <w:rFonts w:ascii="宋体" w:hAnsi="宋体"/>
          <w:color w:val="auto"/>
          <w:szCs w:val="21"/>
        </w:rPr>
        <w:t>4.3.1</w:t>
      </w:r>
      <w:r>
        <w:rPr>
          <w:rFonts w:hint="eastAsia" w:ascii="宋体" w:hAnsi="宋体"/>
          <w:color w:val="auto"/>
          <w:szCs w:val="21"/>
        </w:rPr>
        <w:t>项第（2）目的进度款金额中，发包人支付当期进度款之后，其所有权转为发包人所有（周转性材料除外）；在发包人接收工程前，承包人有义务对材料和工程设备进行保管、维护和保养，未经发包人批准不得运出现场。</w:t>
      </w:r>
    </w:p>
    <w:p w14:paraId="62FF763F">
      <w:pPr>
        <w:spacing w:line="360" w:lineRule="auto"/>
        <w:ind w:firstLine="420" w:firstLineChars="200"/>
        <w:rPr>
          <w:rFonts w:ascii="宋体" w:hAnsi="宋体"/>
          <w:color w:val="auto"/>
          <w:szCs w:val="21"/>
        </w:rPr>
      </w:pPr>
      <w:r>
        <w:rPr>
          <w:rFonts w:hint="eastAsia" w:ascii="宋体" w:hAnsi="宋体"/>
          <w:color w:val="auto"/>
          <w:szCs w:val="21"/>
        </w:rPr>
        <w:t>承包人按第</w:t>
      </w:r>
      <w:r>
        <w:rPr>
          <w:rFonts w:ascii="宋体" w:hAnsi="宋体"/>
          <w:color w:val="auto"/>
          <w:szCs w:val="21"/>
        </w:rPr>
        <w:t>6.2.2项提供的材料和工程设备</w:t>
      </w:r>
      <w:r>
        <w:rPr>
          <w:rFonts w:hint="eastAsia" w:ascii="宋体" w:hAnsi="宋体"/>
          <w:color w:val="auto"/>
          <w:szCs w:val="21"/>
        </w:rPr>
        <w:t>，承包人应确保发包人取得无权利负担的材料及工程设备所有权，因承包人与第三人的物权争议导致的增加的费用和（或）延误的工期，由承包人承担。</w:t>
      </w:r>
    </w:p>
    <w:p w14:paraId="5E60BD18">
      <w:pPr>
        <w:pStyle w:val="4"/>
        <w:spacing w:before="120" w:line="360" w:lineRule="auto"/>
        <w:rPr>
          <w:color w:val="auto"/>
        </w:rPr>
      </w:pPr>
      <w:bookmarkStart w:id="1307" w:name="_Ref4428239"/>
      <w:bookmarkStart w:id="1308" w:name="_Toc154063547"/>
      <w:bookmarkStart w:id="1309" w:name="_Toc54862231"/>
      <w:bookmarkStart w:id="1310" w:name="_Toc351203565"/>
      <w:bookmarkStart w:id="1311" w:name="_Toc337558785"/>
      <w:r>
        <w:rPr>
          <w:rFonts w:hint="eastAsia"/>
          <w:color w:val="auto"/>
        </w:rPr>
        <w:t>6</w:t>
      </w:r>
      <w:r>
        <w:rPr>
          <w:color w:val="auto"/>
        </w:rPr>
        <w:t xml:space="preserve">.3 </w:t>
      </w:r>
      <w:r>
        <w:rPr>
          <w:rFonts w:hint="eastAsia"/>
          <w:color w:val="auto"/>
        </w:rPr>
        <w:t>样品</w:t>
      </w:r>
      <w:bookmarkEnd w:id="1307"/>
      <w:bookmarkEnd w:id="1308"/>
      <w:bookmarkEnd w:id="1309"/>
    </w:p>
    <w:p w14:paraId="5C20CD74">
      <w:pPr>
        <w:pStyle w:val="130"/>
        <w:numPr>
          <w:ilvl w:val="0"/>
          <w:numId w:val="0"/>
        </w:numPr>
        <w:ind w:firstLine="420" w:firstLineChars="200"/>
        <w:rPr>
          <w:color w:val="auto"/>
          <w:sz w:val="21"/>
        </w:rPr>
      </w:pPr>
      <w:r>
        <w:rPr>
          <w:rFonts w:hint="eastAsia"/>
          <w:color w:val="auto"/>
          <w:sz w:val="21"/>
        </w:rPr>
        <w:t>6</w:t>
      </w:r>
      <w:r>
        <w:rPr>
          <w:color w:val="auto"/>
          <w:sz w:val="21"/>
        </w:rPr>
        <w:t xml:space="preserve">.3.1 </w:t>
      </w:r>
      <w:r>
        <w:rPr>
          <w:rFonts w:hint="eastAsia"/>
          <w:color w:val="auto"/>
          <w:sz w:val="21"/>
        </w:rPr>
        <w:t>样品的报送与封存</w:t>
      </w:r>
    </w:p>
    <w:p w14:paraId="656A2829">
      <w:pPr>
        <w:spacing w:line="360" w:lineRule="auto"/>
        <w:ind w:firstLine="420" w:firstLineChars="200"/>
        <w:rPr>
          <w:rFonts w:hint="eastAsia" w:ascii="宋体" w:hAnsi="宋体"/>
          <w:color w:val="auto"/>
          <w:szCs w:val="21"/>
        </w:rPr>
      </w:pPr>
      <w:r>
        <w:rPr>
          <w:rFonts w:hint="eastAsia" w:ascii="宋体" w:hAnsi="宋体"/>
          <w:color w:val="auto"/>
          <w:szCs w:val="21"/>
        </w:rPr>
        <w:t>需要承包人报送样品的材料或工程设备，样品的种类、名称、规格、数量等要求均应在专用合同条件中约定。样品的报送程序如下：</w:t>
      </w:r>
    </w:p>
    <w:p w14:paraId="11ADE74B">
      <w:pPr>
        <w:spacing w:line="360" w:lineRule="auto"/>
        <w:ind w:firstLine="420" w:firstLineChars="200"/>
        <w:rPr>
          <w:rFonts w:ascii="宋体" w:hAnsi="宋体"/>
          <w:color w:val="auto"/>
          <w:szCs w:val="21"/>
        </w:rPr>
      </w:pPr>
      <w:r>
        <w:rPr>
          <w:rFonts w:hint="eastAsia" w:ascii="宋体" w:hAnsi="宋体"/>
          <w:color w:val="auto"/>
          <w:szCs w:val="21"/>
        </w:rPr>
        <w:t>（1）承包人应在计划采购前28天向工程师报送样品。承包人报送的样品均应来自供应材料的实际生产地，且提供的样品的规格、数量足以表明材料或工程设备的质量、型号、颜色、表面处理、质地、误差和其他要求的特征。</w:t>
      </w:r>
    </w:p>
    <w:p w14:paraId="1CFB455F">
      <w:pPr>
        <w:spacing w:line="360" w:lineRule="auto"/>
        <w:ind w:firstLine="420" w:firstLineChars="200"/>
        <w:rPr>
          <w:rFonts w:ascii="宋体" w:hAnsi="宋体"/>
          <w:color w:val="auto"/>
          <w:szCs w:val="21"/>
        </w:rPr>
      </w:pPr>
      <w:r>
        <w:rPr>
          <w:rFonts w:hint="eastAsia" w:ascii="宋体" w:hAnsi="宋体"/>
          <w:color w:val="auto"/>
          <w:szCs w:val="21"/>
        </w:rPr>
        <w:t>（2）承包人每次报送样品时应随附申报单，申报单应载明报送样品的相关数据和资料，并标明每件样品对应的图纸号，预留工程师审批意见栏。工程师应在收到承包人报送的样品后7天向承包人回复经发包人签认的样品审批意见。</w:t>
      </w:r>
    </w:p>
    <w:p w14:paraId="42C8DD01">
      <w:pPr>
        <w:spacing w:line="360" w:lineRule="auto"/>
        <w:ind w:firstLine="420" w:firstLineChars="200"/>
        <w:rPr>
          <w:rFonts w:ascii="宋体" w:hAnsi="宋体"/>
          <w:color w:val="auto"/>
          <w:szCs w:val="21"/>
        </w:rPr>
      </w:pPr>
      <w:r>
        <w:rPr>
          <w:rFonts w:hint="eastAsia" w:ascii="宋体" w:hAnsi="宋体"/>
          <w:color w:val="auto"/>
          <w:szCs w:val="21"/>
        </w:rPr>
        <w:t>（3）经工程师审批确认的样品应按约定的方法封样，封存的样品作为检验工程相关部分的标准之一。承包人在施工过程中不得使用与样品不符的材料或工程设备。</w:t>
      </w:r>
    </w:p>
    <w:p w14:paraId="1B9A700E">
      <w:pPr>
        <w:spacing w:line="360" w:lineRule="auto"/>
        <w:ind w:firstLine="420" w:firstLineChars="200"/>
        <w:rPr>
          <w:rFonts w:ascii="宋体" w:hAnsi="宋体"/>
          <w:color w:val="auto"/>
          <w:szCs w:val="21"/>
        </w:rPr>
      </w:pPr>
      <w:r>
        <w:rPr>
          <w:rFonts w:hint="eastAsia" w:ascii="宋体" w:hAnsi="宋体"/>
          <w:color w:val="auto"/>
          <w:szCs w:val="21"/>
        </w:rPr>
        <w:t>（4）工程师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25E8953F">
      <w:pPr>
        <w:pStyle w:val="130"/>
        <w:numPr>
          <w:ilvl w:val="0"/>
          <w:numId w:val="0"/>
        </w:numPr>
        <w:ind w:firstLine="420" w:firstLineChars="200"/>
        <w:rPr>
          <w:color w:val="auto"/>
          <w:sz w:val="21"/>
        </w:rPr>
      </w:pPr>
      <w:r>
        <w:rPr>
          <w:rFonts w:hint="eastAsia"/>
          <w:color w:val="auto"/>
          <w:sz w:val="21"/>
        </w:rPr>
        <w:t>6</w:t>
      </w:r>
      <w:r>
        <w:rPr>
          <w:color w:val="auto"/>
          <w:sz w:val="21"/>
        </w:rPr>
        <w:t xml:space="preserve">.3.2 </w:t>
      </w:r>
      <w:r>
        <w:rPr>
          <w:rFonts w:hint="eastAsia"/>
          <w:color w:val="auto"/>
          <w:sz w:val="21"/>
        </w:rPr>
        <w:t>样品的保管</w:t>
      </w:r>
    </w:p>
    <w:p w14:paraId="6AF29AB3">
      <w:pPr>
        <w:spacing w:line="360" w:lineRule="auto"/>
        <w:ind w:firstLine="420" w:firstLineChars="200"/>
        <w:rPr>
          <w:rFonts w:ascii="宋体" w:hAnsi="宋体"/>
          <w:color w:val="auto"/>
          <w:szCs w:val="21"/>
        </w:rPr>
      </w:pPr>
      <w:r>
        <w:rPr>
          <w:rFonts w:hint="eastAsia" w:ascii="宋体" w:hAnsi="宋体"/>
          <w:color w:val="auto"/>
          <w:szCs w:val="21"/>
        </w:rPr>
        <w:t>经批准的样品应由工程师负责封存于现场，承包人应在现场为保存样品提供适当和固定的场所并保持适当和良好的存储环境条件。</w:t>
      </w:r>
    </w:p>
    <w:p w14:paraId="09FA3AE7">
      <w:pPr>
        <w:pStyle w:val="4"/>
        <w:spacing w:before="120" w:line="360" w:lineRule="auto"/>
        <w:rPr>
          <w:color w:val="auto"/>
        </w:rPr>
      </w:pPr>
      <w:bookmarkStart w:id="1312" w:name="_Toc54862232"/>
      <w:bookmarkStart w:id="1313" w:name="_Toc154063548"/>
      <w:bookmarkStart w:id="1314" w:name="_Ref11959210"/>
      <w:bookmarkStart w:id="1315" w:name="_Ref11959204"/>
      <w:r>
        <w:rPr>
          <w:rFonts w:hint="eastAsia"/>
          <w:color w:val="auto"/>
        </w:rPr>
        <w:t>6</w:t>
      </w:r>
      <w:r>
        <w:rPr>
          <w:color w:val="auto"/>
        </w:rPr>
        <w:t xml:space="preserve">.4 </w:t>
      </w:r>
      <w:r>
        <w:rPr>
          <w:rFonts w:hint="eastAsia"/>
          <w:color w:val="auto"/>
        </w:rPr>
        <w:t>质量检查</w:t>
      </w:r>
      <w:bookmarkEnd w:id="1312"/>
      <w:bookmarkEnd w:id="1313"/>
      <w:bookmarkEnd w:id="1314"/>
      <w:bookmarkEnd w:id="1315"/>
    </w:p>
    <w:p w14:paraId="74BEF8AE">
      <w:pPr>
        <w:pStyle w:val="130"/>
        <w:numPr>
          <w:ilvl w:val="0"/>
          <w:numId w:val="0"/>
        </w:numPr>
        <w:ind w:firstLine="420" w:firstLineChars="200"/>
        <w:rPr>
          <w:color w:val="auto"/>
          <w:sz w:val="21"/>
        </w:rPr>
      </w:pPr>
      <w:bookmarkStart w:id="1316" w:name="_Ref18990699"/>
      <w:r>
        <w:rPr>
          <w:rFonts w:hint="eastAsia"/>
          <w:color w:val="auto"/>
          <w:sz w:val="21"/>
        </w:rPr>
        <w:t>6</w:t>
      </w:r>
      <w:r>
        <w:rPr>
          <w:color w:val="auto"/>
          <w:sz w:val="21"/>
        </w:rPr>
        <w:t xml:space="preserve">.4.1 </w:t>
      </w:r>
      <w:r>
        <w:rPr>
          <w:rFonts w:hint="eastAsia"/>
          <w:color w:val="auto"/>
          <w:sz w:val="21"/>
        </w:rPr>
        <w:t>工程质量要求</w:t>
      </w:r>
      <w:bookmarkEnd w:id="1316"/>
    </w:p>
    <w:p w14:paraId="032A7045">
      <w:pPr>
        <w:spacing w:line="360" w:lineRule="auto"/>
        <w:ind w:firstLine="420" w:firstLineChars="200"/>
        <w:rPr>
          <w:rFonts w:ascii="宋体" w:hAnsi="宋体"/>
          <w:color w:val="auto"/>
          <w:szCs w:val="21"/>
        </w:rPr>
      </w:pPr>
      <w:r>
        <w:rPr>
          <w:rFonts w:hint="eastAsia" w:ascii="宋体" w:hAnsi="宋体"/>
          <w:color w:val="auto"/>
          <w:szCs w:val="21"/>
        </w:rPr>
        <w:t>工程质量标准必须符合现行国家有关工程施工质量验收规范和标准的要求。有关工程质量的特殊标准或要求由合同当事人在专用合同条件中约定。</w:t>
      </w:r>
    </w:p>
    <w:p w14:paraId="6F8000EC">
      <w:pPr>
        <w:spacing w:line="360" w:lineRule="auto"/>
        <w:ind w:firstLine="420" w:firstLineChars="200"/>
        <w:rPr>
          <w:rFonts w:ascii="宋体" w:hAnsi="宋体"/>
          <w:color w:val="auto"/>
          <w:szCs w:val="21"/>
        </w:rPr>
      </w:pPr>
      <w:r>
        <w:rPr>
          <w:rFonts w:hint="eastAsia" w:ascii="宋体" w:hAnsi="宋体"/>
          <w:color w:val="auto"/>
          <w:szCs w:val="21"/>
        </w:rPr>
        <w:t>因承包人原因造成工程质量未达到合同约定标准的，发包人有权要求承包人返工直至工程质量达到合同约定的标准为止，并由承包人承担由此增加的费用和（或）延误的工期。因发包人原因造成工程质量未达到合同约定标准的，由发包人承担由此增加的费用和（或）延误的工期，并支付承包人合理的利润。</w:t>
      </w:r>
    </w:p>
    <w:p w14:paraId="5D7BD673">
      <w:pPr>
        <w:pStyle w:val="130"/>
        <w:numPr>
          <w:ilvl w:val="0"/>
          <w:numId w:val="0"/>
        </w:numPr>
        <w:ind w:firstLine="420" w:firstLineChars="200"/>
        <w:rPr>
          <w:color w:val="auto"/>
          <w:sz w:val="21"/>
        </w:rPr>
      </w:pPr>
      <w:bookmarkStart w:id="1317" w:name="_Ref18990717"/>
      <w:r>
        <w:rPr>
          <w:rFonts w:hint="eastAsia"/>
          <w:color w:val="auto"/>
          <w:sz w:val="21"/>
        </w:rPr>
        <w:t>6</w:t>
      </w:r>
      <w:r>
        <w:rPr>
          <w:color w:val="auto"/>
          <w:sz w:val="21"/>
        </w:rPr>
        <w:t xml:space="preserve">.4.2 </w:t>
      </w:r>
      <w:r>
        <w:rPr>
          <w:rFonts w:hint="eastAsia"/>
          <w:color w:val="auto"/>
          <w:sz w:val="21"/>
        </w:rPr>
        <w:t>质量检查</w:t>
      </w:r>
      <w:bookmarkEnd w:id="1317"/>
    </w:p>
    <w:p w14:paraId="089E7FF2">
      <w:pPr>
        <w:spacing w:line="360" w:lineRule="auto"/>
        <w:ind w:firstLine="420" w:firstLineChars="200"/>
        <w:rPr>
          <w:rFonts w:ascii="宋体" w:hAnsi="宋体"/>
          <w:color w:val="auto"/>
          <w:szCs w:val="21"/>
        </w:rPr>
      </w:pPr>
      <w:r>
        <w:rPr>
          <w:rFonts w:hint="eastAsia" w:ascii="宋体" w:hAnsi="宋体"/>
          <w:color w:val="auto"/>
          <w:szCs w:val="21"/>
        </w:rPr>
        <w:t>发包人有权通过工程师或自行对全部工程内容及其施工工艺、材料和工程设备进行检查和检验。承包人应为工程师或发包人的检查和检验提供方便，包括到施工现场，或制造、加工地点，或专用合同条件约定的其他地方进行察看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不免除承包人按合同约定应负的责任。</w:t>
      </w:r>
    </w:p>
    <w:p w14:paraId="7A78DE64">
      <w:pPr>
        <w:pStyle w:val="130"/>
        <w:numPr>
          <w:ilvl w:val="0"/>
          <w:numId w:val="0"/>
        </w:numPr>
        <w:ind w:firstLine="420" w:firstLineChars="200"/>
        <w:rPr>
          <w:color w:val="auto"/>
          <w:sz w:val="21"/>
        </w:rPr>
      </w:pPr>
      <w:bookmarkStart w:id="1318" w:name="_Ref11959222"/>
      <w:r>
        <w:rPr>
          <w:rFonts w:hint="eastAsia"/>
          <w:color w:val="auto"/>
          <w:sz w:val="21"/>
        </w:rPr>
        <w:t>6</w:t>
      </w:r>
      <w:r>
        <w:rPr>
          <w:color w:val="auto"/>
          <w:sz w:val="21"/>
        </w:rPr>
        <w:t xml:space="preserve">.4.3 </w:t>
      </w:r>
      <w:r>
        <w:rPr>
          <w:rFonts w:hint="eastAsia"/>
          <w:color w:val="auto"/>
          <w:sz w:val="21"/>
        </w:rPr>
        <w:t>隐蔽工程检查</w:t>
      </w:r>
      <w:bookmarkEnd w:id="1318"/>
    </w:p>
    <w:p w14:paraId="3BD36E96">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除专用合同条件另有约定外，工程隐蔽部位经承包人自检确认具备覆盖条件的，承包人应书面通知工程师在约定的期限内检查，通知中应载明隐蔽检查的内容、时间和地点，并应附有自检记录和必要的检查资料。</w:t>
      </w:r>
    </w:p>
    <w:p w14:paraId="4333BDC6">
      <w:pPr>
        <w:spacing w:line="360" w:lineRule="auto"/>
        <w:ind w:firstLine="420" w:firstLineChars="200"/>
        <w:rPr>
          <w:rFonts w:ascii="宋体" w:hAnsi="宋体"/>
          <w:color w:val="auto"/>
          <w:szCs w:val="21"/>
        </w:rPr>
      </w:pPr>
      <w:r>
        <w:rPr>
          <w:rFonts w:hint="eastAsia" w:ascii="宋体" w:hAnsi="宋体"/>
          <w:color w:val="auto"/>
          <w:szCs w:val="21"/>
        </w:rPr>
        <w:t>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p>
    <w:p w14:paraId="4C62F60D">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除专用合同条件另有约定外，工程师不能按时进行检查的，应提前向承包人提交书面延期要求，顺延时间不得超过</w:t>
      </w:r>
      <w:r>
        <w:rPr>
          <w:rFonts w:ascii="宋体" w:hAnsi="宋体"/>
          <w:color w:val="auto"/>
          <w:szCs w:val="21"/>
        </w:rPr>
        <w:t>48小时，</w:t>
      </w:r>
      <w:r>
        <w:rPr>
          <w:rFonts w:hint="eastAsia" w:ascii="宋体" w:hAnsi="宋体"/>
          <w:color w:val="auto"/>
          <w:szCs w:val="21"/>
        </w:rPr>
        <w:t>由此导致工期延误的，工期应予以顺延，顺延超过</w:t>
      </w:r>
      <w:r>
        <w:rPr>
          <w:rFonts w:ascii="宋体" w:hAnsi="宋体"/>
          <w:color w:val="auto"/>
          <w:szCs w:val="21"/>
        </w:rPr>
        <w:t>48小时的，由此导致的工期延误及费用增加由发包人承担</w:t>
      </w:r>
      <w:r>
        <w:rPr>
          <w:rFonts w:hint="eastAsia" w:ascii="宋体" w:hAnsi="宋体"/>
          <w:color w:val="auto"/>
          <w:szCs w:val="21"/>
        </w:rPr>
        <w:t>。工程师未按时进行检查，也未提出延期要求的，视为隐蔽工程检查合格，承包人可自行完成覆盖工作，并作相应记录报送工程师，工程师应签字确认。工程师事后对检查记录有疑问的，可按下列约定重新检查。</w:t>
      </w:r>
    </w:p>
    <w:p w14:paraId="134CDBDF">
      <w:pPr>
        <w:spacing w:line="360" w:lineRule="auto"/>
        <w:ind w:firstLine="420" w:firstLineChars="200"/>
        <w:rPr>
          <w:rFonts w:ascii="宋体" w:hAnsi="宋体"/>
          <w:color w:val="auto"/>
          <w:szCs w:val="21"/>
        </w:rPr>
      </w:pPr>
      <w:r>
        <w:rPr>
          <w:rFonts w:hint="eastAsia" w:ascii="宋体" w:hAnsi="宋体"/>
          <w:color w:val="auto"/>
          <w:szCs w:val="21"/>
        </w:rPr>
        <w:t>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63851105">
      <w:pPr>
        <w:spacing w:line="360" w:lineRule="auto"/>
        <w:ind w:firstLine="420" w:firstLineChars="200"/>
        <w:rPr>
          <w:rFonts w:ascii="宋体" w:hAnsi="宋体"/>
          <w:color w:val="auto"/>
          <w:szCs w:val="21"/>
        </w:rPr>
      </w:pPr>
      <w:r>
        <w:rPr>
          <w:rFonts w:hint="eastAsia" w:ascii="宋体" w:hAnsi="宋体"/>
          <w:color w:val="auto"/>
          <w:szCs w:val="21"/>
        </w:rPr>
        <w:t>承包人未通知工程师到场检查，私自将工程隐蔽部位覆盖的，工程师有权指示承包人钻孔探测或揭开检查，无论工程隐蔽部位质量是否合格，由此增加的费用和（或）延误的工期均由承包人承担。</w:t>
      </w:r>
    </w:p>
    <w:bookmarkEnd w:id="1310"/>
    <w:p w14:paraId="0F69FFE0">
      <w:pPr>
        <w:pStyle w:val="4"/>
        <w:spacing w:before="120" w:line="360" w:lineRule="auto"/>
        <w:rPr>
          <w:color w:val="auto"/>
        </w:rPr>
      </w:pPr>
      <w:bookmarkStart w:id="1319" w:name="_Ref11927398"/>
      <w:bookmarkStart w:id="1320" w:name="_Ref11927389"/>
      <w:bookmarkStart w:id="1321" w:name="_Ref11927403"/>
      <w:bookmarkStart w:id="1322" w:name="_Toc154063549"/>
      <w:bookmarkStart w:id="1323" w:name="_Toc54862233"/>
      <w:bookmarkStart w:id="1324" w:name="_Ref11959158"/>
      <w:bookmarkStart w:id="1325" w:name="_Ref11959175"/>
      <w:r>
        <w:rPr>
          <w:rFonts w:hint="eastAsia"/>
          <w:color w:val="auto"/>
        </w:rPr>
        <w:t>6</w:t>
      </w:r>
      <w:r>
        <w:rPr>
          <w:color w:val="auto"/>
        </w:rPr>
        <w:t xml:space="preserve">.5 </w:t>
      </w:r>
      <w:r>
        <w:rPr>
          <w:rFonts w:hint="eastAsia"/>
          <w:color w:val="auto"/>
        </w:rPr>
        <w:t>由承包人试验</w:t>
      </w:r>
      <w:bookmarkEnd w:id="1319"/>
      <w:bookmarkEnd w:id="1320"/>
      <w:bookmarkEnd w:id="1321"/>
      <w:r>
        <w:rPr>
          <w:rFonts w:hint="eastAsia"/>
          <w:color w:val="auto"/>
        </w:rPr>
        <w:t>和检验</w:t>
      </w:r>
      <w:bookmarkEnd w:id="1322"/>
      <w:bookmarkEnd w:id="1323"/>
      <w:bookmarkEnd w:id="1324"/>
      <w:bookmarkEnd w:id="1325"/>
    </w:p>
    <w:bookmarkEnd w:id="1311"/>
    <w:p w14:paraId="049F697D">
      <w:pPr>
        <w:pStyle w:val="130"/>
        <w:numPr>
          <w:ilvl w:val="0"/>
          <w:numId w:val="0"/>
        </w:numPr>
        <w:ind w:firstLine="420" w:firstLineChars="200"/>
        <w:rPr>
          <w:color w:val="auto"/>
          <w:sz w:val="21"/>
        </w:rPr>
      </w:pPr>
      <w:r>
        <w:rPr>
          <w:rFonts w:hint="eastAsia"/>
          <w:color w:val="auto"/>
          <w:sz w:val="21"/>
        </w:rPr>
        <w:t>6</w:t>
      </w:r>
      <w:r>
        <w:rPr>
          <w:color w:val="auto"/>
          <w:sz w:val="21"/>
        </w:rPr>
        <w:t xml:space="preserve">.5.1 </w:t>
      </w:r>
      <w:r>
        <w:rPr>
          <w:rFonts w:hint="eastAsia"/>
          <w:color w:val="auto"/>
          <w:sz w:val="21"/>
        </w:rPr>
        <w:t>试验设备与试验人员</w:t>
      </w:r>
    </w:p>
    <w:p w14:paraId="7CA7EB49">
      <w:pPr>
        <w:spacing w:line="360" w:lineRule="auto"/>
        <w:ind w:firstLine="420" w:firstLineChars="200"/>
        <w:rPr>
          <w:rFonts w:hint="eastAsia" w:ascii="宋体" w:hAnsi="宋体"/>
          <w:color w:val="auto"/>
          <w:szCs w:val="21"/>
        </w:rPr>
      </w:pPr>
      <w:r>
        <w:rPr>
          <w:rFonts w:hint="eastAsia" w:ascii="宋体" w:hAnsi="宋体"/>
          <w:color w:val="auto"/>
          <w:szCs w:val="21"/>
        </w:rPr>
        <w:t>（1）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p>
    <w:p w14:paraId="0C068E35">
      <w:pPr>
        <w:spacing w:line="360" w:lineRule="auto"/>
        <w:ind w:firstLine="420" w:firstLineChars="200"/>
        <w:rPr>
          <w:rFonts w:ascii="宋体" w:hAnsi="宋体"/>
          <w:color w:val="auto"/>
          <w:szCs w:val="21"/>
        </w:rPr>
      </w:pPr>
      <w:r>
        <w:rPr>
          <w:rFonts w:hint="eastAsia" w:ascii="宋体" w:hAnsi="宋体"/>
          <w:color w:val="auto"/>
          <w:szCs w:val="21"/>
        </w:rPr>
        <w:t>（2）承包人应按专用合同条件约定的试验内容、时间和地点提供试验设备、取样装置、试验场所和试验条件，并向工程师提交相应进场计划表。</w:t>
      </w:r>
    </w:p>
    <w:p w14:paraId="28FCC561">
      <w:pPr>
        <w:spacing w:line="360" w:lineRule="auto"/>
        <w:ind w:firstLine="420" w:firstLineChars="200"/>
        <w:rPr>
          <w:rFonts w:ascii="宋体" w:hAnsi="宋体"/>
          <w:color w:val="auto"/>
          <w:szCs w:val="21"/>
        </w:rPr>
      </w:pPr>
      <w:r>
        <w:rPr>
          <w:rFonts w:hint="eastAsia" w:ascii="宋体" w:hAnsi="宋体"/>
          <w:color w:val="auto"/>
          <w:szCs w:val="21"/>
        </w:rPr>
        <w:t>承包人配置的试验设备要符合相应试验规程的要求并经过具有资质的检测单位检测，且在正式使用该试验设备前，需要经过工程师与承包人共同校定。</w:t>
      </w:r>
    </w:p>
    <w:p w14:paraId="008B8A72">
      <w:pPr>
        <w:spacing w:line="360" w:lineRule="auto"/>
        <w:ind w:firstLine="420" w:firstLineChars="200"/>
        <w:rPr>
          <w:rFonts w:ascii="宋体" w:hAnsi="宋体"/>
          <w:color w:val="auto"/>
          <w:szCs w:val="21"/>
        </w:rPr>
      </w:pPr>
      <w:r>
        <w:rPr>
          <w:rFonts w:hint="eastAsia" w:ascii="宋体" w:hAnsi="宋体"/>
          <w:color w:val="auto"/>
          <w:szCs w:val="21"/>
        </w:rPr>
        <w:t>（3）承包人应向工程师提交试验人员的名单及其岗位、资格等证明资料，试验人员必须能够熟练进行相应的检测试验，承包人对试验人员的试验程序和试验结果的正确性负责。</w:t>
      </w:r>
    </w:p>
    <w:p w14:paraId="3CEF3823">
      <w:pPr>
        <w:pStyle w:val="130"/>
        <w:numPr>
          <w:ilvl w:val="0"/>
          <w:numId w:val="0"/>
        </w:numPr>
        <w:ind w:firstLine="420" w:firstLineChars="200"/>
        <w:rPr>
          <w:color w:val="auto"/>
          <w:sz w:val="21"/>
        </w:rPr>
      </w:pPr>
      <w:r>
        <w:rPr>
          <w:rFonts w:hint="eastAsia"/>
          <w:color w:val="auto"/>
          <w:sz w:val="21"/>
        </w:rPr>
        <w:t>6</w:t>
      </w:r>
      <w:r>
        <w:rPr>
          <w:color w:val="auto"/>
          <w:sz w:val="21"/>
        </w:rPr>
        <w:t xml:space="preserve">.5.2 </w:t>
      </w:r>
      <w:r>
        <w:rPr>
          <w:rFonts w:hint="eastAsia"/>
          <w:color w:val="auto"/>
          <w:sz w:val="21"/>
        </w:rPr>
        <w:t>取样</w:t>
      </w:r>
    </w:p>
    <w:p w14:paraId="7AFEF2EB">
      <w:pPr>
        <w:spacing w:line="360" w:lineRule="auto"/>
        <w:ind w:firstLine="420" w:firstLineChars="200"/>
        <w:rPr>
          <w:rFonts w:ascii="宋体" w:hAnsi="宋体"/>
          <w:color w:val="auto"/>
          <w:szCs w:val="21"/>
        </w:rPr>
      </w:pPr>
      <w:r>
        <w:rPr>
          <w:rFonts w:hint="eastAsia" w:ascii="宋体" w:hAnsi="宋体"/>
          <w:color w:val="auto"/>
          <w:szCs w:val="21"/>
        </w:rPr>
        <w:t>试验属于自检性质的，承包人可以单独取样。试验属于工程师抽检性质的，可由工程师取样，也可由承包人的试验人员在工程师的监督下取样。</w:t>
      </w:r>
    </w:p>
    <w:p w14:paraId="785C411D">
      <w:pPr>
        <w:pStyle w:val="130"/>
        <w:numPr>
          <w:ilvl w:val="0"/>
          <w:numId w:val="0"/>
        </w:numPr>
        <w:ind w:firstLine="420" w:firstLineChars="200"/>
        <w:rPr>
          <w:color w:val="auto"/>
          <w:sz w:val="21"/>
        </w:rPr>
      </w:pPr>
      <w:r>
        <w:rPr>
          <w:rFonts w:hint="eastAsia"/>
          <w:color w:val="auto"/>
          <w:sz w:val="21"/>
        </w:rPr>
        <w:t>6</w:t>
      </w:r>
      <w:r>
        <w:rPr>
          <w:color w:val="auto"/>
          <w:sz w:val="21"/>
        </w:rPr>
        <w:t xml:space="preserve">.5.3 </w:t>
      </w:r>
      <w:r>
        <w:rPr>
          <w:rFonts w:hint="eastAsia"/>
          <w:color w:val="auto"/>
          <w:sz w:val="21"/>
        </w:rPr>
        <w:t>材料、工程设备和工程的试验和检验</w:t>
      </w:r>
    </w:p>
    <w:p w14:paraId="191D259E">
      <w:pPr>
        <w:spacing w:line="360" w:lineRule="auto"/>
        <w:ind w:firstLine="420" w:firstLineChars="200"/>
        <w:rPr>
          <w:rFonts w:ascii="宋体" w:hAnsi="宋体"/>
          <w:color w:val="auto"/>
          <w:szCs w:val="21"/>
        </w:rPr>
      </w:pPr>
      <w:r>
        <w:rPr>
          <w:rFonts w:hint="eastAsia" w:ascii="宋体" w:hAnsi="宋体"/>
          <w:color w:val="auto"/>
          <w:szCs w:val="21"/>
        </w:rPr>
        <w:t>（1）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p>
    <w:p w14:paraId="13A60C95">
      <w:pPr>
        <w:spacing w:line="360" w:lineRule="auto"/>
        <w:ind w:firstLine="420" w:firstLineChars="200"/>
        <w:rPr>
          <w:rFonts w:ascii="宋体" w:hAnsi="宋体"/>
          <w:color w:val="auto"/>
          <w:szCs w:val="21"/>
        </w:rPr>
      </w:pPr>
      <w:r>
        <w:rPr>
          <w:rFonts w:hint="eastAsia" w:ascii="宋体" w:hAnsi="宋体"/>
          <w:color w:val="auto"/>
          <w:szCs w:val="21"/>
        </w:rPr>
        <w:t>（2）试验属于自检性质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应承认该试验结果。</w:t>
      </w:r>
    </w:p>
    <w:p w14:paraId="3FF57258">
      <w:pPr>
        <w:spacing w:line="360" w:lineRule="auto"/>
        <w:ind w:firstLine="420" w:firstLineChars="200"/>
        <w:rPr>
          <w:rFonts w:ascii="宋体" w:hAnsi="宋体"/>
          <w:color w:val="auto"/>
          <w:szCs w:val="21"/>
        </w:rPr>
      </w:pPr>
      <w:r>
        <w:rPr>
          <w:rFonts w:hint="eastAsia" w:ascii="宋体" w:hAnsi="宋体"/>
          <w:color w:val="auto"/>
          <w:szCs w:val="21"/>
        </w:rPr>
        <w:t>（3）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35768722">
      <w:pPr>
        <w:pStyle w:val="130"/>
        <w:numPr>
          <w:ilvl w:val="0"/>
          <w:numId w:val="0"/>
        </w:numPr>
        <w:ind w:firstLine="420" w:firstLineChars="200"/>
        <w:rPr>
          <w:color w:val="auto"/>
          <w:sz w:val="21"/>
        </w:rPr>
      </w:pPr>
      <w:bookmarkStart w:id="1326" w:name="_Toc351203566"/>
      <w:bookmarkStart w:id="1327" w:name="_Toc337558786"/>
      <w:r>
        <w:rPr>
          <w:rFonts w:hint="eastAsia"/>
          <w:color w:val="auto"/>
          <w:sz w:val="21"/>
        </w:rPr>
        <w:t>6</w:t>
      </w:r>
      <w:r>
        <w:rPr>
          <w:color w:val="auto"/>
          <w:sz w:val="21"/>
        </w:rPr>
        <w:t xml:space="preserve">.5.4 </w:t>
      </w:r>
      <w:r>
        <w:rPr>
          <w:rFonts w:hint="eastAsia"/>
          <w:color w:val="auto"/>
          <w:sz w:val="21"/>
        </w:rPr>
        <w:t>现场工艺试验</w:t>
      </w:r>
      <w:bookmarkEnd w:id="1326"/>
    </w:p>
    <w:bookmarkEnd w:id="1327"/>
    <w:p w14:paraId="12331BE9">
      <w:pPr>
        <w:spacing w:line="360" w:lineRule="auto"/>
        <w:ind w:firstLine="420" w:firstLineChars="200"/>
        <w:rPr>
          <w:rFonts w:ascii="宋体" w:hAnsi="宋体"/>
          <w:color w:val="auto"/>
          <w:szCs w:val="21"/>
        </w:rPr>
      </w:pPr>
      <w:r>
        <w:rPr>
          <w:rFonts w:hint="eastAsia" w:ascii="宋体" w:hAnsi="宋体"/>
          <w:color w:val="auto"/>
          <w:szCs w:val="21"/>
        </w:rPr>
        <w:t>承包人应按合同约定进行现场工艺试验。对大型的现场工艺试验，发包人认为必要时，承包人应根据发包人提出的工艺试验要求，编制工艺试验措施计划，报送发包人审查。</w:t>
      </w:r>
    </w:p>
    <w:p w14:paraId="2131CE01">
      <w:pPr>
        <w:pStyle w:val="4"/>
        <w:spacing w:before="120" w:line="360" w:lineRule="auto"/>
        <w:rPr>
          <w:color w:val="auto"/>
        </w:rPr>
      </w:pPr>
      <w:bookmarkStart w:id="1328" w:name="_Ref532592784"/>
      <w:bookmarkStart w:id="1329" w:name="_Toc154063550"/>
      <w:bookmarkStart w:id="1330" w:name="_Toc54862234"/>
      <w:bookmarkStart w:id="1331" w:name="_Ref532592787"/>
      <w:r>
        <w:rPr>
          <w:rFonts w:hint="eastAsia"/>
          <w:color w:val="auto"/>
        </w:rPr>
        <w:t>6</w:t>
      </w:r>
      <w:r>
        <w:rPr>
          <w:color w:val="auto"/>
        </w:rPr>
        <w:t xml:space="preserve">.6 </w:t>
      </w:r>
      <w:r>
        <w:rPr>
          <w:rFonts w:hint="eastAsia"/>
          <w:color w:val="auto"/>
        </w:rPr>
        <w:t>缺陷和修补</w:t>
      </w:r>
      <w:bookmarkEnd w:id="1328"/>
      <w:bookmarkEnd w:id="1329"/>
      <w:bookmarkEnd w:id="1330"/>
      <w:bookmarkEnd w:id="1331"/>
    </w:p>
    <w:p w14:paraId="3E691C57">
      <w:pPr>
        <w:pStyle w:val="130"/>
        <w:numPr>
          <w:ilvl w:val="0"/>
          <w:numId w:val="0"/>
        </w:numPr>
        <w:ind w:firstLine="420" w:firstLineChars="200"/>
        <w:rPr>
          <w:color w:val="auto"/>
          <w:sz w:val="21"/>
        </w:rPr>
      </w:pPr>
      <w:bookmarkStart w:id="1332" w:name="_Ref16875551"/>
      <w:r>
        <w:rPr>
          <w:rFonts w:hint="eastAsia"/>
          <w:color w:val="auto"/>
          <w:sz w:val="21"/>
        </w:rPr>
        <w:t>6</w:t>
      </w:r>
      <w:r>
        <w:rPr>
          <w:color w:val="auto"/>
          <w:sz w:val="21"/>
        </w:rPr>
        <w:t xml:space="preserve">.6.1 </w:t>
      </w:r>
      <w:r>
        <w:rPr>
          <w:rFonts w:hint="eastAsia"/>
          <w:color w:val="auto"/>
          <w:sz w:val="21"/>
        </w:rPr>
        <w:t>发包人可在颁发接收证书前随时指示承包人：</w:t>
      </w:r>
      <w:bookmarkEnd w:id="1332"/>
    </w:p>
    <w:p w14:paraId="7E6C678C">
      <w:pPr>
        <w:spacing w:line="360" w:lineRule="auto"/>
        <w:ind w:firstLine="420" w:firstLineChars="200"/>
        <w:rPr>
          <w:rFonts w:ascii="宋体" w:hAnsi="宋体"/>
          <w:color w:val="auto"/>
          <w:szCs w:val="21"/>
        </w:rPr>
      </w:pPr>
      <w:r>
        <w:rPr>
          <w:rFonts w:hint="eastAsia" w:ascii="宋体" w:hAnsi="宋体"/>
          <w:color w:val="auto"/>
          <w:szCs w:val="21"/>
        </w:rPr>
        <w:t>（1）对不符合合同要求的任何工程设备或材料进行修补，或者将其移出现场并进行更换；</w:t>
      </w:r>
    </w:p>
    <w:p w14:paraId="02698D2A">
      <w:pPr>
        <w:spacing w:line="360" w:lineRule="auto"/>
        <w:ind w:firstLine="420" w:firstLineChars="200"/>
        <w:rPr>
          <w:rFonts w:hint="eastAsia" w:ascii="宋体" w:hAnsi="宋体"/>
          <w:color w:val="auto"/>
          <w:szCs w:val="21"/>
        </w:rPr>
      </w:pPr>
      <w:r>
        <w:rPr>
          <w:rFonts w:hint="eastAsia" w:ascii="宋体" w:hAnsi="宋体"/>
          <w:color w:val="auto"/>
          <w:szCs w:val="21"/>
        </w:rPr>
        <w:t xml:space="preserve">（2）对不符合合同的其他工作进行修补，或者将其去除并重新实施； </w:t>
      </w:r>
      <w:bookmarkStart w:id="1333" w:name="_Ref4708991"/>
    </w:p>
    <w:p w14:paraId="61F358EC">
      <w:pPr>
        <w:spacing w:line="360" w:lineRule="auto"/>
        <w:ind w:firstLine="420" w:firstLineChars="200"/>
        <w:rPr>
          <w:rFonts w:ascii="宋体" w:hAnsi="宋体"/>
          <w:color w:val="auto"/>
          <w:szCs w:val="21"/>
        </w:rPr>
      </w:pPr>
      <w:r>
        <w:rPr>
          <w:rFonts w:hint="eastAsia" w:ascii="宋体" w:hAnsi="宋体"/>
          <w:color w:val="auto"/>
          <w:szCs w:val="21"/>
        </w:rPr>
        <w:t>（3）实施因意外、不可预见的事件或其他原因引起的、为工程的安全迫切需要的任何修补工作。</w:t>
      </w:r>
      <w:bookmarkEnd w:id="1333"/>
    </w:p>
    <w:p w14:paraId="59B4745D">
      <w:pPr>
        <w:pStyle w:val="130"/>
        <w:numPr>
          <w:ilvl w:val="0"/>
          <w:numId w:val="0"/>
        </w:numPr>
        <w:ind w:firstLine="420" w:firstLineChars="200"/>
        <w:rPr>
          <w:rFonts w:hint="eastAsia"/>
          <w:color w:val="auto"/>
          <w:sz w:val="21"/>
        </w:rPr>
      </w:pPr>
      <w:bookmarkStart w:id="1334" w:name="_Ref11956964"/>
      <w:r>
        <w:rPr>
          <w:rFonts w:hint="eastAsia"/>
          <w:color w:val="auto"/>
          <w:sz w:val="21"/>
        </w:rPr>
        <w:t>6</w:t>
      </w:r>
      <w:r>
        <w:rPr>
          <w:color w:val="auto"/>
          <w:sz w:val="21"/>
        </w:rPr>
        <w:t xml:space="preserve">.6.2 </w:t>
      </w:r>
      <w:r>
        <w:rPr>
          <w:rFonts w:hint="eastAsia"/>
          <w:color w:val="auto"/>
          <w:sz w:val="21"/>
        </w:rPr>
        <w:t>承包人应遵守第</w:t>
      </w:r>
      <w:r>
        <w:rPr>
          <w:color w:val="auto"/>
          <w:sz w:val="21"/>
        </w:rPr>
        <w:t>6.6.1项下</w:t>
      </w:r>
      <w:r>
        <w:rPr>
          <w:rFonts w:hint="eastAsia"/>
          <w:color w:val="auto"/>
          <w:sz w:val="21"/>
        </w:rPr>
        <w:t>指示，并在合理可行的情况下，根据上述指示中规定的时间完成修补工作。除因下列原因引起的第</w:t>
      </w:r>
      <w:r>
        <w:rPr>
          <w:color w:val="auto"/>
          <w:sz w:val="21"/>
        </w:rPr>
        <w:t>6.6.1</w:t>
      </w:r>
      <w:r>
        <w:rPr>
          <w:rFonts w:hint="eastAsia"/>
          <w:color w:val="auto"/>
          <w:sz w:val="21"/>
        </w:rPr>
        <w:t>项第（3）目下的情形外，承包人应承担所有修补工作的费用：</w:t>
      </w:r>
      <w:bookmarkEnd w:id="1334"/>
    </w:p>
    <w:p w14:paraId="6208C6B9">
      <w:pPr>
        <w:pStyle w:val="130"/>
        <w:numPr>
          <w:ilvl w:val="0"/>
          <w:numId w:val="0"/>
        </w:numPr>
        <w:ind w:firstLine="420" w:firstLineChars="200"/>
        <w:rPr>
          <w:rFonts w:hint="eastAsia"/>
          <w:color w:val="auto"/>
          <w:sz w:val="21"/>
        </w:rPr>
      </w:pPr>
      <w:r>
        <w:rPr>
          <w:rFonts w:hint="eastAsia"/>
          <w:color w:val="auto"/>
          <w:sz w:val="21"/>
        </w:rPr>
        <w:t>（1）因发包人或其人员的任何行为导致的情形，且在此情况下发包人应承担因此引起的工期延误和承包人费用损失，并向承包人支付合理的利润。</w:t>
      </w:r>
    </w:p>
    <w:p w14:paraId="5EAFAB6C">
      <w:pPr>
        <w:pStyle w:val="130"/>
        <w:numPr>
          <w:ilvl w:val="0"/>
          <w:numId w:val="0"/>
        </w:numPr>
        <w:ind w:firstLine="420" w:firstLineChars="200"/>
        <w:rPr>
          <w:color w:val="auto"/>
          <w:sz w:val="21"/>
        </w:rPr>
      </w:pPr>
      <w:r>
        <w:rPr>
          <w:rFonts w:hint="eastAsia"/>
          <w:color w:val="auto"/>
          <w:sz w:val="21"/>
        </w:rPr>
        <w:t>（2）第</w:t>
      </w:r>
      <w:r>
        <w:rPr>
          <w:color w:val="auto"/>
          <w:sz w:val="21"/>
        </w:rPr>
        <w:t>17.4</w:t>
      </w:r>
      <w:r>
        <w:rPr>
          <w:rFonts w:hint="eastAsia"/>
          <w:color w:val="auto"/>
          <w:sz w:val="21"/>
        </w:rPr>
        <w:t>款[</w:t>
      </w:r>
      <w:r>
        <w:rPr>
          <w:color w:val="auto"/>
          <w:sz w:val="21"/>
        </w:rPr>
        <w:t>不可抗力后果</w:t>
      </w:r>
      <w:r>
        <w:rPr>
          <w:rFonts w:hint="eastAsia"/>
          <w:color w:val="auto"/>
          <w:sz w:val="21"/>
        </w:rPr>
        <w:t>的</w:t>
      </w:r>
      <w:r>
        <w:rPr>
          <w:color w:val="auto"/>
          <w:sz w:val="21"/>
        </w:rPr>
        <w:t>承担</w:t>
      </w:r>
      <w:r>
        <w:rPr>
          <w:rFonts w:hint="eastAsia"/>
          <w:color w:val="auto"/>
          <w:sz w:val="21"/>
        </w:rPr>
        <w:t>]中适用的不可抗力事件的情形。</w:t>
      </w:r>
    </w:p>
    <w:p w14:paraId="44A7300A">
      <w:pPr>
        <w:pStyle w:val="130"/>
        <w:numPr>
          <w:ilvl w:val="0"/>
          <w:numId w:val="0"/>
        </w:numPr>
        <w:ind w:firstLine="420" w:firstLineChars="200"/>
        <w:rPr>
          <w:color w:val="auto"/>
          <w:sz w:val="21"/>
        </w:rPr>
      </w:pPr>
      <w:r>
        <w:rPr>
          <w:rFonts w:hint="eastAsia"/>
          <w:color w:val="auto"/>
          <w:sz w:val="21"/>
        </w:rPr>
        <w:t>6</w:t>
      </w:r>
      <w:r>
        <w:rPr>
          <w:color w:val="auto"/>
          <w:sz w:val="21"/>
        </w:rPr>
        <w:t xml:space="preserve">.6.3 </w:t>
      </w:r>
      <w:r>
        <w:rPr>
          <w:rFonts w:hint="eastAsia"/>
          <w:color w:val="auto"/>
          <w:sz w:val="21"/>
        </w:rPr>
        <w:t>如果承包人未能遵守发包人的指示，发包人可以自行决定请第三方完成上述修补工作，并有权要求承包人支付因未履行指示而产生的所有费用，但承包人根据第</w:t>
      </w:r>
      <w:r>
        <w:rPr>
          <w:color w:val="auto"/>
          <w:sz w:val="21"/>
        </w:rPr>
        <w:t>6.6.2</w:t>
      </w:r>
      <w:r>
        <w:rPr>
          <w:rFonts w:hint="eastAsia"/>
          <w:color w:val="auto"/>
          <w:sz w:val="21"/>
        </w:rPr>
        <w:t>项有权就修补工作获得支付的情况除外。</w:t>
      </w:r>
    </w:p>
    <w:p w14:paraId="656C2BA7">
      <w:pPr>
        <w:pStyle w:val="3"/>
        <w:spacing w:before="48" w:line="360" w:lineRule="auto"/>
        <w:rPr>
          <w:rFonts w:ascii="黑体" w:hAnsi="黑体"/>
          <w:bCs w:val="0"/>
          <w:color w:val="auto"/>
          <w:sz w:val="28"/>
        </w:rPr>
      </w:pPr>
      <w:bookmarkStart w:id="1335" w:name="_Toc54862235"/>
      <w:bookmarkStart w:id="1336" w:name="_Toc154063551"/>
      <w:bookmarkStart w:id="1337" w:name="_Ref531954214"/>
      <w:r>
        <w:rPr>
          <w:rFonts w:hint="eastAsia" w:ascii="黑体" w:hAnsi="黑体"/>
          <w:bCs w:val="0"/>
          <w:color w:val="auto"/>
          <w:sz w:val="28"/>
        </w:rPr>
        <w:t>第7条 施工</w:t>
      </w:r>
      <w:bookmarkEnd w:id="1335"/>
      <w:bookmarkEnd w:id="1336"/>
      <w:bookmarkEnd w:id="1337"/>
    </w:p>
    <w:p w14:paraId="63C4C4BE">
      <w:pPr>
        <w:pStyle w:val="4"/>
        <w:spacing w:before="120" w:line="360" w:lineRule="auto"/>
        <w:rPr>
          <w:color w:val="auto"/>
        </w:rPr>
      </w:pPr>
      <w:bookmarkStart w:id="1338" w:name="_Toc154063552"/>
      <w:bookmarkStart w:id="1339" w:name="_Toc54862236"/>
      <w:bookmarkStart w:id="1340" w:name="_Ref531954272"/>
      <w:bookmarkStart w:id="1341" w:name="_Ref531954276"/>
      <w:bookmarkStart w:id="1342" w:name="_Ref531954260"/>
      <w:bookmarkStart w:id="1343" w:name="_Ref531954246"/>
      <w:r>
        <w:rPr>
          <w:rFonts w:hint="eastAsia"/>
          <w:color w:val="auto"/>
        </w:rPr>
        <w:t>7</w:t>
      </w:r>
      <w:r>
        <w:rPr>
          <w:color w:val="auto"/>
        </w:rPr>
        <w:t xml:space="preserve">.1 </w:t>
      </w:r>
      <w:r>
        <w:rPr>
          <w:rFonts w:hint="eastAsia"/>
          <w:color w:val="auto"/>
        </w:rPr>
        <w:t>交通运输</w:t>
      </w:r>
      <w:bookmarkEnd w:id="1338"/>
      <w:bookmarkEnd w:id="1339"/>
      <w:bookmarkEnd w:id="1340"/>
      <w:bookmarkEnd w:id="1341"/>
      <w:r>
        <w:rPr>
          <w:rFonts w:hint="eastAsia"/>
          <w:color w:val="auto"/>
        </w:rPr>
        <w:t xml:space="preserve"> </w:t>
      </w:r>
    </w:p>
    <w:p w14:paraId="7984A694">
      <w:pPr>
        <w:pStyle w:val="130"/>
        <w:numPr>
          <w:ilvl w:val="0"/>
          <w:numId w:val="0"/>
        </w:numPr>
        <w:ind w:firstLine="420" w:firstLineChars="200"/>
        <w:rPr>
          <w:color w:val="auto"/>
          <w:sz w:val="21"/>
        </w:rPr>
      </w:pPr>
      <w:bookmarkStart w:id="1344" w:name="_Ref4422645"/>
      <w:r>
        <w:rPr>
          <w:rFonts w:hint="eastAsia"/>
          <w:color w:val="auto"/>
          <w:sz w:val="21"/>
        </w:rPr>
        <w:t>7</w:t>
      </w:r>
      <w:r>
        <w:rPr>
          <w:color w:val="auto"/>
          <w:sz w:val="21"/>
        </w:rPr>
        <w:t xml:space="preserve">.1.1 </w:t>
      </w:r>
      <w:r>
        <w:rPr>
          <w:rFonts w:hint="eastAsia"/>
          <w:color w:val="auto"/>
          <w:sz w:val="21"/>
        </w:rPr>
        <w:t>出入现场的权利</w:t>
      </w:r>
      <w:bookmarkEnd w:id="1344"/>
    </w:p>
    <w:p w14:paraId="0A2282EB">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修建场内外道路、桥梁以及其他基础设施的手续。</w:t>
      </w:r>
    </w:p>
    <w:p w14:paraId="0F53E52E">
      <w:pPr>
        <w:pStyle w:val="130"/>
        <w:numPr>
          <w:ilvl w:val="0"/>
          <w:numId w:val="0"/>
        </w:numPr>
        <w:ind w:firstLine="420" w:firstLineChars="200"/>
        <w:rPr>
          <w:color w:val="auto"/>
          <w:sz w:val="21"/>
        </w:rPr>
      </w:pPr>
      <w:bookmarkStart w:id="1345" w:name="_Ref18957045"/>
      <w:r>
        <w:rPr>
          <w:rFonts w:hint="eastAsia"/>
          <w:color w:val="auto"/>
          <w:sz w:val="21"/>
        </w:rPr>
        <w:t>7</w:t>
      </w:r>
      <w:r>
        <w:rPr>
          <w:color w:val="auto"/>
          <w:sz w:val="21"/>
        </w:rPr>
        <w:t xml:space="preserve">.1.2 </w:t>
      </w:r>
      <w:r>
        <w:rPr>
          <w:rFonts w:hint="eastAsia"/>
          <w:color w:val="auto"/>
          <w:sz w:val="21"/>
        </w:rPr>
        <w:t>场外交通</w:t>
      </w:r>
      <w:bookmarkEnd w:id="1345"/>
    </w:p>
    <w:p w14:paraId="7AEA55EC">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p>
    <w:p w14:paraId="45982282">
      <w:pPr>
        <w:pStyle w:val="130"/>
        <w:numPr>
          <w:ilvl w:val="0"/>
          <w:numId w:val="0"/>
        </w:numPr>
        <w:ind w:firstLine="420" w:firstLineChars="200"/>
        <w:rPr>
          <w:color w:val="auto"/>
          <w:sz w:val="21"/>
        </w:rPr>
      </w:pPr>
      <w:bookmarkStart w:id="1346" w:name="_Ref4622358"/>
      <w:r>
        <w:rPr>
          <w:rFonts w:hint="eastAsia"/>
          <w:color w:val="auto"/>
          <w:sz w:val="21"/>
        </w:rPr>
        <w:t>7</w:t>
      </w:r>
      <w:r>
        <w:rPr>
          <w:color w:val="auto"/>
          <w:sz w:val="21"/>
        </w:rPr>
        <w:t xml:space="preserve">.1.3 </w:t>
      </w:r>
      <w:r>
        <w:rPr>
          <w:rFonts w:hint="eastAsia"/>
          <w:color w:val="auto"/>
          <w:sz w:val="21"/>
        </w:rPr>
        <w:t>场内交通</w:t>
      </w:r>
      <w:bookmarkEnd w:id="1346"/>
    </w:p>
    <w:p w14:paraId="78EE6312">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p>
    <w:p w14:paraId="460178F0">
      <w:pPr>
        <w:pStyle w:val="130"/>
        <w:numPr>
          <w:ilvl w:val="0"/>
          <w:numId w:val="0"/>
        </w:numPr>
        <w:ind w:firstLine="420" w:firstLineChars="200"/>
        <w:rPr>
          <w:color w:val="auto"/>
          <w:sz w:val="21"/>
        </w:rPr>
      </w:pPr>
      <w:bookmarkStart w:id="1347" w:name="_Ref4622376"/>
      <w:r>
        <w:rPr>
          <w:rFonts w:hint="eastAsia"/>
          <w:color w:val="auto"/>
          <w:sz w:val="21"/>
        </w:rPr>
        <w:t>7</w:t>
      </w:r>
      <w:r>
        <w:rPr>
          <w:color w:val="auto"/>
          <w:sz w:val="21"/>
        </w:rPr>
        <w:t xml:space="preserve">.1.4 </w:t>
      </w:r>
      <w:r>
        <w:rPr>
          <w:rFonts w:hint="eastAsia"/>
          <w:color w:val="auto"/>
          <w:sz w:val="21"/>
        </w:rPr>
        <w:t>超大件和超重件的运输</w:t>
      </w:r>
      <w:bookmarkEnd w:id="1347"/>
    </w:p>
    <w:p w14:paraId="70866942">
      <w:pPr>
        <w:spacing w:line="360" w:lineRule="auto"/>
        <w:ind w:firstLine="420" w:firstLineChars="200"/>
        <w:rPr>
          <w:rFonts w:ascii="宋体" w:hAnsi="宋体"/>
          <w:color w:val="auto"/>
          <w:szCs w:val="21"/>
        </w:rPr>
      </w:pPr>
      <w:r>
        <w:rPr>
          <w:rFonts w:hint="eastAsia" w:ascii="宋体" w:hAnsi="宋体"/>
          <w:color w:val="auto"/>
          <w:szCs w:val="21"/>
        </w:rPr>
        <w:t>由承包人负责运输的超大件或超重件，应由承包人负责向交通管理部门办理申请手续，发包人给予协助。运输超大件或超重件所需的道路和桥梁临时加固改造费用和其他有关费用，由承包人承担，但专用合同条件另有约定的除外。</w:t>
      </w:r>
    </w:p>
    <w:p w14:paraId="5553EAF8">
      <w:pPr>
        <w:pStyle w:val="130"/>
        <w:numPr>
          <w:ilvl w:val="0"/>
          <w:numId w:val="0"/>
        </w:numPr>
        <w:ind w:firstLine="420" w:firstLineChars="200"/>
        <w:rPr>
          <w:color w:val="auto"/>
          <w:sz w:val="21"/>
        </w:rPr>
      </w:pPr>
      <w:r>
        <w:rPr>
          <w:rFonts w:hint="eastAsia"/>
          <w:color w:val="auto"/>
          <w:sz w:val="21"/>
        </w:rPr>
        <w:t>7</w:t>
      </w:r>
      <w:r>
        <w:rPr>
          <w:color w:val="auto"/>
          <w:sz w:val="21"/>
        </w:rPr>
        <w:t xml:space="preserve">.1.5 </w:t>
      </w:r>
      <w:r>
        <w:rPr>
          <w:rFonts w:hint="eastAsia"/>
          <w:color w:val="auto"/>
          <w:sz w:val="21"/>
        </w:rPr>
        <w:t>道路和桥梁的损坏责任</w:t>
      </w:r>
    </w:p>
    <w:p w14:paraId="44A14457">
      <w:pPr>
        <w:spacing w:line="360" w:lineRule="auto"/>
        <w:ind w:firstLine="420" w:firstLineChars="200"/>
        <w:rPr>
          <w:rFonts w:ascii="宋体" w:hAnsi="宋体"/>
          <w:color w:val="auto"/>
          <w:szCs w:val="21"/>
        </w:rPr>
      </w:pPr>
      <w:r>
        <w:rPr>
          <w:rFonts w:hint="eastAsia" w:ascii="宋体" w:hAnsi="宋体"/>
          <w:color w:val="auto"/>
          <w:szCs w:val="21"/>
        </w:rPr>
        <w:t>因承包人运输造成施工现场内外公共道路和桥梁损坏的，由承包人承担修复损坏的全部费用和可能引起的赔偿。</w:t>
      </w:r>
    </w:p>
    <w:p w14:paraId="4D6DEE26">
      <w:pPr>
        <w:pStyle w:val="130"/>
        <w:numPr>
          <w:ilvl w:val="0"/>
          <w:numId w:val="0"/>
        </w:numPr>
        <w:ind w:firstLine="420" w:firstLineChars="200"/>
        <w:rPr>
          <w:color w:val="auto"/>
          <w:sz w:val="21"/>
        </w:rPr>
      </w:pPr>
      <w:r>
        <w:rPr>
          <w:rFonts w:hint="eastAsia"/>
          <w:color w:val="auto"/>
          <w:sz w:val="21"/>
        </w:rPr>
        <w:t>7</w:t>
      </w:r>
      <w:r>
        <w:rPr>
          <w:color w:val="auto"/>
          <w:sz w:val="21"/>
        </w:rPr>
        <w:t xml:space="preserve">.1.6 </w:t>
      </w:r>
      <w:r>
        <w:rPr>
          <w:rFonts w:hint="eastAsia"/>
          <w:color w:val="auto"/>
          <w:sz w:val="21"/>
        </w:rPr>
        <w:t>水路和航空运输</w:t>
      </w:r>
    </w:p>
    <w:p w14:paraId="5B36BDA6">
      <w:pPr>
        <w:spacing w:line="360" w:lineRule="auto"/>
        <w:ind w:firstLine="420" w:firstLineChars="200"/>
        <w:rPr>
          <w:rFonts w:ascii="宋体" w:hAnsi="宋体"/>
          <w:color w:val="auto"/>
          <w:szCs w:val="21"/>
        </w:rPr>
      </w:pPr>
      <w:r>
        <w:rPr>
          <w:rFonts w:hint="eastAsia" w:ascii="宋体" w:hAnsi="宋体"/>
          <w:color w:val="auto"/>
          <w:szCs w:val="21"/>
        </w:rPr>
        <w:t>本条上述各款的内容适用于水路运输和航空运输，其中“道路”一词的涵义包括河道、航线、船闸、机场、码头、堤防以及水路或航空运输中其他相似结构物；“车辆”一词的涵义包括船舶和飞机等。</w:t>
      </w:r>
    </w:p>
    <w:p w14:paraId="5361D78B">
      <w:pPr>
        <w:pStyle w:val="4"/>
        <w:spacing w:before="120" w:line="360" w:lineRule="auto"/>
        <w:rPr>
          <w:color w:val="auto"/>
        </w:rPr>
      </w:pPr>
      <w:bookmarkStart w:id="1348" w:name="_Ref11919459"/>
      <w:bookmarkStart w:id="1349" w:name="_Toc54862237"/>
      <w:bookmarkStart w:id="1350" w:name="_Ref11919294"/>
      <w:bookmarkStart w:id="1351" w:name="_Toc154063553"/>
      <w:r>
        <w:rPr>
          <w:rFonts w:hint="eastAsia"/>
          <w:color w:val="auto"/>
        </w:rPr>
        <w:t>7</w:t>
      </w:r>
      <w:r>
        <w:rPr>
          <w:color w:val="auto"/>
        </w:rPr>
        <w:t xml:space="preserve">.2 </w:t>
      </w:r>
      <w:r>
        <w:rPr>
          <w:rFonts w:hint="eastAsia"/>
          <w:color w:val="auto"/>
        </w:rPr>
        <w:t>施工设备和临时设施</w:t>
      </w:r>
      <w:bookmarkEnd w:id="1342"/>
      <w:bookmarkEnd w:id="1343"/>
      <w:bookmarkEnd w:id="1348"/>
      <w:bookmarkEnd w:id="1349"/>
      <w:bookmarkEnd w:id="1350"/>
      <w:bookmarkEnd w:id="1351"/>
      <w:r>
        <w:rPr>
          <w:rFonts w:hint="eastAsia"/>
          <w:color w:val="auto"/>
        </w:rPr>
        <w:t xml:space="preserve"> </w:t>
      </w:r>
    </w:p>
    <w:p w14:paraId="730469B8">
      <w:pPr>
        <w:pStyle w:val="130"/>
        <w:numPr>
          <w:ilvl w:val="0"/>
          <w:numId w:val="0"/>
        </w:numPr>
        <w:ind w:firstLine="420" w:firstLineChars="200"/>
        <w:rPr>
          <w:color w:val="auto"/>
          <w:sz w:val="21"/>
        </w:rPr>
      </w:pPr>
      <w:bookmarkStart w:id="1352" w:name="_Ref18990767"/>
      <w:bookmarkStart w:id="1353" w:name="_Ref509043186"/>
      <w:r>
        <w:rPr>
          <w:rFonts w:hint="eastAsia"/>
          <w:color w:val="auto"/>
          <w:sz w:val="21"/>
        </w:rPr>
        <w:t>7</w:t>
      </w:r>
      <w:r>
        <w:rPr>
          <w:color w:val="auto"/>
          <w:sz w:val="21"/>
        </w:rPr>
        <w:t xml:space="preserve">.2.1 </w:t>
      </w:r>
      <w:r>
        <w:rPr>
          <w:rFonts w:hint="eastAsia"/>
          <w:color w:val="auto"/>
          <w:sz w:val="21"/>
        </w:rPr>
        <w:t>承包人提供的施工设备和临时设施</w:t>
      </w:r>
      <w:bookmarkEnd w:id="1352"/>
    </w:p>
    <w:p w14:paraId="6317A695">
      <w:pPr>
        <w:spacing w:line="360" w:lineRule="auto"/>
        <w:ind w:firstLine="420" w:firstLineChars="200"/>
        <w:rPr>
          <w:rFonts w:ascii="宋体" w:hAnsi="宋体"/>
          <w:color w:val="auto"/>
          <w:szCs w:val="21"/>
        </w:rPr>
      </w:pPr>
      <w:r>
        <w:rPr>
          <w:rFonts w:hint="eastAsia" w:ascii="宋体" w:hAnsi="宋体"/>
          <w:color w:val="auto"/>
          <w:szCs w:val="21"/>
        </w:rPr>
        <w:t>承包人应按项目进度计划的要求，及时配置施工设备和修建临时设施。进入施工现场的承包人提供的施工设备需经工程师核查后才能投入使用。承包人更换合同约定由承包人提供的施工设备的，应报工程师批准。</w:t>
      </w:r>
    </w:p>
    <w:p w14:paraId="1C8351DF">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除专用合同条件另有约定外，承包人应自行承担修建临时设施的费用，需要临时占地的，应由发包人办理申请手续并承担相应费用。承包人应在专用合同条件</w:t>
      </w:r>
      <w:r>
        <w:rPr>
          <w:rFonts w:ascii="宋体" w:hAnsi="宋体"/>
          <w:color w:val="auto"/>
          <w:szCs w:val="21"/>
        </w:rPr>
        <w:t>7.2</w:t>
      </w:r>
      <w:r>
        <w:rPr>
          <w:rFonts w:hint="eastAsia" w:ascii="宋体" w:hAnsi="宋体"/>
          <w:color w:val="auto"/>
          <w:szCs w:val="21"/>
        </w:rPr>
        <w:t>款</w:t>
      </w:r>
      <w:r>
        <w:rPr>
          <w:rFonts w:ascii="宋体" w:hAnsi="宋体"/>
          <w:color w:val="auto"/>
          <w:szCs w:val="21"/>
        </w:rPr>
        <w:t>约定的时间内向发包人提交临时占地资料，因承包人未能按时提交资料，导致工期延误的，由此增加的费用和（或）竣工日期延误，由承包人负责。</w:t>
      </w:r>
    </w:p>
    <w:bookmarkEnd w:id="1353"/>
    <w:p w14:paraId="3C88ABBC">
      <w:pPr>
        <w:pStyle w:val="130"/>
        <w:numPr>
          <w:ilvl w:val="0"/>
          <w:numId w:val="0"/>
        </w:numPr>
        <w:ind w:firstLine="420" w:firstLineChars="200"/>
        <w:rPr>
          <w:color w:val="auto"/>
          <w:sz w:val="21"/>
        </w:rPr>
      </w:pPr>
      <w:bookmarkStart w:id="1354" w:name="_Ref18990784"/>
      <w:r>
        <w:rPr>
          <w:rFonts w:hint="eastAsia"/>
          <w:color w:val="auto"/>
          <w:sz w:val="21"/>
        </w:rPr>
        <w:t>7</w:t>
      </w:r>
      <w:r>
        <w:rPr>
          <w:color w:val="auto"/>
          <w:sz w:val="21"/>
        </w:rPr>
        <w:t xml:space="preserve">.2.2 </w:t>
      </w:r>
      <w:r>
        <w:rPr>
          <w:rFonts w:hint="eastAsia"/>
          <w:color w:val="auto"/>
          <w:sz w:val="21"/>
        </w:rPr>
        <w:t>发包人提供的施工设备和临时设施</w:t>
      </w:r>
      <w:bookmarkEnd w:id="1354"/>
    </w:p>
    <w:p w14:paraId="471E9D57">
      <w:pPr>
        <w:spacing w:line="360" w:lineRule="auto"/>
        <w:ind w:firstLine="420" w:firstLineChars="200"/>
        <w:rPr>
          <w:rFonts w:ascii="宋体" w:hAnsi="宋体"/>
          <w:color w:val="auto"/>
          <w:szCs w:val="21"/>
        </w:rPr>
      </w:pPr>
      <w:r>
        <w:rPr>
          <w:rFonts w:hint="eastAsia" w:ascii="宋体" w:hAnsi="宋体"/>
          <w:color w:val="auto"/>
          <w:szCs w:val="21"/>
        </w:rPr>
        <w:t>发包人提供的施工设备或临时设施在专用合同条件中约定。</w:t>
      </w:r>
    </w:p>
    <w:p w14:paraId="55CDC749">
      <w:pPr>
        <w:pStyle w:val="130"/>
        <w:numPr>
          <w:ilvl w:val="0"/>
          <w:numId w:val="0"/>
        </w:numPr>
        <w:ind w:firstLine="420" w:firstLineChars="200"/>
        <w:rPr>
          <w:color w:val="auto"/>
          <w:sz w:val="21"/>
        </w:rPr>
      </w:pPr>
      <w:r>
        <w:rPr>
          <w:rFonts w:hint="eastAsia"/>
          <w:color w:val="auto"/>
          <w:sz w:val="21"/>
        </w:rPr>
        <w:t>7</w:t>
      </w:r>
      <w:r>
        <w:rPr>
          <w:color w:val="auto"/>
          <w:sz w:val="21"/>
        </w:rPr>
        <w:t xml:space="preserve">.2.3 </w:t>
      </w:r>
      <w:r>
        <w:rPr>
          <w:rFonts w:hint="eastAsia"/>
          <w:color w:val="auto"/>
          <w:sz w:val="21"/>
        </w:rPr>
        <w:t>要求承包人增加或更换施工设备</w:t>
      </w:r>
    </w:p>
    <w:p w14:paraId="5EC387BD">
      <w:pPr>
        <w:spacing w:line="360" w:lineRule="auto"/>
        <w:ind w:firstLine="420" w:firstLineChars="200"/>
        <w:rPr>
          <w:rFonts w:ascii="宋体" w:hAnsi="宋体"/>
          <w:color w:val="auto"/>
          <w:szCs w:val="21"/>
        </w:rPr>
      </w:pPr>
      <w:r>
        <w:rPr>
          <w:rFonts w:hint="eastAsia" w:ascii="宋体" w:hAnsi="宋体"/>
          <w:color w:val="auto"/>
          <w:szCs w:val="21"/>
        </w:rPr>
        <w:t>承包人使用的施工设备不能满足项目进度计划和（或）质量要求时，工程师有权要求承包人增加或更换施工设备，承包人应及时增加或更换，由此增加的费用和（或）延误的工期由承包人承担。</w:t>
      </w:r>
    </w:p>
    <w:p w14:paraId="0B98337C">
      <w:pPr>
        <w:pStyle w:val="130"/>
        <w:numPr>
          <w:ilvl w:val="0"/>
          <w:numId w:val="0"/>
        </w:numPr>
        <w:ind w:firstLine="420" w:firstLineChars="200"/>
        <w:rPr>
          <w:color w:val="auto"/>
          <w:sz w:val="21"/>
        </w:rPr>
      </w:pPr>
      <w:r>
        <w:rPr>
          <w:rFonts w:hint="eastAsia"/>
          <w:color w:val="auto"/>
          <w:sz w:val="21"/>
        </w:rPr>
        <w:t>7</w:t>
      </w:r>
      <w:r>
        <w:rPr>
          <w:color w:val="auto"/>
          <w:sz w:val="21"/>
        </w:rPr>
        <w:t xml:space="preserve">.2.4 </w:t>
      </w:r>
      <w:r>
        <w:rPr>
          <w:rFonts w:hint="eastAsia"/>
          <w:color w:val="auto"/>
          <w:sz w:val="21"/>
        </w:rPr>
        <w:t>施工设备和临时设施专用于合同工程</w:t>
      </w:r>
    </w:p>
    <w:p w14:paraId="51518958">
      <w:pPr>
        <w:spacing w:line="360" w:lineRule="auto"/>
        <w:ind w:firstLine="420" w:firstLineChars="200"/>
        <w:rPr>
          <w:rFonts w:ascii="宋体" w:hAnsi="宋体"/>
          <w:color w:val="auto"/>
          <w:szCs w:val="21"/>
        </w:rPr>
      </w:pPr>
      <w:r>
        <w:rPr>
          <w:rFonts w:hint="eastAsia" w:ascii="宋体" w:hAnsi="宋体"/>
          <w:color w:val="auto"/>
          <w:szCs w:val="21"/>
        </w:rPr>
        <w:t>承包人运入施工现场的施工设备以及在施工现场建设的临时设施必须专用于工程。未经发包人批准，承包人不得运出施工现场或挪作他用；经发包人批准，承包人可以根据施工进度计划撤走闲置的施工设备和其他物品。</w:t>
      </w:r>
    </w:p>
    <w:p w14:paraId="79959435">
      <w:pPr>
        <w:pStyle w:val="4"/>
        <w:spacing w:before="120" w:line="360" w:lineRule="auto"/>
        <w:rPr>
          <w:color w:val="auto"/>
        </w:rPr>
      </w:pPr>
      <w:bookmarkStart w:id="1355" w:name="_Ref11874352"/>
      <w:bookmarkStart w:id="1356" w:name="_Toc54862238"/>
      <w:bookmarkStart w:id="1357" w:name="_Toc154063554"/>
      <w:r>
        <w:rPr>
          <w:rFonts w:hint="eastAsia"/>
          <w:color w:val="auto"/>
        </w:rPr>
        <w:t>7</w:t>
      </w:r>
      <w:r>
        <w:rPr>
          <w:color w:val="auto"/>
        </w:rPr>
        <w:t xml:space="preserve">.3 </w:t>
      </w:r>
      <w:r>
        <w:rPr>
          <w:rFonts w:hint="eastAsia"/>
          <w:color w:val="auto"/>
        </w:rPr>
        <w:t>现场合作</w:t>
      </w:r>
      <w:bookmarkEnd w:id="1355"/>
      <w:bookmarkEnd w:id="1356"/>
      <w:bookmarkEnd w:id="1357"/>
    </w:p>
    <w:p w14:paraId="3B4A0474">
      <w:pPr>
        <w:spacing w:line="360" w:lineRule="auto"/>
        <w:ind w:firstLine="420" w:firstLineChars="200"/>
        <w:rPr>
          <w:rFonts w:ascii="宋体" w:hAnsi="宋体"/>
          <w:color w:val="auto"/>
          <w:szCs w:val="21"/>
        </w:rPr>
      </w:pPr>
      <w:r>
        <w:rPr>
          <w:rFonts w:hint="eastAsia" w:ascii="宋体" w:hAnsi="宋体"/>
          <w:color w:val="auto"/>
          <w:szCs w:val="21"/>
        </w:rPr>
        <w:t>承包人应按合同约定或发包人的指示，与发包人人员、发包人的其他承包人等人员就在现场或附近实施与工程有关的各项工作进行合作并提供适当条件，包括使用承包人设备、临时工程或进入现场等。</w:t>
      </w:r>
    </w:p>
    <w:p w14:paraId="5B99077A">
      <w:pPr>
        <w:spacing w:line="360" w:lineRule="auto"/>
        <w:ind w:firstLine="420" w:firstLineChars="200"/>
        <w:rPr>
          <w:rFonts w:ascii="宋体" w:hAnsi="宋体"/>
          <w:color w:val="auto"/>
          <w:szCs w:val="21"/>
        </w:rPr>
      </w:pPr>
      <w:r>
        <w:rPr>
          <w:rFonts w:hint="eastAsia" w:ascii="宋体" w:hAnsi="宋体"/>
          <w:color w:val="auto"/>
          <w:szCs w:val="21"/>
        </w:rPr>
        <w:t>承包人应对其在现场的施工活动负责，并应尽合理努力按合同约定或发包人的指示，协调自身与发包人人员、发包人的其他承包人等人员的活动。</w:t>
      </w:r>
    </w:p>
    <w:p w14:paraId="46A99903">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如果承包人提供上述合作、条件或协调在考虑到《发包人要求》所列内容的情况下是不可预见的，则承包人有权就额外费用和合理利润从发包人处获得支付，且因此延误的工期应相应顺延。</w:t>
      </w:r>
    </w:p>
    <w:p w14:paraId="369DDA9B">
      <w:pPr>
        <w:pStyle w:val="4"/>
        <w:spacing w:before="120" w:line="360" w:lineRule="auto"/>
        <w:rPr>
          <w:color w:val="auto"/>
        </w:rPr>
      </w:pPr>
      <w:bookmarkStart w:id="1358" w:name="_Toc54862239"/>
      <w:bookmarkStart w:id="1359" w:name="_Ref531954285"/>
      <w:bookmarkStart w:id="1360" w:name="_Ref531954287"/>
      <w:bookmarkStart w:id="1361" w:name="_Toc154063555"/>
      <w:r>
        <w:rPr>
          <w:rFonts w:hint="eastAsia"/>
          <w:color w:val="auto"/>
        </w:rPr>
        <w:t>7</w:t>
      </w:r>
      <w:r>
        <w:rPr>
          <w:color w:val="auto"/>
        </w:rPr>
        <w:t xml:space="preserve">.4 </w:t>
      </w:r>
      <w:r>
        <w:rPr>
          <w:rFonts w:hint="eastAsia"/>
          <w:color w:val="auto"/>
        </w:rPr>
        <w:t>测量放线</w:t>
      </w:r>
      <w:bookmarkEnd w:id="1358"/>
      <w:bookmarkEnd w:id="1359"/>
      <w:bookmarkEnd w:id="1360"/>
      <w:bookmarkEnd w:id="1361"/>
    </w:p>
    <w:p w14:paraId="617A350B">
      <w:pPr>
        <w:pStyle w:val="130"/>
        <w:numPr>
          <w:ilvl w:val="0"/>
          <w:numId w:val="0"/>
        </w:numPr>
        <w:ind w:firstLine="420" w:firstLineChars="200"/>
        <w:rPr>
          <w:color w:val="auto"/>
          <w:sz w:val="21"/>
        </w:rPr>
      </w:pPr>
      <w:r>
        <w:rPr>
          <w:rFonts w:hint="eastAsia"/>
          <w:color w:val="auto"/>
          <w:sz w:val="21"/>
        </w:rPr>
        <w:t>7</w:t>
      </w:r>
      <w:r>
        <w:rPr>
          <w:color w:val="auto"/>
          <w:sz w:val="21"/>
        </w:rPr>
        <w:t xml:space="preserve">.4.1 </w:t>
      </w:r>
      <w:r>
        <w:rPr>
          <w:rFonts w:hint="eastAsia"/>
          <w:color w:val="auto"/>
          <w:sz w:val="21"/>
        </w:rPr>
        <w:t>除专用合同条件另有约定外，承包人应根据国家测绘基准、测绘系统和工程测量技术规范，按基准点（线）以及合同工程精度要求，测设施工控制网，并在专用合同条件约定的期限内，将施工控制网资料报送工程师。</w:t>
      </w:r>
    </w:p>
    <w:p w14:paraId="391E112B">
      <w:pPr>
        <w:pStyle w:val="130"/>
        <w:keepNext w:val="0"/>
        <w:keepLines w:val="0"/>
        <w:pageBreakBefore w:val="0"/>
        <w:widowControl w:val="0"/>
        <w:numPr>
          <w:ilvl w:val="0"/>
          <w:numId w:val="0"/>
        </w:numPr>
        <w:kinsoku/>
        <w:wordWrap/>
        <w:overflowPunct/>
        <w:topLinePunct w:val="0"/>
        <w:autoSpaceDE/>
        <w:autoSpaceDN/>
        <w:bidi w:val="0"/>
        <w:adjustRightInd w:val="0"/>
        <w:snapToGrid w:val="0"/>
        <w:ind w:firstLine="420" w:firstLineChars="200"/>
        <w:textAlignment w:val="auto"/>
        <w:rPr>
          <w:color w:val="auto"/>
          <w:sz w:val="21"/>
        </w:rPr>
      </w:pPr>
      <w:r>
        <w:rPr>
          <w:rFonts w:hint="eastAsia"/>
          <w:color w:val="auto"/>
          <w:sz w:val="21"/>
        </w:rPr>
        <w:t>7</w:t>
      </w:r>
      <w:r>
        <w:rPr>
          <w:color w:val="auto"/>
          <w:sz w:val="21"/>
        </w:rPr>
        <w:t xml:space="preserve">.4.2 </w:t>
      </w:r>
      <w:r>
        <w:rPr>
          <w:rFonts w:hint="eastAsia"/>
          <w:color w:val="auto"/>
          <w:sz w:val="21"/>
        </w:rPr>
        <w:t>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p>
    <w:p w14:paraId="56BF5A5B">
      <w:pPr>
        <w:pStyle w:val="130"/>
        <w:numPr>
          <w:ilvl w:val="0"/>
          <w:numId w:val="0"/>
        </w:numPr>
        <w:ind w:firstLine="420" w:firstLineChars="200"/>
        <w:rPr>
          <w:color w:val="auto"/>
          <w:sz w:val="21"/>
        </w:rPr>
      </w:pPr>
      <w:r>
        <w:rPr>
          <w:rFonts w:hint="eastAsia"/>
          <w:color w:val="auto"/>
          <w:sz w:val="21"/>
        </w:rPr>
        <w:t>7</w:t>
      </w:r>
      <w:r>
        <w:rPr>
          <w:color w:val="auto"/>
          <w:sz w:val="21"/>
        </w:rPr>
        <w:t xml:space="preserve">.4.3 </w:t>
      </w:r>
      <w:r>
        <w:rPr>
          <w:rFonts w:hint="eastAsia"/>
          <w:color w:val="auto"/>
          <w:sz w:val="21"/>
        </w:rPr>
        <w:t>承包人负责施工过程中的全部施工测量放线工作，并配置具有相应资质的人员、合格的仪器、设备和其他物品。承包人应矫正工程的位置、标高、尺寸或基准线中出现的任何差错，并对工程各部分的定位负责。施工过程中对施工现场内水准点等测量标志物的保护工作由承包人负责。</w:t>
      </w:r>
    </w:p>
    <w:p w14:paraId="15A14A23">
      <w:pPr>
        <w:pStyle w:val="4"/>
        <w:spacing w:before="120" w:line="360" w:lineRule="auto"/>
        <w:rPr>
          <w:color w:val="auto"/>
        </w:rPr>
      </w:pPr>
      <w:bookmarkStart w:id="1362" w:name="_Toc154063556"/>
      <w:bookmarkStart w:id="1363" w:name="_Toc54862240"/>
      <w:bookmarkStart w:id="1364" w:name="_Ref4770992"/>
      <w:bookmarkStart w:id="1365" w:name="_Ref531954323"/>
      <w:bookmarkStart w:id="1366" w:name="_Ref531954329"/>
      <w:r>
        <w:rPr>
          <w:rFonts w:hint="eastAsia"/>
          <w:color w:val="auto"/>
        </w:rPr>
        <w:t>7</w:t>
      </w:r>
      <w:r>
        <w:rPr>
          <w:color w:val="auto"/>
        </w:rPr>
        <w:t xml:space="preserve">.5 </w:t>
      </w:r>
      <w:r>
        <w:rPr>
          <w:rFonts w:hint="eastAsia"/>
          <w:color w:val="auto"/>
        </w:rPr>
        <w:t>现场劳动用工</w:t>
      </w:r>
      <w:bookmarkEnd w:id="1362"/>
      <w:bookmarkEnd w:id="1363"/>
    </w:p>
    <w:p w14:paraId="7A077510">
      <w:pPr>
        <w:pStyle w:val="130"/>
        <w:numPr>
          <w:ilvl w:val="0"/>
          <w:numId w:val="0"/>
        </w:numPr>
        <w:ind w:firstLine="420" w:firstLineChars="200"/>
        <w:rPr>
          <w:rFonts w:hint="eastAsia"/>
          <w:color w:val="auto"/>
          <w:sz w:val="21"/>
        </w:rPr>
      </w:pPr>
      <w:r>
        <w:rPr>
          <w:color w:val="auto"/>
          <w:sz w:val="21"/>
        </w:rPr>
        <w:t>7.5.1 承包人及其分包人招用建筑工人的，</w:t>
      </w:r>
      <w:r>
        <w:rPr>
          <w:rFonts w:hint="eastAsia"/>
          <w:color w:val="auto"/>
          <w:sz w:val="21"/>
        </w:rPr>
        <w:t>应当依法与所招用的建筑工人订立</w:t>
      </w:r>
      <w:r>
        <w:rPr>
          <w:color w:val="auto"/>
          <w:sz w:val="21"/>
        </w:rPr>
        <w:t>劳动合同，实行建筑工人劳动用工实名制管理，</w:t>
      </w:r>
      <w:r>
        <w:rPr>
          <w:rFonts w:hint="eastAsia"/>
          <w:color w:val="auto"/>
          <w:sz w:val="21"/>
        </w:rPr>
        <w:t>承包人</w:t>
      </w:r>
      <w:r>
        <w:rPr>
          <w:color w:val="auto"/>
          <w:sz w:val="21"/>
        </w:rPr>
        <w:t>应当按照有关规定开设建筑工人工资专用账户、存储工资保证金，专项用于支付和保障该工程建设项目建筑工人工资。</w:t>
      </w:r>
    </w:p>
    <w:p w14:paraId="157F4B4B">
      <w:pPr>
        <w:pStyle w:val="130"/>
        <w:numPr>
          <w:ilvl w:val="0"/>
          <w:numId w:val="0"/>
        </w:numPr>
        <w:ind w:firstLine="420" w:firstLineChars="200"/>
        <w:rPr>
          <w:color w:val="auto"/>
          <w:sz w:val="21"/>
        </w:rPr>
      </w:pPr>
      <w:r>
        <w:rPr>
          <w:color w:val="auto"/>
          <w:sz w:val="21"/>
        </w:rPr>
        <w:t>7.5.2 承包人应当在工程项目部配备劳资专管员，对分包单位劳动用工及工资发放实施监督管理。</w:t>
      </w:r>
      <w:r>
        <w:rPr>
          <w:rFonts w:hint="eastAsia"/>
          <w:color w:val="auto"/>
          <w:sz w:val="21"/>
        </w:rPr>
        <w:t>承包人拖欠建筑工人工资的</w:t>
      </w:r>
      <w:r>
        <w:rPr>
          <w:rFonts w:hint="eastAsia"/>
          <w:color w:val="auto"/>
          <w:sz w:val="21"/>
          <w:lang w:eastAsia="zh-CN"/>
        </w:rPr>
        <w:t>，</w:t>
      </w:r>
      <w:r>
        <w:rPr>
          <w:color w:val="auto"/>
          <w:sz w:val="21"/>
        </w:rPr>
        <w:t>应当依法予以清偿。分包人拖欠建筑工人工资的</w:t>
      </w:r>
      <w:r>
        <w:rPr>
          <w:rFonts w:hint="eastAsia"/>
          <w:color w:val="auto"/>
          <w:sz w:val="21"/>
          <w:lang w:eastAsia="zh-CN"/>
        </w:rPr>
        <w:t>，</w:t>
      </w:r>
      <w:r>
        <w:rPr>
          <w:color w:val="auto"/>
          <w:sz w:val="21"/>
        </w:rPr>
        <w:t>由承包人先行清偿</w:t>
      </w:r>
      <w:r>
        <w:rPr>
          <w:rFonts w:hint="eastAsia"/>
          <w:color w:val="auto"/>
          <w:sz w:val="21"/>
          <w:lang w:eastAsia="zh-CN"/>
        </w:rPr>
        <w:t>，</w:t>
      </w:r>
      <w:r>
        <w:rPr>
          <w:color w:val="auto"/>
          <w:sz w:val="21"/>
        </w:rPr>
        <w:t>再依法进行追偿。</w:t>
      </w:r>
      <w:r>
        <w:rPr>
          <w:rFonts w:hint="eastAsia"/>
          <w:color w:val="auto"/>
          <w:sz w:val="21"/>
        </w:rPr>
        <w:t>因发包人未按照合同约定及时拨付工程款导致建筑工人工资拖欠的，发包人应当以未结清的工程款为限先行垫付被拖欠的建筑工人工资。合同当事人可在专用合同条件中约定具体的清偿事宜和违约责任。</w:t>
      </w:r>
    </w:p>
    <w:p w14:paraId="329B60F7">
      <w:pPr>
        <w:pStyle w:val="130"/>
        <w:numPr>
          <w:ilvl w:val="0"/>
          <w:numId w:val="0"/>
        </w:numPr>
        <w:ind w:firstLine="420" w:firstLineChars="200"/>
        <w:rPr>
          <w:color w:val="auto"/>
          <w:sz w:val="21"/>
        </w:rPr>
      </w:pPr>
      <w:r>
        <w:rPr>
          <w:rFonts w:hint="eastAsia"/>
          <w:color w:val="auto"/>
          <w:sz w:val="21"/>
        </w:rPr>
        <w:t>7.5.3 承包人应当按照相关法律法规的要求，进行劳动用工管理和建筑工人工资支付。</w:t>
      </w:r>
    </w:p>
    <w:p w14:paraId="20B2C0AE">
      <w:pPr>
        <w:pStyle w:val="4"/>
        <w:spacing w:before="120" w:line="360" w:lineRule="auto"/>
        <w:rPr>
          <w:color w:val="auto"/>
        </w:rPr>
      </w:pPr>
      <w:bookmarkStart w:id="1367" w:name="_Toc154063557"/>
      <w:bookmarkStart w:id="1368" w:name="_Toc54862241"/>
      <w:bookmarkStart w:id="1369" w:name="_Ref41554059"/>
      <w:r>
        <w:rPr>
          <w:rFonts w:hint="eastAsia"/>
          <w:color w:val="auto"/>
        </w:rPr>
        <w:t>7</w:t>
      </w:r>
      <w:r>
        <w:rPr>
          <w:color w:val="auto"/>
        </w:rPr>
        <w:t xml:space="preserve">.6 </w:t>
      </w:r>
      <w:r>
        <w:rPr>
          <w:rFonts w:hint="eastAsia"/>
          <w:color w:val="auto"/>
        </w:rPr>
        <w:t>安全文明施工</w:t>
      </w:r>
      <w:bookmarkEnd w:id="1364"/>
      <w:bookmarkEnd w:id="1365"/>
      <w:bookmarkEnd w:id="1366"/>
      <w:bookmarkEnd w:id="1367"/>
      <w:bookmarkEnd w:id="1368"/>
      <w:bookmarkEnd w:id="1369"/>
    </w:p>
    <w:p w14:paraId="2C8C44BB">
      <w:pPr>
        <w:pStyle w:val="130"/>
        <w:numPr>
          <w:ilvl w:val="0"/>
          <w:numId w:val="0"/>
        </w:numPr>
        <w:ind w:firstLine="420" w:firstLineChars="200"/>
        <w:rPr>
          <w:color w:val="auto"/>
          <w:sz w:val="21"/>
        </w:rPr>
      </w:pPr>
      <w:bookmarkStart w:id="1370" w:name="_Ref18990822"/>
      <w:r>
        <w:rPr>
          <w:rFonts w:hint="eastAsia"/>
          <w:color w:val="auto"/>
          <w:sz w:val="21"/>
        </w:rPr>
        <w:t>7</w:t>
      </w:r>
      <w:r>
        <w:rPr>
          <w:color w:val="auto"/>
          <w:sz w:val="21"/>
        </w:rPr>
        <w:t xml:space="preserve">.6.1 </w:t>
      </w:r>
      <w:r>
        <w:rPr>
          <w:rFonts w:hint="eastAsia"/>
          <w:color w:val="auto"/>
          <w:sz w:val="21"/>
        </w:rPr>
        <w:t>安全生产要求</w:t>
      </w:r>
      <w:bookmarkEnd w:id="1370"/>
    </w:p>
    <w:p w14:paraId="0308DEA2">
      <w:pPr>
        <w:spacing w:line="360" w:lineRule="auto"/>
        <w:ind w:firstLine="420" w:firstLineChars="200"/>
        <w:rPr>
          <w:rFonts w:ascii="宋体" w:hAnsi="宋体"/>
          <w:color w:val="auto"/>
          <w:szCs w:val="21"/>
        </w:rPr>
      </w:pPr>
      <w:r>
        <w:rPr>
          <w:rFonts w:hint="eastAsia" w:ascii="宋体" w:hAnsi="宋体"/>
          <w:color w:val="auto"/>
          <w:szCs w:val="21"/>
        </w:rPr>
        <w:t>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p>
    <w:p w14:paraId="5EA86E27">
      <w:pPr>
        <w:spacing w:line="360" w:lineRule="auto"/>
        <w:ind w:firstLine="420" w:firstLineChars="200"/>
        <w:rPr>
          <w:rFonts w:ascii="宋体" w:hAnsi="宋体"/>
          <w:color w:val="auto"/>
          <w:szCs w:val="21"/>
        </w:rPr>
      </w:pPr>
      <w:r>
        <w:rPr>
          <w:rFonts w:hint="eastAsia" w:ascii="宋体" w:hAnsi="宋体"/>
          <w:color w:val="auto"/>
          <w:szCs w:val="21"/>
        </w:rPr>
        <w:t>在工程实施过程中，如遇到突发的地质变动、事先未知的地下施工障碍等影响施工安全的紧急情况，承包人应及时报告工程师和发包人，发包人应当及时下令停工并采取应急措施，按照相关法律法规的要求需上报政府有关行政管理部门的，应依法上报。</w:t>
      </w:r>
    </w:p>
    <w:p w14:paraId="2457C8B1">
      <w:pPr>
        <w:spacing w:line="360" w:lineRule="auto"/>
        <w:ind w:firstLine="420" w:firstLineChars="200"/>
        <w:rPr>
          <w:rFonts w:ascii="宋体" w:hAnsi="宋体"/>
          <w:color w:val="auto"/>
          <w:szCs w:val="21"/>
        </w:rPr>
      </w:pPr>
      <w:r>
        <w:rPr>
          <w:rFonts w:hint="eastAsia" w:ascii="宋体" w:hAnsi="宋体"/>
          <w:color w:val="auto"/>
          <w:szCs w:val="21"/>
        </w:rPr>
        <w:t>因安全生产需要暂停施工的，按照第</w:t>
      </w:r>
      <w:r>
        <w:rPr>
          <w:rFonts w:ascii="宋体" w:hAnsi="宋体"/>
          <w:color w:val="auto"/>
          <w:szCs w:val="21"/>
        </w:rPr>
        <w:t>8.9</w:t>
      </w:r>
      <w:r>
        <w:rPr>
          <w:rFonts w:hint="eastAsia" w:ascii="宋体" w:hAnsi="宋体"/>
          <w:color w:val="auto"/>
          <w:szCs w:val="21"/>
        </w:rPr>
        <w:t>款[暂停工作]的约定执行。</w:t>
      </w:r>
    </w:p>
    <w:p w14:paraId="7A124C80">
      <w:pPr>
        <w:pStyle w:val="130"/>
        <w:numPr>
          <w:ilvl w:val="0"/>
          <w:numId w:val="0"/>
        </w:numPr>
        <w:ind w:firstLine="420" w:firstLineChars="200"/>
        <w:rPr>
          <w:color w:val="auto"/>
          <w:sz w:val="21"/>
        </w:rPr>
      </w:pPr>
      <w:r>
        <w:rPr>
          <w:rFonts w:hint="eastAsia"/>
          <w:color w:val="auto"/>
          <w:sz w:val="21"/>
        </w:rPr>
        <w:t>7</w:t>
      </w:r>
      <w:r>
        <w:rPr>
          <w:color w:val="auto"/>
          <w:sz w:val="21"/>
        </w:rPr>
        <w:t xml:space="preserve">.6.2 </w:t>
      </w:r>
      <w:r>
        <w:rPr>
          <w:rFonts w:hint="eastAsia"/>
          <w:color w:val="auto"/>
          <w:sz w:val="21"/>
        </w:rPr>
        <w:t>安全生产保证措施</w:t>
      </w:r>
    </w:p>
    <w:p w14:paraId="1A172613">
      <w:pPr>
        <w:spacing w:line="360" w:lineRule="auto"/>
        <w:ind w:firstLine="420" w:firstLineChars="200"/>
        <w:rPr>
          <w:rFonts w:ascii="宋体" w:hAnsi="宋体"/>
          <w:color w:val="auto"/>
          <w:szCs w:val="21"/>
        </w:rPr>
      </w:pPr>
      <w:r>
        <w:rPr>
          <w:rFonts w:hint="eastAsia" w:ascii="宋体" w:hAnsi="宋体"/>
          <w:color w:val="auto"/>
          <w:szCs w:val="21"/>
        </w:rPr>
        <w:t>承包人应当按照法律、法规和工程建设强制性标准进行设计、在设计文件中注明涉及施工安全的重点部位和环节，提出保障施工作业人员和预防安全事故的措施建议，防止因设计不合理导致生产安全事故的发生。</w:t>
      </w:r>
    </w:p>
    <w:p w14:paraId="0CD6C92B">
      <w:pPr>
        <w:spacing w:line="360" w:lineRule="auto"/>
        <w:ind w:firstLine="420" w:firstLineChars="200"/>
        <w:rPr>
          <w:rFonts w:ascii="宋体" w:hAnsi="宋体"/>
          <w:color w:val="auto"/>
          <w:szCs w:val="21"/>
        </w:rPr>
      </w:pPr>
      <w:r>
        <w:rPr>
          <w:rFonts w:hint="eastAsia" w:ascii="宋体" w:hAnsi="宋体"/>
          <w:color w:val="auto"/>
          <w:szCs w:val="21"/>
        </w:rPr>
        <w:t>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工程师及政府安全监督部门的检查与监督。</w:t>
      </w:r>
    </w:p>
    <w:p w14:paraId="5FDB6B0B">
      <w:pPr>
        <w:spacing w:line="360" w:lineRule="auto"/>
        <w:ind w:firstLine="420" w:firstLineChars="200"/>
        <w:rPr>
          <w:rFonts w:ascii="宋体" w:hAnsi="宋体"/>
          <w:color w:val="auto"/>
          <w:szCs w:val="21"/>
        </w:rPr>
      </w:pPr>
      <w:r>
        <w:rPr>
          <w:rFonts w:hint="eastAsia" w:ascii="宋体" w:hAnsi="宋体"/>
          <w:color w:val="auto"/>
          <w:szCs w:val="21"/>
        </w:rPr>
        <w:t>承包人应按照法律规定进行施工，开工前做好安全技术交底工作，施工过程中做好各项安全防护措施。承包人为实施合同而雇用的特殊工种的人员应受过专门的培训并已取得政府有关管理机构颁发的上岗证书。承包人应加强施工作业安全管理，特别应加强对于易燃、易爆材料、火工器材、有毒与腐蚀性材料和其他危险品的管理，以及对爆破作业和地下工程施工等危险作业的管理。</w:t>
      </w:r>
    </w:p>
    <w:p w14:paraId="21A7F10B">
      <w:pPr>
        <w:pStyle w:val="130"/>
        <w:numPr>
          <w:ilvl w:val="0"/>
          <w:numId w:val="0"/>
        </w:numPr>
        <w:ind w:firstLine="420" w:firstLineChars="200"/>
        <w:rPr>
          <w:color w:val="auto"/>
          <w:sz w:val="21"/>
        </w:rPr>
      </w:pPr>
      <w:bookmarkStart w:id="1371" w:name="_Ref18990840"/>
      <w:r>
        <w:rPr>
          <w:rFonts w:hint="eastAsia"/>
          <w:color w:val="auto"/>
          <w:sz w:val="21"/>
        </w:rPr>
        <w:t>7</w:t>
      </w:r>
      <w:r>
        <w:rPr>
          <w:color w:val="auto"/>
          <w:sz w:val="21"/>
        </w:rPr>
        <w:t xml:space="preserve">.6.3 </w:t>
      </w:r>
      <w:r>
        <w:rPr>
          <w:rFonts w:hint="eastAsia"/>
          <w:color w:val="auto"/>
          <w:sz w:val="21"/>
        </w:rPr>
        <w:t>文明施工</w:t>
      </w:r>
      <w:bookmarkEnd w:id="1371"/>
    </w:p>
    <w:p w14:paraId="59BD8894">
      <w:pPr>
        <w:spacing w:line="360" w:lineRule="auto"/>
        <w:ind w:firstLine="420" w:firstLineChars="200"/>
        <w:rPr>
          <w:rFonts w:ascii="宋体" w:hAnsi="宋体"/>
          <w:color w:val="auto"/>
          <w:szCs w:val="21"/>
        </w:rPr>
      </w:pPr>
      <w:r>
        <w:rPr>
          <w:rFonts w:hint="eastAsia" w:ascii="宋体" w:hAnsi="宋体"/>
          <w:color w:val="auto"/>
          <w:szCs w:val="21"/>
        </w:rPr>
        <w:t>承包人在工程施工期间，应当采取措施保持施工现场平整，物料堆放整齐。工程所在地有关政府行政管理部门有特殊要求的，按照其要求执行。合同当事人对文明施工有其他要求的，可以在专用合同条件中明确。</w:t>
      </w:r>
    </w:p>
    <w:p w14:paraId="3D255AC7">
      <w:pPr>
        <w:spacing w:line="360" w:lineRule="auto"/>
        <w:ind w:firstLine="420" w:firstLineChars="200"/>
        <w:rPr>
          <w:rFonts w:ascii="宋体" w:hAnsi="宋体"/>
          <w:color w:val="auto"/>
          <w:szCs w:val="21"/>
        </w:rPr>
      </w:pPr>
      <w:r>
        <w:rPr>
          <w:rFonts w:hint="eastAsia" w:ascii="宋体" w:hAnsi="宋体"/>
          <w:color w:val="auto"/>
          <w:szCs w:val="21"/>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38BCE475">
      <w:pPr>
        <w:pStyle w:val="130"/>
        <w:numPr>
          <w:ilvl w:val="0"/>
          <w:numId w:val="0"/>
        </w:numPr>
        <w:ind w:firstLine="525" w:firstLineChars="250"/>
        <w:rPr>
          <w:color w:val="auto"/>
          <w:sz w:val="21"/>
        </w:rPr>
      </w:pPr>
      <w:r>
        <w:rPr>
          <w:rFonts w:hint="eastAsia"/>
          <w:color w:val="auto"/>
          <w:sz w:val="21"/>
        </w:rPr>
        <w:t>7</w:t>
      </w:r>
      <w:r>
        <w:rPr>
          <w:color w:val="auto"/>
          <w:sz w:val="21"/>
        </w:rPr>
        <w:t xml:space="preserve">.6.4 </w:t>
      </w:r>
      <w:r>
        <w:rPr>
          <w:rFonts w:hint="eastAsia"/>
          <w:color w:val="auto"/>
          <w:sz w:val="21"/>
        </w:rPr>
        <w:t>事故处理</w:t>
      </w:r>
    </w:p>
    <w:p w14:paraId="6EB4BC2B">
      <w:pPr>
        <w:spacing w:line="360" w:lineRule="auto"/>
        <w:ind w:firstLine="420" w:firstLineChars="200"/>
        <w:rPr>
          <w:rFonts w:ascii="宋体" w:hAnsi="宋体"/>
          <w:color w:val="auto"/>
          <w:szCs w:val="21"/>
        </w:rPr>
      </w:pPr>
      <w:r>
        <w:rPr>
          <w:rFonts w:hint="eastAsia" w:ascii="宋体" w:hAnsi="宋体"/>
          <w:color w:val="auto"/>
          <w:szCs w:val="21"/>
        </w:rPr>
        <w:t>工程实施过程中发生事故的，承包人应立即通知工程师。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3BB96482">
      <w:pPr>
        <w:spacing w:line="360" w:lineRule="auto"/>
        <w:ind w:firstLine="420" w:firstLineChars="200"/>
        <w:rPr>
          <w:rFonts w:ascii="宋体" w:hAnsi="宋体"/>
          <w:color w:val="auto"/>
          <w:szCs w:val="21"/>
        </w:rPr>
      </w:pPr>
      <w:r>
        <w:rPr>
          <w:rFonts w:hint="eastAsia" w:ascii="宋体" w:hAnsi="宋体"/>
          <w:color w:val="auto"/>
          <w:szCs w:val="21"/>
        </w:rPr>
        <w:t>在工程实施期间或缺陷责任期内发生危及工程安全的事件，工程师通知承包人进行抢救和抢修，承包人声明无能力或不愿立即执行的，发包人有权雇佣其他人员进行抢救和抢修。此类抢救和抢修按合同约定属于承包人义务的，由此增加的费用和（或）延误的工期由承包人承担。</w:t>
      </w:r>
    </w:p>
    <w:p w14:paraId="1F629265">
      <w:pPr>
        <w:pStyle w:val="130"/>
        <w:numPr>
          <w:ilvl w:val="0"/>
          <w:numId w:val="0"/>
        </w:numPr>
        <w:ind w:firstLine="420" w:firstLineChars="200"/>
        <w:rPr>
          <w:color w:val="auto"/>
          <w:sz w:val="21"/>
        </w:rPr>
      </w:pPr>
      <w:r>
        <w:rPr>
          <w:rFonts w:hint="eastAsia"/>
          <w:color w:val="auto"/>
          <w:sz w:val="21"/>
        </w:rPr>
        <w:t>7</w:t>
      </w:r>
      <w:r>
        <w:rPr>
          <w:color w:val="auto"/>
          <w:sz w:val="21"/>
        </w:rPr>
        <w:t xml:space="preserve">.6.5 </w:t>
      </w:r>
      <w:r>
        <w:rPr>
          <w:rFonts w:hint="eastAsia"/>
          <w:color w:val="auto"/>
          <w:sz w:val="21"/>
        </w:rPr>
        <w:t>安全生产责任</w:t>
      </w:r>
    </w:p>
    <w:p w14:paraId="3724787A">
      <w:pPr>
        <w:spacing w:line="360" w:lineRule="auto"/>
        <w:ind w:firstLine="420" w:firstLineChars="200"/>
        <w:rPr>
          <w:rFonts w:hint="eastAsia" w:ascii="宋体" w:hAnsi="宋体"/>
          <w:color w:val="auto"/>
          <w:szCs w:val="21"/>
        </w:rPr>
      </w:pPr>
      <w:r>
        <w:rPr>
          <w:rFonts w:hint="eastAsia" w:ascii="宋体" w:hAnsi="宋体"/>
          <w:color w:val="auto"/>
          <w:szCs w:val="21"/>
        </w:rPr>
        <w:t>发包人应负责赔偿以下各种情况造成的损失：</w:t>
      </w:r>
    </w:p>
    <w:p w14:paraId="1937839A">
      <w:pPr>
        <w:spacing w:line="360" w:lineRule="auto"/>
        <w:ind w:firstLine="420" w:firstLineChars="200"/>
        <w:rPr>
          <w:rFonts w:hint="eastAsia" w:ascii="宋体" w:hAnsi="宋体"/>
          <w:color w:val="auto"/>
          <w:szCs w:val="21"/>
        </w:rPr>
      </w:pPr>
      <w:r>
        <w:rPr>
          <w:rFonts w:hint="eastAsia" w:ascii="宋体" w:hAnsi="宋体"/>
          <w:color w:val="auto"/>
          <w:szCs w:val="21"/>
        </w:rPr>
        <w:t>（1）工程或工程的任何部分对土地的占用所造成的第三者财产损失；</w:t>
      </w:r>
    </w:p>
    <w:p w14:paraId="6573D085">
      <w:pPr>
        <w:spacing w:line="360" w:lineRule="auto"/>
        <w:ind w:firstLine="420" w:firstLineChars="200"/>
        <w:rPr>
          <w:rFonts w:hint="eastAsia" w:ascii="宋体" w:hAnsi="宋体"/>
          <w:color w:val="auto"/>
          <w:szCs w:val="21"/>
        </w:rPr>
      </w:pPr>
      <w:r>
        <w:rPr>
          <w:rFonts w:hint="eastAsia" w:ascii="宋体" w:hAnsi="宋体"/>
          <w:color w:val="auto"/>
          <w:szCs w:val="21"/>
        </w:rPr>
        <w:t>（2）由于发包人原因在施工现场及其毗邻地带、履行合同工作中造成的第三者人身伤亡和财产损失；</w:t>
      </w:r>
    </w:p>
    <w:p w14:paraId="2F165FE4">
      <w:pPr>
        <w:spacing w:line="360" w:lineRule="auto"/>
        <w:ind w:firstLine="420" w:firstLineChars="200"/>
        <w:rPr>
          <w:rFonts w:ascii="宋体" w:hAnsi="宋体"/>
          <w:color w:val="auto"/>
          <w:szCs w:val="21"/>
        </w:rPr>
      </w:pPr>
      <w:r>
        <w:rPr>
          <w:rFonts w:hint="eastAsia" w:ascii="宋体" w:hAnsi="宋体"/>
          <w:color w:val="auto"/>
          <w:szCs w:val="21"/>
        </w:rPr>
        <w:t>（3）由于发包人原因对发包人自身、承包人、工程师造成的人身伤害和财产损失。</w:t>
      </w:r>
    </w:p>
    <w:p w14:paraId="017D3F66">
      <w:pPr>
        <w:spacing w:line="360" w:lineRule="auto"/>
        <w:ind w:firstLine="420" w:firstLineChars="200"/>
        <w:rPr>
          <w:rFonts w:ascii="宋体" w:hAnsi="宋体"/>
          <w:color w:val="auto"/>
          <w:szCs w:val="21"/>
        </w:rPr>
      </w:pPr>
      <w:r>
        <w:rPr>
          <w:rFonts w:hint="eastAsia" w:ascii="宋体" w:hAnsi="宋体"/>
          <w:color w:val="auto"/>
          <w:szCs w:val="21"/>
        </w:rPr>
        <w:t>承包人应负责赔偿由于承包人原因在施工现场及其毗邻地带、履行合同工作中造成的第三者人身伤亡和财产损失。</w:t>
      </w:r>
    </w:p>
    <w:p w14:paraId="3B74BB78">
      <w:pPr>
        <w:spacing w:line="360" w:lineRule="auto"/>
        <w:ind w:firstLine="420" w:firstLineChars="200"/>
        <w:rPr>
          <w:rFonts w:ascii="宋体" w:hAnsi="宋体"/>
          <w:color w:val="auto"/>
          <w:szCs w:val="21"/>
        </w:rPr>
      </w:pPr>
      <w:r>
        <w:rPr>
          <w:rFonts w:hint="eastAsia" w:ascii="宋体" w:hAnsi="宋体"/>
          <w:color w:val="auto"/>
          <w:szCs w:val="21"/>
        </w:rPr>
        <w:t>如果上述损失是由于发包人和承包人共同原因导致的，则双方应根据过错情况按比例承担。</w:t>
      </w:r>
    </w:p>
    <w:p w14:paraId="1272D01E">
      <w:pPr>
        <w:pStyle w:val="4"/>
        <w:spacing w:before="120" w:line="360" w:lineRule="auto"/>
        <w:rPr>
          <w:color w:val="auto"/>
        </w:rPr>
      </w:pPr>
      <w:bookmarkStart w:id="1372" w:name="_Ref11874562"/>
      <w:bookmarkStart w:id="1373" w:name="_Toc154063558"/>
      <w:bookmarkStart w:id="1374" w:name="_Toc54862242"/>
      <w:bookmarkStart w:id="1375" w:name="_Ref41554069"/>
      <w:r>
        <w:rPr>
          <w:rFonts w:hint="eastAsia"/>
          <w:color w:val="auto"/>
        </w:rPr>
        <w:t>7</w:t>
      </w:r>
      <w:r>
        <w:rPr>
          <w:color w:val="auto"/>
        </w:rPr>
        <w:t xml:space="preserve">.7 </w:t>
      </w:r>
      <w:r>
        <w:rPr>
          <w:rFonts w:hint="eastAsia"/>
          <w:color w:val="auto"/>
        </w:rPr>
        <w:t>职业健康</w:t>
      </w:r>
      <w:bookmarkEnd w:id="1372"/>
      <w:bookmarkEnd w:id="1373"/>
      <w:bookmarkEnd w:id="1374"/>
      <w:bookmarkEnd w:id="1375"/>
    </w:p>
    <w:p w14:paraId="48232F82">
      <w:pPr>
        <w:spacing w:line="360" w:lineRule="auto"/>
        <w:ind w:firstLine="420" w:firstLineChars="200"/>
        <w:rPr>
          <w:rFonts w:hint="eastAsia" w:ascii="宋体" w:hAnsi="宋体"/>
          <w:color w:val="auto"/>
          <w:szCs w:val="21"/>
        </w:rPr>
      </w:pPr>
      <w:r>
        <w:rPr>
          <w:rFonts w:hint="eastAsia" w:ascii="宋体" w:hAnsi="宋体"/>
          <w:color w:val="auto"/>
          <w:szCs w:val="21"/>
        </w:rPr>
        <w:t>承包人应遵守适用的职业健康的法律和合同约定（包括对雇用、职业健康、安全、福利等方面的规定），负责现场实施过程中其人员的职业健康和保护，包括：</w:t>
      </w:r>
    </w:p>
    <w:p w14:paraId="56AB466D">
      <w:pPr>
        <w:spacing w:line="360" w:lineRule="auto"/>
        <w:ind w:firstLine="420" w:firstLineChars="200"/>
        <w:rPr>
          <w:rFonts w:hint="eastAsia" w:ascii="宋体" w:hAnsi="宋体"/>
          <w:color w:val="auto"/>
          <w:szCs w:val="21"/>
        </w:rPr>
      </w:pPr>
      <w:r>
        <w:rPr>
          <w:rFonts w:hint="eastAsia" w:ascii="宋体" w:hAnsi="宋体"/>
          <w:color w:val="auto"/>
          <w:szCs w:val="21"/>
        </w:rPr>
        <w:t>（1）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p>
    <w:p w14:paraId="75AB065D">
      <w:pPr>
        <w:spacing w:line="360" w:lineRule="auto"/>
        <w:ind w:firstLine="420" w:firstLineChars="200"/>
        <w:rPr>
          <w:rFonts w:hint="eastAsia" w:ascii="宋体" w:hAnsi="宋体"/>
          <w:color w:val="auto"/>
          <w:szCs w:val="21"/>
        </w:rPr>
      </w:pPr>
      <w:r>
        <w:rPr>
          <w:rFonts w:hint="eastAsia" w:ascii="宋体" w:hAnsi="宋体"/>
          <w:color w:val="auto"/>
          <w:szCs w:val="21"/>
        </w:rPr>
        <w:t>（2）承包人应依法为承包人</w:t>
      </w:r>
      <w:bookmarkStart w:id="1376" w:name="_Hlk46339538"/>
      <w:r>
        <w:rPr>
          <w:rFonts w:hint="eastAsia" w:ascii="宋体" w:hAnsi="宋体"/>
          <w:color w:val="auto"/>
          <w:szCs w:val="21"/>
        </w:rPr>
        <w:t>员工及承包人聘用的第三方人员</w:t>
      </w:r>
      <w:bookmarkEnd w:id="1376"/>
      <w:r>
        <w:rPr>
          <w:rFonts w:hint="eastAsia" w:ascii="宋体" w:hAnsi="宋体"/>
          <w:color w:val="auto"/>
          <w:szCs w:val="21"/>
        </w:rPr>
        <w:t>办理必要的证件、许可、保险和注册等，承包人应督促其分包人为分包人员工及分包人聘用的第三方人员办理必要的证件、许可、保险和注册等。承包人应为其履行合同所雇用的人员提供必要的膳宿条件和生活环境，必要的现场食宿条件。</w:t>
      </w:r>
    </w:p>
    <w:p w14:paraId="73DF619D">
      <w:pPr>
        <w:spacing w:line="360" w:lineRule="auto"/>
        <w:ind w:firstLine="420" w:firstLineChars="200"/>
        <w:rPr>
          <w:rFonts w:hint="eastAsia" w:ascii="宋体" w:hAnsi="宋体"/>
          <w:color w:val="auto"/>
          <w:szCs w:val="21"/>
        </w:rPr>
      </w:pPr>
      <w:r>
        <w:rPr>
          <w:rFonts w:hint="eastAsia" w:ascii="宋体" w:hAnsi="宋体"/>
          <w:color w:val="auto"/>
          <w:szCs w:val="21"/>
        </w:rPr>
        <w:t>（3）承包人应对其施工人员进行相关作业的职业健康知识培训、危险及危害因素交底、安全操作规程交底、采取有效措施，按有关规定为其现场人员提供劳动保护用品、防护器具、防暑降温用品和安全生产设施。采取有效的防止粉尘、降低噪声、控制有害气体和保障高温、高寒、高空作业安全等劳动保护措施。</w:t>
      </w:r>
    </w:p>
    <w:p w14:paraId="179E6DB3">
      <w:pPr>
        <w:spacing w:line="360" w:lineRule="auto"/>
        <w:ind w:firstLine="420" w:firstLineChars="200"/>
        <w:rPr>
          <w:rFonts w:hint="eastAsia" w:ascii="宋体" w:hAnsi="宋体"/>
          <w:color w:val="auto"/>
          <w:szCs w:val="21"/>
        </w:rPr>
      </w:pPr>
      <w:r>
        <w:rPr>
          <w:rFonts w:hint="eastAsia" w:ascii="宋体" w:hAnsi="宋体"/>
          <w:color w:val="auto"/>
          <w:szCs w:val="21"/>
        </w:rPr>
        <w:t>（4）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p>
    <w:p w14:paraId="2A8043C0">
      <w:pPr>
        <w:spacing w:line="360" w:lineRule="auto"/>
        <w:ind w:firstLine="420" w:firstLineChars="200"/>
        <w:rPr>
          <w:rFonts w:ascii="宋体" w:hAnsi="宋体"/>
          <w:color w:val="auto"/>
          <w:szCs w:val="21"/>
        </w:rPr>
      </w:pPr>
      <w:r>
        <w:rPr>
          <w:rFonts w:hint="eastAsia" w:ascii="宋体" w:hAnsi="宋体"/>
          <w:color w:val="auto"/>
          <w:szCs w:val="21"/>
        </w:rPr>
        <w:t>（5）承包人应采取有效措施预防传染病，保持食堂的饮食卫生，保证施工人员的健康，并定期对施工现场、施工人员生活基地和工程进行防疫和卫生的专业检查和处理</w:t>
      </w:r>
      <w:r>
        <w:rPr>
          <w:rFonts w:hint="eastAsia" w:ascii="宋体" w:hAnsi="宋体"/>
          <w:color w:val="auto"/>
          <w:szCs w:val="21"/>
          <w:lang w:eastAsia="zh-CN"/>
        </w:rPr>
        <w:t>，</w:t>
      </w:r>
      <w:r>
        <w:rPr>
          <w:rFonts w:hint="eastAsia" w:ascii="宋体" w:hAnsi="宋体"/>
          <w:color w:val="auto"/>
          <w:szCs w:val="21"/>
        </w:rPr>
        <w:t xml:space="preserve"> 在远离城镇的施工现场，还应配备必要的伤病防治和急救的医务人员与医疗设施。承包人雇佣人员在施工中受到伤害的，承包人应立即采取有效措施进行抢救和治疗。</w:t>
      </w:r>
    </w:p>
    <w:p w14:paraId="2BD40D2C">
      <w:pPr>
        <w:pStyle w:val="4"/>
        <w:spacing w:before="120" w:line="360" w:lineRule="auto"/>
        <w:rPr>
          <w:color w:val="auto"/>
        </w:rPr>
      </w:pPr>
      <w:bookmarkStart w:id="1377" w:name="_Ref11874570"/>
      <w:bookmarkStart w:id="1378" w:name="_Toc54862243"/>
      <w:bookmarkStart w:id="1379" w:name="_Toc154063559"/>
      <w:r>
        <w:rPr>
          <w:rFonts w:hint="eastAsia"/>
          <w:color w:val="auto"/>
        </w:rPr>
        <w:t>7</w:t>
      </w:r>
      <w:r>
        <w:rPr>
          <w:color w:val="auto"/>
        </w:rPr>
        <w:t xml:space="preserve">.8 </w:t>
      </w:r>
      <w:r>
        <w:rPr>
          <w:rFonts w:hint="eastAsia"/>
          <w:color w:val="auto"/>
        </w:rPr>
        <w:t>环境保护</w:t>
      </w:r>
      <w:bookmarkEnd w:id="1377"/>
      <w:bookmarkEnd w:id="1378"/>
      <w:bookmarkEnd w:id="1379"/>
    </w:p>
    <w:p w14:paraId="6EDCD1DA">
      <w:pPr>
        <w:pStyle w:val="130"/>
        <w:numPr>
          <w:ilvl w:val="0"/>
          <w:numId w:val="0"/>
        </w:numPr>
        <w:ind w:firstLine="420" w:firstLineChars="200"/>
        <w:rPr>
          <w:color w:val="auto"/>
          <w:sz w:val="21"/>
        </w:rPr>
      </w:pPr>
      <w:r>
        <w:rPr>
          <w:rFonts w:hint="eastAsia"/>
          <w:color w:val="auto"/>
          <w:sz w:val="21"/>
        </w:rPr>
        <w:t>7</w:t>
      </w:r>
      <w:r>
        <w:rPr>
          <w:color w:val="auto"/>
          <w:sz w:val="21"/>
        </w:rPr>
        <w:t xml:space="preserve">.8.1 </w:t>
      </w:r>
      <w:r>
        <w:rPr>
          <w:rFonts w:hint="eastAsia"/>
          <w:color w:val="auto"/>
          <w:sz w:val="21"/>
        </w:rPr>
        <w:t>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示的，所造成的损害、损失、赔偿等费用增加，和（或）竣工日期延误，由发包人负责。</w:t>
      </w:r>
    </w:p>
    <w:p w14:paraId="0EBFB759">
      <w:pPr>
        <w:pStyle w:val="130"/>
        <w:numPr>
          <w:ilvl w:val="0"/>
          <w:numId w:val="0"/>
        </w:numPr>
        <w:ind w:firstLine="420" w:firstLineChars="200"/>
        <w:rPr>
          <w:color w:val="auto"/>
          <w:sz w:val="21"/>
        </w:rPr>
      </w:pPr>
      <w:r>
        <w:rPr>
          <w:rFonts w:hint="eastAsia"/>
          <w:color w:val="auto"/>
          <w:sz w:val="21"/>
        </w:rPr>
        <w:t>7</w:t>
      </w:r>
      <w:r>
        <w:rPr>
          <w:color w:val="auto"/>
          <w:sz w:val="21"/>
        </w:rPr>
        <w:t xml:space="preserve">.8.2 </w:t>
      </w:r>
      <w:r>
        <w:rPr>
          <w:rFonts w:hint="eastAsia"/>
          <w:color w:val="auto"/>
          <w:sz w:val="21"/>
        </w:rPr>
        <w:t>承包人应采取措施，并负责控制和（或）处理现场的粉尘、废气、废水、固体废物和噪声对环境的污染和危害。因此发生的伤害、赔偿、罚款等费用增加，和（或）竣工日期延误，由承包人负责。</w:t>
      </w:r>
    </w:p>
    <w:p w14:paraId="6DD21438">
      <w:pPr>
        <w:pStyle w:val="130"/>
        <w:numPr>
          <w:ilvl w:val="0"/>
          <w:numId w:val="0"/>
        </w:numPr>
        <w:ind w:firstLine="420" w:firstLineChars="200"/>
        <w:rPr>
          <w:color w:val="auto"/>
          <w:sz w:val="21"/>
        </w:rPr>
      </w:pPr>
      <w:r>
        <w:rPr>
          <w:rFonts w:hint="eastAsia"/>
          <w:color w:val="auto"/>
          <w:sz w:val="21"/>
        </w:rPr>
        <w:t>7</w:t>
      </w:r>
      <w:r>
        <w:rPr>
          <w:color w:val="auto"/>
          <w:sz w:val="21"/>
        </w:rPr>
        <w:t xml:space="preserve">.8.3 </w:t>
      </w:r>
      <w:r>
        <w:rPr>
          <w:rFonts w:hint="eastAsia"/>
          <w:color w:val="auto"/>
          <w:sz w:val="21"/>
        </w:rPr>
        <w:t>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p>
    <w:p w14:paraId="79004298">
      <w:pPr>
        <w:pStyle w:val="4"/>
        <w:spacing w:before="120" w:line="360" w:lineRule="auto"/>
        <w:rPr>
          <w:color w:val="auto"/>
        </w:rPr>
      </w:pPr>
      <w:bookmarkStart w:id="1380" w:name="_Ref531954344"/>
      <w:bookmarkStart w:id="1381" w:name="_Ref531954340"/>
      <w:bookmarkStart w:id="1382" w:name="_Toc154063560"/>
      <w:bookmarkStart w:id="1383" w:name="_Toc54862244"/>
      <w:bookmarkStart w:id="1384" w:name="_Ref4771116"/>
      <w:r>
        <w:rPr>
          <w:rFonts w:hint="eastAsia"/>
          <w:color w:val="auto"/>
        </w:rPr>
        <w:t>7</w:t>
      </w:r>
      <w:r>
        <w:rPr>
          <w:color w:val="auto"/>
        </w:rPr>
        <w:t xml:space="preserve">.9 </w:t>
      </w:r>
      <w:r>
        <w:rPr>
          <w:rFonts w:hint="eastAsia"/>
          <w:color w:val="auto"/>
        </w:rPr>
        <w:t>临时性公用设施</w:t>
      </w:r>
      <w:bookmarkEnd w:id="1380"/>
      <w:bookmarkEnd w:id="1381"/>
      <w:bookmarkEnd w:id="1382"/>
      <w:bookmarkEnd w:id="1383"/>
      <w:r>
        <w:rPr>
          <w:rFonts w:hint="eastAsia"/>
          <w:color w:val="auto"/>
        </w:rPr>
        <w:t xml:space="preserve"> </w:t>
      </w:r>
      <w:bookmarkEnd w:id="1384"/>
    </w:p>
    <w:p w14:paraId="20053BE2">
      <w:pPr>
        <w:pStyle w:val="130"/>
        <w:numPr>
          <w:ilvl w:val="0"/>
          <w:numId w:val="0"/>
        </w:numPr>
        <w:ind w:firstLine="420" w:firstLineChars="200"/>
        <w:rPr>
          <w:color w:val="auto"/>
          <w:sz w:val="21"/>
        </w:rPr>
      </w:pPr>
      <w:r>
        <w:rPr>
          <w:rFonts w:hint="eastAsia"/>
          <w:color w:val="auto"/>
          <w:sz w:val="21"/>
        </w:rPr>
        <w:t>7</w:t>
      </w:r>
      <w:r>
        <w:rPr>
          <w:color w:val="auto"/>
          <w:sz w:val="21"/>
        </w:rPr>
        <w:t xml:space="preserve">.9.1 </w:t>
      </w:r>
      <w:r>
        <w:rPr>
          <w:rFonts w:hint="eastAsia"/>
          <w:color w:val="auto"/>
          <w:sz w:val="21"/>
        </w:rPr>
        <w:t>提供临时用水、用电等和节点铺设</w:t>
      </w:r>
    </w:p>
    <w:p w14:paraId="5E3B8719">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p>
    <w:p w14:paraId="5EA4F2B5">
      <w:pPr>
        <w:spacing w:line="360" w:lineRule="auto"/>
        <w:ind w:firstLine="420" w:firstLineChars="200"/>
        <w:rPr>
          <w:rFonts w:ascii="宋体" w:hAnsi="宋体"/>
          <w:color w:val="auto"/>
          <w:szCs w:val="21"/>
        </w:rPr>
      </w:pPr>
      <w:r>
        <w:rPr>
          <w:rFonts w:hint="eastAsia" w:ascii="宋体" w:hAnsi="宋体"/>
          <w:color w:val="auto"/>
          <w:szCs w:val="21"/>
        </w:rPr>
        <w:t>发包人未能按约定的类别和时间完成节点铺设，使开工时间延误，竣工日期相应顺延。未能按约定的品质、数量和时间提供水、电等，给承包人造成的损失由发包人承担，导致工程关键路径延误的，竣工日期相应顺延。</w:t>
      </w:r>
    </w:p>
    <w:p w14:paraId="12056417">
      <w:pPr>
        <w:pStyle w:val="130"/>
        <w:numPr>
          <w:ilvl w:val="0"/>
          <w:numId w:val="0"/>
        </w:numPr>
        <w:ind w:firstLine="420" w:firstLineChars="200"/>
        <w:rPr>
          <w:color w:val="auto"/>
          <w:sz w:val="21"/>
        </w:rPr>
      </w:pPr>
      <w:r>
        <w:rPr>
          <w:rFonts w:hint="eastAsia"/>
          <w:color w:val="auto"/>
          <w:sz w:val="21"/>
        </w:rPr>
        <w:t>7</w:t>
      </w:r>
      <w:r>
        <w:rPr>
          <w:color w:val="auto"/>
          <w:sz w:val="21"/>
        </w:rPr>
        <w:t xml:space="preserve">.9.2 </w:t>
      </w:r>
      <w:r>
        <w:rPr>
          <w:rFonts w:hint="eastAsia"/>
          <w:color w:val="auto"/>
          <w:sz w:val="21"/>
        </w:rPr>
        <w:t>临时用水、用电等</w:t>
      </w:r>
    </w:p>
    <w:p w14:paraId="3335E001">
      <w:pPr>
        <w:spacing w:line="360" w:lineRule="auto"/>
        <w:ind w:firstLine="420" w:firstLineChars="200"/>
        <w:rPr>
          <w:rFonts w:ascii="宋体" w:hAnsi="宋体"/>
          <w:color w:val="auto"/>
          <w:szCs w:val="21"/>
        </w:rPr>
      </w:pPr>
      <w:r>
        <w:rPr>
          <w:rFonts w:hint="eastAsia" w:ascii="宋体" w:hAnsi="宋体"/>
          <w:color w:val="auto"/>
          <w:szCs w:val="21"/>
        </w:rPr>
        <w:t>承包人应在计划开始现场施工日期28天前或双方约定的其它时间，按专用合同条件中约定的发包人能够提供的临时用水、用电等类别，向发包人提交施工（含工程物资保管）所需的临时用水、用电等的品质、正常用量、高峰用量、使用时间和节点位置等资料。承包人自费负责计量仪器的购买、安装和维护，并依据专用合同条件中约定的单价向发包人交费，合同当事人另有约定时除外。</w:t>
      </w:r>
    </w:p>
    <w:p w14:paraId="732B24C8">
      <w:pPr>
        <w:spacing w:line="360" w:lineRule="auto"/>
        <w:ind w:firstLine="420" w:firstLineChars="200"/>
        <w:rPr>
          <w:rFonts w:ascii="宋体" w:hAnsi="宋体"/>
          <w:color w:val="auto"/>
          <w:szCs w:val="21"/>
        </w:rPr>
      </w:pPr>
      <w:r>
        <w:rPr>
          <w:rFonts w:hint="eastAsia" w:ascii="宋体" w:hAnsi="宋体"/>
          <w:color w:val="auto"/>
          <w:szCs w:val="21"/>
        </w:rPr>
        <w:t>因承包人未能按合同约定提交上述资料，造成发包人费用增加和竣工日期延误时，由承包人负责。</w:t>
      </w:r>
      <w:bookmarkStart w:id="1385" w:name="_Ref508893743"/>
    </w:p>
    <w:p w14:paraId="0A89B150">
      <w:pPr>
        <w:pStyle w:val="4"/>
        <w:spacing w:before="120" w:line="360" w:lineRule="auto"/>
        <w:rPr>
          <w:color w:val="auto"/>
        </w:rPr>
      </w:pPr>
      <w:bookmarkStart w:id="1386" w:name="_Ref531952239"/>
      <w:bookmarkStart w:id="1387" w:name="_Toc54862245"/>
      <w:bookmarkStart w:id="1388" w:name="_Ref531952248"/>
      <w:bookmarkStart w:id="1389" w:name="_Toc154063561"/>
      <w:r>
        <w:rPr>
          <w:rFonts w:hint="eastAsia"/>
          <w:color w:val="auto"/>
        </w:rPr>
        <w:t>7</w:t>
      </w:r>
      <w:r>
        <w:rPr>
          <w:color w:val="auto"/>
        </w:rPr>
        <w:t xml:space="preserve">.10 </w:t>
      </w:r>
      <w:r>
        <w:rPr>
          <w:rFonts w:hint="eastAsia"/>
          <w:color w:val="auto"/>
        </w:rPr>
        <w:t>现场安保</w:t>
      </w:r>
      <w:bookmarkEnd w:id="1386"/>
      <w:bookmarkEnd w:id="1387"/>
      <w:bookmarkEnd w:id="1388"/>
      <w:bookmarkEnd w:id="1389"/>
    </w:p>
    <w:p w14:paraId="7DFFDB4F">
      <w:pPr>
        <w:spacing w:line="360" w:lineRule="auto"/>
        <w:ind w:firstLine="420" w:firstLineChars="200"/>
        <w:rPr>
          <w:rFonts w:ascii="宋体" w:hAnsi="宋体"/>
          <w:color w:val="auto"/>
          <w:szCs w:val="21"/>
        </w:rPr>
      </w:pPr>
      <w:r>
        <w:rPr>
          <w:rFonts w:hint="eastAsia" w:ascii="宋体" w:hAnsi="宋体"/>
          <w:color w:val="auto"/>
          <w:szCs w:val="21"/>
        </w:rPr>
        <w:t>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p>
    <w:p w14:paraId="64FD4565">
      <w:pPr>
        <w:spacing w:line="360" w:lineRule="auto"/>
        <w:ind w:firstLine="420" w:firstLineChars="200"/>
        <w:rPr>
          <w:rFonts w:ascii="宋体" w:hAnsi="宋体"/>
          <w:color w:val="auto"/>
          <w:szCs w:val="21"/>
        </w:rPr>
      </w:pPr>
      <w:r>
        <w:rPr>
          <w:rFonts w:hint="eastAsia" w:ascii="宋体" w:hAnsi="宋体"/>
          <w:color w:val="auto"/>
          <w:szCs w:val="21"/>
        </w:rPr>
        <w:t>承包人应将其作业限制在现场区域、合同约定的区域或为履行合同所需的区域内。承包人应采取一切必要的预防措施，以保持承包人的设备和人员处于现场区域内，避免其进入邻近地区。</w:t>
      </w:r>
    </w:p>
    <w:p w14:paraId="25B119FC">
      <w:pPr>
        <w:spacing w:line="360" w:lineRule="auto"/>
        <w:ind w:firstLine="420" w:firstLineChars="200"/>
        <w:rPr>
          <w:rFonts w:ascii="宋体" w:hAnsi="宋体"/>
          <w:color w:val="auto"/>
          <w:szCs w:val="21"/>
        </w:rPr>
      </w:pPr>
      <w:r>
        <w:rPr>
          <w:rFonts w:hint="eastAsia" w:ascii="宋体" w:hAnsi="宋体"/>
          <w:color w:val="auto"/>
          <w:szCs w:val="21"/>
        </w:rPr>
        <w:t>承包人为履行合同义务而占用的其他场所（如预制加工场所、办公及生活营区） 的安保适用本款前述关于现场安保的规定。</w:t>
      </w:r>
    </w:p>
    <w:p w14:paraId="17AD59F8">
      <w:pPr>
        <w:pStyle w:val="4"/>
        <w:spacing w:before="120" w:line="360" w:lineRule="auto"/>
        <w:rPr>
          <w:color w:val="auto"/>
        </w:rPr>
      </w:pPr>
      <w:bookmarkStart w:id="1390" w:name="_Toc54862246"/>
      <w:bookmarkStart w:id="1391" w:name="_Toc154063562"/>
      <w:r>
        <w:rPr>
          <w:rFonts w:hint="eastAsia"/>
          <w:color w:val="auto"/>
        </w:rPr>
        <w:t>7</w:t>
      </w:r>
      <w:r>
        <w:rPr>
          <w:color w:val="auto"/>
        </w:rPr>
        <w:t xml:space="preserve">.11 </w:t>
      </w:r>
      <w:r>
        <w:rPr>
          <w:rFonts w:hint="eastAsia"/>
          <w:color w:val="auto"/>
        </w:rPr>
        <w:t>工程照管</w:t>
      </w:r>
      <w:bookmarkEnd w:id="1390"/>
      <w:bookmarkEnd w:id="1391"/>
    </w:p>
    <w:p w14:paraId="65CD0BA8">
      <w:pPr>
        <w:spacing w:line="360" w:lineRule="auto"/>
        <w:ind w:firstLine="420" w:firstLineChars="200"/>
        <w:rPr>
          <w:rFonts w:ascii="宋体" w:hAnsi="宋体"/>
          <w:color w:val="auto"/>
          <w:szCs w:val="21"/>
        </w:rPr>
      </w:pPr>
      <w:r>
        <w:rPr>
          <w:rFonts w:hint="eastAsia" w:ascii="宋体" w:hAnsi="宋体"/>
          <w:color w:val="auto"/>
          <w:szCs w:val="21"/>
        </w:rPr>
        <w:t>自开始现场施工日期起至发包人应当接收工程之日止，承包人应承担工程现场、材料、设备及承包人文件的照管和维护工作。</w:t>
      </w:r>
    </w:p>
    <w:p w14:paraId="376A1901">
      <w:pPr>
        <w:spacing w:line="360" w:lineRule="auto"/>
        <w:ind w:firstLine="420" w:firstLineChars="200"/>
        <w:rPr>
          <w:rFonts w:ascii="宋体" w:hAnsi="宋体"/>
          <w:color w:val="auto"/>
          <w:szCs w:val="21"/>
        </w:rPr>
      </w:pPr>
      <w:r>
        <w:rPr>
          <w:rFonts w:hint="eastAsia" w:ascii="宋体" w:hAnsi="宋体"/>
          <w:color w:val="auto"/>
          <w:szCs w:val="21"/>
        </w:rPr>
        <w:t>如部分工程于竣工验收前提前交付发包人的，则自交付之日起，该部分工程照管及维护职责由发包人承担。</w:t>
      </w:r>
    </w:p>
    <w:p w14:paraId="15456852">
      <w:pPr>
        <w:spacing w:line="360" w:lineRule="auto"/>
        <w:ind w:firstLine="420" w:firstLineChars="200"/>
        <w:rPr>
          <w:rFonts w:ascii="宋体" w:hAnsi="宋体"/>
          <w:color w:val="auto"/>
          <w:szCs w:val="21"/>
        </w:rPr>
      </w:pPr>
      <w:r>
        <w:rPr>
          <w:rFonts w:hint="eastAsia" w:ascii="宋体" w:hAnsi="宋体"/>
          <w:color w:val="auto"/>
          <w:szCs w:val="21"/>
        </w:rPr>
        <w:t>如发包人及承包人进行竣工验收时尚有部分未竣工工程的，承包人应负责该未竣工工程的照管和维护工作，直至竣工后移交给发包人。</w:t>
      </w:r>
    </w:p>
    <w:p w14:paraId="5EBF1C73">
      <w:pPr>
        <w:spacing w:line="360" w:lineRule="auto"/>
        <w:ind w:firstLine="420" w:firstLineChars="200"/>
        <w:rPr>
          <w:rFonts w:ascii="宋体" w:hAnsi="宋体"/>
          <w:color w:val="auto"/>
          <w:szCs w:val="21"/>
        </w:rPr>
      </w:pPr>
      <w:r>
        <w:rPr>
          <w:rFonts w:hint="eastAsia" w:ascii="宋体" w:hAnsi="宋体"/>
          <w:color w:val="auto"/>
          <w:szCs w:val="21"/>
        </w:rPr>
        <w:t>如合同解除或终止的，承包人自合同解除或终止之日起不再对工程承担照管和维护义务。</w:t>
      </w:r>
    </w:p>
    <w:p w14:paraId="06B1B86C">
      <w:pPr>
        <w:pStyle w:val="3"/>
        <w:spacing w:before="48" w:line="360" w:lineRule="auto"/>
        <w:rPr>
          <w:rFonts w:ascii="黑体" w:hAnsi="黑体"/>
          <w:bCs w:val="0"/>
          <w:color w:val="auto"/>
          <w:sz w:val="28"/>
        </w:rPr>
      </w:pPr>
      <w:bookmarkStart w:id="1392" w:name="_Toc54862247"/>
      <w:bookmarkStart w:id="1393" w:name="_Ref508998009"/>
      <w:bookmarkStart w:id="1394" w:name="_Toc154063563"/>
      <w:bookmarkStart w:id="1395" w:name="_Ref531954505"/>
      <w:bookmarkStart w:id="1396" w:name="_Ref531954518"/>
      <w:r>
        <w:rPr>
          <w:rFonts w:hint="eastAsia" w:ascii="黑体" w:hAnsi="黑体"/>
          <w:bCs w:val="0"/>
          <w:color w:val="auto"/>
          <w:sz w:val="28"/>
        </w:rPr>
        <w:t>第8条 工期和进度</w:t>
      </w:r>
      <w:bookmarkEnd w:id="1392"/>
      <w:bookmarkEnd w:id="1393"/>
      <w:bookmarkEnd w:id="1394"/>
    </w:p>
    <w:p w14:paraId="0AA4FDB5">
      <w:pPr>
        <w:pStyle w:val="4"/>
        <w:spacing w:before="120" w:line="360" w:lineRule="auto"/>
        <w:rPr>
          <w:color w:val="auto"/>
        </w:rPr>
      </w:pPr>
      <w:bookmarkStart w:id="1397" w:name="_Ref532362777"/>
      <w:bookmarkStart w:id="1398" w:name="_Ref532362075"/>
      <w:bookmarkStart w:id="1399" w:name="_Toc154063564"/>
      <w:bookmarkStart w:id="1400" w:name="_Toc54862248"/>
      <w:bookmarkStart w:id="1401" w:name="_Ref532362774"/>
      <w:bookmarkStart w:id="1402" w:name="_Ref532362072"/>
      <w:r>
        <w:rPr>
          <w:rFonts w:hint="eastAsia"/>
          <w:color w:val="auto"/>
        </w:rPr>
        <w:t>8</w:t>
      </w:r>
      <w:r>
        <w:rPr>
          <w:color w:val="auto"/>
        </w:rPr>
        <w:t xml:space="preserve">.1 </w:t>
      </w:r>
      <w:r>
        <w:rPr>
          <w:rFonts w:hint="eastAsia"/>
          <w:color w:val="auto"/>
        </w:rPr>
        <w:t>开始工作</w:t>
      </w:r>
      <w:bookmarkEnd w:id="1397"/>
      <w:bookmarkEnd w:id="1398"/>
      <w:bookmarkEnd w:id="1399"/>
      <w:bookmarkEnd w:id="1400"/>
      <w:bookmarkEnd w:id="1401"/>
      <w:bookmarkEnd w:id="1402"/>
    </w:p>
    <w:p w14:paraId="4A0C74E0">
      <w:pPr>
        <w:pStyle w:val="130"/>
        <w:numPr>
          <w:ilvl w:val="0"/>
          <w:numId w:val="0"/>
        </w:numPr>
        <w:ind w:firstLine="420" w:firstLineChars="200"/>
        <w:rPr>
          <w:color w:val="auto"/>
          <w:sz w:val="21"/>
        </w:rPr>
      </w:pPr>
      <w:bookmarkStart w:id="1403" w:name="_Ref4428890"/>
      <w:r>
        <w:rPr>
          <w:rFonts w:hint="eastAsia"/>
          <w:color w:val="auto"/>
          <w:sz w:val="21"/>
        </w:rPr>
        <w:t>8</w:t>
      </w:r>
      <w:r>
        <w:rPr>
          <w:color w:val="auto"/>
          <w:sz w:val="21"/>
        </w:rPr>
        <w:t xml:space="preserve">.1.1 </w:t>
      </w:r>
      <w:r>
        <w:rPr>
          <w:rFonts w:hint="eastAsia"/>
          <w:color w:val="auto"/>
          <w:sz w:val="21"/>
        </w:rPr>
        <w:t>开始工作准备</w:t>
      </w:r>
      <w:bookmarkEnd w:id="1403"/>
    </w:p>
    <w:p w14:paraId="2FD8D29D">
      <w:pPr>
        <w:spacing w:line="360" w:lineRule="auto"/>
        <w:ind w:firstLine="420" w:firstLineChars="200"/>
        <w:rPr>
          <w:rFonts w:ascii="宋体" w:hAnsi="宋体"/>
          <w:color w:val="auto"/>
          <w:szCs w:val="21"/>
        </w:rPr>
      </w:pPr>
      <w:r>
        <w:rPr>
          <w:rFonts w:hint="eastAsia" w:ascii="宋体" w:hAnsi="宋体"/>
          <w:color w:val="auto"/>
          <w:szCs w:val="21"/>
        </w:rPr>
        <w:t>合同当事人应按专用合同条件约定完成开始工作准备工作。</w:t>
      </w:r>
    </w:p>
    <w:p w14:paraId="77BA9A96">
      <w:pPr>
        <w:pStyle w:val="130"/>
        <w:numPr>
          <w:ilvl w:val="0"/>
          <w:numId w:val="0"/>
        </w:numPr>
        <w:ind w:firstLine="420" w:firstLineChars="200"/>
        <w:rPr>
          <w:color w:val="auto"/>
          <w:sz w:val="21"/>
        </w:rPr>
      </w:pPr>
      <w:bookmarkStart w:id="1404" w:name="_Ref536790534"/>
      <w:bookmarkStart w:id="1405" w:name="_Hlk51506490"/>
      <w:r>
        <w:rPr>
          <w:rFonts w:hint="eastAsia"/>
          <w:color w:val="auto"/>
          <w:sz w:val="21"/>
        </w:rPr>
        <w:t>8</w:t>
      </w:r>
      <w:r>
        <w:rPr>
          <w:color w:val="auto"/>
          <w:sz w:val="21"/>
        </w:rPr>
        <w:t xml:space="preserve">.1.2 </w:t>
      </w:r>
      <w:r>
        <w:rPr>
          <w:rFonts w:hint="eastAsia"/>
          <w:color w:val="auto"/>
          <w:sz w:val="21"/>
        </w:rPr>
        <w:t>开始工作通知</w:t>
      </w:r>
      <w:bookmarkEnd w:id="1404"/>
    </w:p>
    <w:bookmarkEnd w:id="1405"/>
    <w:p w14:paraId="2EF2B1F4">
      <w:pPr>
        <w:spacing w:line="360" w:lineRule="auto"/>
        <w:ind w:firstLine="420" w:firstLineChars="200"/>
        <w:rPr>
          <w:rFonts w:ascii="宋体" w:hAnsi="宋体"/>
          <w:color w:val="auto"/>
          <w:szCs w:val="21"/>
        </w:rPr>
      </w:pPr>
      <w:r>
        <w:rPr>
          <w:rFonts w:hint="eastAsia" w:ascii="宋体" w:hAnsi="宋体"/>
          <w:color w:val="auto"/>
          <w:szCs w:val="21"/>
        </w:rPr>
        <w:t>经发包人同意后，工程师应提前7天向承包人发出经发包人签认的开始工作通知，工期自开始工作通知中载明的开始工作日期起算。</w:t>
      </w:r>
    </w:p>
    <w:p w14:paraId="63603245">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除专用合同条件另有约定外，因发包人原因造成实际开始现场施工日期迟于</w:t>
      </w:r>
      <w:bookmarkStart w:id="1406" w:name="_Hlk51506566"/>
      <w:r>
        <w:rPr>
          <w:rFonts w:hint="eastAsia" w:ascii="宋体" w:hAnsi="宋体"/>
          <w:color w:val="auto"/>
          <w:szCs w:val="21"/>
        </w:rPr>
        <w:t>计划开始现场施工日期</w:t>
      </w:r>
      <w:bookmarkEnd w:id="1406"/>
      <w:r>
        <w:rPr>
          <w:rFonts w:hint="eastAsia" w:ascii="宋体" w:hAnsi="宋体"/>
          <w:color w:val="auto"/>
          <w:szCs w:val="21"/>
        </w:rPr>
        <w:t>后第</w:t>
      </w:r>
      <w:r>
        <w:rPr>
          <w:rFonts w:ascii="宋体" w:hAnsi="宋体"/>
          <w:color w:val="auto"/>
          <w:szCs w:val="21"/>
        </w:rPr>
        <w:t>84</w:t>
      </w:r>
      <w:r>
        <w:rPr>
          <w:rFonts w:hint="eastAsia" w:ascii="宋体" w:hAnsi="宋体"/>
          <w:color w:val="auto"/>
          <w:szCs w:val="21"/>
        </w:rPr>
        <w:t>天的，承包人有权提出价格调整要求，或者解除合同。发包人应当承担由此增加的费用和（或）延误的工期，并向承包人支付合理利润。</w:t>
      </w:r>
    </w:p>
    <w:p w14:paraId="29427CCB">
      <w:pPr>
        <w:pStyle w:val="4"/>
        <w:spacing w:before="120" w:line="360" w:lineRule="auto"/>
        <w:rPr>
          <w:color w:val="auto"/>
        </w:rPr>
      </w:pPr>
      <w:bookmarkStart w:id="1407" w:name="_Ref532362124"/>
      <w:bookmarkStart w:id="1408" w:name="_Toc154063565"/>
      <w:bookmarkStart w:id="1409" w:name="_Toc54862249"/>
      <w:r>
        <w:rPr>
          <w:rFonts w:hint="eastAsia"/>
          <w:color w:val="auto"/>
        </w:rPr>
        <w:t>8</w:t>
      </w:r>
      <w:r>
        <w:rPr>
          <w:color w:val="auto"/>
        </w:rPr>
        <w:t xml:space="preserve">.2 </w:t>
      </w:r>
      <w:r>
        <w:rPr>
          <w:rFonts w:hint="eastAsia"/>
          <w:color w:val="auto"/>
        </w:rPr>
        <w:t>竣工日期</w:t>
      </w:r>
      <w:bookmarkEnd w:id="1407"/>
      <w:bookmarkEnd w:id="1408"/>
      <w:bookmarkEnd w:id="1409"/>
      <w:r>
        <w:rPr>
          <w:rFonts w:hint="eastAsia"/>
          <w:color w:val="auto"/>
        </w:rPr>
        <w:t xml:space="preserve"> </w:t>
      </w:r>
    </w:p>
    <w:p w14:paraId="2E910F4B">
      <w:pPr>
        <w:spacing w:line="360" w:lineRule="auto"/>
        <w:ind w:firstLine="420" w:firstLineChars="200"/>
        <w:rPr>
          <w:rFonts w:ascii="宋体" w:hAnsi="宋体"/>
          <w:color w:val="auto"/>
          <w:szCs w:val="21"/>
        </w:rPr>
      </w:pPr>
      <w:r>
        <w:rPr>
          <w:rFonts w:hint="eastAsia" w:ascii="宋体" w:hAnsi="宋体"/>
          <w:color w:val="auto"/>
          <w:szCs w:val="21"/>
        </w:rPr>
        <w:t>承包人应在合同协议书约定的工期内完成合同工作。除专用合同条件另有约定外，工程的竣工日期以第</w:t>
      </w:r>
      <w:r>
        <w:rPr>
          <w:rFonts w:ascii="宋体" w:hAnsi="宋体"/>
          <w:color w:val="auto"/>
          <w:szCs w:val="21"/>
        </w:rPr>
        <w:t>10.1</w:t>
      </w:r>
      <w:r>
        <w:rPr>
          <w:rFonts w:hint="eastAsia" w:ascii="宋体" w:hAnsi="宋体"/>
          <w:color w:val="auto"/>
          <w:szCs w:val="21"/>
        </w:rPr>
        <w:t>条[竣工验收]的约定为准，并在工程接收证书中写明。</w:t>
      </w:r>
    </w:p>
    <w:p w14:paraId="08FEEFDA">
      <w:pPr>
        <w:spacing w:line="360" w:lineRule="auto"/>
        <w:ind w:firstLine="420" w:firstLineChars="200"/>
        <w:rPr>
          <w:rFonts w:ascii="宋体" w:hAnsi="宋体"/>
          <w:color w:val="auto"/>
          <w:szCs w:val="21"/>
        </w:rPr>
      </w:pPr>
      <w:r>
        <w:rPr>
          <w:rFonts w:hint="eastAsia" w:ascii="宋体" w:hAnsi="宋体"/>
          <w:color w:val="auto"/>
          <w:szCs w:val="21"/>
        </w:rPr>
        <w:t>因发包人原因，在工程师收到承包人竣工验收申请报告</w:t>
      </w:r>
      <w:r>
        <w:rPr>
          <w:rFonts w:ascii="宋体" w:hAnsi="宋体"/>
          <w:color w:val="auto"/>
          <w:szCs w:val="21"/>
        </w:rPr>
        <w:t>42</w:t>
      </w:r>
      <w:r>
        <w:rPr>
          <w:rFonts w:hint="eastAsia" w:ascii="宋体" w:hAnsi="宋体"/>
          <w:color w:val="auto"/>
          <w:szCs w:val="21"/>
        </w:rPr>
        <w:t>天后未进行验收的，视为验收合格，实际竣工日期以提交竣工验收申请报告的日期为准，但发包人由于不可抗力不能进行验收的除外。</w:t>
      </w:r>
    </w:p>
    <w:p w14:paraId="538B3ECA">
      <w:pPr>
        <w:pStyle w:val="4"/>
        <w:spacing w:before="120" w:line="360" w:lineRule="auto"/>
        <w:rPr>
          <w:color w:val="auto"/>
        </w:rPr>
      </w:pPr>
      <w:bookmarkStart w:id="1410" w:name="_Ref11863334"/>
      <w:bookmarkStart w:id="1411" w:name="_Toc54862250"/>
      <w:bookmarkStart w:id="1412" w:name="_Toc154063566"/>
      <w:bookmarkStart w:id="1413" w:name="_Ref532352856"/>
      <w:bookmarkStart w:id="1414" w:name="_Ref532362207"/>
      <w:bookmarkStart w:id="1415" w:name="_Ref532352853"/>
      <w:bookmarkStart w:id="1416" w:name="_Ref532362204"/>
      <w:r>
        <w:rPr>
          <w:rFonts w:hint="eastAsia"/>
          <w:color w:val="auto"/>
        </w:rPr>
        <w:t>8</w:t>
      </w:r>
      <w:r>
        <w:rPr>
          <w:color w:val="auto"/>
        </w:rPr>
        <w:t xml:space="preserve">.3 </w:t>
      </w:r>
      <w:r>
        <w:rPr>
          <w:rFonts w:hint="eastAsia"/>
          <w:color w:val="auto"/>
        </w:rPr>
        <w:t>项目实施计划</w:t>
      </w:r>
      <w:bookmarkEnd w:id="1410"/>
      <w:bookmarkEnd w:id="1411"/>
      <w:bookmarkEnd w:id="1412"/>
    </w:p>
    <w:p w14:paraId="3B459947">
      <w:pPr>
        <w:pStyle w:val="130"/>
        <w:numPr>
          <w:ilvl w:val="0"/>
          <w:numId w:val="0"/>
        </w:numPr>
        <w:ind w:firstLine="420" w:firstLineChars="200"/>
        <w:rPr>
          <w:color w:val="auto"/>
          <w:sz w:val="21"/>
        </w:rPr>
      </w:pPr>
      <w:bookmarkStart w:id="1417" w:name="_Ref18990904"/>
      <w:r>
        <w:rPr>
          <w:rFonts w:hint="eastAsia"/>
          <w:color w:val="auto"/>
          <w:sz w:val="21"/>
        </w:rPr>
        <w:t>8</w:t>
      </w:r>
      <w:r>
        <w:rPr>
          <w:color w:val="auto"/>
          <w:sz w:val="21"/>
        </w:rPr>
        <w:t xml:space="preserve">.3.1 </w:t>
      </w:r>
      <w:r>
        <w:rPr>
          <w:rFonts w:hint="eastAsia"/>
          <w:color w:val="auto"/>
          <w:sz w:val="21"/>
        </w:rPr>
        <w:t>项目实施计划的内容</w:t>
      </w:r>
      <w:bookmarkEnd w:id="1417"/>
    </w:p>
    <w:p w14:paraId="0013F0D3">
      <w:pPr>
        <w:spacing w:line="360" w:lineRule="auto"/>
        <w:ind w:firstLine="420" w:firstLineChars="200"/>
        <w:rPr>
          <w:rFonts w:ascii="宋体" w:hAnsi="宋体"/>
          <w:color w:val="auto"/>
          <w:szCs w:val="21"/>
        </w:rPr>
      </w:pPr>
      <w:r>
        <w:rPr>
          <w:rFonts w:hint="eastAsia" w:ascii="宋体" w:hAnsi="宋体"/>
          <w:color w:val="auto"/>
          <w:szCs w:val="21"/>
        </w:rPr>
        <w:t>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p>
    <w:p w14:paraId="1DD1C82E">
      <w:pPr>
        <w:pStyle w:val="130"/>
        <w:numPr>
          <w:ilvl w:val="0"/>
          <w:numId w:val="0"/>
        </w:numPr>
        <w:ind w:firstLine="420" w:firstLineChars="200"/>
        <w:rPr>
          <w:color w:val="auto"/>
          <w:sz w:val="21"/>
        </w:rPr>
      </w:pPr>
      <w:bookmarkStart w:id="1418" w:name="_Ref18990921"/>
      <w:r>
        <w:rPr>
          <w:rFonts w:hint="eastAsia"/>
          <w:color w:val="auto"/>
          <w:sz w:val="21"/>
        </w:rPr>
        <w:t>8</w:t>
      </w:r>
      <w:r>
        <w:rPr>
          <w:color w:val="auto"/>
          <w:sz w:val="21"/>
        </w:rPr>
        <w:t xml:space="preserve">.3.2 </w:t>
      </w:r>
      <w:r>
        <w:rPr>
          <w:rFonts w:hint="eastAsia"/>
          <w:color w:val="auto"/>
          <w:sz w:val="21"/>
        </w:rPr>
        <w:t>项目实施计划的提交和修改</w:t>
      </w:r>
      <w:bookmarkEnd w:id="1418"/>
    </w:p>
    <w:p w14:paraId="146D2CF9">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p>
    <w:p w14:paraId="17E022EF">
      <w:pPr>
        <w:spacing w:line="360" w:lineRule="auto"/>
        <w:ind w:firstLine="420" w:firstLineChars="200"/>
        <w:rPr>
          <w:rFonts w:ascii="宋体" w:hAnsi="宋体"/>
          <w:color w:val="auto"/>
          <w:szCs w:val="21"/>
        </w:rPr>
      </w:pPr>
      <w:r>
        <w:rPr>
          <w:rFonts w:hint="eastAsia" w:ascii="宋体" w:hAnsi="宋体"/>
          <w:color w:val="auto"/>
          <w:szCs w:val="21"/>
        </w:rPr>
        <w:t>项目进度计划的编制和修改按照第</w:t>
      </w:r>
      <w:r>
        <w:rPr>
          <w:rFonts w:ascii="宋体" w:hAnsi="宋体"/>
          <w:color w:val="auto"/>
          <w:szCs w:val="21"/>
        </w:rPr>
        <w:t>8.4</w:t>
      </w:r>
      <w:r>
        <w:rPr>
          <w:rFonts w:hint="eastAsia" w:ascii="宋体" w:hAnsi="宋体"/>
          <w:color w:val="auto"/>
          <w:szCs w:val="21"/>
        </w:rPr>
        <w:t>款[项目进度计划]执行。</w:t>
      </w:r>
    </w:p>
    <w:p w14:paraId="0F73FDB2">
      <w:pPr>
        <w:pStyle w:val="4"/>
        <w:spacing w:before="120" w:line="360" w:lineRule="auto"/>
        <w:rPr>
          <w:color w:val="auto"/>
        </w:rPr>
      </w:pPr>
      <w:bookmarkStart w:id="1419" w:name="_Ref11865507"/>
      <w:bookmarkStart w:id="1420" w:name="_Toc54862251"/>
      <w:bookmarkStart w:id="1421" w:name="_Toc154063567"/>
      <w:r>
        <w:rPr>
          <w:rFonts w:hint="eastAsia"/>
          <w:color w:val="auto"/>
        </w:rPr>
        <w:t>8</w:t>
      </w:r>
      <w:r>
        <w:rPr>
          <w:color w:val="auto"/>
        </w:rPr>
        <w:t xml:space="preserve">.4 </w:t>
      </w:r>
      <w:r>
        <w:rPr>
          <w:rFonts w:hint="eastAsia"/>
          <w:color w:val="auto"/>
        </w:rPr>
        <w:t>项目进度计划</w:t>
      </w:r>
      <w:bookmarkEnd w:id="1413"/>
      <w:bookmarkEnd w:id="1414"/>
      <w:bookmarkEnd w:id="1415"/>
      <w:bookmarkEnd w:id="1416"/>
      <w:bookmarkEnd w:id="1419"/>
      <w:bookmarkEnd w:id="1420"/>
      <w:bookmarkEnd w:id="1421"/>
    </w:p>
    <w:p w14:paraId="08F0A70B">
      <w:pPr>
        <w:pStyle w:val="130"/>
        <w:numPr>
          <w:ilvl w:val="0"/>
          <w:numId w:val="0"/>
        </w:numPr>
        <w:ind w:firstLine="420" w:firstLineChars="200"/>
        <w:rPr>
          <w:color w:val="auto"/>
          <w:sz w:val="21"/>
        </w:rPr>
      </w:pPr>
      <w:bookmarkStart w:id="1422" w:name="_Ref4681217"/>
      <w:r>
        <w:rPr>
          <w:rFonts w:hint="eastAsia"/>
          <w:color w:val="auto"/>
          <w:sz w:val="21"/>
        </w:rPr>
        <w:t>8</w:t>
      </w:r>
      <w:r>
        <w:rPr>
          <w:color w:val="auto"/>
          <w:sz w:val="21"/>
        </w:rPr>
        <w:t xml:space="preserve">.4.1 </w:t>
      </w:r>
      <w:r>
        <w:rPr>
          <w:rFonts w:hint="eastAsia"/>
          <w:color w:val="auto"/>
          <w:sz w:val="21"/>
        </w:rPr>
        <w:t>项目进度计划的提交和修改</w:t>
      </w:r>
      <w:bookmarkEnd w:id="1422"/>
    </w:p>
    <w:p w14:paraId="43860009">
      <w:pPr>
        <w:spacing w:line="360" w:lineRule="auto"/>
        <w:ind w:firstLine="420" w:firstLineChars="200"/>
        <w:rPr>
          <w:rFonts w:ascii="宋体" w:hAnsi="宋体"/>
          <w:color w:val="auto"/>
          <w:szCs w:val="21"/>
        </w:rPr>
      </w:pPr>
      <w:r>
        <w:rPr>
          <w:rFonts w:hint="eastAsia" w:ascii="宋体" w:hAnsi="宋体"/>
          <w:color w:val="auto"/>
          <w:szCs w:val="21"/>
        </w:rPr>
        <w:t>承包人应按照第</w:t>
      </w:r>
      <w:r>
        <w:rPr>
          <w:rFonts w:ascii="宋体" w:hAnsi="宋体"/>
          <w:color w:val="auto"/>
          <w:szCs w:val="21"/>
        </w:rPr>
        <w:t>8.3</w:t>
      </w:r>
      <w:r>
        <w:rPr>
          <w:rFonts w:hint="eastAsia" w:ascii="宋体" w:hAnsi="宋体"/>
          <w:color w:val="auto"/>
          <w:szCs w:val="21"/>
        </w:rPr>
        <w:t>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p>
    <w:p w14:paraId="569F6470">
      <w:pPr>
        <w:spacing w:line="360" w:lineRule="auto"/>
        <w:ind w:firstLine="420" w:firstLineChars="200"/>
        <w:rPr>
          <w:rFonts w:ascii="宋体" w:hAnsi="宋体"/>
          <w:color w:val="auto"/>
          <w:szCs w:val="21"/>
        </w:rPr>
      </w:pPr>
      <w:r>
        <w:rPr>
          <w:rFonts w:hint="eastAsia" w:ascii="宋体" w:hAnsi="宋体"/>
          <w:color w:val="auto"/>
          <w:szCs w:val="21"/>
        </w:rPr>
        <w:t>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p>
    <w:p w14:paraId="384B2C79">
      <w:pPr>
        <w:pStyle w:val="130"/>
        <w:numPr>
          <w:ilvl w:val="0"/>
          <w:numId w:val="0"/>
        </w:numPr>
        <w:ind w:firstLine="420" w:firstLineChars="200"/>
        <w:rPr>
          <w:color w:val="auto"/>
          <w:sz w:val="21"/>
        </w:rPr>
      </w:pPr>
      <w:bookmarkStart w:id="1423" w:name="_Ref4429079"/>
      <w:r>
        <w:rPr>
          <w:rFonts w:hint="eastAsia"/>
          <w:color w:val="auto"/>
          <w:sz w:val="21"/>
        </w:rPr>
        <w:t>8</w:t>
      </w:r>
      <w:r>
        <w:rPr>
          <w:color w:val="auto"/>
          <w:sz w:val="21"/>
        </w:rPr>
        <w:t xml:space="preserve">.4.2 </w:t>
      </w:r>
      <w:r>
        <w:rPr>
          <w:rFonts w:hint="eastAsia"/>
          <w:color w:val="auto"/>
          <w:sz w:val="21"/>
        </w:rPr>
        <w:t>项目进度计划的内容</w:t>
      </w:r>
      <w:bookmarkEnd w:id="1423"/>
    </w:p>
    <w:p w14:paraId="56E30D20">
      <w:pPr>
        <w:spacing w:line="360" w:lineRule="auto"/>
        <w:ind w:firstLine="420" w:firstLineChars="200"/>
        <w:rPr>
          <w:rFonts w:ascii="宋体" w:hAnsi="宋体"/>
          <w:color w:val="auto"/>
          <w:szCs w:val="21"/>
        </w:rPr>
      </w:pPr>
      <w:r>
        <w:rPr>
          <w:rFonts w:hint="eastAsia" w:ascii="宋体" w:hAnsi="宋体"/>
          <w:color w:val="auto"/>
          <w:szCs w:val="21"/>
        </w:rPr>
        <w:t>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p>
    <w:p w14:paraId="743DA875">
      <w:pPr>
        <w:pStyle w:val="130"/>
        <w:numPr>
          <w:ilvl w:val="0"/>
          <w:numId w:val="0"/>
        </w:numPr>
        <w:ind w:firstLine="420" w:firstLineChars="200"/>
        <w:rPr>
          <w:color w:val="auto"/>
          <w:sz w:val="21"/>
        </w:rPr>
      </w:pPr>
      <w:bookmarkStart w:id="1424" w:name="_Ref3848203"/>
      <w:r>
        <w:rPr>
          <w:rFonts w:hint="eastAsia"/>
          <w:color w:val="auto"/>
          <w:sz w:val="21"/>
        </w:rPr>
        <w:t>8</w:t>
      </w:r>
      <w:r>
        <w:rPr>
          <w:color w:val="auto"/>
          <w:sz w:val="21"/>
        </w:rPr>
        <w:t xml:space="preserve">.4.3 </w:t>
      </w:r>
      <w:r>
        <w:rPr>
          <w:rFonts w:hint="eastAsia"/>
          <w:color w:val="auto"/>
          <w:sz w:val="21"/>
        </w:rPr>
        <w:t>项目进度计划的修订</w:t>
      </w:r>
      <w:bookmarkEnd w:id="1424"/>
    </w:p>
    <w:p w14:paraId="20BCAD5C">
      <w:pPr>
        <w:spacing w:line="360" w:lineRule="auto"/>
        <w:ind w:firstLine="420" w:firstLineChars="200"/>
        <w:rPr>
          <w:rFonts w:ascii="宋体" w:hAnsi="宋体"/>
          <w:color w:val="auto"/>
          <w:szCs w:val="21"/>
        </w:rPr>
      </w:pPr>
      <w:r>
        <w:rPr>
          <w:rFonts w:hint="eastAsia" w:ascii="宋体" w:hAnsi="宋体"/>
          <w:color w:val="auto"/>
          <w:szCs w:val="21"/>
        </w:rPr>
        <w:t>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p>
    <w:p w14:paraId="52B0D067">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p>
    <w:p w14:paraId="19406938">
      <w:pPr>
        <w:spacing w:line="360" w:lineRule="auto"/>
        <w:ind w:firstLine="420" w:firstLineChars="200"/>
        <w:rPr>
          <w:rFonts w:ascii="宋体" w:hAnsi="宋体"/>
          <w:color w:val="auto"/>
          <w:szCs w:val="21"/>
        </w:rPr>
      </w:pPr>
      <w:r>
        <w:rPr>
          <w:rFonts w:hint="eastAsia" w:ascii="宋体" w:hAnsi="宋体"/>
          <w:color w:val="auto"/>
          <w:szCs w:val="21"/>
        </w:rPr>
        <w:t>除合同当事人另有约定外，项目进度计划的修订并不能减轻或者免除双方按第</w:t>
      </w:r>
      <w:r>
        <w:rPr>
          <w:rFonts w:ascii="宋体" w:hAnsi="宋体"/>
          <w:color w:val="auto"/>
          <w:szCs w:val="21"/>
        </w:rPr>
        <w:t>8.7</w:t>
      </w:r>
      <w:r>
        <w:rPr>
          <w:rFonts w:hint="eastAsia" w:ascii="宋体" w:hAnsi="宋体"/>
          <w:color w:val="auto"/>
          <w:szCs w:val="21"/>
        </w:rPr>
        <w:t>款[工期延误]、第</w:t>
      </w:r>
      <w:r>
        <w:rPr>
          <w:rFonts w:ascii="宋体" w:hAnsi="宋体"/>
          <w:color w:val="auto"/>
          <w:szCs w:val="21"/>
        </w:rPr>
        <w:t>8.8</w:t>
      </w:r>
      <w:r>
        <w:rPr>
          <w:rFonts w:hint="eastAsia" w:ascii="宋体" w:hAnsi="宋体"/>
          <w:color w:val="auto"/>
          <w:szCs w:val="21"/>
        </w:rPr>
        <w:t>款[工期提前]、第</w:t>
      </w:r>
      <w:r>
        <w:rPr>
          <w:rFonts w:ascii="宋体" w:hAnsi="宋体"/>
          <w:color w:val="auto"/>
          <w:szCs w:val="21"/>
        </w:rPr>
        <w:t>8.9</w:t>
      </w:r>
      <w:r>
        <w:rPr>
          <w:rFonts w:hint="eastAsia" w:ascii="宋体" w:hAnsi="宋体"/>
          <w:color w:val="auto"/>
          <w:szCs w:val="21"/>
        </w:rPr>
        <w:t>款[暂停工作]应承担的合同责任。</w:t>
      </w:r>
    </w:p>
    <w:p w14:paraId="545E6E3C">
      <w:pPr>
        <w:pStyle w:val="4"/>
        <w:spacing w:before="120" w:line="360" w:lineRule="auto"/>
        <w:rPr>
          <w:color w:val="auto"/>
        </w:rPr>
      </w:pPr>
      <w:bookmarkStart w:id="1425" w:name="_Toc54862252"/>
      <w:bookmarkStart w:id="1426" w:name="_Toc154063568"/>
      <w:bookmarkStart w:id="1427" w:name="_Ref532362276"/>
      <w:bookmarkStart w:id="1428" w:name="_Ref532362278"/>
      <w:r>
        <w:rPr>
          <w:rFonts w:hint="eastAsia"/>
          <w:color w:val="auto"/>
        </w:rPr>
        <w:t>8</w:t>
      </w:r>
      <w:r>
        <w:rPr>
          <w:color w:val="auto"/>
        </w:rPr>
        <w:t xml:space="preserve">.5 </w:t>
      </w:r>
      <w:r>
        <w:rPr>
          <w:rFonts w:hint="eastAsia"/>
          <w:color w:val="auto"/>
        </w:rPr>
        <w:t>进度报告</w:t>
      </w:r>
      <w:bookmarkEnd w:id="1425"/>
      <w:bookmarkEnd w:id="1426"/>
      <w:bookmarkEnd w:id="1427"/>
      <w:bookmarkEnd w:id="1428"/>
    </w:p>
    <w:p w14:paraId="6B133CF9">
      <w:pPr>
        <w:spacing w:line="360" w:lineRule="auto"/>
        <w:ind w:firstLine="420" w:firstLineChars="200"/>
        <w:rPr>
          <w:rFonts w:hint="eastAsia" w:ascii="宋体" w:hAnsi="宋体"/>
          <w:color w:val="auto"/>
          <w:szCs w:val="21"/>
        </w:rPr>
      </w:pPr>
      <w:r>
        <w:rPr>
          <w:rFonts w:hint="eastAsia" w:ascii="宋体" w:hAnsi="宋体"/>
          <w:color w:val="auto"/>
          <w:szCs w:val="21"/>
        </w:rPr>
        <w:t>项目实施过程中，承包人应进行实际进度记录，并根据工程师的要求编制月进度报告，并提交给工程师。进度报告应包含以下主要内容：</w:t>
      </w:r>
    </w:p>
    <w:p w14:paraId="4BB68640">
      <w:pPr>
        <w:spacing w:line="360" w:lineRule="auto"/>
        <w:ind w:firstLine="420" w:firstLineChars="200"/>
        <w:rPr>
          <w:rFonts w:ascii="宋体" w:hAnsi="宋体"/>
          <w:color w:val="auto"/>
          <w:szCs w:val="21"/>
        </w:rPr>
      </w:pPr>
      <w:r>
        <w:rPr>
          <w:rFonts w:hint="eastAsia" w:ascii="宋体" w:hAnsi="宋体"/>
          <w:color w:val="auto"/>
          <w:szCs w:val="21"/>
        </w:rPr>
        <w:t>（1）工程设计、采购、施工等各个工作内容的进展报告；</w:t>
      </w:r>
    </w:p>
    <w:p w14:paraId="66469760">
      <w:pPr>
        <w:spacing w:line="360" w:lineRule="auto"/>
        <w:ind w:firstLine="420" w:firstLineChars="200"/>
        <w:rPr>
          <w:rFonts w:ascii="宋体" w:hAnsi="宋体"/>
          <w:color w:val="auto"/>
          <w:szCs w:val="21"/>
        </w:rPr>
      </w:pPr>
      <w:r>
        <w:rPr>
          <w:rFonts w:hint="eastAsia" w:ascii="宋体" w:hAnsi="宋体"/>
          <w:color w:val="auto"/>
          <w:szCs w:val="21"/>
        </w:rPr>
        <w:t>（2）工程施工方法的一般说明；</w:t>
      </w:r>
    </w:p>
    <w:p w14:paraId="1D2022A1">
      <w:pPr>
        <w:spacing w:line="360" w:lineRule="auto"/>
        <w:ind w:firstLine="420" w:firstLineChars="200"/>
        <w:rPr>
          <w:rFonts w:ascii="宋体" w:hAnsi="宋体"/>
          <w:color w:val="auto"/>
          <w:szCs w:val="21"/>
        </w:rPr>
      </w:pPr>
      <w:r>
        <w:rPr>
          <w:rFonts w:hint="eastAsia" w:ascii="宋体" w:hAnsi="宋体"/>
          <w:color w:val="auto"/>
          <w:szCs w:val="21"/>
        </w:rPr>
        <w:t>（3）当月工程实施介入的项目人员、设备和材料的预估明细报告；</w:t>
      </w:r>
    </w:p>
    <w:p w14:paraId="24D9A458">
      <w:pPr>
        <w:spacing w:line="360" w:lineRule="auto"/>
        <w:ind w:firstLine="420" w:firstLineChars="200"/>
        <w:rPr>
          <w:rFonts w:ascii="宋体" w:hAnsi="宋体"/>
          <w:color w:val="auto"/>
          <w:szCs w:val="21"/>
        </w:rPr>
      </w:pPr>
      <w:r>
        <w:rPr>
          <w:rFonts w:hint="eastAsia" w:ascii="宋体" w:hAnsi="宋体"/>
          <w:color w:val="auto"/>
          <w:szCs w:val="21"/>
        </w:rPr>
        <w:t xml:space="preserve">（4）当月实际进度与进度计划对比分析，以及提出未来可能引起工期延误的情形，同时提出应对措施；需要修订项目进度计划的，应对项目进度计划的修订部分进行说明； </w:t>
      </w:r>
    </w:p>
    <w:p w14:paraId="4E8C0EC1">
      <w:pPr>
        <w:spacing w:line="360" w:lineRule="auto"/>
        <w:ind w:firstLine="420" w:firstLineChars="200"/>
        <w:rPr>
          <w:rFonts w:ascii="宋体" w:hAnsi="宋体"/>
          <w:color w:val="auto"/>
          <w:szCs w:val="21"/>
        </w:rPr>
      </w:pPr>
      <w:r>
        <w:rPr>
          <w:rFonts w:hint="eastAsia" w:ascii="宋体" w:hAnsi="宋体"/>
          <w:color w:val="auto"/>
          <w:szCs w:val="21"/>
        </w:rPr>
        <w:t>（5）承包人对于解决工期延误所提出的建议；</w:t>
      </w:r>
    </w:p>
    <w:p w14:paraId="5EFF91E4">
      <w:pPr>
        <w:spacing w:line="360" w:lineRule="auto"/>
        <w:ind w:firstLine="420" w:firstLineChars="200"/>
        <w:rPr>
          <w:rFonts w:ascii="宋体" w:hAnsi="宋体"/>
          <w:color w:val="auto"/>
          <w:szCs w:val="21"/>
        </w:rPr>
      </w:pPr>
      <w:r>
        <w:rPr>
          <w:rFonts w:hint="eastAsia" w:ascii="宋体" w:hAnsi="宋体"/>
          <w:color w:val="auto"/>
          <w:szCs w:val="21"/>
        </w:rPr>
        <w:t>（6）其他与工程有关的重大事项。</w:t>
      </w:r>
    </w:p>
    <w:p w14:paraId="487CBE04">
      <w:pPr>
        <w:spacing w:line="360" w:lineRule="auto"/>
        <w:ind w:firstLine="420" w:firstLineChars="200"/>
        <w:rPr>
          <w:rFonts w:ascii="宋体" w:hAnsi="宋体"/>
          <w:color w:val="auto"/>
          <w:szCs w:val="21"/>
        </w:rPr>
      </w:pPr>
      <w:r>
        <w:rPr>
          <w:rFonts w:hint="eastAsia" w:ascii="宋体" w:hAnsi="宋体"/>
          <w:color w:val="auto"/>
          <w:szCs w:val="21"/>
        </w:rPr>
        <w:t>进度报告的具体要求等，在专用合同条件约定。</w:t>
      </w:r>
    </w:p>
    <w:p w14:paraId="144D64F4">
      <w:pPr>
        <w:pStyle w:val="4"/>
        <w:spacing w:before="120" w:line="360" w:lineRule="auto"/>
        <w:rPr>
          <w:color w:val="auto"/>
        </w:rPr>
      </w:pPr>
      <w:bookmarkStart w:id="1429" w:name="_Toc154063569"/>
      <w:bookmarkStart w:id="1430" w:name="_Toc54862253"/>
      <w:r>
        <w:rPr>
          <w:rFonts w:hint="eastAsia"/>
          <w:color w:val="auto"/>
        </w:rPr>
        <w:t>8</w:t>
      </w:r>
      <w:r>
        <w:rPr>
          <w:color w:val="auto"/>
        </w:rPr>
        <w:t xml:space="preserve">.6 </w:t>
      </w:r>
      <w:r>
        <w:rPr>
          <w:rFonts w:hint="eastAsia"/>
          <w:color w:val="auto"/>
        </w:rPr>
        <w:t>提前预警</w:t>
      </w:r>
      <w:bookmarkEnd w:id="1429"/>
      <w:bookmarkEnd w:id="1430"/>
    </w:p>
    <w:p w14:paraId="646383C2">
      <w:pPr>
        <w:spacing w:line="360" w:lineRule="auto"/>
        <w:ind w:firstLine="420" w:firstLineChars="200"/>
        <w:rPr>
          <w:rFonts w:hint="eastAsia" w:ascii="宋体" w:hAnsi="宋体"/>
          <w:color w:val="auto"/>
          <w:szCs w:val="21"/>
        </w:rPr>
      </w:pPr>
      <w:r>
        <w:rPr>
          <w:rFonts w:hint="eastAsia" w:ascii="宋体" w:hAnsi="宋体"/>
          <w:color w:val="auto"/>
          <w:szCs w:val="21"/>
        </w:rPr>
        <w:t>任何一方应当在下列情形发生时尽快书面通知另一方：</w:t>
      </w:r>
    </w:p>
    <w:p w14:paraId="5D657A3D">
      <w:pPr>
        <w:spacing w:line="360" w:lineRule="auto"/>
        <w:ind w:firstLine="420" w:firstLineChars="200"/>
        <w:rPr>
          <w:rFonts w:ascii="宋体" w:hAnsi="宋体"/>
          <w:color w:val="auto"/>
          <w:szCs w:val="21"/>
        </w:rPr>
      </w:pPr>
      <w:r>
        <w:rPr>
          <w:rFonts w:hint="eastAsia" w:ascii="宋体" w:hAnsi="宋体"/>
          <w:color w:val="auto"/>
          <w:szCs w:val="21"/>
        </w:rPr>
        <w:t>（1）该情形可能对合同的履行或实现合同目的产生不利影响；</w:t>
      </w:r>
    </w:p>
    <w:p w14:paraId="6A8634E8">
      <w:pPr>
        <w:spacing w:line="360" w:lineRule="auto"/>
        <w:ind w:firstLine="420" w:firstLineChars="200"/>
        <w:rPr>
          <w:rFonts w:ascii="宋体" w:hAnsi="宋体"/>
          <w:color w:val="auto"/>
          <w:szCs w:val="21"/>
        </w:rPr>
      </w:pPr>
      <w:r>
        <w:rPr>
          <w:rFonts w:hint="eastAsia" w:ascii="宋体" w:hAnsi="宋体"/>
          <w:color w:val="auto"/>
          <w:szCs w:val="21"/>
        </w:rPr>
        <w:t>（2）该情形可能对工程完成后的使用产生不利影响；</w:t>
      </w:r>
    </w:p>
    <w:p w14:paraId="16A4C183">
      <w:pPr>
        <w:spacing w:line="360" w:lineRule="auto"/>
        <w:ind w:firstLine="420" w:firstLineChars="200"/>
        <w:rPr>
          <w:rFonts w:ascii="宋体" w:hAnsi="宋体"/>
          <w:color w:val="auto"/>
          <w:szCs w:val="21"/>
        </w:rPr>
      </w:pPr>
      <w:r>
        <w:rPr>
          <w:rFonts w:hint="eastAsia" w:ascii="宋体" w:hAnsi="宋体"/>
          <w:color w:val="auto"/>
          <w:szCs w:val="21"/>
        </w:rPr>
        <w:t>（3）该情形可能导致合同价款增加；</w:t>
      </w:r>
    </w:p>
    <w:p w14:paraId="2DC30C9C">
      <w:pPr>
        <w:spacing w:line="360" w:lineRule="auto"/>
        <w:ind w:firstLine="420" w:firstLineChars="200"/>
        <w:rPr>
          <w:rFonts w:ascii="宋体" w:hAnsi="宋体"/>
          <w:color w:val="auto"/>
          <w:szCs w:val="21"/>
        </w:rPr>
      </w:pPr>
      <w:r>
        <w:rPr>
          <w:rFonts w:hint="eastAsia" w:ascii="宋体" w:hAnsi="宋体"/>
          <w:color w:val="auto"/>
          <w:szCs w:val="21"/>
        </w:rPr>
        <w:t>（4）该情形可能导致整个工程或单位/区段工程的工期延长。</w:t>
      </w:r>
    </w:p>
    <w:p w14:paraId="66307691">
      <w:pPr>
        <w:spacing w:line="360" w:lineRule="auto"/>
        <w:ind w:firstLine="420" w:firstLineChars="200"/>
        <w:rPr>
          <w:rFonts w:ascii="宋体" w:hAnsi="宋体"/>
          <w:color w:val="auto"/>
          <w:szCs w:val="21"/>
        </w:rPr>
      </w:pPr>
      <w:r>
        <w:rPr>
          <w:rFonts w:hint="eastAsia" w:ascii="宋体" w:hAnsi="宋体"/>
          <w:color w:val="auto"/>
          <w:szCs w:val="21"/>
        </w:rPr>
        <w:t>发包人有权要求承包人根据第</w:t>
      </w:r>
      <w:r>
        <w:rPr>
          <w:rFonts w:ascii="宋体" w:hAnsi="宋体"/>
          <w:color w:val="auto"/>
          <w:szCs w:val="21"/>
        </w:rPr>
        <w:t>13.2</w:t>
      </w:r>
      <w:r>
        <w:rPr>
          <w:rFonts w:hint="eastAsia" w:ascii="宋体" w:hAnsi="宋体"/>
          <w:color w:val="auto"/>
          <w:szCs w:val="21"/>
        </w:rPr>
        <w:t>款[承包人的合理化建议]的约定提交变更建议，采取措施尽量避免或最小化上述情形的发生或影响。</w:t>
      </w:r>
    </w:p>
    <w:p w14:paraId="2614FB91">
      <w:pPr>
        <w:pStyle w:val="4"/>
        <w:spacing w:before="120" w:line="360" w:lineRule="auto"/>
        <w:rPr>
          <w:color w:val="auto"/>
        </w:rPr>
      </w:pPr>
      <w:bookmarkStart w:id="1431" w:name="_Toc4784159"/>
      <w:bookmarkEnd w:id="1431"/>
      <w:bookmarkStart w:id="1432" w:name="_Toc4784175"/>
      <w:bookmarkEnd w:id="1432"/>
      <w:bookmarkStart w:id="1433" w:name="_Toc4784164"/>
      <w:bookmarkEnd w:id="1433"/>
      <w:bookmarkStart w:id="1434" w:name="_Toc4784155"/>
      <w:bookmarkEnd w:id="1434"/>
      <w:bookmarkStart w:id="1435" w:name="_Toc4784168"/>
      <w:bookmarkEnd w:id="1435"/>
      <w:bookmarkStart w:id="1436" w:name="_Toc4784172"/>
      <w:bookmarkEnd w:id="1436"/>
      <w:bookmarkStart w:id="1437" w:name="_Toc4784174"/>
      <w:bookmarkEnd w:id="1437"/>
      <w:bookmarkStart w:id="1438" w:name="_Toc4784156"/>
      <w:bookmarkEnd w:id="1438"/>
      <w:bookmarkStart w:id="1439" w:name="_Toc4784165"/>
      <w:bookmarkEnd w:id="1439"/>
      <w:bookmarkStart w:id="1440" w:name="_Toc4784167"/>
      <w:bookmarkEnd w:id="1440"/>
      <w:bookmarkStart w:id="1441" w:name="_Toc4784163"/>
      <w:bookmarkEnd w:id="1441"/>
      <w:bookmarkStart w:id="1442" w:name="_Toc4784161"/>
      <w:bookmarkEnd w:id="1442"/>
      <w:bookmarkStart w:id="1443" w:name="_Toc4784173"/>
      <w:bookmarkEnd w:id="1443"/>
      <w:bookmarkStart w:id="1444" w:name="_Toc4784157"/>
      <w:bookmarkEnd w:id="1444"/>
      <w:bookmarkStart w:id="1445" w:name="_Toc4784169"/>
      <w:bookmarkEnd w:id="1445"/>
      <w:bookmarkStart w:id="1446" w:name="_Toc4784170"/>
      <w:bookmarkEnd w:id="1446"/>
      <w:bookmarkStart w:id="1447" w:name="_Toc4784154"/>
      <w:bookmarkEnd w:id="1447"/>
      <w:bookmarkStart w:id="1448" w:name="_Toc4784162"/>
      <w:bookmarkEnd w:id="1448"/>
      <w:bookmarkStart w:id="1449" w:name="_Toc4784171"/>
      <w:bookmarkEnd w:id="1449"/>
      <w:bookmarkStart w:id="1450" w:name="_Toc4784160"/>
      <w:bookmarkEnd w:id="1450"/>
      <w:bookmarkStart w:id="1451" w:name="_Toc4784158"/>
      <w:bookmarkEnd w:id="1451"/>
      <w:bookmarkStart w:id="1452" w:name="_Toc4784166"/>
      <w:bookmarkEnd w:id="1452"/>
      <w:bookmarkStart w:id="1453" w:name="_Toc154063570"/>
      <w:bookmarkStart w:id="1454" w:name="_Toc54862254"/>
      <w:bookmarkStart w:id="1455" w:name="_Ref4770106"/>
      <w:bookmarkStart w:id="1456" w:name="_Ref532362359"/>
      <w:bookmarkStart w:id="1457" w:name="_Ref532362356"/>
      <w:r>
        <w:rPr>
          <w:rFonts w:hint="eastAsia"/>
          <w:color w:val="auto"/>
        </w:rPr>
        <w:t>8</w:t>
      </w:r>
      <w:r>
        <w:rPr>
          <w:color w:val="auto"/>
        </w:rPr>
        <w:t xml:space="preserve">.7 </w:t>
      </w:r>
      <w:r>
        <w:rPr>
          <w:rFonts w:hint="eastAsia"/>
          <w:color w:val="auto"/>
        </w:rPr>
        <w:t>工期延误</w:t>
      </w:r>
      <w:bookmarkEnd w:id="1453"/>
      <w:bookmarkEnd w:id="1454"/>
      <w:bookmarkEnd w:id="1455"/>
    </w:p>
    <w:p w14:paraId="2291706B">
      <w:pPr>
        <w:pStyle w:val="130"/>
        <w:numPr>
          <w:ilvl w:val="0"/>
          <w:numId w:val="0"/>
        </w:numPr>
        <w:ind w:firstLine="420" w:firstLineChars="200"/>
        <w:rPr>
          <w:color w:val="auto"/>
          <w:sz w:val="21"/>
        </w:rPr>
      </w:pPr>
      <w:bookmarkStart w:id="1458" w:name="_Ref4796050"/>
      <w:r>
        <w:rPr>
          <w:rFonts w:hint="eastAsia"/>
          <w:color w:val="auto"/>
          <w:sz w:val="21"/>
        </w:rPr>
        <w:t>8</w:t>
      </w:r>
      <w:r>
        <w:rPr>
          <w:color w:val="auto"/>
          <w:sz w:val="21"/>
        </w:rPr>
        <w:t xml:space="preserve">.7.1 </w:t>
      </w:r>
      <w:r>
        <w:rPr>
          <w:rFonts w:hint="eastAsia"/>
          <w:color w:val="auto"/>
          <w:sz w:val="21"/>
        </w:rPr>
        <w:t>因发包人原因导致工期延误</w:t>
      </w:r>
      <w:bookmarkEnd w:id="1458"/>
    </w:p>
    <w:p w14:paraId="5BDEAF8B">
      <w:pPr>
        <w:spacing w:line="360" w:lineRule="auto"/>
        <w:ind w:firstLine="420" w:firstLineChars="200"/>
        <w:rPr>
          <w:rFonts w:ascii="宋体" w:hAnsi="宋体"/>
          <w:color w:val="auto"/>
          <w:szCs w:val="21"/>
        </w:rPr>
      </w:pPr>
      <w:r>
        <w:rPr>
          <w:rFonts w:hint="eastAsia" w:ascii="宋体" w:hAnsi="宋体"/>
          <w:color w:val="auto"/>
          <w:szCs w:val="21"/>
        </w:rPr>
        <w:t>在合同履行过程中，因下列情况导致工期延误和（或）费用增加的，由发包人承担由此延误的工期和（或）增加的费用，且发包人应支付承包人合理的利润：</w:t>
      </w:r>
    </w:p>
    <w:p w14:paraId="297DFF79">
      <w:pPr>
        <w:spacing w:line="360" w:lineRule="auto"/>
        <w:ind w:firstLine="420" w:firstLineChars="200"/>
        <w:rPr>
          <w:rFonts w:ascii="宋体" w:hAnsi="宋体"/>
          <w:color w:val="auto"/>
          <w:szCs w:val="21"/>
        </w:rPr>
      </w:pPr>
      <w:r>
        <w:rPr>
          <w:rFonts w:hint="eastAsia" w:ascii="宋体" w:hAnsi="宋体"/>
          <w:color w:val="auto"/>
          <w:szCs w:val="21"/>
        </w:rPr>
        <w:t>（1）根据第</w:t>
      </w:r>
      <w:r>
        <w:rPr>
          <w:rFonts w:ascii="宋体" w:hAnsi="宋体"/>
          <w:color w:val="auto"/>
          <w:szCs w:val="21"/>
        </w:rPr>
        <w:t>13条</w:t>
      </w:r>
      <w:r>
        <w:rPr>
          <w:rFonts w:hint="eastAsia" w:ascii="宋体" w:hAnsi="宋体"/>
          <w:color w:val="auto"/>
          <w:szCs w:val="21"/>
        </w:rPr>
        <w:t>[变更与调整]的约定构成一项变更的；</w:t>
      </w:r>
    </w:p>
    <w:p w14:paraId="3D89176F">
      <w:pPr>
        <w:spacing w:line="360" w:lineRule="auto"/>
        <w:ind w:firstLine="420" w:firstLineChars="200"/>
        <w:rPr>
          <w:rFonts w:ascii="宋体" w:hAnsi="宋体"/>
          <w:color w:val="auto"/>
          <w:szCs w:val="21"/>
        </w:rPr>
      </w:pPr>
      <w:r>
        <w:rPr>
          <w:rFonts w:hint="eastAsia" w:ascii="宋体" w:hAnsi="宋体"/>
          <w:color w:val="auto"/>
          <w:szCs w:val="21"/>
        </w:rPr>
        <w:t>（2）发包人违反本合同约定，导致工期延误和（或）费用增加的；</w:t>
      </w:r>
    </w:p>
    <w:p w14:paraId="591C34B7">
      <w:pPr>
        <w:spacing w:line="360" w:lineRule="auto"/>
        <w:ind w:firstLine="420" w:firstLineChars="200"/>
        <w:rPr>
          <w:rFonts w:ascii="宋体" w:hAnsi="宋体"/>
          <w:color w:val="auto"/>
          <w:szCs w:val="21"/>
        </w:rPr>
      </w:pPr>
      <w:r>
        <w:rPr>
          <w:rFonts w:hint="eastAsia" w:ascii="宋体" w:hAnsi="宋体"/>
          <w:color w:val="auto"/>
          <w:szCs w:val="21"/>
        </w:rPr>
        <w:t>（3）发包人、发包人代表、工程师或发包人聘请的任意第三方造成或引起的任何延误、妨碍和阻碍；</w:t>
      </w:r>
    </w:p>
    <w:p w14:paraId="1A0EF5C7">
      <w:pPr>
        <w:spacing w:line="360" w:lineRule="auto"/>
        <w:ind w:firstLine="420" w:firstLineChars="200"/>
        <w:rPr>
          <w:rFonts w:ascii="宋体" w:hAnsi="宋体"/>
          <w:color w:val="auto"/>
          <w:szCs w:val="21"/>
        </w:rPr>
      </w:pPr>
      <w:r>
        <w:rPr>
          <w:rFonts w:hint="eastAsia" w:ascii="宋体" w:hAnsi="宋体"/>
          <w:color w:val="auto"/>
          <w:szCs w:val="21"/>
        </w:rPr>
        <w:t>（4） 发包人未能依据第</w:t>
      </w:r>
      <w:r>
        <w:rPr>
          <w:rFonts w:ascii="宋体" w:hAnsi="宋体"/>
          <w:color w:val="auto"/>
          <w:szCs w:val="21"/>
        </w:rPr>
        <w:t>6.2.1</w:t>
      </w:r>
      <w:r>
        <w:rPr>
          <w:rFonts w:hint="eastAsia" w:ascii="宋体" w:hAnsi="宋体"/>
          <w:color w:val="auto"/>
          <w:szCs w:val="21"/>
        </w:rPr>
        <w:t>项[发包人提供的材料和工程设备]的约定提供材料和工程设备导致工期延误和（或）费用增加的；</w:t>
      </w:r>
    </w:p>
    <w:p w14:paraId="6E790AE8">
      <w:pPr>
        <w:spacing w:line="360" w:lineRule="auto"/>
        <w:ind w:firstLine="420" w:firstLineChars="200"/>
        <w:rPr>
          <w:rFonts w:ascii="宋体" w:hAnsi="宋体"/>
          <w:color w:val="auto"/>
          <w:szCs w:val="21"/>
        </w:rPr>
      </w:pPr>
      <w:r>
        <w:rPr>
          <w:rFonts w:hint="eastAsia" w:ascii="宋体" w:hAnsi="宋体"/>
          <w:color w:val="auto"/>
          <w:szCs w:val="21"/>
        </w:rPr>
        <w:t>（5）因发包人原因导致的暂停施工；</w:t>
      </w:r>
    </w:p>
    <w:p w14:paraId="516B2E35">
      <w:pPr>
        <w:spacing w:line="360" w:lineRule="auto"/>
        <w:ind w:firstLine="420" w:firstLineChars="200"/>
        <w:rPr>
          <w:rFonts w:ascii="宋体" w:hAnsi="宋体"/>
          <w:color w:val="auto"/>
          <w:szCs w:val="21"/>
        </w:rPr>
      </w:pPr>
      <w:r>
        <w:rPr>
          <w:rFonts w:hint="eastAsia" w:ascii="宋体" w:hAnsi="宋体"/>
          <w:color w:val="auto"/>
          <w:szCs w:val="21"/>
        </w:rPr>
        <w:t>（6）发包人未及时履行相关合同义务，造成工期延误的其他原因。</w:t>
      </w:r>
    </w:p>
    <w:p w14:paraId="37769AA3">
      <w:pPr>
        <w:pStyle w:val="130"/>
        <w:numPr>
          <w:ilvl w:val="0"/>
          <w:numId w:val="0"/>
        </w:numPr>
        <w:ind w:firstLine="420" w:firstLineChars="200"/>
        <w:rPr>
          <w:color w:val="auto"/>
          <w:sz w:val="21"/>
        </w:rPr>
      </w:pPr>
      <w:bookmarkStart w:id="1459" w:name="_Ref4770209"/>
      <w:r>
        <w:rPr>
          <w:rFonts w:hint="eastAsia"/>
          <w:color w:val="auto"/>
          <w:sz w:val="21"/>
        </w:rPr>
        <w:t>8</w:t>
      </w:r>
      <w:r>
        <w:rPr>
          <w:color w:val="auto"/>
          <w:sz w:val="21"/>
        </w:rPr>
        <w:t xml:space="preserve">.7.2 </w:t>
      </w:r>
      <w:r>
        <w:rPr>
          <w:rFonts w:hint="eastAsia"/>
          <w:color w:val="auto"/>
          <w:sz w:val="21"/>
        </w:rPr>
        <w:t>因承包人原因导致工期延误</w:t>
      </w:r>
      <w:bookmarkEnd w:id="1459"/>
    </w:p>
    <w:p w14:paraId="5D3E9A9E">
      <w:pPr>
        <w:spacing w:line="360" w:lineRule="auto"/>
        <w:ind w:firstLine="420" w:firstLineChars="200"/>
        <w:rPr>
          <w:rFonts w:ascii="宋体" w:hAnsi="宋体"/>
          <w:color w:val="auto"/>
          <w:szCs w:val="21"/>
        </w:rPr>
      </w:pPr>
      <w:r>
        <w:rPr>
          <w:rFonts w:hint="eastAsia" w:ascii="宋体" w:hAnsi="宋体"/>
          <w:color w:val="auto"/>
          <w:szCs w:val="21"/>
        </w:rPr>
        <w:t>由于承包人的原因，未能按项目进度计划完成工作，承包人应采取措施加快进度，并承担加快进度所增加的费用。</w:t>
      </w:r>
    </w:p>
    <w:p w14:paraId="1E5C8280">
      <w:pPr>
        <w:spacing w:line="360" w:lineRule="auto"/>
        <w:ind w:firstLine="420" w:firstLineChars="200"/>
        <w:rPr>
          <w:rFonts w:ascii="宋体" w:hAnsi="宋体"/>
          <w:color w:val="auto"/>
          <w:szCs w:val="21"/>
        </w:rPr>
      </w:pPr>
      <w:r>
        <w:rPr>
          <w:rFonts w:hint="eastAsia" w:ascii="宋体" w:hAnsi="宋体"/>
          <w:color w:val="auto"/>
          <w:szCs w:val="21"/>
        </w:rPr>
        <w:t>由于承包人原因造成工期延误并导致逾期竣工的，承包人应支付逾期竣工违约金。逾期竣工违约金的计算方法和最高限额在专用合同条件中约定。承包人支付逾期竣工违约金，不免除承包人完成工作及修补缺陷的义务，且发包人有权从工程进度款、竣工结算款或约定提交的履约担保中扣除相当于逾期竣工违约金的金额。</w:t>
      </w:r>
    </w:p>
    <w:p w14:paraId="1C4AB518">
      <w:pPr>
        <w:pStyle w:val="130"/>
        <w:numPr>
          <w:ilvl w:val="0"/>
          <w:numId w:val="0"/>
        </w:numPr>
        <w:ind w:firstLine="420" w:firstLineChars="200"/>
        <w:rPr>
          <w:color w:val="auto"/>
          <w:sz w:val="21"/>
        </w:rPr>
      </w:pPr>
      <w:bookmarkStart w:id="1460" w:name="_Ref4770872"/>
      <w:r>
        <w:rPr>
          <w:rFonts w:hint="eastAsia"/>
          <w:color w:val="auto"/>
          <w:sz w:val="21"/>
        </w:rPr>
        <w:t>8</w:t>
      </w:r>
      <w:r>
        <w:rPr>
          <w:color w:val="auto"/>
          <w:sz w:val="21"/>
        </w:rPr>
        <w:t xml:space="preserve">.7.3 </w:t>
      </w:r>
      <w:r>
        <w:rPr>
          <w:rFonts w:hint="eastAsia"/>
          <w:color w:val="auto"/>
          <w:sz w:val="21"/>
        </w:rPr>
        <w:t>行政审批迟延</w:t>
      </w:r>
      <w:bookmarkEnd w:id="1460"/>
      <w:r>
        <w:rPr>
          <w:rFonts w:hint="eastAsia"/>
          <w:color w:val="auto"/>
          <w:sz w:val="21"/>
        </w:rPr>
        <w:t xml:space="preserve"> </w:t>
      </w:r>
    </w:p>
    <w:p w14:paraId="639E5A4C">
      <w:pPr>
        <w:spacing w:line="360" w:lineRule="auto"/>
        <w:ind w:firstLine="420" w:firstLineChars="200"/>
        <w:rPr>
          <w:rFonts w:ascii="宋体" w:hAnsi="宋体"/>
          <w:color w:val="auto"/>
          <w:szCs w:val="21"/>
        </w:rPr>
      </w:pPr>
      <w:r>
        <w:rPr>
          <w:rFonts w:hint="eastAsia" w:ascii="宋体" w:hAnsi="宋体"/>
          <w:color w:val="auto"/>
          <w:szCs w:val="21"/>
        </w:rPr>
        <w:t>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p>
    <w:p w14:paraId="433DCC9F">
      <w:pPr>
        <w:pStyle w:val="130"/>
        <w:numPr>
          <w:ilvl w:val="0"/>
          <w:numId w:val="0"/>
        </w:numPr>
        <w:ind w:firstLine="420" w:firstLineChars="200"/>
        <w:rPr>
          <w:color w:val="auto"/>
          <w:sz w:val="21"/>
        </w:rPr>
      </w:pPr>
      <w:bookmarkStart w:id="1461" w:name="_Ref4770933"/>
      <w:r>
        <w:rPr>
          <w:rFonts w:hint="eastAsia"/>
          <w:color w:val="auto"/>
          <w:sz w:val="21"/>
        </w:rPr>
        <w:t>8</w:t>
      </w:r>
      <w:r>
        <w:rPr>
          <w:color w:val="auto"/>
          <w:sz w:val="21"/>
        </w:rPr>
        <w:t xml:space="preserve">.7.4 </w:t>
      </w:r>
      <w:r>
        <w:rPr>
          <w:rFonts w:hint="eastAsia"/>
          <w:color w:val="auto"/>
          <w:sz w:val="21"/>
        </w:rPr>
        <w:t>异常恶劣的气候条件</w:t>
      </w:r>
      <w:bookmarkEnd w:id="1461"/>
    </w:p>
    <w:p w14:paraId="59257F23">
      <w:pPr>
        <w:spacing w:line="360" w:lineRule="auto"/>
        <w:ind w:firstLine="420" w:firstLineChars="200"/>
        <w:rPr>
          <w:rFonts w:ascii="宋体" w:hAnsi="宋体"/>
          <w:color w:val="auto"/>
          <w:szCs w:val="21"/>
        </w:rPr>
      </w:pPr>
      <w:r>
        <w:rPr>
          <w:rFonts w:hint="eastAsia" w:ascii="宋体" w:hAnsi="宋体"/>
          <w:color w:val="auto"/>
          <w:szCs w:val="21"/>
        </w:rPr>
        <w:t>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p>
    <w:p w14:paraId="3554E5B4">
      <w:pPr>
        <w:spacing w:line="360" w:lineRule="auto"/>
        <w:ind w:firstLine="420" w:firstLineChars="200"/>
        <w:rPr>
          <w:rFonts w:ascii="宋体" w:hAnsi="宋体"/>
          <w:color w:val="auto"/>
          <w:szCs w:val="21"/>
        </w:rPr>
      </w:pPr>
      <w:r>
        <w:rPr>
          <w:rFonts w:hint="eastAsia" w:ascii="宋体" w:hAnsi="宋体"/>
          <w:color w:val="auto"/>
          <w:szCs w:val="21"/>
        </w:rPr>
        <w:t>承包人应采取克服异常恶劣的气候条件的合理措施继续施工，并及时通知工程师。工程师应当及时发出指示，指示构成变更的，按第</w:t>
      </w:r>
      <w:r>
        <w:rPr>
          <w:rFonts w:ascii="宋体" w:hAnsi="宋体"/>
          <w:color w:val="auto"/>
          <w:szCs w:val="21"/>
        </w:rPr>
        <w:t>13条</w:t>
      </w:r>
      <w:r>
        <w:rPr>
          <w:rFonts w:hint="eastAsia" w:ascii="宋体" w:hAnsi="宋体"/>
          <w:color w:val="auto"/>
          <w:szCs w:val="21"/>
        </w:rPr>
        <w:t>[变更与调整]约定办理。承包人因采取合理措施而延误的工期由发包人承担。</w:t>
      </w:r>
    </w:p>
    <w:p w14:paraId="251D95AD">
      <w:pPr>
        <w:pStyle w:val="4"/>
        <w:spacing w:before="120" w:line="360" w:lineRule="auto"/>
        <w:rPr>
          <w:color w:val="auto"/>
        </w:rPr>
      </w:pPr>
      <w:bookmarkStart w:id="1462" w:name="_Toc54862255"/>
      <w:bookmarkStart w:id="1463" w:name="_Ref4781828"/>
      <w:bookmarkStart w:id="1464" w:name="_Toc154063571"/>
      <w:r>
        <w:rPr>
          <w:rFonts w:hint="eastAsia"/>
          <w:color w:val="auto"/>
        </w:rPr>
        <w:t>8</w:t>
      </w:r>
      <w:r>
        <w:rPr>
          <w:color w:val="auto"/>
        </w:rPr>
        <w:t xml:space="preserve">.8 </w:t>
      </w:r>
      <w:r>
        <w:rPr>
          <w:rFonts w:hint="eastAsia"/>
          <w:color w:val="auto"/>
        </w:rPr>
        <w:t>工期提前</w:t>
      </w:r>
      <w:bookmarkEnd w:id="1456"/>
      <w:bookmarkEnd w:id="1457"/>
      <w:bookmarkEnd w:id="1462"/>
      <w:bookmarkEnd w:id="1463"/>
      <w:bookmarkEnd w:id="1464"/>
    </w:p>
    <w:p w14:paraId="7D23043C">
      <w:pPr>
        <w:pStyle w:val="130"/>
        <w:numPr>
          <w:ilvl w:val="0"/>
          <w:numId w:val="0"/>
        </w:numPr>
        <w:ind w:firstLine="420" w:firstLineChars="200"/>
        <w:rPr>
          <w:color w:val="auto"/>
          <w:sz w:val="21"/>
        </w:rPr>
      </w:pPr>
      <w:r>
        <w:rPr>
          <w:rFonts w:hint="eastAsia"/>
          <w:color w:val="auto"/>
          <w:sz w:val="21"/>
        </w:rPr>
        <w:t>8</w:t>
      </w:r>
      <w:r>
        <w:rPr>
          <w:color w:val="auto"/>
          <w:sz w:val="21"/>
        </w:rPr>
        <w:t xml:space="preserve">.8.1 </w:t>
      </w:r>
      <w:r>
        <w:rPr>
          <w:rFonts w:hint="eastAsia"/>
          <w:color w:val="auto"/>
          <w:sz w:val="21"/>
        </w:rPr>
        <w:t>发包人指示承包人提前竣工且被承包人接受的，应与承包人共同协商采取加快工程进度的措施和修订项目进度计划。发包人应承担承包人由此增加的费用，增加的费用按第</w:t>
      </w:r>
      <w:r>
        <w:rPr>
          <w:color w:val="auto"/>
          <w:sz w:val="21"/>
        </w:rPr>
        <w:t>13条</w:t>
      </w:r>
      <w:r>
        <w:rPr>
          <w:rFonts w:hint="eastAsia"/>
          <w:color w:val="auto"/>
          <w:sz w:val="21"/>
        </w:rPr>
        <w:t>[</w:t>
      </w:r>
      <w:r>
        <w:rPr>
          <w:color w:val="auto"/>
          <w:sz w:val="21"/>
        </w:rPr>
        <w:t>变更与调整</w:t>
      </w:r>
      <w:r>
        <w:rPr>
          <w:rFonts w:hint="eastAsia"/>
          <w:color w:val="auto"/>
          <w:sz w:val="21"/>
        </w:rPr>
        <w:t>]的约定执行；发包人不得以任何理由要求承包人超过合理限度压缩工期。承包人有权不接受提前竣工的指示，工期按照合同约定执行。</w:t>
      </w:r>
    </w:p>
    <w:p w14:paraId="76D6709F">
      <w:pPr>
        <w:pStyle w:val="130"/>
        <w:numPr>
          <w:ilvl w:val="0"/>
          <w:numId w:val="0"/>
        </w:numPr>
        <w:ind w:firstLine="420" w:firstLineChars="200"/>
        <w:rPr>
          <w:color w:val="auto"/>
          <w:sz w:val="21"/>
        </w:rPr>
      </w:pPr>
      <w:bookmarkStart w:id="1465" w:name="_Ref4429347"/>
      <w:r>
        <w:rPr>
          <w:rFonts w:hint="eastAsia"/>
          <w:color w:val="auto"/>
          <w:sz w:val="21"/>
        </w:rPr>
        <w:t>8</w:t>
      </w:r>
      <w:r>
        <w:rPr>
          <w:color w:val="auto"/>
          <w:sz w:val="21"/>
        </w:rPr>
        <w:t xml:space="preserve">.8.2 </w:t>
      </w:r>
      <w:r>
        <w:rPr>
          <w:rFonts w:hint="eastAsia"/>
          <w:color w:val="auto"/>
          <w:sz w:val="21"/>
        </w:rPr>
        <w:t>承包人提出提前竣工的建议且发包人接受的，应与发包人共同协商采取加快工程进度的措施和修订项目进度计划。发包人应承担承包人由此增加的费用，增加的费用按第</w:t>
      </w:r>
      <w:r>
        <w:rPr>
          <w:color w:val="auto"/>
          <w:sz w:val="21"/>
        </w:rPr>
        <w:t>13条</w:t>
      </w:r>
      <w:r>
        <w:rPr>
          <w:rFonts w:hint="eastAsia"/>
          <w:color w:val="auto"/>
          <w:sz w:val="21"/>
        </w:rPr>
        <w:t>[</w:t>
      </w:r>
      <w:r>
        <w:rPr>
          <w:color w:val="auto"/>
          <w:sz w:val="21"/>
        </w:rPr>
        <w:t>变更与调整</w:t>
      </w:r>
      <w:r>
        <w:rPr>
          <w:rFonts w:hint="eastAsia"/>
          <w:color w:val="auto"/>
          <w:sz w:val="21"/>
        </w:rPr>
        <w:t>]的约定执行，并向承包人支付专用合同条件约定的相应奖励金。</w:t>
      </w:r>
      <w:bookmarkEnd w:id="1465"/>
    </w:p>
    <w:p w14:paraId="50B2B1A4">
      <w:pPr>
        <w:pStyle w:val="4"/>
        <w:spacing w:before="120" w:line="360" w:lineRule="auto"/>
        <w:rPr>
          <w:color w:val="auto"/>
        </w:rPr>
      </w:pPr>
      <w:bookmarkStart w:id="1466" w:name="_Toc54862256"/>
      <w:bookmarkStart w:id="1467" w:name="_Ref4615040"/>
      <w:bookmarkStart w:id="1468" w:name="_Ref4615031"/>
      <w:bookmarkStart w:id="1469" w:name="_Toc154063572"/>
      <w:r>
        <w:rPr>
          <w:rFonts w:hint="eastAsia"/>
          <w:color w:val="auto"/>
        </w:rPr>
        <w:t>8</w:t>
      </w:r>
      <w:r>
        <w:rPr>
          <w:color w:val="auto"/>
        </w:rPr>
        <w:t xml:space="preserve">.9 </w:t>
      </w:r>
      <w:r>
        <w:rPr>
          <w:rFonts w:hint="eastAsia"/>
          <w:color w:val="auto"/>
        </w:rPr>
        <w:t>暂停工作</w:t>
      </w:r>
      <w:bookmarkEnd w:id="1466"/>
      <w:bookmarkEnd w:id="1467"/>
      <w:bookmarkEnd w:id="1468"/>
      <w:bookmarkEnd w:id="1469"/>
      <w:r>
        <w:rPr>
          <w:rFonts w:hint="eastAsia"/>
          <w:color w:val="auto"/>
        </w:rPr>
        <w:t xml:space="preserve"> </w:t>
      </w:r>
    </w:p>
    <w:p w14:paraId="182DD244">
      <w:pPr>
        <w:pStyle w:val="130"/>
        <w:numPr>
          <w:ilvl w:val="0"/>
          <w:numId w:val="0"/>
        </w:numPr>
        <w:ind w:firstLine="420" w:firstLineChars="200"/>
        <w:rPr>
          <w:color w:val="auto"/>
          <w:sz w:val="21"/>
        </w:rPr>
      </w:pPr>
      <w:bookmarkStart w:id="1470" w:name="_Ref4709151"/>
      <w:r>
        <w:rPr>
          <w:rFonts w:hint="eastAsia"/>
          <w:color w:val="auto"/>
          <w:sz w:val="21"/>
        </w:rPr>
        <w:t>8</w:t>
      </w:r>
      <w:r>
        <w:rPr>
          <w:color w:val="auto"/>
          <w:sz w:val="21"/>
        </w:rPr>
        <w:t xml:space="preserve">.9.1 </w:t>
      </w:r>
      <w:r>
        <w:rPr>
          <w:rFonts w:hint="eastAsia"/>
          <w:color w:val="auto"/>
          <w:sz w:val="21"/>
        </w:rPr>
        <w:t>由发包人暂停工作</w:t>
      </w:r>
      <w:bookmarkEnd w:id="1470"/>
    </w:p>
    <w:p w14:paraId="01D5C7D4">
      <w:pPr>
        <w:spacing w:line="360" w:lineRule="auto"/>
        <w:ind w:firstLine="420" w:firstLineChars="200"/>
        <w:rPr>
          <w:rFonts w:ascii="宋体" w:hAnsi="宋体"/>
          <w:color w:val="auto"/>
          <w:szCs w:val="21"/>
        </w:rPr>
      </w:pPr>
      <w:r>
        <w:rPr>
          <w:rFonts w:hint="eastAsia" w:ascii="宋体" w:hAnsi="宋体"/>
          <w:color w:val="auto"/>
          <w:szCs w:val="21"/>
        </w:rPr>
        <w:t>发包人认为必要时，可通过工程师向承包人发出经发包人签认的暂停工作通知，应列明暂停原因、暂停的日期及预计暂停的期限。承包人应按该通知暂停工作。</w:t>
      </w:r>
      <w:bookmarkStart w:id="1471" w:name="_Ref4709233"/>
    </w:p>
    <w:p w14:paraId="15F832B7">
      <w:pPr>
        <w:spacing w:line="360" w:lineRule="auto"/>
        <w:ind w:firstLine="420" w:firstLineChars="200"/>
        <w:rPr>
          <w:rFonts w:ascii="宋体" w:hAnsi="宋体"/>
          <w:color w:val="auto"/>
          <w:szCs w:val="21"/>
        </w:rPr>
      </w:pPr>
      <w:r>
        <w:rPr>
          <w:rFonts w:hint="eastAsia" w:ascii="宋体" w:hAnsi="宋体"/>
          <w:color w:val="auto"/>
          <w:szCs w:val="21"/>
        </w:rPr>
        <w:t>承包人因执行暂停工作通知而造成费用的增加和（或）工期延误由发包人承担，并有权要求发包人支付合理利润，但</w:t>
      </w:r>
      <w:bookmarkEnd w:id="1471"/>
      <w:r>
        <w:rPr>
          <w:rFonts w:hint="eastAsia" w:ascii="宋体" w:hAnsi="宋体"/>
          <w:color w:val="auto"/>
          <w:szCs w:val="21"/>
        </w:rPr>
        <w:t>由于承包人原因造成发包人暂停工作的除外。</w:t>
      </w:r>
    </w:p>
    <w:p w14:paraId="25F75560">
      <w:pPr>
        <w:pStyle w:val="130"/>
        <w:numPr>
          <w:ilvl w:val="0"/>
          <w:numId w:val="0"/>
        </w:numPr>
        <w:ind w:firstLine="420" w:firstLineChars="200"/>
        <w:rPr>
          <w:color w:val="auto"/>
          <w:sz w:val="21"/>
        </w:rPr>
      </w:pPr>
      <w:bookmarkStart w:id="1472" w:name="_Ref18972173"/>
      <w:r>
        <w:rPr>
          <w:rFonts w:hint="eastAsia"/>
          <w:color w:val="auto"/>
          <w:sz w:val="21"/>
        </w:rPr>
        <w:t>8</w:t>
      </w:r>
      <w:r>
        <w:rPr>
          <w:color w:val="auto"/>
          <w:sz w:val="21"/>
        </w:rPr>
        <w:t xml:space="preserve">.9.2 </w:t>
      </w:r>
      <w:r>
        <w:rPr>
          <w:rFonts w:hint="eastAsia"/>
          <w:color w:val="auto"/>
          <w:sz w:val="21"/>
        </w:rPr>
        <w:t>由承包人暂停工作</w:t>
      </w:r>
      <w:bookmarkEnd w:id="1472"/>
      <w:r>
        <w:rPr>
          <w:rFonts w:hint="eastAsia"/>
          <w:color w:val="auto"/>
          <w:sz w:val="21"/>
        </w:rPr>
        <w:t xml:space="preserve"> </w:t>
      </w:r>
    </w:p>
    <w:p w14:paraId="4E911E59">
      <w:pPr>
        <w:spacing w:line="360" w:lineRule="auto"/>
        <w:ind w:firstLine="420" w:firstLineChars="200"/>
        <w:rPr>
          <w:rFonts w:ascii="宋体" w:hAnsi="宋体"/>
          <w:color w:val="auto"/>
          <w:szCs w:val="21"/>
        </w:rPr>
      </w:pPr>
      <w:r>
        <w:rPr>
          <w:rFonts w:hint="eastAsia" w:ascii="宋体" w:hAnsi="宋体"/>
          <w:color w:val="auto"/>
          <w:szCs w:val="21"/>
        </w:rPr>
        <w:t>因承包人原因所造成部分或全部工程的暂停，承包人应采取措施尽快复工并赶上进度，由此造成费用的增加或工期延误由承包人承担。因此造成逾期竣工的，承包人应按第</w:t>
      </w:r>
      <w:r>
        <w:rPr>
          <w:rFonts w:ascii="宋体" w:hAnsi="宋体"/>
          <w:color w:val="auto"/>
          <w:szCs w:val="21"/>
        </w:rPr>
        <w:t>8.7.2</w:t>
      </w:r>
      <w:r>
        <w:rPr>
          <w:rFonts w:hint="eastAsia" w:ascii="宋体" w:hAnsi="宋体"/>
          <w:color w:val="auto"/>
          <w:szCs w:val="21"/>
        </w:rPr>
        <w:t>项[</w:t>
      </w:r>
      <w:r>
        <w:rPr>
          <w:rFonts w:ascii="宋体" w:hAnsi="宋体"/>
          <w:color w:val="auto"/>
          <w:szCs w:val="21"/>
        </w:rPr>
        <w:t>因承包人原因导致工期延误</w:t>
      </w:r>
      <w:r>
        <w:rPr>
          <w:rFonts w:hint="eastAsia" w:ascii="宋体" w:hAnsi="宋体"/>
          <w:color w:val="auto"/>
          <w:szCs w:val="21"/>
        </w:rPr>
        <w:t>]承担逾期竣工违约责任。</w:t>
      </w:r>
    </w:p>
    <w:p w14:paraId="6B2A9F55">
      <w:pPr>
        <w:spacing w:line="360" w:lineRule="auto"/>
        <w:ind w:firstLine="420" w:firstLineChars="200"/>
        <w:rPr>
          <w:rFonts w:hint="eastAsia" w:ascii="宋体" w:hAnsi="宋体"/>
          <w:color w:val="auto"/>
          <w:szCs w:val="21"/>
        </w:rPr>
      </w:pPr>
      <w:r>
        <w:rPr>
          <w:rFonts w:hint="eastAsia" w:ascii="宋体" w:hAnsi="宋体"/>
          <w:color w:val="auto"/>
          <w:szCs w:val="21"/>
        </w:rPr>
        <w:t>合同履行过程中发生下列情形之一的，承包人可向发包人发出通知，要求发包人采取有效措施予以纠正。发包人收到承包人通知后的28天内仍不予以纠正，承包人有权暂停施工，并通知工程师。承包人有权要求发包人延长工期和（或）增加费用，并支付合理利润：</w:t>
      </w:r>
      <w:bookmarkStart w:id="1473" w:name="_Ref4709224"/>
    </w:p>
    <w:p w14:paraId="5CBB752D">
      <w:pPr>
        <w:spacing w:line="360" w:lineRule="auto"/>
        <w:ind w:firstLine="420" w:firstLineChars="200"/>
        <w:rPr>
          <w:rFonts w:hint="eastAsia" w:ascii="宋体" w:hAnsi="宋体"/>
          <w:color w:val="auto"/>
          <w:szCs w:val="21"/>
        </w:rPr>
      </w:pPr>
      <w:r>
        <w:rPr>
          <w:rFonts w:hint="eastAsia" w:ascii="宋体" w:hAnsi="宋体"/>
          <w:color w:val="auto"/>
          <w:szCs w:val="21"/>
        </w:rPr>
        <w:t>（1）发包人拖延、拒绝批准付款申请和支付证书，或未能按合同约定支付价款，导致付款延误的；</w:t>
      </w:r>
      <w:bookmarkEnd w:id="1473"/>
    </w:p>
    <w:p w14:paraId="2EB957FF">
      <w:pPr>
        <w:spacing w:line="360" w:lineRule="auto"/>
        <w:ind w:firstLine="420" w:firstLineChars="200"/>
        <w:rPr>
          <w:rFonts w:ascii="宋体" w:hAnsi="宋体"/>
          <w:color w:val="auto"/>
          <w:szCs w:val="21"/>
        </w:rPr>
      </w:pPr>
      <w:r>
        <w:rPr>
          <w:rFonts w:hint="eastAsia" w:ascii="宋体" w:hAnsi="宋体"/>
          <w:color w:val="auto"/>
          <w:szCs w:val="21"/>
        </w:rPr>
        <w:t>（2）发包人未按约定履行合同其他义务导致承包人无法继续履行合同的，或者发包人明确表示暂停或实质上已暂停履行合同的。</w:t>
      </w:r>
    </w:p>
    <w:p w14:paraId="38B9EB37">
      <w:pPr>
        <w:pStyle w:val="130"/>
        <w:numPr>
          <w:ilvl w:val="0"/>
          <w:numId w:val="0"/>
        </w:numPr>
        <w:ind w:firstLine="420" w:firstLineChars="200"/>
        <w:rPr>
          <w:color w:val="auto"/>
          <w:sz w:val="21"/>
        </w:rPr>
      </w:pPr>
      <w:r>
        <w:rPr>
          <w:rFonts w:hint="eastAsia"/>
          <w:color w:val="auto"/>
          <w:sz w:val="21"/>
        </w:rPr>
        <w:t>8</w:t>
      </w:r>
      <w:r>
        <w:rPr>
          <w:color w:val="auto"/>
          <w:sz w:val="21"/>
        </w:rPr>
        <w:t xml:space="preserve">.9.3 </w:t>
      </w:r>
      <w:r>
        <w:rPr>
          <w:rFonts w:hint="eastAsia"/>
          <w:color w:val="auto"/>
          <w:sz w:val="21"/>
        </w:rPr>
        <w:t>除上述原因以外的暂停工作，双方应遵守第1</w:t>
      </w:r>
      <w:r>
        <w:rPr>
          <w:color w:val="auto"/>
          <w:sz w:val="21"/>
        </w:rPr>
        <w:t>7</w:t>
      </w:r>
      <w:r>
        <w:rPr>
          <w:rFonts w:hint="eastAsia"/>
          <w:color w:val="auto"/>
          <w:sz w:val="21"/>
        </w:rPr>
        <w:t>条[不可抗力]的相关约定。</w:t>
      </w:r>
    </w:p>
    <w:p w14:paraId="531950CE">
      <w:pPr>
        <w:pStyle w:val="130"/>
        <w:numPr>
          <w:ilvl w:val="0"/>
          <w:numId w:val="0"/>
        </w:numPr>
        <w:ind w:firstLine="420" w:firstLineChars="200"/>
        <w:rPr>
          <w:color w:val="auto"/>
          <w:sz w:val="21"/>
        </w:rPr>
      </w:pPr>
      <w:bookmarkStart w:id="1474" w:name="_Ref4709158"/>
      <w:r>
        <w:rPr>
          <w:rFonts w:hint="eastAsia"/>
          <w:color w:val="auto"/>
          <w:sz w:val="21"/>
        </w:rPr>
        <w:t>8</w:t>
      </w:r>
      <w:r>
        <w:rPr>
          <w:color w:val="auto"/>
          <w:sz w:val="21"/>
        </w:rPr>
        <w:t xml:space="preserve">.9.4 </w:t>
      </w:r>
      <w:r>
        <w:rPr>
          <w:rFonts w:hint="eastAsia"/>
          <w:color w:val="auto"/>
          <w:sz w:val="21"/>
        </w:rPr>
        <w:t>暂停工作期间的工程照管</w:t>
      </w:r>
      <w:bookmarkEnd w:id="1474"/>
      <w:r>
        <w:rPr>
          <w:rFonts w:hint="eastAsia"/>
          <w:color w:val="auto"/>
          <w:sz w:val="21"/>
        </w:rPr>
        <w:t xml:space="preserve"> </w:t>
      </w:r>
    </w:p>
    <w:p w14:paraId="351634B6">
      <w:pPr>
        <w:spacing w:line="360" w:lineRule="auto"/>
        <w:ind w:firstLine="420" w:firstLineChars="200"/>
        <w:rPr>
          <w:rFonts w:ascii="宋体" w:hAnsi="宋体"/>
          <w:color w:val="auto"/>
          <w:szCs w:val="21"/>
        </w:rPr>
      </w:pPr>
      <w:r>
        <w:rPr>
          <w:rFonts w:hint="eastAsia" w:ascii="宋体" w:hAnsi="宋体"/>
          <w:color w:val="auto"/>
          <w:szCs w:val="21"/>
        </w:rPr>
        <w:t>不论由于何种原因引起暂停工作的，暂停工作期间，承包人应负责对工程、工程物资及文件等进行照管和保护，并提供安全保障，由此增加的费用按第</w:t>
      </w:r>
      <w:r>
        <w:rPr>
          <w:rFonts w:ascii="宋体" w:hAnsi="宋体"/>
          <w:color w:val="auto"/>
          <w:szCs w:val="21"/>
        </w:rPr>
        <w:t>8.9.1</w:t>
      </w:r>
      <w:r>
        <w:rPr>
          <w:rFonts w:hint="eastAsia" w:ascii="宋体" w:hAnsi="宋体"/>
          <w:color w:val="auto"/>
          <w:szCs w:val="21"/>
        </w:rPr>
        <w:t>项[由发包人暂停工作]和第</w:t>
      </w:r>
      <w:r>
        <w:rPr>
          <w:rFonts w:ascii="宋体" w:hAnsi="宋体"/>
          <w:color w:val="auto"/>
          <w:szCs w:val="21"/>
        </w:rPr>
        <w:t>8.9.2</w:t>
      </w:r>
      <w:r>
        <w:rPr>
          <w:rFonts w:hint="eastAsia" w:ascii="宋体" w:hAnsi="宋体"/>
          <w:color w:val="auto"/>
          <w:szCs w:val="21"/>
        </w:rPr>
        <w:t>项[由承包人暂停工作]的约定承担。</w:t>
      </w:r>
    </w:p>
    <w:p w14:paraId="200120CC">
      <w:pPr>
        <w:spacing w:line="360" w:lineRule="auto"/>
        <w:ind w:firstLine="420" w:firstLineChars="200"/>
        <w:rPr>
          <w:rFonts w:ascii="宋体" w:hAnsi="宋体"/>
          <w:color w:val="auto"/>
          <w:szCs w:val="21"/>
        </w:rPr>
      </w:pPr>
      <w:r>
        <w:rPr>
          <w:rFonts w:hint="eastAsia" w:ascii="宋体" w:hAnsi="宋体"/>
          <w:color w:val="auto"/>
          <w:szCs w:val="21"/>
        </w:rPr>
        <w:t>因承包人未能尽到照管、保护的责任造成损失的，使发包人的费用增加，（或）竣工日期延误的，由承包人按本合同约定承担责任。</w:t>
      </w:r>
    </w:p>
    <w:p w14:paraId="57D653FC">
      <w:pPr>
        <w:pStyle w:val="130"/>
        <w:numPr>
          <w:ilvl w:val="0"/>
          <w:numId w:val="0"/>
        </w:numPr>
        <w:ind w:firstLine="420" w:firstLineChars="200"/>
        <w:rPr>
          <w:color w:val="auto"/>
          <w:sz w:val="21"/>
        </w:rPr>
      </w:pPr>
      <w:r>
        <w:rPr>
          <w:rFonts w:hint="eastAsia"/>
          <w:color w:val="auto"/>
          <w:sz w:val="21"/>
        </w:rPr>
        <w:t>8</w:t>
      </w:r>
      <w:r>
        <w:rPr>
          <w:color w:val="auto"/>
          <w:sz w:val="21"/>
        </w:rPr>
        <w:t xml:space="preserve">.9.5 </w:t>
      </w:r>
      <w:r>
        <w:rPr>
          <w:rFonts w:hint="eastAsia"/>
          <w:color w:val="auto"/>
          <w:sz w:val="21"/>
        </w:rPr>
        <w:t>拖长的暂停</w:t>
      </w:r>
    </w:p>
    <w:p w14:paraId="49F839B7">
      <w:pPr>
        <w:spacing w:line="360" w:lineRule="auto"/>
        <w:ind w:firstLine="420" w:firstLineChars="200"/>
        <w:rPr>
          <w:rFonts w:ascii="宋体" w:hAnsi="宋体"/>
          <w:color w:val="auto"/>
          <w:szCs w:val="21"/>
        </w:rPr>
      </w:pPr>
      <w:r>
        <w:rPr>
          <w:rFonts w:hint="eastAsia" w:ascii="宋体" w:hAnsi="宋体"/>
          <w:color w:val="auto"/>
          <w:szCs w:val="21"/>
        </w:rPr>
        <w:t>根据第</w:t>
      </w:r>
      <w:r>
        <w:rPr>
          <w:rFonts w:ascii="宋体" w:hAnsi="宋体"/>
          <w:color w:val="auto"/>
          <w:szCs w:val="21"/>
        </w:rPr>
        <w:t>8.9.1</w:t>
      </w:r>
      <w:r>
        <w:rPr>
          <w:rFonts w:hint="eastAsia" w:ascii="宋体" w:hAnsi="宋体"/>
          <w:color w:val="auto"/>
          <w:szCs w:val="21"/>
        </w:rPr>
        <w:t>项[由发包人暂停工作]暂停工作持续超过56天的，承包人可向发包人发出要求复工的通知。如果发包人没有在收到书面通知后28天内准许已暂停工作的全部或部分继续工作，承包人有权根据第</w:t>
      </w:r>
      <w:r>
        <w:rPr>
          <w:rFonts w:ascii="宋体" w:hAnsi="宋体"/>
          <w:color w:val="auto"/>
          <w:szCs w:val="21"/>
        </w:rPr>
        <w:t>13条</w:t>
      </w:r>
      <w:r>
        <w:rPr>
          <w:rFonts w:hint="eastAsia" w:ascii="宋体" w:hAnsi="宋体"/>
          <w:color w:val="auto"/>
          <w:szCs w:val="21"/>
        </w:rPr>
        <w:t>[变更与调整]的约定，要求以变更方式调减受暂停影响的部分工程。发包人的暂停超过56天且暂停影响到整个工程的，承包人有权根据第</w:t>
      </w:r>
      <w:r>
        <w:rPr>
          <w:rFonts w:ascii="宋体" w:hAnsi="宋体"/>
          <w:color w:val="auto"/>
          <w:szCs w:val="21"/>
        </w:rPr>
        <w:t>16.2</w:t>
      </w:r>
      <w:r>
        <w:rPr>
          <w:rFonts w:hint="eastAsia" w:ascii="宋体" w:hAnsi="宋体"/>
          <w:color w:val="auto"/>
          <w:szCs w:val="21"/>
        </w:rPr>
        <w:t>款[</w:t>
      </w:r>
      <w:r>
        <w:rPr>
          <w:rFonts w:ascii="宋体" w:hAnsi="宋体"/>
          <w:color w:val="auto"/>
          <w:szCs w:val="21"/>
        </w:rPr>
        <w:t>由承包人解除合同</w:t>
      </w:r>
      <w:r>
        <w:rPr>
          <w:rFonts w:hint="eastAsia" w:ascii="宋体" w:hAnsi="宋体"/>
          <w:color w:val="auto"/>
          <w:szCs w:val="21"/>
        </w:rPr>
        <w:t>]的约定，发出解除合同的通知。</w:t>
      </w:r>
    </w:p>
    <w:p w14:paraId="52AACD52">
      <w:pPr>
        <w:pStyle w:val="4"/>
        <w:spacing w:before="120" w:line="360" w:lineRule="auto"/>
        <w:rPr>
          <w:color w:val="auto"/>
        </w:rPr>
      </w:pPr>
      <w:bookmarkStart w:id="1475" w:name="_Toc154063573"/>
      <w:bookmarkStart w:id="1476" w:name="_Toc54862257"/>
      <w:r>
        <w:rPr>
          <w:rFonts w:hint="eastAsia"/>
          <w:color w:val="auto"/>
        </w:rPr>
        <w:t>8</w:t>
      </w:r>
      <w:r>
        <w:rPr>
          <w:color w:val="auto"/>
        </w:rPr>
        <w:t xml:space="preserve">.10 </w:t>
      </w:r>
      <w:r>
        <w:rPr>
          <w:rFonts w:hint="eastAsia"/>
          <w:color w:val="auto"/>
        </w:rPr>
        <w:t>复工</w:t>
      </w:r>
      <w:bookmarkEnd w:id="1475"/>
      <w:bookmarkEnd w:id="1476"/>
      <w:r>
        <w:rPr>
          <w:rFonts w:hint="eastAsia"/>
          <w:color w:val="auto"/>
        </w:rPr>
        <w:t xml:space="preserve"> </w:t>
      </w:r>
    </w:p>
    <w:p w14:paraId="1893AA90">
      <w:pPr>
        <w:pStyle w:val="130"/>
        <w:numPr>
          <w:ilvl w:val="0"/>
          <w:numId w:val="0"/>
        </w:numPr>
        <w:ind w:firstLine="420" w:firstLineChars="200"/>
        <w:rPr>
          <w:color w:val="auto"/>
          <w:sz w:val="21"/>
        </w:rPr>
      </w:pPr>
      <w:r>
        <w:rPr>
          <w:rFonts w:hint="eastAsia"/>
          <w:color w:val="auto"/>
          <w:sz w:val="21"/>
        </w:rPr>
        <w:t>8</w:t>
      </w:r>
      <w:r>
        <w:rPr>
          <w:color w:val="auto"/>
          <w:sz w:val="21"/>
        </w:rPr>
        <w:t xml:space="preserve">.10.1 </w:t>
      </w:r>
      <w:r>
        <w:rPr>
          <w:rFonts w:hint="eastAsia"/>
          <w:color w:val="auto"/>
          <w:sz w:val="21"/>
        </w:rPr>
        <w:t>收到发包人的复工通知后，承包人应按通知时间复工；发包人通知的复工时间应当给予承包人必要的准备复工时间。</w:t>
      </w:r>
    </w:p>
    <w:p w14:paraId="426058A9">
      <w:pPr>
        <w:pStyle w:val="130"/>
        <w:numPr>
          <w:ilvl w:val="0"/>
          <w:numId w:val="0"/>
        </w:numPr>
        <w:ind w:firstLine="420" w:firstLineChars="200"/>
        <w:rPr>
          <w:color w:val="auto"/>
          <w:sz w:val="21"/>
        </w:rPr>
      </w:pPr>
      <w:r>
        <w:rPr>
          <w:rFonts w:hint="eastAsia"/>
          <w:color w:val="auto"/>
          <w:sz w:val="21"/>
        </w:rPr>
        <w:t>8</w:t>
      </w:r>
      <w:r>
        <w:rPr>
          <w:color w:val="auto"/>
          <w:sz w:val="21"/>
        </w:rPr>
        <w:t xml:space="preserve">.10.2 </w:t>
      </w:r>
      <w:r>
        <w:rPr>
          <w:rFonts w:hint="eastAsia"/>
          <w:color w:val="auto"/>
          <w:sz w:val="21"/>
        </w:rPr>
        <w:t>不论由于何种原因引起暂停工作，双方均可要求对方一同对受暂停影响的工程、工程设备和工程物资进行检查，承包人应将检查结果及需要恢复、修复的内容和估算通知发包人。</w:t>
      </w:r>
    </w:p>
    <w:p w14:paraId="1711094A">
      <w:pPr>
        <w:pStyle w:val="130"/>
        <w:numPr>
          <w:ilvl w:val="0"/>
          <w:numId w:val="0"/>
        </w:numPr>
        <w:ind w:firstLine="420" w:firstLineChars="200"/>
        <w:rPr>
          <w:color w:val="auto"/>
          <w:sz w:val="21"/>
        </w:rPr>
      </w:pPr>
      <w:r>
        <w:rPr>
          <w:rFonts w:hint="eastAsia"/>
          <w:color w:val="auto"/>
          <w:sz w:val="21"/>
        </w:rPr>
        <w:t>8</w:t>
      </w:r>
      <w:r>
        <w:rPr>
          <w:color w:val="auto"/>
          <w:sz w:val="21"/>
        </w:rPr>
        <w:t xml:space="preserve">.10.3 </w:t>
      </w:r>
      <w:r>
        <w:rPr>
          <w:rFonts w:hint="eastAsia"/>
          <w:color w:val="auto"/>
          <w:sz w:val="21"/>
        </w:rPr>
        <w:t>除第</w:t>
      </w:r>
      <w:r>
        <w:rPr>
          <w:color w:val="auto"/>
          <w:sz w:val="21"/>
        </w:rPr>
        <w:t>17条</w:t>
      </w:r>
      <w:r>
        <w:rPr>
          <w:rFonts w:hint="eastAsia"/>
          <w:color w:val="auto"/>
          <w:sz w:val="21"/>
        </w:rPr>
        <w:t>[不可抗力]另有约定外，发生的恢复、修复价款及工期延误的后果由责任方承担。</w:t>
      </w:r>
    </w:p>
    <w:p w14:paraId="7EBDED89">
      <w:pPr>
        <w:pStyle w:val="3"/>
        <w:spacing w:before="48" w:line="360" w:lineRule="auto"/>
        <w:rPr>
          <w:rFonts w:ascii="黑体" w:hAnsi="黑体"/>
          <w:bCs w:val="0"/>
          <w:color w:val="auto"/>
          <w:sz w:val="28"/>
        </w:rPr>
      </w:pPr>
      <w:bookmarkStart w:id="1477" w:name="_Ref4621041"/>
      <w:bookmarkStart w:id="1478" w:name="_Toc154063574"/>
      <w:bookmarkStart w:id="1479" w:name="_Ref4621029"/>
      <w:bookmarkStart w:id="1480" w:name="_Toc54862258"/>
      <w:r>
        <w:rPr>
          <w:rFonts w:hint="eastAsia" w:ascii="黑体" w:hAnsi="黑体"/>
          <w:bCs w:val="0"/>
          <w:color w:val="auto"/>
          <w:sz w:val="28"/>
        </w:rPr>
        <w:t>第9条 竣工试验</w:t>
      </w:r>
      <w:bookmarkEnd w:id="1395"/>
      <w:bookmarkEnd w:id="1477"/>
      <w:bookmarkEnd w:id="1478"/>
      <w:bookmarkEnd w:id="1479"/>
      <w:bookmarkEnd w:id="1480"/>
      <w:r>
        <w:rPr>
          <w:rFonts w:hint="eastAsia" w:ascii="黑体" w:hAnsi="黑体"/>
          <w:bCs w:val="0"/>
          <w:color w:val="auto"/>
          <w:sz w:val="28"/>
        </w:rPr>
        <w:t xml:space="preserve"> </w:t>
      </w:r>
    </w:p>
    <w:p w14:paraId="5E4B991A">
      <w:pPr>
        <w:pStyle w:val="4"/>
        <w:spacing w:before="120" w:line="360" w:lineRule="auto"/>
        <w:rPr>
          <w:color w:val="auto"/>
        </w:rPr>
      </w:pPr>
      <w:bookmarkStart w:id="1481" w:name="_Ref532586248"/>
      <w:bookmarkStart w:id="1482" w:name="_Toc154063575"/>
      <w:bookmarkStart w:id="1483" w:name="_Toc54862259"/>
      <w:bookmarkStart w:id="1484" w:name="_Ref532586251"/>
      <w:r>
        <w:rPr>
          <w:rFonts w:hint="eastAsia"/>
          <w:color w:val="auto"/>
        </w:rPr>
        <w:t>9</w:t>
      </w:r>
      <w:r>
        <w:rPr>
          <w:color w:val="auto"/>
        </w:rPr>
        <w:t xml:space="preserve">.1 </w:t>
      </w:r>
      <w:r>
        <w:rPr>
          <w:rFonts w:hint="eastAsia"/>
          <w:color w:val="auto"/>
        </w:rPr>
        <w:t>竣工试验的义务</w:t>
      </w:r>
      <w:bookmarkEnd w:id="1481"/>
      <w:bookmarkEnd w:id="1482"/>
      <w:bookmarkEnd w:id="1483"/>
      <w:bookmarkEnd w:id="1484"/>
    </w:p>
    <w:p w14:paraId="0EB7B0E8">
      <w:pPr>
        <w:pStyle w:val="130"/>
        <w:numPr>
          <w:ilvl w:val="0"/>
          <w:numId w:val="0"/>
        </w:numPr>
        <w:ind w:firstLine="420" w:firstLineChars="200"/>
        <w:rPr>
          <w:color w:val="auto"/>
          <w:sz w:val="21"/>
        </w:rPr>
      </w:pPr>
      <w:r>
        <w:rPr>
          <w:rFonts w:hint="eastAsia"/>
          <w:color w:val="auto"/>
          <w:sz w:val="21"/>
        </w:rPr>
        <w:t>9</w:t>
      </w:r>
      <w:r>
        <w:rPr>
          <w:color w:val="auto"/>
          <w:sz w:val="21"/>
        </w:rPr>
        <w:t xml:space="preserve">.1.1 </w:t>
      </w:r>
      <w:r>
        <w:rPr>
          <w:rFonts w:hint="eastAsia"/>
          <w:color w:val="auto"/>
          <w:sz w:val="21"/>
        </w:rPr>
        <w:t>承包人完成工程或区段工程进行竣工试验所需的作业，并根据第</w:t>
      </w:r>
      <w:r>
        <w:rPr>
          <w:color w:val="auto"/>
          <w:sz w:val="21"/>
        </w:rPr>
        <w:t>5.4</w:t>
      </w:r>
      <w:r>
        <w:rPr>
          <w:rFonts w:hint="eastAsia"/>
          <w:color w:val="auto"/>
          <w:sz w:val="21"/>
        </w:rPr>
        <w:t>款[竣工文件]和第</w:t>
      </w:r>
      <w:r>
        <w:rPr>
          <w:color w:val="auto"/>
          <w:sz w:val="21"/>
        </w:rPr>
        <w:t>5.5</w:t>
      </w:r>
      <w:r>
        <w:rPr>
          <w:rFonts w:hint="eastAsia"/>
          <w:color w:val="auto"/>
          <w:sz w:val="21"/>
        </w:rPr>
        <w:t>款[操作和维修手册]提交文件后，进行竣工试验。</w:t>
      </w:r>
      <w:bookmarkStart w:id="1485" w:name="_Ref532586608"/>
    </w:p>
    <w:p w14:paraId="54153FAA">
      <w:pPr>
        <w:pStyle w:val="130"/>
        <w:numPr>
          <w:ilvl w:val="0"/>
          <w:numId w:val="0"/>
        </w:numPr>
        <w:ind w:firstLine="420" w:firstLineChars="200"/>
        <w:rPr>
          <w:color w:val="auto"/>
          <w:sz w:val="21"/>
        </w:rPr>
      </w:pPr>
      <w:bookmarkStart w:id="1486" w:name="_Ref11919920"/>
      <w:r>
        <w:rPr>
          <w:rFonts w:hint="eastAsia"/>
          <w:color w:val="auto"/>
          <w:sz w:val="21"/>
        </w:rPr>
        <w:t>9</w:t>
      </w:r>
      <w:r>
        <w:rPr>
          <w:color w:val="auto"/>
          <w:sz w:val="21"/>
        </w:rPr>
        <w:t xml:space="preserve">.1.2 </w:t>
      </w:r>
      <w:r>
        <w:rPr>
          <w:rFonts w:hint="eastAsia"/>
          <w:color w:val="auto"/>
          <w:sz w:val="21"/>
        </w:rPr>
        <w:t>承包人应在进行竣工试验之前，至少提前42天向工程师提交详细的竣工试验计划，该计划应载明竣工试验的内容、地点、拟开展时间和需要发包人提供的资源条件。</w:t>
      </w:r>
      <w:bookmarkEnd w:id="1485"/>
      <w:r>
        <w:rPr>
          <w:rFonts w:hint="eastAsia"/>
          <w:color w:val="auto"/>
          <w:sz w:val="21"/>
        </w:rPr>
        <w:t>工程师应在收到计划后的14天内进行审查，并就该计划不符合合同的部分提出意见，承包人应在收到意见后的14天内自费对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bookmarkEnd w:id="1486"/>
    </w:p>
    <w:p w14:paraId="7A3823F0">
      <w:pPr>
        <w:pStyle w:val="130"/>
        <w:numPr>
          <w:ilvl w:val="0"/>
          <w:numId w:val="0"/>
        </w:numPr>
        <w:ind w:firstLine="420" w:firstLineChars="200"/>
        <w:rPr>
          <w:color w:val="auto"/>
          <w:sz w:val="21"/>
        </w:rPr>
      </w:pPr>
      <w:bookmarkStart w:id="1487" w:name="_Ref532688147"/>
      <w:r>
        <w:rPr>
          <w:rFonts w:hint="eastAsia"/>
          <w:color w:val="auto"/>
          <w:sz w:val="21"/>
        </w:rPr>
        <w:t>9</w:t>
      </w:r>
      <w:r>
        <w:rPr>
          <w:color w:val="auto"/>
          <w:sz w:val="21"/>
        </w:rPr>
        <w:t xml:space="preserve">.1.3 </w:t>
      </w:r>
      <w:r>
        <w:rPr>
          <w:rFonts w:hint="eastAsia"/>
          <w:color w:val="auto"/>
          <w:sz w:val="21"/>
        </w:rPr>
        <w:t>承包人应根据经确认的竣工试验计划以及第</w:t>
      </w:r>
      <w:r>
        <w:rPr>
          <w:color w:val="auto"/>
          <w:sz w:val="21"/>
        </w:rPr>
        <w:t>6.5</w:t>
      </w:r>
      <w:r>
        <w:rPr>
          <w:rFonts w:hint="eastAsia"/>
          <w:color w:val="auto"/>
          <w:sz w:val="21"/>
        </w:rPr>
        <w:t>款[</w:t>
      </w:r>
      <w:r>
        <w:rPr>
          <w:color w:val="auto"/>
          <w:sz w:val="21"/>
        </w:rPr>
        <w:t>由承包人试验</w:t>
      </w:r>
      <w:r>
        <w:rPr>
          <w:rFonts w:hint="eastAsia"/>
          <w:color w:val="auto"/>
          <w:sz w:val="21"/>
        </w:rPr>
        <w:t>和</w:t>
      </w:r>
      <w:r>
        <w:rPr>
          <w:color w:val="auto"/>
          <w:sz w:val="21"/>
        </w:rPr>
        <w:t>检验</w:t>
      </w:r>
      <w:r>
        <w:rPr>
          <w:rFonts w:hint="eastAsia"/>
          <w:color w:val="auto"/>
          <w:sz w:val="21"/>
        </w:rPr>
        <w:t>]进行竣工试验。除《发包人要求》中另有说明外，竣工试验应按以下顺序分阶段进行，即只有在工程或区段工程已通过上一阶段试验的情况下，才可进行下一阶段试验：</w:t>
      </w:r>
      <w:bookmarkEnd w:id="1487"/>
    </w:p>
    <w:p w14:paraId="46293389">
      <w:pPr>
        <w:spacing w:line="360" w:lineRule="auto"/>
        <w:ind w:firstLine="420" w:firstLineChars="200"/>
        <w:rPr>
          <w:rFonts w:ascii="宋体" w:hAnsi="宋体"/>
          <w:color w:val="auto"/>
          <w:szCs w:val="21"/>
        </w:rPr>
      </w:pPr>
      <w:r>
        <w:rPr>
          <w:rFonts w:hint="eastAsia" w:ascii="宋体" w:hAnsi="宋体"/>
          <w:color w:val="auto"/>
          <w:szCs w:val="21"/>
        </w:rPr>
        <w:t>（1）承包人进行启动前试验，包括适当的检查和功能性试验，以证明工程或区段工程的每一部分均能够安全地承受下一阶段试验；</w:t>
      </w:r>
    </w:p>
    <w:p w14:paraId="4BA6828C">
      <w:pPr>
        <w:spacing w:line="360" w:lineRule="auto"/>
        <w:ind w:firstLine="420" w:firstLineChars="200"/>
        <w:rPr>
          <w:rFonts w:ascii="宋体" w:hAnsi="宋体"/>
          <w:color w:val="auto"/>
          <w:szCs w:val="21"/>
        </w:rPr>
      </w:pPr>
      <w:r>
        <w:rPr>
          <w:rFonts w:hint="eastAsia" w:ascii="宋体" w:hAnsi="宋体"/>
          <w:color w:val="auto"/>
          <w:szCs w:val="21"/>
        </w:rPr>
        <w:t>（2）承包人进行启动试验，以证明工程或区段工程能够在所有可利用的操作条件下安全运行，并按照专用合同条件和《发包人要求》中的规定操作；</w:t>
      </w:r>
    </w:p>
    <w:p w14:paraId="76C3C2B3">
      <w:pPr>
        <w:spacing w:line="360" w:lineRule="auto"/>
        <w:ind w:firstLine="420" w:firstLineChars="200"/>
        <w:rPr>
          <w:rFonts w:ascii="宋体" w:hAnsi="宋体"/>
          <w:color w:val="auto"/>
          <w:szCs w:val="21"/>
        </w:rPr>
      </w:pPr>
      <w:r>
        <w:rPr>
          <w:rFonts w:hint="eastAsia" w:ascii="宋体" w:hAnsi="宋体"/>
          <w:color w:val="auto"/>
          <w:szCs w:val="21"/>
        </w:rPr>
        <w:t>（3）承包人进行试运行试验。当工程或区段工程能稳定安全运行时，承包人应通知工程师，可以进行其他竣工试验，包括各种性能测试，以证明工程或区段工程符合《发包人要求》中列明的性能保证指标。</w:t>
      </w:r>
    </w:p>
    <w:p w14:paraId="438492A2">
      <w:pPr>
        <w:spacing w:line="360" w:lineRule="auto"/>
        <w:ind w:firstLine="420" w:firstLineChars="200"/>
        <w:rPr>
          <w:rFonts w:ascii="宋体" w:hAnsi="宋体"/>
          <w:color w:val="auto"/>
          <w:szCs w:val="21"/>
        </w:rPr>
      </w:pPr>
      <w:r>
        <w:rPr>
          <w:rFonts w:hint="eastAsia" w:ascii="宋体" w:hAnsi="宋体"/>
          <w:color w:val="auto"/>
          <w:szCs w:val="21"/>
        </w:rPr>
        <w:t>进行上述试验不应构成第</w:t>
      </w:r>
      <w:r>
        <w:rPr>
          <w:rFonts w:ascii="宋体" w:hAnsi="宋体"/>
          <w:color w:val="auto"/>
          <w:szCs w:val="21"/>
        </w:rPr>
        <w:t>10条</w:t>
      </w:r>
      <w:r>
        <w:rPr>
          <w:rFonts w:hint="eastAsia" w:ascii="宋体" w:hAnsi="宋体"/>
          <w:color w:val="auto"/>
          <w:szCs w:val="21"/>
        </w:rPr>
        <w:t>[验收和工程接收]规定的接收，但试验所产生的任何产品或其他收益均应归属于发包人。</w:t>
      </w:r>
    </w:p>
    <w:p w14:paraId="327749D1">
      <w:pPr>
        <w:pStyle w:val="130"/>
        <w:numPr>
          <w:ilvl w:val="0"/>
          <w:numId w:val="0"/>
        </w:numPr>
        <w:ind w:firstLine="420" w:firstLineChars="200"/>
        <w:rPr>
          <w:color w:val="auto"/>
          <w:sz w:val="21"/>
        </w:rPr>
      </w:pPr>
      <w:r>
        <w:rPr>
          <w:rFonts w:hint="eastAsia"/>
          <w:color w:val="auto"/>
          <w:sz w:val="21"/>
        </w:rPr>
        <w:t>9</w:t>
      </w:r>
      <w:r>
        <w:rPr>
          <w:color w:val="auto"/>
          <w:sz w:val="21"/>
        </w:rPr>
        <w:t xml:space="preserve">.1.4 </w:t>
      </w:r>
      <w:r>
        <w:rPr>
          <w:rFonts w:hint="eastAsia"/>
          <w:color w:val="auto"/>
          <w:sz w:val="21"/>
        </w:rPr>
        <w:t>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p>
    <w:p w14:paraId="29336508">
      <w:pPr>
        <w:pStyle w:val="4"/>
        <w:spacing w:before="120" w:line="360" w:lineRule="auto"/>
        <w:rPr>
          <w:color w:val="auto"/>
        </w:rPr>
      </w:pPr>
      <w:bookmarkStart w:id="1488" w:name="_Toc54862260"/>
      <w:bookmarkStart w:id="1489" w:name="_Toc154063576"/>
      <w:r>
        <w:rPr>
          <w:rFonts w:hint="eastAsia"/>
          <w:color w:val="auto"/>
        </w:rPr>
        <w:t>9</w:t>
      </w:r>
      <w:r>
        <w:rPr>
          <w:color w:val="auto"/>
        </w:rPr>
        <w:t xml:space="preserve">.2 </w:t>
      </w:r>
      <w:r>
        <w:rPr>
          <w:rFonts w:hint="eastAsia"/>
          <w:color w:val="auto"/>
        </w:rPr>
        <w:t>延误的试验</w:t>
      </w:r>
      <w:bookmarkEnd w:id="1488"/>
      <w:bookmarkEnd w:id="1489"/>
    </w:p>
    <w:p w14:paraId="7E839360">
      <w:pPr>
        <w:pStyle w:val="130"/>
        <w:numPr>
          <w:ilvl w:val="0"/>
          <w:numId w:val="0"/>
        </w:numPr>
        <w:ind w:firstLine="420" w:firstLineChars="200"/>
        <w:rPr>
          <w:color w:val="auto"/>
          <w:sz w:val="21"/>
        </w:rPr>
      </w:pPr>
      <w:r>
        <w:rPr>
          <w:rFonts w:hint="eastAsia"/>
          <w:color w:val="auto"/>
          <w:sz w:val="21"/>
        </w:rPr>
        <w:t>9</w:t>
      </w:r>
      <w:r>
        <w:rPr>
          <w:color w:val="auto"/>
          <w:sz w:val="21"/>
        </w:rPr>
        <w:t xml:space="preserve">.2.1 </w:t>
      </w:r>
      <w:r>
        <w:rPr>
          <w:rFonts w:hint="eastAsia"/>
          <w:color w:val="auto"/>
          <w:sz w:val="21"/>
        </w:rPr>
        <w:t>如果承包人已根据第</w:t>
      </w:r>
      <w:r>
        <w:rPr>
          <w:color w:val="auto"/>
          <w:sz w:val="21"/>
        </w:rPr>
        <w:t>9.1</w:t>
      </w:r>
      <w:r>
        <w:rPr>
          <w:rFonts w:hint="eastAsia"/>
          <w:color w:val="auto"/>
          <w:sz w:val="21"/>
        </w:rPr>
        <w:t>款[竣工试验的义务]就可以开始进行各项竣工试验的日期通知工程师，但该等试验因发包人原因被延误14天以上的，发包人应承担由此增加的费用和工期延误，并支付承包人合理利润。同时，承包人应在合理可行的情况下尽快进行竣工试验。</w:t>
      </w:r>
    </w:p>
    <w:p w14:paraId="02057DFA">
      <w:pPr>
        <w:pStyle w:val="130"/>
        <w:numPr>
          <w:ilvl w:val="0"/>
          <w:numId w:val="0"/>
        </w:numPr>
        <w:ind w:firstLine="420" w:firstLineChars="200"/>
        <w:rPr>
          <w:color w:val="auto"/>
          <w:sz w:val="21"/>
        </w:rPr>
      </w:pPr>
      <w:r>
        <w:rPr>
          <w:rFonts w:hint="eastAsia"/>
          <w:color w:val="auto"/>
          <w:sz w:val="21"/>
        </w:rPr>
        <w:t>9</w:t>
      </w:r>
      <w:r>
        <w:rPr>
          <w:color w:val="auto"/>
          <w:sz w:val="21"/>
        </w:rPr>
        <w:t xml:space="preserve">.2.2 </w:t>
      </w:r>
      <w:r>
        <w:rPr>
          <w:rFonts w:hint="eastAsia"/>
          <w:color w:val="auto"/>
          <w:sz w:val="21"/>
        </w:rPr>
        <w:t>承包人无正当理由延误进行竣工试验的，工程师可向其发出通知，要求其在收到通知后的21天内进行该项竣工试验。承包人应在该21天的期限内确定进行试验的日期，并至少提前7天通知工程师。</w:t>
      </w:r>
    </w:p>
    <w:p w14:paraId="0DE6B839">
      <w:pPr>
        <w:pStyle w:val="130"/>
        <w:numPr>
          <w:ilvl w:val="0"/>
          <w:numId w:val="0"/>
        </w:numPr>
        <w:ind w:firstLine="420" w:firstLineChars="200"/>
        <w:rPr>
          <w:color w:val="auto"/>
          <w:sz w:val="21"/>
        </w:rPr>
      </w:pPr>
      <w:r>
        <w:rPr>
          <w:rFonts w:hint="eastAsia"/>
          <w:color w:val="auto"/>
          <w:sz w:val="21"/>
        </w:rPr>
        <w:t>9</w:t>
      </w:r>
      <w:r>
        <w:rPr>
          <w:color w:val="auto"/>
          <w:sz w:val="21"/>
        </w:rPr>
        <w:t xml:space="preserve">.2.3 </w:t>
      </w:r>
      <w:r>
        <w:rPr>
          <w:rFonts w:hint="eastAsia"/>
          <w:color w:val="auto"/>
          <w:sz w:val="21"/>
        </w:rPr>
        <w:t>如果承包人未在该期限内进行竣工试验，则发包人有权自行组织该项竣工试验，由此产生的合理费用由承包人承担。发包人应在试验完成后28天内向承包人发送试验结果。</w:t>
      </w:r>
    </w:p>
    <w:p w14:paraId="31987526">
      <w:pPr>
        <w:pStyle w:val="4"/>
        <w:spacing w:before="120" w:line="360" w:lineRule="auto"/>
        <w:rPr>
          <w:color w:val="auto"/>
        </w:rPr>
      </w:pPr>
      <w:bookmarkStart w:id="1490" w:name="_Ref532594588"/>
      <w:bookmarkStart w:id="1491" w:name="_Toc54862261"/>
      <w:bookmarkStart w:id="1492" w:name="_Toc154063577"/>
      <w:bookmarkStart w:id="1493" w:name="_Ref532594592"/>
      <w:r>
        <w:rPr>
          <w:rFonts w:hint="eastAsia"/>
          <w:color w:val="auto"/>
        </w:rPr>
        <w:t>9</w:t>
      </w:r>
      <w:r>
        <w:rPr>
          <w:color w:val="auto"/>
        </w:rPr>
        <w:t xml:space="preserve">.3 </w:t>
      </w:r>
      <w:r>
        <w:rPr>
          <w:rFonts w:hint="eastAsia"/>
          <w:color w:val="auto"/>
        </w:rPr>
        <w:t>重新试验</w:t>
      </w:r>
      <w:bookmarkEnd w:id="1490"/>
      <w:bookmarkEnd w:id="1491"/>
      <w:bookmarkEnd w:id="1492"/>
      <w:bookmarkEnd w:id="1493"/>
      <w:r>
        <w:rPr>
          <w:rFonts w:hint="eastAsia"/>
          <w:color w:val="auto"/>
        </w:rPr>
        <w:t xml:space="preserve"> </w:t>
      </w:r>
    </w:p>
    <w:p w14:paraId="5F02B490">
      <w:pPr>
        <w:spacing w:line="360" w:lineRule="auto"/>
        <w:ind w:firstLine="420" w:firstLineChars="200"/>
        <w:rPr>
          <w:rFonts w:ascii="宋体" w:hAnsi="宋体"/>
          <w:color w:val="auto"/>
          <w:szCs w:val="21"/>
        </w:rPr>
      </w:pPr>
      <w:r>
        <w:rPr>
          <w:rFonts w:hint="eastAsia" w:ascii="宋体" w:hAnsi="宋体"/>
          <w:color w:val="auto"/>
          <w:szCs w:val="21"/>
        </w:rPr>
        <w:t>如果工程或区段工程未能通过竣工试验，则承包人应根据第</w:t>
      </w:r>
      <w:r>
        <w:rPr>
          <w:rFonts w:ascii="宋体" w:hAnsi="宋体"/>
          <w:color w:val="auto"/>
          <w:szCs w:val="21"/>
        </w:rPr>
        <w:t>6.6</w:t>
      </w:r>
      <w:r>
        <w:rPr>
          <w:rFonts w:hint="eastAsia" w:ascii="宋体" w:hAnsi="宋体"/>
          <w:color w:val="auto"/>
          <w:szCs w:val="21"/>
        </w:rPr>
        <w:t>款[缺陷和修补]修补缺陷。发包人或承包人可要求按相同的条件，重新进行未通过的试验以及相关工程或区段工程的竣工试验。该等重新进行的试验仍应适用本条对于竣工试验的规定。</w:t>
      </w:r>
    </w:p>
    <w:p w14:paraId="6CE96441">
      <w:pPr>
        <w:pStyle w:val="4"/>
        <w:spacing w:before="120" w:line="360" w:lineRule="auto"/>
        <w:rPr>
          <w:color w:val="auto"/>
        </w:rPr>
      </w:pPr>
      <w:bookmarkStart w:id="1494" w:name="_Toc54862262"/>
      <w:bookmarkStart w:id="1495" w:name="_Toc154063578"/>
      <w:bookmarkStart w:id="1496" w:name="_Ref532688226"/>
      <w:bookmarkStart w:id="1497" w:name="_Ref532688221"/>
      <w:r>
        <w:rPr>
          <w:rFonts w:hint="eastAsia"/>
          <w:color w:val="auto"/>
        </w:rPr>
        <w:t>9</w:t>
      </w:r>
      <w:r>
        <w:rPr>
          <w:color w:val="auto"/>
        </w:rPr>
        <w:t xml:space="preserve">.4 </w:t>
      </w:r>
      <w:r>
        <w:rPr>
          <w:rFonts w:hint="eastAsia"/>
          <w:color w:val="auto"/>
        </w:rPr>
        <w:t>未能通过竣工试验</w:t>
      </w:r>
      <w:bookmarkEnd w:id="1494"/>
      <w:bookmarkEnd w:id="1495"/>
      <w:bookmarkEnd w:id="1496"/>
      <w:bookmarkEnd w:id="1497"/>
    </w:p>
    <w:p w14:paraId="155A88CF">
      <w:pPr>
        <w:pStyle w:val="130"/>
        <w:numPr>
          <w:ilvl w:val="0"/>
          <w:numId w:val="0"/>
        </w:numPr>
        <w:ind w:firstLine="420" w:firstLineChars="200"/>
        <w:rPr>
          <w:color w:val="auto"/>
          <w:sz w:val="21"/>
        </w:rPr>
      </w:pPr>
      <w:r>
        <w:rPr>
          <w:rFonts w:hint="eastAsia"/>
          <w:color w:val="auto"/>
          <w:sz w:val="21"/>
        </w:rPr>
        <w:t>9</w:t>
      </w:r>
      <w:r>
        <w:rPr>
          <w:color w:val="auto"/>
          <w:sz w:val="21"/>
        </w:rPr>
        <w:t xml:space="preserve">.4.1 </w:t>
      </w:r>
      <w:r>
        <w:rPr>
          <w:rFonts w:hint="eastAsia"/>
          <w:color w:val="auto"/>
          <w:sz w:val="21"/>
        </w:rPr>
        <w:t>因发包人原因导致竣工试验未能通过的，承包人进行竣工试验的费用由发包人承担，竣工日期相应顺延。</w:t>
      </w:r>
    </w:p>
    <w:p w14:paraId="0E1A59F7">
      <w:pPr>
        <w:pStyle w:val="130"/>
        <w:numPr>
          <w:ilvl w:val="0"/>
          <w:numId w:val="0"/>
        </w:numPr>
        <w:ind w:firstLine="420" w:firstLineChars="200"/>
        <w:rPr>
          <w:color w:val="auto"/>
          <w:sz w:val="21"/>
        </w:rPr>
      </w:pPr>
      <w:r>
        <w:rPr>
          <w:rFonts w:hint="eastAsia"/>
          <w:color w:val="auto"/>
          <w:sz w:val="21"/>
        </w:rPr>
        <w:t>9</w:t>
      </w:r>
      <w:r>
        <w:rPr>
          <w:color w:val="auto"/>
          <w:sz w:val="21"/>
        </w:rPr>
        <w:t xml:space="preserve">.4.2 </w:t>
      </w:r>
      <w:r>
        <w:rPr>
          <w:rFonts w:hint="eastAsia"/>
          <w:color w:val="auto"/>
          <w:sz w:val="21"/>
        </w:rPr>
        <w:t>如果工程或区段工程未能通过根据第</w:t>
      </w:r>
      <w:r>
        <w:rPr>
          <w:color w:val="auto"/>
          <w:sz w:val="21"/>
        </w:rPr>
        <w:t>9.3</w:t>
      </w:r>
      <w:r>
        <w:rPr>
          <w:rFonts w:hint="eastAsia"/>
          <w:color w:val="auto"/>
          <w:sz w:val="21"/>
        </w:rPr>
        <w:t>款[重新试验]重新进行的竣工试验的，则：</w:t>
      </w:r>
    </w:p>
    <w:p w14:paraId="46A9A99B">
      <w:pPr>
        <w:spacing w:line="360" w:lineRule="auto"/>
        <w:ind w:firstLine="420" w:firstLineChars="200"/>
        <w:rPr>
          <w:rFonts w:ascii="宋体" w:hAnsi="宋体"/>
          <w:color w:val="auto"/>
          <w:szCs w:val="21"/>
        </w:rPr>
      </w:pPr>
      <w:r>
        <w:rPr>
          <w:rFonts w:hint="eastAsia" w:ascii="宋体" w:hAnsi="宋体"/>
          <w:color w:val="auto"/>
          <w:szCs w:val="21"/>
        </w:rPr>
        <w:t>（1）发包人有权要求承包人根据第</w:t>
      </w:r>
      <w:r>
        <w:rPr>
          <w:rFonts w:ascii="宋体" w:hAnsi="宋体"/>
          <w:color w:val="auto"/>
          <w:szCs w:val="21"/>
        </w:rPr>
        <w:t>6.6</w:t>
      </w:r>
      <w:r>
        <w:rPr>
          <w:rFonts w:hint="eastAsia" w:ascii="宋体" w:hAnsi="宋体"/>
          <w:color w:val="auto"/>
          <w:szCs w:val="21"/>
        </w:rPr>
        <w:t>款[缺陷和修补]继续进行修补和改正，并根据第</w:t>
      </w:r>
      <w:r>
        <w:rPr>
          <w:rFonts w:ascii="宋体" w:hAnsi="宋体"/>
          <w:color w:val="auto"/>
          <w:szCs w:val="21"/>
        </w:rPr>
        <w:t>9.3</w:t>
      </w:r>
      <w:r>
        <w:rPr>
          <w:rFonts w:hint="eastAsia" w:ascii="宋体" w:hAnsi="宋体"/>
          <w:color w:val="auto"/>
          <w:szCs w:val="21"/>
        </w:rPr>
        <w:t>款[重新试验]再次进行竣工试验；</w:t>
      </w:r>
    </w:p>
    <w:p w14:paraId="57CF84A7">
      <w:pPr>
        <w:spacing w:line="360" w:lineRule="auto"/>
        <w:ind w:firstLine="420" w:firstLineChars="200"/>
        <w:rPr>
          <w:rFonts w:ascii="宋体" w:hAnsi="宋体"/>
          <w:color w:val="auto"/>
          <w:szCs w:val="21"/>
        </w:rPr>
      </w:pPr>
      <w:r>
        <w:rPr>
          <w:rFonts w:hint="eastAsia" w:ascii="宋体" w:hAnsi="宋体"/>
          <w:color w:val="auto"/>
          <w:szCs w:val="21"/>
        </w:rPr>
        <w:t>（2）未能通过竣工试验，对工程或区段工程的操作或使用未产生实质性影响的，发包人有权要求承包人自费修复，承担因此增加的费用和误期损害赔偿责任，并赔偿发包人的相应损失；无法修复时，发包人有权扣减该部分的相应付款，同时视为通过竣工验收；</w:t>
      </w:r>
    </w:p>
    <w:p w14:paraId="6940CEF4">
      <w:pPr>
        <w:spacing w:line="360" w:lineRule="auto"/>
        <w:ind w:firstLine="420" w:firstLineChars="200"/>
        <w:rPr>
          <w:rFonts w:ascii="宋体" w:hAnsi="宋体"/>
          <w:color w:val="auto"/>
          <w:szCs w:val="21"/>
        </w:rPr>
      </w:pPr>
      <w:bookmarkStart w:id="1498" w:name="_Ref4621461"/>
      <w:r>
        <w:rPr>
          <w:rFonts w:hint="eastAsia" w:ascii="宋体" w:hAnsi="宋体"/>
          <w:color w:val="auto"/>
          <w:szCs w:val="21"/>
        </w:rPr>
        <w:t>（3）未能通过竣工试验，使工程或区段工程的任何主要部分丧失了生产、使用功能时，发包人有权指令承包人更换相关部分，承包人应承担因此增加的费用和误期损害赔偿责任，并赔偿发包人的相应损失</w:t>
      </w:r>
      <w:bookmarkEnd w:id="1498"/>
      <w:r>
        <w:rPr>
          <w:rFonts w:hint="eastAsia" w:ascii="宋体" w:hAnsi="宋体"/>
          <w:color w:val="auto"/>
          <w:szCs w:val="21"/>
        </w:rPr>
        <w:t>；</w:t>
      </w:r>
    </w:p>
    <w:p w14:paraId="65ABFD28">
      <w:pPr>
        <w:spacing w:line="360" w:lineRule="auto"/>
        <w:ind w:firstLine="420" w:firstLineChars="200"/>
        <w:rPr>
          <w:rFonts w:ascii="宋体" w:hAnsi="宋体"/>
          <w:color w:val="auto"/>
          <w:szCs w:val="21"/>
        </w:rPr>
      </w:pPr>
      <w:r>
        <w:rPr>
          <w:rFonts w:hint="eastAsia" w:ascii="宋体" w:hAnsi="宋体"/>
          <w:color w:val="auto"/>
          <w:szCs w:val="21"/>
        </w:rPr>
        <w:t>（4）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w:t>
      </w:r>
      <w:r>
        <w:rPr>
          <w:rFonts w:ascii="宋体" w:hAnsi="宋体"/>
          <w:color w:val="auto"/>
          <w:szCs w:val="21"/>
        </w:rPr>
        <w:t>16.1</w:t>
      </w:r>
      <w:r>
        <w:rPr>
          <w:rFonts w:hint="eastAsia" w:ascii="宋体" w:hAnsi="宋体"/>
          <w:color w:val="auto"/>
          <w:szCs w:val="21"/>
        </w:rPr>
        <w:t>款[由发包人解除合同]的约定解除合同。</w:t>
      </w:r>
    </w:p>
    <w:p w14:paraId="41B4295B">
      <w:pPr>
        <w:pStyle w:val="3"/>
        <w:spacing w:before="48" w:line="360" w:lineRule="auto"/>
        <w:rPr>
          <w:rFonts w:ascii="黑体" w:hAnsi="黑体"/>
          <w:bCs w:val="0"/>
          <w:color w:val="auto"/>
          <w:sz w:val="28"/>
        </w:rPr>
      </w:pPr>
      <w:bookmarkStart w:id="1499" w:name="_Ref4624043"/>
      <w:bookmarkStart w:id="1500" w:name="_Toc154063579"/>
      <w:bookmarkStart w:id="1501" w:name="_Toc54862263"/>
      <w:bookmarkStart w:id="1502" w:name="_Ref4618338"/>
      <w:bookmarkStart w:id="1503" w:name="_Ref4618348"/>
      <w:r>
        <w:rPr>
          <w:rFonts w:hint="eastAsia" w:ascii="黑体" w:hAnsi="黑体"/>
          <w:bCs w:val="0"/>
          <w:color w:val="auto"/>
          <w:sz w:val="28"/>
        </w:rPr>
        <w:t>第1</w:t>
      </w:r>
      <w:r>
        <w:rPr>
          <w:rFonts w:ascii="黑体" w:hAnsi="黑体"/>
          <w:bCs w:val="0"/>
          <w:color w:val="auto"/>
          <w:sz w:val="28"/>
        </w:rPr>
        <w:t>0</w:t>
      </w:r>
      <w:r>
        <w:rPr>
          <w:rFonts w:hint="eastAsia" w:ascii="黑体" w:hAnsi="黑体"/>
          <w:bCs w:val="0"/>
          <w:color w:val="auto"/>
          <w:sz w:val="28"/>
        </w:rPr>
        <w:t>条 验收和工程接收</w:t>
      </w:r>
      <w:bookmarkEnd w:id="1499"/>
      <w:bookmarkEnd w:id="1500"/>
      <w:bookmarkEnd w:id="1501"/>
      <w:bookmarkEnd w:id="1502"/>
      <w:bookmarkEnd w:id="1503"/>
    </w:p>
    <w:p w14:paraId="33C04934">
      <w:pPr>
        <w:pStyle w:val="4"/>
        <w:spacing w:before="120" w:line="360" w:lineRule="auto"/>
        <w:rPr>
          <w:color w:val="auto"/>
        </w:rPr>
      </w:pPr>
      <w:bookmarkStart w:id="1504" w:name="_Ref532359152"/>
      <w:bookmarkStart w:id="1505" w:name="_Ref532300804"/>
      <w:bookmarkStart w:id="1506" w:name="_Ref532359143"/>
      <w:bookmarkStart w:id="1507" w:name="_Toc154063580"/>
      <w:bookmarkStart w:id="1508" w:name="_Toc54862264"/>
      <w:bookmarkStart w:id="1509" w:name="_Ref532300801"/>
      <w:bookmarkStart w:id="1510" w:name="_Ref532301202"/>
      <w:bookmarkStart w:id="1511" w:name="_Ref532301199"/>
      <w:r>
        <w:rPr>
          <w:rFonts w:hint="eastAsia"/>
          <w:color w:val="auto"/>
        </w:rPr>
        <w:t>1</w:t>
      </w:r>
      <w:r>
        <w:rPr>
          <w:color w:val="auto"/>
        </w:rPr>
        <w:t xml:space="preserve">0.1 </w:t>
      </w:r>
      <w:r>
        <w:rPr>
          <w:rFonts w:hint="eastAsia"/>
          <w:color w:val="auto"/>
        </w:rPr>
        <w:t>竣工验收</w:t>
      </w:r>
      <w:bookmarkEnd w:id="1504"/>
      <w:bookmarkEnd w:id="1505"/>
      <w:bookmarkEnd w:id="1506"/>
      <w:bookmarkEnd w:id="1507"/>
      <w:bookmarkEnd w:id="1508"/>
      <w:bookmarkEnd w:id="1509"/>
      <w:bookmarkEnd w:id="1510"/>
      <w:bookmarkEnd w:id="1511"/>
    </w:p>
    <w:p w14:paraId="2CA51203">
      <w:pPr>
        <w:pStyle w:val="130"/>
        <w:numPr>
          <w:ilvl w:val="0"/>
          <w:numId w:val="0"/>
        </w:numPr>
        <w:ind w:firstLine="420" w:firstLineChars="200"/>
        <w:rPr>
          <w:color w:val="auto"/>
          <w:sz w:val="21"/>
        </w:rPr>
      </w:pPr>
      <w:bookmarkStart w:id="1512" w:name="_Ref532628356"/>
      <w:r>
        <w:rPr>
          <w:rFonts w:hint="eastAsia"/>
          <w:color w:val="auto"/>
          <w:sz w:val="21"/>
        </w:rPr>
        <w:t>1</w:t>
      </w:r>
      <w:r>
        <w:rPr>
          <w:color w:val="auto"/>
          <w:sz w:val="21"/>
        </w:rPr>
        <w:t xml:space="preserve">0.1.1 </w:t>
      </w:r>
      <w:r>
        <w:rPr>
          <w:rFonts w:hint="eastAsia"/>
          <w:color w:val="auto"/>
          <w:sz w:val="21"/>
        </w:rPr>
        <w:t>竣工验收条件</w:t>
      </w:r>
    </w:p>
    <w:p w14:paraId="29BEB248">
      <w:pPr>
        <w:spacing w:line="360" w:lineRule="auto"/>
        <w:ind w:firstLine="420" w:firstLineChars="200"/>
        <w:rPr>
          <w:rFonts w:ascii="宋体" w:hAnsi="宋体"/>
          <w:color w:val="auto"/>
          <w:szCs w:val="21"/>
        </w:rPr>
      </w:pPr>
      <w:r>
        <w:rPr>
          <w:rFonts w:hint="eastAsia" w:ascii="宋体" w:hAnsi="宋体"/>
          <w:color w:val="auto"/>
          <w:szCs w:val="21"/>
        </w:rPr>
        <w:t>工程具备以下条件的，承包人可以申请竣工验收：</w:t>
      </w:r>
    </w:p>
    <w:p w14:paraId="4B7CA607">
      <w:pPr>
        <w:spacing w:line="360" w:lineRule="auto"/>
        <w:ind w:firstLine="420" w:firstLineChars="200"/>
        <w:rPr>
          <w:rFonts w:ascii="宋体" w:hAnsi="宋体"/>
          <w:color w:val="auto"/>
          <w:szCs w:val="21"/>
        </w:rPr>
      </w:pPr>
      <w:r>
        <w:rPr>
          <w:rFonts w:hint="eastAsia" w:ascii="宋体" w:hAnsi="宋体"/>
          <w:color w:val="auto"/>
          <w:szCs w:val="21"/>
        </w:rPr>
        <w:t>（1） 除因第</w:t>
      </w:r>
      <w:r>
        <w:rPr>
          <w:rFonts w:ascii="宋体" w:hAnsi="宋体"/>
          <w:color w:val="auto"/>
          <w:szCs w:val="21"/>
        </w:rPr>
        <w:t>13条</w:t>
      </w:r>
      <w:r>
        <w:rPr>
          <w:rFonts w:hint="eastAsia" w:ascii="宋体" w:hAnsi="宋体"/>
          <w:color w:val="auto"/>
          <w:szCs w:val="21"/>
        </w:rPr>
        <w:t>[变更与调整]导致的工程量删减和第</w:t>
      </w:r>
      <w:r>
        <w:rPr>
          <w:rFonts w:ascii="宋体" w:hAnsi="宋体"/>
          <w:color w:val="auto"/>
          <w:szCs w:val="21"/>
        </w:rPr>
        <w:t>14.5.3</w:t>
      </w:r>
      <w:r>
        <w:rPr>
          <w:rFonts w:hint="eastAsia" w:ascii="宋体" w:hAnsi="宋体"/>
          <w:color w:val="auto"/>
          <w:szCs w:val="21"/>
        </w:rPr>
        <w:t>项[扫尾工作清单]列入缺陷责任期内完成的扫尾工程和缺陷修补工作外，合同范围内的全部单位/区段工程以及有关工作，包括合同要求的试验和竣工试验均已完成，并符合合同要求；</w:t>
      </w:r>
    </w:p>
    <w:p w14:paraId="41FB3C69">
      <w:pPr>
        <w:spacing w:line="360" w:lineRule="auto"/>
        <w:ind w:firstLine="420" w:firstLineChars="200"/>
        <w:rPr>
          <w:rFonts w:ascii="宋体" w:hAnsi="宋体"/>
          <w:color w:val="auto"/>
          <w:szCs w:val="21"/>
        </w:rPr>
      </w:pPr>
      <w:r>
        <w:rPr>
          <w:rFonts w:hint="eastAsia" w:ascii="宋体" w:hAnsi="宋体"/>
          <w:color w:val="auto"/>
          <w:szCs w:val="21"/>
        </w:rPr>
        <w:t>（2）已按合同约定编制了扫尾工作和缺陷修补工作清单以及相应实施计划；</w:t>
      </w:r>
    </w:p>
    <w:p w14:paraId="2F1BE1E4">
      <w:pPr>
        <w:spacing w:line="360" w:lineRule="auto"/>
        <w:ind w:firstLine="420" w:firstLineChars="200"/>
        <w:rPr>
          <w:rFonts w:ascii="宋体" w:hAnsi="宋体"/>
          <w:color w:val="auto"/>
          <w:szCs w:val="21"/>
        </w:rPr>
      </w:pPr>
      <w:r>
        <w:rPr>
          <w:rFonts w:hint="eastAsia" w:ascii="宋体" w:hAnsi="宋体"/>
          <w:color w:val="auto"/>
          <w:szCs w:val="21"/>
        </w:rPr>
        <w:t>（3）已按合同约定的内容和份数备齐竣工资料；</w:t>
      </w:r>
    </w:p>
    <w:p w14:paraId="112E4EBC">
      <w:pPr>
        <w:spacing w:line="360" w:lineRule="auto"/>
        <w:ind w:firstLine="420" w:firstLineChars="200"/>
        <w:rPr>
          <w:rFonts w:ascii="宋体" w:hAnsi="宋体"/>
          <w:color w:val="auto"/>
          <w:szCs w:val="21"/>
        </w:rPr>
      </w:pPr>
      <w:r>
        <w:rPr>
          <w:rFonts w:hint="eastAsia" w:ascii="宋体" w:hAnsi="宋体"/>
          <w:color w:val="auto"/>
          <w:szCs w:val="21"/>
        </w:rPr>
        <w:t>（4）合同约定要求在竣工验收前应完成的其他工作。</w:t>
      </w:r>
    </w:p>
    <w:bookmarkEnd w:id="1512"/>
    <w:p w14:paraId="3C16D014">
      <w:pPr>
        <w:pStyle w:val="130"/>
        <w:numPr>
          <w:ilvl w:val="0"/>
          <w:numId w:val="0"/>
        </w:numPr>
        <w:ind w:firstLine="420" w:firstLineChars="200"/>
        <w:rPr>
          <w:color w:val="auto"/>
          <w:sz w:val="21"/>
        </w:rPr>
      </w:pPr>
      <w:bookmarkStart w:id="1513" w:name="_Ref4429424"/>
      <w:bookmarkStart w:id="1514" w:name="_Hlk51506601"/>
      <w:r>
        <w:rPr>
          <w:rFonts w:hint="eastAsia"/>
          <w:color w:val="auto"/>
          <w:sz w:val="21"/>
        </w:rPr>
        <w:t>1</w:t>
      </w:r>
      <w:r>
        <w:rPr>
          <w:color w:val="auto"/>
          <w:sz w:val="21"/>
        </w:rPr>
        <w:t xml:space="preserve">0.1.2 </w:t>
      </w:r>
      <w:r>
        <w:rPr>
          <w:rFonts w:hint="eastAsia"/>
          <w:color w:val="auto"/>
          <w:sz w:val="21"/>
        </w:rPr>
        <w:t>竣工验收程序</w:t>
      </w:r>
      <w:bookmarkEnd w:id="1513"/>
    </w:p>
    <w:bookmarkEnd w:id="1514"/>
    <w:p w14:paraId="665ED8D2">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除专用合同条件另有约定外，承包人申请竣工验收的，应当按照以下程序进行：</w:t>
      </w:r>
    </w:p>
    <w:p w14:paraId="4D40284C">
      <w:pPr>
        <w:spacing w:line="360" w:lineRule="auto"/>
        <w:ind w:firstLine="420" w:firstLineChars="200"/>
        <w:rPr>
          <w:rFonts w:ascii="宋体" w:hAnsi="宋体"/>
          <w:color w:val="auto"/>
          <w:szCs w:val="21"/>
        </w:rPr>
      </w:pPr>
      <w:r>
        <w:rPr>
          <w:rFonts w:hint="eastAsia" w:ascii="宋体" w:hAnsi="宋体"/>
          <w:color w:val="auto"/>
          <w:szCs w:val="21"/>
        </w:rPr>
        <w:t>（1）承包人向工程师报送竣工验收申请报告，工程师应在收到竣工验收申请报告后14天内完成审查并报送发包人。工程师审查后认为尚不具备竣工验收条件的，应在收到竣工验收申请报告后的</w:t>
      </w:r>
      <w:r>
        <w:rPr>
          <w:rFonts w:ascii="宋体" w:hAnsi="宋体"/>
          <w:color w:val="auto"/>
          <w:szCs w:val="21"/>
        </w:rPr>
        <w:t>14</w:t>
      </w:r>
      <w:r>
        <w:rPr>
          <w:rFonts w:hint="eastAsia" w:ascii="宋体" w:hAnsi="宋体"/>
          <w:color w:val="auto"/>
          <w:szCs w:val="21"/>
        </w:rPr>
        <w:t>天内通知承包人，指出在颁发接收证书前承包人还需进行的工作内容。承包人完成工程师通知的全部工作内容后，应再次提交竣工验收申请报告，直至工程师同意为止。</w:t>
      </w:r>
    </w:p>
    <w:p w14:paraId="4B807AD2">
      <w:pPr>
        <w:spacing w:line="360" w:lineRule="auto"/>
        <w:ind w:firstLine="420" w:firstLineChars="200"/>
        <w:rPr>
          <w:rFonts w:ascii="宋体" w:hAnsi="宋体"/>
          <w:color w:val="auto"/>
          <w:szCs w:val="21"/>
        </w:rPr>
      </w:pPr>
      <w:r>
        <w:rPr>
          <w:rFonts w:hint="eastAsia" w:ascii="宋体" w:hAnsi="宋体"/>
          <w:color w:val="auto"/>
          <w:szCs w:val="21"/>
        </w:rPr>
        <w:t>（2）工程师同意承包人提交的竣工验收申请报告的，或工程师收到竣工验收申请报告后</w:t>
      </w:r>
      <w:r>
        <w:rPr>
          <w:rFonts w:ascii="宋体" w:hAnsi="宋体"/>
          <w:color w:val="auto"/>
          <w:szCs w:val="21"/>
        </w:rPr>
        <w:t>14</w:t>
      </w:r>
      <w:r>
        <w:rPr>
          <w:rFonts w:hint="eastAsia" w:ascii="宋体" w:hAnsi="宋体"/>
          <w:color w:val="auto"/>
          <w:szCs w:val="21"/>
        </w:rPr>
        <w:t>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p>
    <w:p w14:paraId="594DE53A">
      <w:pPr>
        <w:spacing w:line="360" w:lineRule="auto"/>
        <w:ind w:firstLine="420" w:firstLineChars="200"/>
        <w:rPr>
          <w:rFonts w:ascii="宋体" w:hAnsi="宋体"/>
          <w:color w:val="auto"/>
          <w:szCs w:val="21"/>
        </w:rPr>
      </w:pPr>
      <w:r>
        <w:rPr>
          <w:rFonts w:hint="eastAsia" w:ascii="宋体" w:hAnsi="宋体"/>
          <w:color w:val="auto"/>
          <w:szCs w:val="21"/>
        </w:rPr>
        <w:t>（3）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48F1B6A1">
      <w:pPr>
        <w:spacing w:line="360" w:lineRule="auto"/>
        <w:ind w:firstLine="420" w:firstLineChars="200"/>
        <w:rPr>
          <w:rFonts w:ascii="宋体" w:hAnsi="宋体"/>
          <w:color w:val="auto"/>
          <w:szCs w:val="21"/>
        </w:rPr>
      </w:pPr>
      <w:bookmarkStart w:id="1515" w:name="_Hlk51506640"/>
      <w:r>
        <w:rPr>
          <w:rFonts w:hint="eastAsia" w:ascii="宋体" w:hAnsi="宋体"/>
          <w:color w:val="auto"/>
          <w:szCs w:val="21"/>
        </w:rPr>
        <w:t>（4）因发包人原因，未在工程师收到承包人竣工验收申请报告之日起</w:t>
      </w:r>
      <w:r>
        <w:rPr>
          <w:rFonts w:ascii="宋体" w:hAnsi="宋体"/>
          <w:color w:val="auto"/>
          <w:szCs w:val="21"/>
        </w:rPr>
        <w:t>42</w:t>
      </w:r>
      <w:r>
        <w:rPr>
          <w:rFonts w:hint="eastAsia" w:ascii="宋体" w:hAnsi="宋体"/>
          <w:color w:val="auto"/>
          <w:szCs w:val="21"/>
        </w:rPr>
        <w:t>天内完成竣工验收的，以承包人提交竣工验收申请报告之日</w:t>
      </w:r>
      <w:r>
        <w:rPr>
          <w:rFonts w:ascii="宋体" w:hAnsi="宋体"/>
          <w:color w:val="auto"/>
          <w:szCs w:val="21"/>
        </w:rPr>
        <w:t>作为工程实际竣工日期</w:t>
      </w:r>
      <w:r>
        <w:rPr>
          <w:rFonts w:hint="eastAsia" w:ascii="宋体" w:hAnsi="宋体"/>
          <w:color w:val="auto"/>
          <w:szCs w:val="21"/>
        </w:rPr>
        <w:t>。</w:t>
      </w:r>
    </w:p>
    <w:bookmarkEnd w:id="1515"/>
    <w:p w14:paraId="46062E45">
      <w:pPr>
        <w:spacing w:line="360" w:lineRule="auto"/>
        <w:ind w:firstLine="420" w:firstLineChars="200"/>
        <w:rPr>
          <w:rFonts w:ascii="宋体" w:hAnsi="宋体"/>
          <w:color w:val="auto"/>
          <w:szCs w:val="21"/>
        </w:rPr>
      </w:pPr>
      <w:r>
        <w:rPr>
          <w:rFonts w:hint="eastAsia" w:ascii="宋体" w:hAnsi="宋体"/>
          <w:color w:val="auto"/>
          <w:szCs w:val="21"/>
        </w:rPr>
        <w:t>（5）工程未经竣工验收，发包人擅自使用的，以转移占有工程之日为实际竣工日期。</w:t>
      </w:r>
    </w:p>
    <w:p w14:paraId="3BEFA2A9">
      <w:pPr>
        <w:spacing w:line="360" w:lineRule="auto"/>
        <w:ind w:firstLine="600"/>
        <w:rPr>
          <w:rFonts w:ascii="宋体" w:hAnsi="宋体"/>
          <w:color w:val="auto"/>
          <w:szCs w:val="21"/>
        </w:rPr>
      </w:pPr>
      <w:r>
        <w:rPr>
          <w:rFonts w:hint="eastAsia" w:ascii="宋体" w:hAnsi="宋体"/>
          <w:color w:val="auto"/>
          <w:szCs w:val="21"/>
        </w:rPr>
        <w:t>除专用合同条件另有约定外，发包人不按照本项和第</w:t>
      </w:r>
      <w:r>
        <w:rPr>
          <w:rFonts w:ascii="宋体" w:hAnsi="宋体"/>
          <w:color w:val="auto"/>
          <w:szCs w:val="21"/>
        </w:rPr>
        <w:t>10.4</w:t>
      </w:r>
      <w:r>
        <w:rPr>
          <w:rFonts w:hint="eastAsia" w:ascii="宋体" w:hAnsi="宋体"/>
          <w:color w:val="auto"/>
          <w:szCs w:val="21"/>
        </w:rPr>
        <w:t>款</w:t>
      </w:r>
      <w:r>
        <w:rPr>
          <w:rFonts w:ascii="宋体" w:hAnsi="宋体"/>
          <w:color w:val="auto"/>
          <w:szCs w:val="21"/>
        </w:rPr>
        <w:t>[接收证书]</w:t>
      </w:r>
      <w:r>
        <w:rPr>
          <w:rFonts w:hint="eastAsia" w:ascii="宋体" w:hAnsi="宋体"/>
          <w:color w:val="auto"/>
          <w:szCs w:val="21"/>
        </w:rPr>
        <w:t>约定组织竣工验收、颁发工程接收证书的，每逾期一天，应以签约合同价为基数，按照贷款市场报价利率（LPR）支付违约金。</w:t>
      </w:r>
    </w:p>
    <w:p w14:paraId="6549FE6F">
      <w:pPr>
        <w:pStyle w:val="4"/>
        <w:spacing w:before="120" w:line="360" w:lineRule="auto"/>
        <w:rPr>
          <w:color w:val="auto"/>
        </w:rPr>
      </w:pPr>
      <w:bookmarkStart w:id="1516" w:name="_Toc54862265"/>
      <w:bookmarkStart w:id="1517" w:name="_Ref532301210"/>
      <w:bookmarkStart w:id="1518" w:name="_Ref532301213"/>
      <w:bookmarkStart w:id="1519" w:name="_Toc154063581"/>
      <w:r>
        <w:rPr>
          <w:rFonts w:hint="eastAsia"/>
          <w:color w:val="auto"/>
        </w:rPr>
        <w:t>1</w:t>
      </w:r>
      <w:r>
        <w:rPr>
          <w:color w:val="auto"/>
        </w:rPr>
        <w:t xml:space="preserve">0.2 </w:t>
      </w:r>
      <w:r>
        <w:rPr>
          <w:rFonts w:hint="eastAsia"/>
          <w:color w:val="auto"/>
        </w:rPr>
        <w:t>单位/区段工程的验收</w:t>
      </w:r>
      <w:bookmarkEnd w:id="1516"/>
      <w:bookmarkEnd w:id="1517"/>
      <w:bookmarkEnd w:id="1518"/>
      <w:bookmarkEnd w:id="1519"/>
    </w:p>
    <w:p w14:paraId="1897E750">
      <w:pPr>
        <w:pStyle w:val="130"/>
        <w:numPr>
          <w:ilvl w:val="0"/>
          <w:numId w:val="0"/>
        </w:numPr>
        <w:ind w:firstLine="420" w:firstLineChars="200"/>
        <w:rPr>
          <w:color w:val="auto"/>
          <w:sz w:val="21"/>
        </w:rPr>
      </w:pPr>
      <w:r>
        <w:rPr>
          <w:rFonts w:hint="eastAsia"/>
          <w:color w:val="auto"/>
          <w:sz w:val="21"/>
        </w:rPr>
        <w:t>1</w:t>
      </w:r>
      <w:r>
        <w:rPr>
          <w:color w:val="auto"/>
          <w:sz w:val="21"/>
        </w:rPr>
        <w:t xml:space="preserve">0.2.1 </w:t>
      </w:r>
      <w:r>
        <w:rPr>
          <w:rFonts w:hint="eastAsia"/>
          <w:color w:val="auto"/>
          <w:sz w:val="21"/>
        </w:rPr>
        <w:t>发包人根据项目进度计划安排，在全部工程竣工前需要使用已经竣工的单位/区段工程时，或承包人提出经发包人同意时，可进行单位/区段工程验收。验收的程序可参照第</w:t>
      </w:r>
      <w:r>
        <w:rPr>
          <w:color w:val="auto"/>
          <w:sz w:val="21"/>
        </w:rPr>
        <w:t>10.1</w:t>
      </w:r>
      <w:r>
        <w:rPr>
          <w:rFonts w:hint="eastAsia"/>
          <w:color w:val="auto"/>
          <w:sz w:val="21"/>
        </w:rPr>
        <w:t>款[竣工验收]的约定进行。验收合格后，由工程师向承包人出具经发包人签认的单位/区段工程验收证书。单位/区段工程的验收成果和结论作为全部工程竣工验收申请报告的附件。</w:t>
      </w:r>
    </w:p>
    <w:p w14:paraId="39ACED4B">
      <w:pPr>
        <w:pStyle w:val="130"/>
        <w:numPr>
          <w:ilvl w:val="0"/>
          <w:numId w:val="0"/>
        </w:numPr>
        <w:ind w:firstLine="420" w:firstLineChars="200"/>
        <w:rPr>
          <w:color w:val="auto"/>
          <w:sz w:val="21"/>
        </w:rPr>
      </w:pPr>
      <w:r>
        <w:rPr>
          <w:rFonts w:hint="eastAsia"/>
          <w:color w:val="auto"/>
          <w:sz w:val="21"/>
        </w:rPr>
        <w:t>1</w:t>
      </w:r>
      <w:r>
        <w:rPr>
          <w:color w:val="auto"/>
          <w:sz w:val="21"/>
        </w:rPr>
        <w:t xml:space="preserve">0.2.2 </w:t>
      </w:r>
      <w:r>
        <w:rPr>
          <w:rFonts w:hint="eastAsia"/>
          <w:color w:val="auto"/>
          <w:sz w:val="21"/>
        </w:rPr>
        <w:t>发包人在全部工程竣工前，使用已接收的单位/区段工程导致承包人费用增加的，发包人应承担由此增加的费用和（或）工期延误，并支付承包人合理利润。</w:t>
      </w:r>
    </w:p>
    <w:p w14:paraId="2447BDB1">
      <w:pPr>
        <w:pStyle w:val="4"/>
        <w:spacing w:before="120" w:line="360" w:lineRule="auto"/>
        <w:rPr>
          <w:color w:val="auto"/>
        </w:rPr>
      </w:pPr>
      <w:bookmarkStart w:id="1520" w:name="_Toc54862266"/>
      <w:bookmarkStart w:id="1521" w:name="_Toc154063582"/>
      <w:bookmarkStart w:id="1522" w:name="_Ref4429473"/>
      <w:bookmarkStart w:id="1523" w:name="_Ref532688351"/>
      <w:bookmarkStart w:id="1524" w:name="_Ref532688354"/>
      <w:r>
        <w:rPr>
          <w:rFonts w:hint="eastAsia"/>
          <w:color w:val="auto"/>
        </w:rPr>
        <w:t>1</w:t>
      </w:r>
      <w:r>
        <w:rPr>
          <w:color w:val="auto"/>
        </w:rPr>
        <w:t xml:space="preserve">0.3 </w:t>
      </w:r>
      <w:r>
        <w:rPr>
          <w:rFonts w:hint="eastAsia"/>
          <w:color w:val="auto"/>
        </w:rPr>
        <w:t>工程的接收</w:t>
      </w:r>
      <w:bookmarkEnd w:id="1520"/>
      <w:bookmarkEnd w:id="1521"/>
    </w:p>
    <w:p w14:paraId="41FE954B">
      <w:pPr>
        <w:pStyle w:val="130"/>
        <w:numPr>
          <w:ilvl w:val="0"/>
          <w:numId w:val="0"/>
        </w:numPr>
        <w:ind w:firstLine="420" w:firstLineChars="200"/>
        <w:rPr>
          <w:color w:val="auto"/>
          <w:sz w:val="21"/>
        </w:rPr>
      </w:pPr>
      <w:r>
        <w:rPr>
          <w:rFonts w:hint="eastAsia"/>
          <w:color w:val="auto"/>
          <w:sz w:val="21"/>
        </w:rPr>
        <w:t>1</w:t>
      </w:r>
      <w:r>
        <w:rPr>
          <w:color w:val="auto"/>
          <w:sz w:val="21"/>
        </w:rPr>
        <w:t xml:space="preserve">0.3.1 </w:t>
      </w:r>
      <w:r>
        <w:rPr>
          <w:rFonts w:hint="eastAsia"/>
          <w:color w:val="auto"/>
          <w:sz w:val="21"/>
        </w:rPr>
        <w:t>根据工程项目的具体情况和特点，可按工程或单位/区段工程进行接收，并在专用合同条件约定接收的先后顺序、时间安排和其他要求。</w:t>
      </w:r>
    </w:p>
    <w:p w14:paraId="58506C6A">
      <w:pPr>
        <w:pStyle w:val="130"/>
        <w:numPr>
          <w:ilvl w:val="0"/>
          <w:numId w:val="0"/>
        </w:numPr>
        <w:ind w:firstLine="420" w:firstLineChars="200"/>
        <w:rPr>
          <w:color w:val="auto"/>
          <w:sz w:val="21"/>
        </w:rPr>
      </w:pPr>
      <w:r>
        <w:rPr>
          <w:rFonts w:hint="eastAsia"/>
          <w:color w:val="auto"/>
          <w:sz w:val="21"/>
        </w:rPr>
        <w:t>1</w:t>
      </w:r>
      <w:r>
        <w:rPr>
          <w:color w:val="auto"/>
          <w:sz w:val="21"/>
        </w:rPr>
        <w:t xml:space="preserve">0.3.2 </w:t>
      </w:r>
      <w:r>
        <w:rPr>
          <w:rFonts w:hint="eastAsia"/>
          <w:color w:val="auto"/>
          <w:sz w:val="21"/>
        </w:rPr>
        <w:t>除按本条约定已经提交的资料外，接收工程时承包人需提交竣工验收资料的类别、内容、份数和提交时间，在专用合同条件中约定。</w:t>
      </w:r>
    </w:p>
    <w:p w14:paraId="765FEC69">
      <w:pPr>
        <w:pStyle w:val="130"/>
        <w:numPr>
          <w:ilvl w:val="0"/>
          <w:numId w:val="0"/>
        </w:numPr>
        <w:ind w:firstLine="420" w:firstLineChars="200"/>
        <w:rPr>
          <w:color w:val="auto"/>
          <w:sz w:val="21"/>
        </w:rPr>
      </w:pPr>
      <w:r>
        <w:rPr>
          <w:rFonts w:hint="eastAsia"/>
          <w:color w:val="auto"/>
          <w:sz w:val="21"/>
        </w:rPr>
        <w:t>1</w:t>
      </w:r>
      <w:r>
        <w:rPr>
          <w:color w:val="auto"/>
          <w:sz w:val="21"/>
        </w:rPr>
        <w:t xml:space="preserve">0.3.3 </w:t>
      </w:r>
      <w:r>
        <w:rPr>
          <w:rFonts w:hint="eastAsia"/>
          <w:color w:val="auto"/>
          <w:sz w:val="21"/>
        </w:rPr>
        <w:t>发包人无正当理由不接收工程的，发包人自应当接收工程之日起，承担工程照管、成品保护、保管等与工程有关的各项费用，合同当事人可以在专用合同条件中另行约定发包人逾期接收工程的违约责任。</w:t>
      </w:r>
    </w:p>
    <w:p w14:paraId="675EFA84">
      <w:pPr>
        <w:pStyle w:val="130"/>
        <w:numPr>
          <w:ilvl w:val="0"/>
          <w:numId w:val="0"/>
        </w:numPr>
        <w:ind w:firstLine="420" w:firstLineChars="200"/>
        <w:rPr>
          <w:color w:val="auto"/>
          <w:sz w:val="21"/>
        </w:rPr>
      </w:pPr>
      <w:r>
        <w:rPr>
          <w:rFonts w:hint="eastAsia"/>
          <w:color w:val="auto"/>
          <w:sz w:val="21"/>
        </w:rPr>
        <w:t>1</w:t>
      </w:r>
      <w:r>
        <w:rPr>
          <w:color w:val="auto"/>
          <w:sz w:val="21"/>
        </w:rPr>
        <w:t xml:space="preserve">0.3.4 </w:t>
      </w:r>
      <w:r>
        <w:rPr>
          <w:rFonts w:hint="eastAsia"/>
          <w:color w:val="auto"/>
          <w:sz w:val="21"/>
        </w:rPr>
        <w:t>承包人无正当理由不移交工程的，承包人应承担工程照管、成品保护、保管等与工程有关的各项费用，合同当事人可以在专用合同条件中另行约定承包人无正当理由不移交工程的违约责任。</w:t>
      </w:r>
    </w:p>
    <w:p w14:paraId="3D49B77D">
      <w:pPr>
        <w:pStyle w:val="4"/>
        <w:spacing w:before="120" w:line="360" w:lineRule="auto"/>
        <w:rPr>
          <w:color w:val="auto"/>
        </w:rPr>
      </w:pPr>
      <w:bookmarkStart w:id="1525" w:name="_Toc154063583"/>
      <w:bookmarkStart w:id="1526" w:name="_Toc54862267"/>
      <w:r>
        <w:rPr>
          <w:rFonts w:hint="eastAsia"/>
          <w:color w:val="auto"/>
        </w:rPr>
        <w:t>1</w:t>
      </w:r>
      <w:r>
        <w:rPr>
          <w:color w:val="auto"/>
        </w:rPr>
        <w:t xml:space="preserve">0.4 </w:t>
      </w:r>
      <w:r>
        <w:rPr>
          <w:rFonts w:hint="eastAsia"/>
          <w:color w:val="auto"/>
        </w:rPr>
        <w:t>接收证书</w:t>
      </w:r>
      <w:bookmarkEnd w:id="1522"/>
      <w:bookmarkEnd w:id="1525"/>
      <w:bookmarkEnd w:id="1526"/>
    </w:p>
    <w:p w14:paraId="5BB480DD">
      <w:pPr>
        <w:pStyle w:val="130"/>
        <w:numPr>
          <w:ilvl w:val="0"/>
          <w:numId w:val="0"/>
        </w:numPr>
        <w:ind w:firstLine="420" w:firstLineChars="200"/>
        <w:rPr>
          <w:color w:val="auto"/>
          <w:sz w:val="21"/>
        </w:rPr>
      </w:pPr>
      <w:bookmarkStart w:id="1527" w:name="_Ref4429542"/>
      <w:r>
        <w:rPr>
          <w:rFonts w:hint="eastAsia"/>
          <w:color w:val="auto"/>
          <w:sz w:val="21"/>
        </w:rPr>
        <w:t>1</w:t>
      </w:r>
      <w:r>
        <w:rPr>
          <w:color w:val="auto"/>
          <w:sz w:val="21"/>
        </w:rPr>
        <w:t xml:space="preserve">0.4.1 </w:t>
      </w:r>
      <w:r>
        <w:rPr>
          <w:rFonts w:hint="eastAsia"/>
          <w:color w:val="auto"/>
          <w:sz w:val="21"/>
        </w:rPr>
        <w:t>除专用合同条件另有约定外，承包人应在竣工验收合格后向发包人提交第</w:t>
      </w:r>
      <w:r>
        <w:rPr>
          <w:color w:val="auto"/>
          <w:sz w:val="21"/>
        </w:rPr>
        <w:t>14.6</w:t>
      </w:r>
      <w:r>
        <w:rPr>
          <w:rFonts w:hint="eastAsia"/>
          <w:color w:val="auto"/>
          <w:sz w:val="21"/>
        </w:rPr>
        <w:t>款[质量保证金]约定的质量保证金，发包人应在竣工验收合格且工程具备接收条件后的14天内向承包人颁发工程接收证书，但承包人未提交质量保证金的，发包人有权拒绝颁发。发包人拒绝颁发工程接收证书的，应向承包人发出通知，说明理由并指出在颁发接收证书前承包人需要做的工作，需要修补的缺陷和承包人需要提供的文件。</w:t>
      </w:r>
      <w:bookmarkEnd w:id="1527"/>
    </w:p>
    <w:p w14:paraId="455FA9C0">
      <w:pPr>
        <w:pStyle w:val="130"/>
        <w:numPr>
          <w:ilvl w:val="0"/>
          <w:numId w:val="0"/>
        </w:numPr>
        <w:ind w:firstLine="420" w:firstLineChars="200"/>
        <w:rPr>
          <w:color w:val="auto"/>
          <w:sz w:val="21"/>
        </w:rPr>
      </w:pPr>
      <w:r>
        <w:rPr>
          <w:rFonts w:hint="eastAsia"/>
          <w:color w:val="auto"/>
          <w:sz w:val="21"/>
        </w:rPr>
        <w:t>1</w:t>
      </w:r>
      <w:r>
        <w:rPr>
          <w:color w:val="auto"/>
          <w:sz w:val="21"/>
        </w:rPr>
        <w:t xml:space="preserve">0.4.2 </w:t>
      </w:r>
      <w:r>
        <w:rPr>
          <w:rFonts w:hint="eastAsia"/>
          <w:color w:val="auto"/>
          <w:sz w:val="21"/>
        </w:rPr>
        <w:t>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p>
    <w:p w14:paraId="20DEA4A8">
      <w:pPr>
        <w:pStyle w:val="130"/>
        <w:numPr>
          <w:ilvl w:val="0"/>
          <w:numId w:val="0"/>
        </w:numPr>
        <w:ind w:firstLine="420" w:firstLineChars="200"/>
        <w:rPr>
          <w:color w:val="auto"/>
          <w:sz w:val="21"/>
        </w:rPr>
      </w:pPr>
      <w:r>
        <w:rPr>
          <w:rFonts w:hint="eastAsia"/>
          <w:color w:val="auto"/>
          <w:sz w:val="21"/>
        </w:rPr>
        <w:t>1</w:t>
      </w:r>
      <w:r>
        <w:rPr>
          <w:color w:val="auto"/>
          <w:sz w:val="21"/>
        </w:rPr>
        <w:t xml:space="preserve">0.4.3 </w:t>
      </w:r>
      <w:r>
        <w:rPr>
          <w:rFonts w:hint="eastAsia"/>
          <w:color w:val="auto"/>
          <w:sz w:val="21"/>
        </w:rPr>
        <w:t>竣工验收合格而发包人无正当理由逾期不颁发工程接收证书的，自验收合格后第15天起视为已颁发工程接收证书。</w:t>
      </w:r>
    </w:p>
    <w:p w14:paraId="4701D7A5">
      <w:pPr>
        <w:pStyle w:val="130"/>
        <w:numPr>
          <w:ilvl w:val="0"/>
          <w:numId w:val="0"/>
        </w:numPr>
        <w:ind w:firstLine="420" w:firstLineChars="200"/>
        <w:rPr>
          <w:color w:val="auto"/>
          <w:sz w:val="21"/>
        </w:rPr>
      </w:pPr>
      <w:r>
        <w:rPr>
          <w:rFonts w:hint="eastAsia"/>
          <w:color w:val="auto"/>
          <w:sz w:val="21"/>
        </w:rPr>
        <w:t>1</w:t>
      </w:r>
      <w:r>
        <w:rPr>
          <w:color w:val="auto"/>
          <w:sz w:val="21"/>
        </w:rPr>
        <w:t xml:space="preserve">0.4.4 </w:t>
      </w:r>
      <w:r>
        <w:rPr>
          <w:rFonts w:hint="eastAsia"/>
          <w:color w:val="auto"/>
          <w:sz w:val="21"/>
        </w:rPr>
        <w:t>工程未经验收或验收不合格，发包人擅自使用的，应在转移占有工程后7天内向承包人颁发工程接收证书；发包人无正当理由逾期不颁发工程接收证书的，自转移占有后第15天起视为已颁发工程接收证书。</w:t>
      </w:r>
    </w:p>
    <w:p w14:paraId="5A1F3D88">
      <w:pPr>
        <w:pStyle w:val="130"/>
        <w:numPr>
          <w:ilvl w:val="0"/>
          <w:numId w:val="0"/>
        </w:numPr>
        <w:ind w:firstLine="420" w:firstLineChars="200"/>
        <w:rPr>
          <w:color w:val="auto"/>
          <w:sz w:val="21"/>
        </w:rPr>
      </w:pPr>
      <w:r>
        <w:rPr>
          <w:rFonts w:hint="eastAsia"/>
          <w:color w:val="auto"/>
          <w:sz w:val="21"/>
        </w:rPr>
        <w:t>1</w:t>
      </w:r>
      <w:r>
        <w:rPr>
          <w:color w:val="auto"/>
          <w:sz w:val="21"/>
        </w:rPr>
        <w:t xml:space="preserve">0.4.5 </w:t>
      </w:r>
      <w:r>
        <w:rPr>
          <w:rFonts w:hint="eastAsia"/>
          <w:color w:val="auto"/>
          <w:sz w:val="21"/>
        </w:rPr>
        <w:t>存在扫尾工作的，工程接收证书中应当将第</w:t>
      </w:r>
      <w:r>
        <w:rPr>
          <w:color w:val="auto"/>
          <w:sz w:val="21"/>
        </w:rPr>
        <w:t>14.5.3</w:t>
      </w:r>
      <w:r>
        <w:rPr>
          <w:rFonts w:hint="eastAsia"/>
          <w:color w:val="auto"/>
          <w:sz w:val="21"/>
        </w:rPr>
        <w:t>项[扫尾工作清单]中约定的扫尾工作清单作为工程接收证书附件。</w:t>
      </w:r>
    </w:p>
    <w:bookmarkEnd w:id="1523"/>
    <w:bookmarkEnd w:id="1524"/>
    <w:p w14:paraId="2ECE256C">
      <w:pPr>
        <w:pStyle w:val="4"/>
        <w:spacing w:before="120" w:line="360" w:lineRule="auto"/>
        <w:rPr>
          <w:color w:val="auto"/>
        </w:rPr>
      </w:pPr>
      <w:bookmarkStart w:id="1528" w:name="_Ref4429935"/>
      <w:bookmarkStart w:id="1529" w:name="_Toc54862268"/>
      <w:bookmarkStart w:id="1530" w:name="_Toc154063584"/>
      <w:bookmarkStart w:id="1531" w:name="_Ref4429932"/>
      <w:r>
        <w:rPr>
          <w:rFonts w:hint="eastAsia"/>
          <w:color w:val="auto"/>
        </w:rPr>
        <w:t>1</w:t>
      </w:r>
      <w:r>
        <w:rPr>
          <w:color w:val="auto"/>
        </w:rPr>
        <w:t xml:space="preserve">0.5 </w:t>
      </w:r>
      <w:r>
        <w:rPr>
          <w:rFonts w:hint="eastAsia"/>
          <w:color w:val="auto"/>
        </w:rPr>
        <w:t>竣工退场</w:t>
      </w:r>
      <w:bookmarkEnd w:id="1528"/>
      <w:bookmarkEnd w:id="1529"/>
      <w:bookmarkEnd w:id="1530"/>
      <w:bookmarkEnd w:id="1531"/>
    </w:p>
    <w:p w14:paraId="75468F5F">
      <w:pPr>
        <w:pStyle w:val="130"/>
        <w:numPr>
          <w:ilvl w:val="0"/>
          <w:numId w:val="0"/>
        </w:numPr>
        <w:ind w:firstLine="420" w:firstLineChars="200"/>
        <w:rPr>
          <w:color w:val="auto"/>
          <w:sz w:val="21"/>
        </w:rPr>
      </w:pPr>
      <w:bookmarkStart w:id="1532" w:name="_Ref4429943"/>
      <w:r>
        <w:rPr>
          <w:rFonts w:hint="eastAsia"/>
          <w:color w:val="auto"/>
          <w:sz w:val="21"/>
        </w:rPr>
        <w:t>1</w:t>
      </w:r>
      <w:r>
        <w:rPr>
          <w:color w:val="auto"/>
          <w:sz w:val="21"/>
        </w:rPr>
        <w:t xml:space="preserve">0.5.1 </w:t>
      </w:r>
      <w:r>
        <w:rPr>
          <w:rFonts w:hint="eastAsia"/>
          <w:color w:val="auto"/>
          <w:sz w:val="21"/>
        </w:rPr>
        <w:t>竣工退场</w:t>
      </w:r>
      <w:bookmarkEnd w:id="1532"/>
    </w:p>
    <w:p w14:paraId="22EFE691">
      <w:pPr>
        <w:spacing w:line="360" w:lineRule="auto"/>
        <w:ind w:firstLine="420" w:firstLineChars="200"/>
        <w:rPr>
          <w:rFonts w:ascii="宋体" w:hAnsi="宋体"/>
          <w:color w:val="auto"/>
          <w:szCs w:val="21"/>
        </w:rPr>
      </w:pPr>
      <w:r>
        <w:rPr>
          <w:rFonts w:hint="eastAsia" w:ascii="宋体" w:hAnsi="宋体"/>
          <w:color w:val="auto"/>
          <w:szCs w:val="21"/>
        </w:rPr>
        <w:t>颁发工程接收证书后，承包人应对施工现场进行清理，并撤离相关人员，使得施工现场处于以下状态，直至工程师检验合格为止：</w:t>
      </w:r>
    </w:p>
    <w:p w14:paraId="30311644">
      <w:pPr>
        <w:spacing w:line="360" w:lineRule="auto"/>
        <w:ind w:firstLine="420" w:firstLineChars="200"/>
        <w:rPr>
          <w:rFonts w:ascii="宋体" w:hAnsi="宋体"/>
          <w:color w:val="auto"/>
          <w:szCs w:val="21"/>
        </w:rPr>
      </w:pPr>
      <w:r>
        <w:rPr>
          <w:rFonts w:hint="eastAsia" w:ascii="宋体" w:hAnsi="宋体"/>
          <w:color w:val="auto"/>
          <w:szCs w:val="21"/>
        </w:rPr>
        <w:t>（1）施工现场内残留的垃圾已全部清除出场；</w:t>
      </w:r>
    </w:p>
    <w:p w14:paraId="029AF45F">
      <w:pPr>
        <w:spacing w:line="360" w:lineRule="auto"/>
        <w:ind w:firstLine="420" w:firstLineChars="200"/>
        <w:rPr>
          <w:rFonts w:ascii="宋体" w:hAnsi="宋体"/>
          <w:color w:val="auto"/>
          <w:szCs w:val="21"/>
        </w:rPr>
      </w:pPr>
      <w:r>
        <w:rPr>
          <w:rFonts w:hint="eastAsia" w:ascii="宋体" w:hAnsi="宋体"/>
          <w:color w:val="auto"/>
          <w:szCs w:val="21"/>
        </w:rPr>
        <w:t>（2）临时工程已拆除，场地已按合同约定进行清理、平整或复原；</w:t>
      </w:r>
    </w:p>
    <w:p w14:paraId="167E88C8">
      <w:pPr>
        <w:spacing w:line="360" w:lineRule="auto"/>
        <w:ind w:firstLine="420" w:firstLineChars="200"/>
        <w:rPr>
          <w:rFonts w:ascii="宋体" w:hAnsi="宋体"/>
          <w:color w:val="auto"/>
          <w:szCs w:val="21"/>
        </w:rPr>
      </w:pPr>
      <w:r>
        <w:rPr>
          <w:rFonts w:hint="eastAsia" w:ascii="宋体" w:hAnsi="宋体"/>
          <w:color w:val="auto"/>
          <w:szCs w:val="21"/>
        </w:rPr>
        <w:t>（3）按合同约定应撤离的人员、承包人提供的施工设备和剩余的材料，包括废弃的施工设备和材料，已按计划撤离施工现场；</w:t>
      </w:r>
    </w:p>
    <w:p w14:paraId="5C830F18">
      <w:pPr>
        <w:spacing w:line="360" w:lineRule="auto"/>
        <w:ind w:firstLine="420" w:firstLineChars="200"/>
        <w:rPr>
          <w:rFonts w:ascii="宋体" w:hAnsi="宋体"/>
          <w:color w:val="auto"/>
          <w:szCs w:val="21"/>
        </w:rPr>
      </w:pPr>
      <w:r>
        <w:rPr>
          <w:rFonts w:hint="eastAsia" w:ascii="宋体" w:hAnsi="宋体"/>
          <w:color w:val="auto"/>
          <w:szCs w:val="21"/>
        </w:rPr>
        <w:t>（4）施工现场周边及其附近道路、河道的施工堆积物，已全部清理；</w:t>
      </w:r>
    </w:p>
    <w:p w14:paraId="5114F5B1">
      <w:pPr>
        <w:spacing w:line="360" w:lineRule="auto"/>
        <w:ind w:firstLine="420" w:firstLineChars="200"/>
        <w:rPr>
          <w:rFonts w:ascii="宋体" w:hAnsi="宋体"/>
          <w:color w:val="auto"/>
          <w:szCs w:val="21"/>
        </w:rPr>
      </w:pPr>
      <w:r>
        <w:rPr>
          <w:rFonts w:hint="eastAsia" w:ascii="宋体" w:hAnsi="宋体"/>
          <w:color w:val="auto"/>
          <w:szCs w:val="21"/>
        </w:rPr>
        <w:t>（5）施工现场其他竣工退场工作已全部完成。</w:t>
      </w:r>
    </w:p>
    <w:p w14:paraId="27E33B6A">
      <w:pPr>
        <w:spacing w:line="360" w:lineRule="auto"/>
        <w:ind w:firstLine="420" w:firstLineChars="200"/>
        <w:rPr>
          <w:rFonts w:ascii="宋体" w:hAnsi="宋体"/>
          <w:color w:val="auto"/>
          <w:szCs w:val="21"/>
        </w:rPr>
      </w:pPr>
      <w:r>
        <w:rPr>
          <w:rFonts w:hint="eastAsia" w:ascii="宋体" w:hAnsi="宋体"/>
          <w:color w:val="auto"/>
          <w:szCs w:val="21"/>
        </w:rPr>
        <w:t>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p>
    <w:p w14:paraId="35E818FA">
      <w:pPr>
        <w:pStyle w:val="130"/>
        <w:numPr>
          <w:ilvl w:val="0"/>
          <w:numId w:val="0"/>
        </w:numPr>
        <w:ind w:firstLine="420" w:firstLineChars="200"/>
        <w:rPr>
          <w:color w:val="auto"/>
          <w:sz w:val="21"/>
        </w:rPr>
      </w:pPr>
      <w:r>
        <w:rPr>
          <w:rFonts w:hint="eastAsia"/>
          <w:color w:val="auto"/>
          <w:sz w:val="21"/>
        </w:rPr>
        <w:t>1</w:t>
      </w:r>
      <w:r>
        <w:rPr>
          <w:color w:val="auto"/>
          <w:sz w:val="21"/>
        </w:rPr>
        <w:t xml:space="preserve">0.5.2 </w:t>
      </w:r>
      <w:r>
        <w:rPr>
          <w:rFonts w:hint="eastAsia"/>
          <w:color w:val="auto"/>
          <w:sz w:val="21"/>
        </w:rPr>
        <w:t>地表还原</w:t>
      </w:r>
    </w:p>
    <w:p w14:paraId="04C4829A">
      <w:pPr>
        <w:spacing w:line="360" w:lineRule="auto"/>
        <w:ind w:firstLine="420" w:firstLineChars="200"/>
        <w:rPr>
          <w:rFonts w:ascii="宋体" w:hAnsi="宋体"/>
          <w:color w:val="auto"/>
          <w:szCs w:val="21"/>
        </w:rPr>
      </w:pPr>
      <w:r>
        <w:rPr>
          <w:rFonts w:hint="eastAsia" w:ascii="宋体" w:hAnsi="宋体"/>
          <w:color w:val="auto"/>
          <w:szCs w:val="21"/>
        </w:rPr>
        <w:t>承包人应按合同约定和工程师的要求恢复临时占地及清理场地，否则发包人有权委托其他人恢复或清理，所发生的费用由承包人承担。</w:t>
      </w:r>
    </w:p>
    <w:p w14:paraId="78AF9D26">
      <w:pPr>
        <w:pStyle w:val="130"/>
        <w:numPr>
          <w:ilvl w:val="0"/>
          <w:numId w:val="0"/>
        </w:numPr>
        <w:ind w:firstLine="420" w:firstLineChars="200"/>
        <w:rPr>
          <w:color w:val="auto"/>
          <w:sz w:val="21"/>
        </w:rPr>
      </w:pPr>
      <w:bookmarkStart w:id="1533" w:name="_Ref20159437"/>
      <w:r>
        <w:rPr>
          <w:rFonts w:hint="eastAsia"/>
          <w:color w:val="auto"/>
          <w:sz w:val="21"/>
        </w:rPr>
        <w:t>1</w:t>
      </w:r>
      <w:r>
        <w:rPr>
          <w:color w:val="auto"/>
          <w:sz w:val="21"/>
        </w:rPr>
        <w:t xml:space="preserve">0.5.3 </w:t>
      </w:r>
      <w:r>
        <w:rPr>
          <w:rFonts w:hint="eastAsia"/>
          <w:color w:val="auto"/>
          <w:sz w:val="21"/>
        </w:rPr>
        <w:t>人员撤离</w:t>
      </w:r>
      <w:bookmarkEnd w:id="1533"/>
    </w:p>
    <w:p w14:paraId="496C5A37">
      <w:pPr>
        <w:spacing w:line="360" w:lineRule="auto"/>
        <w:ind w:firstLine="420" w:firstLineChars="200"/>
        <w:rPr>
          <w:rFonts w:ascii="宋体" w:hAnsi="宋体"/>
          <w:color w:val="auto"/>
          <w:szCs w:val="21"/>
        </w:rPr>
      </w:pPr>
      <w:r>
        <w:rPr>
          <w:rFonts w:hint="eastAsia" w:ascii="宋体" w:hAnsi="宋体"/>
          <w:color w:val="auto"/>
          <w:szCs w:val="21"/>
        </w:rPr>
        <w:t>除了经工程师同意需在缺陷责任期内继续工作和使用的人员、施工设备和临时工程外，承包人应按专用合同条件约定和工程师的要求将其余的人员、施工设备和临时工程撤离施工现场或拆除。除专用合同条件另有约定外，缺陷责任期满时，承包人的人员和施工设备应全部撤离施工现场。</w:t>
      </w:r>
      <w:bookmarkEnd w:id="1396"/>
    </w:p>
    <w:p w14:paraId="0AC61011">
      <w:pPr>
        <w:pStyle w:val="3"/>
        <w:spacing w:before="48" w:line="360" w:lineRule="auto"/>
        <w:rPr>
          <w:rFonts w:ascii="黑体" w:hAnsi="黑体"/>
          <w:bCs w:val="0"/>
          <w:color w:val="auto"/>
          <w:sz w:val="28"/>
        </w:rPr>
      </w:pPr>
      <w:bookmarkStart w:id="1534" w:name="_Ref4796906"/>
      <w:bookmarkStart w:id="1535" w:name="_Toc54862269"/>
      <w:bookmarkStart w:id="1536" w:name="_Ref4796909"/>
      <w:bookmarkStart w:id="1537" w:name="_Ref531955009"/>
      <w:bookmarkStart w:id="1538" w:name="_Toc154063585"/>
      <w:r>
        <w:rPr>
          <w:rFonts w:hint="eastAsia" w:ascii="黑体" w:hAnsi="黑体"/>
          <w:bCs w:val="0"/>
          <w:color w:val="auto"/>
          <w:sz w:val="28"/>
        </w:rPr>
        <w:t>第1</w:t>
      </w:r>
      <w:r>
        <w:rPr>
          <w:rFonts w:ascii="黑体" w:hAnsi="黑体"/>
          <w:bCs w:val="0"/>
          <w:color w:val="auto"/>
          <w:sz w:val="28"/>
        </w:rPr>
        <w:t>1</w:t>
      </w:r>
      <w:r>
        <w:rPr>
          <w:rFonts w:hint="eastAsia" w:ascii="黑体" w:hAnsi="黑体"/>
          <w:bCs w:val="0"/>
          <w:color w:val="auto"/>
          <w:sz w:val="28"/>
        </w:rPr>
        <w:t>条 缺陷责任与保修</w:t>
      </w:r>
      <w:bookmarkEnd w:id="1534"/>
      <w:bookmarkEnd w:id="1535"/>
      <w:bookmarkEnd w:id="1536"/>
      <w:bookmarkEnd w:id="1537"/>
      <w:bookmarkEnd w:id="1538"/>
      <w:r>
        <w:rPr>
          <w:rFonts w:hint="eastAsia" w:ascii="黑体" w:hAnsi="黑体"/>
          <w:bCs w:val="0"/>
          <w:color w:val="auto"/>
          <w:sz w:val="28"/>
        </w:rPr>
        <w:t xml:space="preserve"> </w:t>
      </w:r>
    </w:p>
    <w:p w14:paraId="54830AFD">
      <w:pPr>
        <w:pStyle w:val="4"/>
        <w:spacing w:before="120" w:line="360" w:lineRule="auto"/>
        <w:rPr>
          <w:color w:val="auto"/>
        </w:rPr>
      </w:pPr>
      <w:bookmarkStart w:id="1539" w:name="_Toc54862270"/>
      <w:bookmarkStart w:id="1540" w:name="_Toc154063586"/>
      <w:bookmarkStart w:id="1541" w:name="_Ref531955248"/>
      <w:bookmarkStart w:id="1542" w:name="_Ref531955245"/>
      <w:bookmarkStart w:id="1543" w:name="_Ref532362928"/>
      <w:bookmarkStart w:id="1544" w:name="_Toc337558841"/>
      <w:bookmarkStart w:id="1545" w:name="_Toc296503147"/>
      <w:bookmarkStart w:id="1546" w:name="_Toc296346648"/>
      <w:r>
        <w:rPr>
          <w:rFonts w:hint="eastAsia"/>
          <w:color w:val="auto"/>
        </w:rPr>
        <w:t>1</w:t>
      </w:r>
      <w:r>
        <w:rPr>
          <w:color w:val="auto"/>
        </w:rPr>
        <w:t xml:space="preserve">1.1 </w:t>
      </w:r>
      <w:r>
        <w:rPr>
          <w:rFonts w:hint="eastAsia"/>
          <w:color w:val="auto"/>
        </w:rPr>
        <w:t>工程保修的原则</w:t>
      </w:r>
      <w:bookmarkEnd w:id="1539"/>
      <w:bookmarkEnd w:id="1540"/>
    </w:p>
    <w:p w14:paraId="643FFCA7">
      <w:pPr>
        <w:spacing w:line="360" w:lineRule="auto"/>
        <w:ind w:firstLine="420" w:firstLineChars="200"/>
        <w:rPr>
          <w:rFonts w:ascii="宋体" w:hAnsi="宋体"/>
          <w:color w:val="auto"/>
          <w:szCs w:val="21"/>
        </w:rPr>
      </w:pPr>
      <w:r>
        <w:rPr>
          <w:rFonts w:hint="eastAsia" w:ascii="宋体" w:hAnsi="宋体"/>
          <w:color w:val="auto"/>
          <w:szCs w:val="21"/>
        </w:rPr>
        <w:t>在工程移交发包人后，因承包人原因产生的质量缺陷，承包人应承担质量缺陷责任和保修义务。缺陷责任期届满，承包人仍应按合同约定的工程各部位保修年限承担保修义务。</w:t>
      </w:r>
    </w:p>
    <w:p w14:paraId="5E368491">
      <w:pPr>
        <w:pStyle w:val="4"/>
        <w:spacing w:before="120" w:line="360" w:lineRule="auto"/>
        <w:rPr>
          <w:color w:val="auto"/>
        </w:rPr>
      </w:pPr>
      <w:bookmarkStart w:id="1547" w:name="_Toc154063587"/>
      <w:bookmarkStart w:id="1548" w:name="_Toc54862271"/>
      <w:bookmarkStart w:id="1549" w:name="_Ref4430062"/>
      <w:r>
        <w:rPr>
          <w:rFonts w:hint="eastAsia"/>
          <w:color w:val="auto"/>
        </w:rPr>
        <w:t>1</w:t>
      </w:r>
      <w:r>
        <w:rPr>
          <w:color w:val="auto"/>
        </w:rPr>
        <w:t xml:space="preserve">1.2 </w:t>
      </w:r>
      <w:r>
        <w:rPr>
          <w:rFonts w:hint="eastAsia"/>
          <w:color w:val="auto"/>
        </w:rPr>
        <w:t>缺陷责任</w:t>
      </w:r>
      <w:bookmarkEnd w:id="1541"/>
      <w:bookmarkEnd w:id="1542"/>
      <w:r>
        <w:rPr>
          <w:rFonts w:hint="eastAsia"/>
          <w:color w:val="auto"/>
        </w:rPr>
        <w:t>期</w:t>
      </w:r>
      <w:bookmarkEnd w:id="1543"/>
      <w:bookmarkEnd w:id="1547"/>
      <w:bookmarkEnd w:id="1548"/>
      <w:bookmarkEnd w:id="1549"/>
      <w:r>
        <w:rPr>
          <w:rFonts w:hint="eastAsia"/>
          <w:color w:val="auto"/>
        </w:rPr>
        <w:t xml:space="preserve"> </w:t>
      </w:r>
    </w:p>
    <w:p w14:paraId="14D17D3A">
      <w:pPr>
        <w:spacing w:line="360" w:lineRule="auto"/>
        <w:ind w:firstLine="420" w:firstLineChars="200"/>
        <w:rPr>
          <w:rFonts w:ascii="宋体" w:hAnsi="宋体"/>
          <w:color w:val="auto"/>
          <w:szCs w:val="21"/>
        </w:rPr>
      </w:pPr>
      <w:r>
        <w:rPr>
          <w:rFonts w:hint="eastAsia" w:ascii="宋体" w:hAnsi="宋体"/>
          <w:color w:val="auto"/>
          <w:szCs w:val="21"/>
        </w:rPr>
        <w:t>缺陷责任期原则上从工程竣工验收合格之日起计算，合同当事人应在专用合同条件约定缺陷责任期的具体期限，但该期限最长不超过24个月。</w:t>
      </w:r>
    </w:p>
    <w:p w14:paraId="4871823A">
      <w:pPr>
        <w:spacing w:line="360" w:lineRule="auto"/>
        <w:ind w:firstLine="420" w:firstLineChars="200"/>
        <w:rPr>
          <w:rFonts w:ascii="宋体" w:hAnsi="宋体"/>
          <w:color w:val="auto"/>
          <w:szCs w:val="21"/>
        </w:rPr>
      </w:pPr>
      <w:r>
        <w:rPr>
          <w:rFonts w:hint="eastAsia" w:ascii="宋体" w:hAnsi="宋体"/>
          <w:color w:val="auto"/>
          <w:szCs w:val="21"/>
        </w:rPr>
        <w:t>单位/区段工程先于全部工程进行验收，经验收合格并交付使用的，该单位/区段工程缺陷责任期自单位/区段工程验收合格之日起算。因发包人原因导致工程未在合同约定期限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p>
    <w:p w14:paraId="3A47D891">
      <w:pPr>
        <w:spacing w:line="360" w:lineRule="auto"/>
        <w:ind w:firstLine="420" w:firstLineChars="200"/>
        <w:rPr>
          <w:rFonts w:ascii="宋体" w:hAnsi="宋体"/>
          <w:color w:val="auto"/>
          <w:szCs w:val="21"/>
        </w:rPr>
      </w:pPr>
      <w:r>
        <w:rPr>
          <w:rFonts w:hint="eastAsia" w:ascii="宋体" w:hAnsi="宋体"/>
          <w:color w:val="auto"/>
          <w:szCs w:val="21"/>
        </w:rPr>
        <w:t>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p>
    <w:p w14:paraId="18A81F8D">
      <w:pPr>
        <w:pStyle w:val="4"/>
        <w:spacing w:before="120" w:line="360" w:lineRule="auto"/>
        <w:rPr>
          <w:color w:val="auto"/>
        </w:rPr>
      </w:pPr>
      <w:bookmarkStart w:id="1550" w:name="_Ref532662491"/>
      <w:bookmarkStart w:id="1551" w:name="_Ref532662486"/>
      <w:bookmarkStart w:id="1552" w:name="_Toc54862272"/>
      <w:bookmarkStart w:id="1553" w:name="_Toc154063588"/>
      <w:r>
        <w:rPr>
          <w:rFonts w:hint="eastAsia"/>
          <w:color w:val="auto"/>
        </w:rPr>
        <w:t>1</w:t>
      </w:r>
      <w:r>
        <w:rPr>
          <w:color w:val="auto"/>
        </w:rPr>
        <w:t xml:space="preserve">1.3 </w:t>
      </w:r>
      <w:r>
        <w:rPr>
          <w:rFonts w:hint="eastAsia"/>
          <w:color w:val="auto"/>
        </w:rPr>
        <w:t>缺陷调查</w:t>
      </w:r>
      <w:bookmarkEnd w:id="1550"/>
      <w:bookmarkEnd w:id="1551"/>
      <w:bookmarkEnd w:id="1552"/>
      <w:bookmarkEnd w:id="1553"/>
    </w:p>
    <w:p w14:paraId="24D526CB">
      <w:pPr>
        <w:pStyle w:val="130"/>
        <w:numPr>
          <w:ilvl w:val="0"/>
          <w:numId w:val="0"/>
        </w:numPr>
        <w:ind w:firstLine="420" w:firstLineChars="200"/>
        <w:rPr>
          <w:b/>
          <w:color w:val="auto"/>
          <w:sz w:val="21"/>
        </w:rPr>
      </w:pPr>
      <w:r>
        <w:rPr>
          <w:rFonts w:hint="eastAsia"/>
          <w:color w:val="auto"/>
          <w:sz w:val="21"/>
        </w:rPr>
        <w:t>1</w:t>
      </w:r>
      <w:r>
        <w:rPr>
          <w:color w:val="auto"/>
          <w:sz w:val="21"/>
        </w:rPr>
        <w:t xml:space="preserve">1.3.1 </w:t>
      </w:r>
      <w:r>
        <w:rPr>
          <w:rFonts w:hint="eastAsia"/>
          <w:color w:val="auto"/>
          <w:sz w:val="21"/>
        </w:rPr>
        <w:t>承包人缺陷调查</w:t>
      </w:r>
    </w:p>
    <w:p w14:paraId="4CACF5D7">
      <w:pPr>
        <w:spacing w:line="360" w:lineRule="auto"/>
        <w:ind w:firstLine="420" w:firstLineChars="200"/>
        <w:rPr>
          <w:rFonts w:ascii="宋体" w:hAnsi="宋体"/>
          <w:color w:val="auto"/>
          <w:szCs w:val="21"/>
        </w:rPr>
      </w:pPr>
      <w:r>
        <w:rPr>
          <w:rFonts w:hint="eastAsia" w:ascii="宋体" w:hAnsi="宋体"/>
          <w:color w:val="auto"/>
          <w:szCs w:val="21"/>
        </w:rPr>
        <w:t>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p>
    <w:p w14:paraId="25F73C45">
      <w:pPr>
        <w:spacing w:line="360" w:lineRule="auto"/>
        <w:ind w:firstLine="420" w:firstLineChars="200"/>
        <w:rPr>
          <w:rFonts w:ascii="宋体" w:hAnsi="宋体"/>
          <w:color w:val="auto"/>
          <w:szCs w:val="21"/>
        </w:rPr>
      </w:pPr>
      <w:r>
        <w:rPr>
          <w:rFonts w:hint="eastAsia" w:ascii="宋体" w:hAnsi="宋体"/>
          <w:color w:val="auto"/>
          <w:szCs w:val="21"/>
        </w:rPr>
        <w:t>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p>
    <w:p w14:paraId="0E8095ED">
      <w:pPr>
        <w:pStyle w:val="130"/>
        <w:numPr>
          <w:ilvl w:val="0"/>
          <w:numId w:val="0"/>
        </w:numPr>
        <w:ind w:firstLine="420" w:firstLineChars="200"/>
        <w:rPr>
          <w:color w:val="auto"/>
          <w:sz w:val="21"/>
        </w:rPr>
      </w:pPr>
      <w:r>
        <w:rPr>
          <w:rFonts w:hint="eastAsia"/>
          <w:color w:val="auto"/>
          <w:sz w:val="21"/>
        </w:rPr>
        <w:t>1</w:t>
      </w:r>
      <w:r>
        <w:rPr>
          <w:color w:val="auto"/>
          <w:sz w:val="21"/>
        </w:rPr>
        <w:t xml:space="preserve">1.3.2 </w:t>
      </w:r>
      <w:r>
        <w:rPr>
          <w:rFonts w:hint="eastAsia"/>
          <w:color w:val="auto"/>
          <w:sz w:val="21"/>
        </w:rPr>
        <w:t>缺陷责任</w:t>
      </w:r>
    </w:p>
    <w:p w14:paraId="23CFA896">
      <w:pPr>
        <w:spacing w:line="360" w:lineRule="auto"/>
        <w:ind w:firstLine="420" w:firstLineChars="200"/>
        <w:rPr>
          <w:rFonts w:ascii="宋体" w:hAnsi="宋体"/>
          <w:color w:val="auto"/>
          <w:szCs w:val="21"/>
        </w:rPr>
      </w:pPr>
      <w:r>
        <w:rPr>
          <w:rFonts w:hint="eastAsia" w:ascii="宋体" w:hAnsi="宋体"/>
          <w:color w:val="auto"/>
          <w:szCs w:val="21"/>
        </w:rPr>
        <w:t>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缺陷的，承包人应负责修复，直至检验合格为止。</w:t>
      </w:r>
    </w:p>
    <w:p w14:paraId="739A6434">
      <w:pPr>
        <w:pStyle w:val="130"/>
        <w:numPr>
          <w:ilvl w:val="0"/>
          <w:numId w:val="0"/>
        </w:numPr>
        <w:ind w:firstLine="420" w:firstLineChars="200"/>
        <w:rPr>
          <w:color w:val="auto"/>
          <w:sz w:val="21"/>
        </w:rPr>
      </w:pPr>
      <w:r>
        <w:rPr>
          <w:rFonts w:hint="eastAsia"/>
          <w:color w:val="auto"/>
          <w:sz w:val="21"/>
        </w:rPr>
        <w:t>1</w:t>
      </w:r>
      <w:r>
        <w:rPr>
          <w:color w:val="auto"/>
          <w:sz w:val="21"/>
        </w:rPr>
        <w:t xml:space="preserve">1.3.3 </w:t>
      </w:r>
      <w:r>
        <w:rPr>
          <w:rFonts w:hint="eastAsia"/>
          <w:color w:val="auto"/>
          <w:sz w:val="21"/>
        </w:rPr>
        <w:t>修复费用</w:t>
      </w:r>
    </w:p>
    <w:p w14:paraId="24D7CA62">
      <w:pPr>
        <w:spacing w:line="360" w:lineRule="auto"/>
        <w:ind w:firstLine="420" w:firstLineChars="200"/>
        <w:rPr>
          <w:rFonts w:ascii="宋体" w:hAnsi="宋体"/>
          <w:color w:val="auto"/>
          <w:szCs w:val="21"/>
        </w:rPr>
      </w:pPr>
      <w:r>
        <w:rPr>
          <w:rFonts w:hint="eastAsia" w:ascii="宋体" w:hAnsi="宋体"/>
          <w:color w:val="auto"/>
          <w:szCs w:val="21"/>
        </w:rPr>
        <w:t>发包人和承包人应共同查清缺陷或损坏的原因。经查明属承包人原因造成的，应由承包人承担修复的费用。经查验非承包人原因造成的，发包人应承担修复的费用，并支付承包人合理利润。</w:t>
      </w:r>
    </w:p>
    <w:p w14:paraId="22BB3A40">
      <w:pPr>
        <w:pStyle w:val="130"/>
        <w:numPr>
          <w:ilvl w:val="0"/>
          <w:numId w:val="0"/>
        </w:numPr>
        <w:ind w:firstLine="420" w:firstLineChars="200"/>
        <w:rPr>
          <w:color w:val="auto"/>
          <w:sz w:val="21"/>
        </w:rPr>
      </w:pPr>
      <w:bookmarkStart w:id="1554" w:name="_Ref531955041"/>
      <w:r>
        <w:rPr>
          <w:rFonts w:hint="eastAsia"/>
          <w:color w:val="auto"/>
          <w:sz w:val="21"/>
        </w:rPr>
        <w:t>1</w:t>
      </w:r>
      <w:r>
        <w:rPr>
          <w:color w:val="auto"/>
          <w:sz w:val="21"/>
        </w:rPr>
        <w:t xml:space="preserve">1.3.4 </w:t>
      </w:r>
      <w:r>
        <w:rPr>
          <w:rFonts w:hint="eastAsia"/>
          <w:color w:val="auto"/>
          <w:sz w:val="21"/>
        </w:rPr>
        <w:t>修复通知</w:t>
      </w:r>
      <w:bookmarkEnd w:id="1554"/>
    </w:p>
    <w:p w14:paraId="54D9C9EF">
      <w:pPr>
        <w:spacing w:line="360" w:lineRule="auto"/>
        <w:ind w:firstLine="420" w:firstLineChars="200"/>
        <w:rPr>
          <w:rFonts w:ascii="宋体" w:hAnsi="宋体"/>
          <w:color w:val="auto"/>
          <w:szCs w:val="21"/>
        </w:rPr>
      </w:pPr>
      <w:r>
        <w:rPr>
          <w:rFonts w:hint="eastAsia" w:ascii="宋体" w:hAnsi="宋体"/>
          <w:color w:val="auto"/>
          <w:szCs w:val="21"/>
        </w:rPr>
        <w:t>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p>
    <w:p w14:paraId="0A60CFD4">
      <w:pPr>
        <w:pStyle w:val="130"/>
        <w:numPr>
          <w:ilvl w:val="0"/>
          <w:numId w:val="0"/>
        </w:numPr>
        <w:ind w:firstLine="420" w:firstLineChars="200"/>
        <w:rPr>
          <w:color w:val="auto"/>
          <w:sz w:val="21"/>
        </w:rPr>
      </w:pPr>
      <w:r>
        <w:rPr>
          <w:rFonts w:hint="eastAsia"/>
          <w:color w:val="auto"/>
          <w:sz w:val="21"/>
        </w:rPr>
        <w:t>1</w:t>
      </w:r>
      <w:r>
        <w:rPr>
          <w:color w:val="auto"/>
          <w:sz w:val="21"/>
        </w:rPr>
        <w:t xml:space="preserve">1.3.5 </w:t>
      </w:r>
      <w:r>
        <w:rPr>
          <w:rFonts w:hint="eastAsia"/>
          <w:color w:val="auto"/>
          <w:sz w:val="21"/>
        </w:rPr>
        <w:t>在现场外修复</w:t>
      </w:r>
    </w:p>
    <w:p w14:paraId="239D52AC">
      <w:pPr>
        <w:spacing w:line="360" w:lineRule="auto"/>
        <w:ind w:firstLine="420" w:firstLineChars="200"/>
        <w:rPr>
          <w:rFonts w:ascii="宋体" w:hAnsi="宋体"/>
          <w:color w:val="auto"/>
          <w:szCs w:val="21"/>
        </w:rPr>
      </w:pPr>
      <w:r>
        <w:rPr>
          <w:rFonts w:hint="eastAsia" w:ascii="宋体" w:hAnsi="宋体"/>
          <w:color w:val="auto"/>
          <w:szCs w:val="21"/>
        </w:rPr>
        <w:t>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p>
    <w:p w14:paraId="0E4B7006">
      <w:pPr>
        <w:pStyle w:val="130"/>
        <w:numPr>
          <w:ilvl w:val="0"/>
          <w:numId w:val="0"/>
        </w:numPr>
        <w:ind w:firstLine="420" w:firstLineChars="200"/>
        <w:rPr>
          <w:color w:val="auto"/>
          <w:sz w:val="21"/>
        </w:rPr>
      </w:pPr>
      <w:bookmarkStart w:id="1555" w:name="_Ref4534291"/>
      <w:bookmarkStart w:id="1556" w:name="_Hlk51506786"/>
      <w:r>
        <w:rPr>
          <w:rFonts w:hint="eastAsia"/>
          <w:color w:val="auto"/>
          <w:sz w:val="21"/>
        </w:rPr>
        <w:t>1</w:t>
      </w:r>
      <w:r>
        <w:rPr>
          <w:color w:val="auto"/>
          <w:sz w:val="21"/>
        </w:rPr>
        <w:t xml:space="preserve">1.3.6 </w:t>
      </w:r>
      <w:r>
        <w:rPr>
          <w:rFonts w:hint="eastAsia"/>
          <w:color w:val="auto"/>
          <w:sz w:val="21"/>
        </w:rPr>
        <w:t>未能修复</w:t>
      </w:r>
      <w:bookmarkEnd w:id="1555"/>
    </w:p>
    <w:bookmarkEnd w:id="1556"/>
    <w:p w14:paraId="0630992F">
      <w:pPr>
        <w:spacing w:line="360" w:lineRule="auto"/>
        <w:ind w:firstLine="420" w:firstLineChars="200"/>
        <w:rPr>
          <w:rFonts w:ascii="宋体" w:hAnsi="宋体"/>
          <w:color w:val="auto"/>
          <w:szCs w:val="21"/>
        </w:rPr>
      </w:pPr>
      <w:r>
        <w:rPr>
          <w:rFonts w:hint="eastAsia" w:ascii="宋体" w:hAnsi="宋体"/>
          <w:color w:val="auto"/>
          <w:szCs w:val="21"/>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0A2E8F6F">
      <w:pPr>
        <w:spacing w:line="360" w:lineRule="auto"/>
        <w:ind w:firstLine="420" w:firstLineChars="200"/>
        <w:rPr>
          <w:rFonts w:ascii="宋体" w:hAnsi="宋体"/>
          <w:color w:val="auto"/>
          <w:szCs w:val="21"/>
        </w:rPr>
      </w:pPr>
      <w:r>
        <w:rPr>
          <w:rFonts w:hint="eastAsia" w:ascii="宋体" w:hAnsi="宋体"/>
          <w:color w:val="auto"/>
          <w:szCs w:val="21"/>
        </w:rPr>
        <w:t>如果工程或工程设备的缺陷或损害使发包人实质上失去了工程的整体功能，发包人有权向承包人追回已支付的工程款项，并要求其赔偿发包人相应损失。</w:t>
      </w:r>
    </w:p>
    <w:bookmarkEnd w:id="1544"/>
    <w:bookmarkEnd w:id="1545"/>
    <w:bookmarkEnd w:id="1546"/>
    <w:p w14:paraId="17EFFA20">
      <w:pPr>
        <w:pStyle w:val="4"/>
        <w:spacing w:before="120" w:line="360" w:lineRule="auto"/>
        <w:rPr>
          <w:color w:val="auto"/>
        </w:rPr>
      </w:pPr>
      <w:bookmarkStart w:id="1557" w:name="_Toc154063589"/>
      <w:bookmarkStart w:id="1558" w:name="_Ref532662554"/>
      <w:bookmarkStart w:id="1559" w:name="_Toc54862273"/>
      <w:bookmarkStart w:id="1560" w:name="_Ref532662552"/>
      <w:r>
        <w:rPr>
          <w:rFonts w:hint="eastAsia"/>
          <w:color w:val="auto"/>
        </w:rPr>
        <w:t>1</w:t>
      </w:r>
      <w:r>
        <w:rPr>
          <w:color w:val="auto"/>
        </w:rPr>
        <w:t xml:space="preserve">1.4 </w:t>
      </w:r>
      <w:r>
        <w:rPr>
          <w:rFonts w:hint="eastAsia"/>
          <w:color w:val="auto"/>
        </w:rPr>
        <w:t>缺陷修复后的进一步试验</w:t>
      </w:r>
      <w:bookmarkEnd w:id="1557"/>
      <w:bookmarkEnd w:id="1558"/>
      <w:bookmarkEnd w:id="1559"/>
      <w:bookmarkEnd w:id="1560"/>
    </w:p>
    <w:p w14:paraId="7D1F1B6C">
      <w:pPr>
        <w:spacing w:line="360" w:lineRule="auto"/>
        <w:ind w:firstLine="420" w:firstLineChars="200"/>
        <w:rPr>
          <w:rFonts w:ascii="宋体" w:hAnsi="宋体"/>
          <w:color w:val="auto"/>
          <w:szCs w:val="21"/>
        </w:rPr>
      </w:pPr>
      <w:r>
        <w:rPr>
          <w:rFonts w:hint="eastAsia" w:ascii="宋体" w:hAnsi="宋体"/>
          <w:color w:val="auto"/>
          <w:szCs w:val="21"/>
        </w:rPr>
        <w:t>任何一项缺陷修补后的7天内，承包人应向发包人发出通知，告知已修补的情况。如根据第</w:t>
      </w:r>
      <w:r>
        <w:rPr>
          <w:rFonts w:ascii="宋体" w:hAnsi="宋体"/>
          <w:color w:val="auto"/>
          <w:szCs w:val="21"/>
        </w:rPr>
        <w:t>9条</w:t>
      </w:r>
      <w:r>
        <w:rPr>
          <w:rFonts w:hint="eastAsia" w:ascii="宋体" w:hAnsi="宋体"/>
          <w:color w:val="auto"/>
          <w:szCs w:val="21"/>
        </w:rPr>
        <w:t>[竣工试验]或第</w:t>
      </w:r>
      <w:r>
        <w:rPr>
          <w:rFonts w:ascii="宋体" w:hAnsi="宋体"/>
          <w:color w:val="auto"/>
          <w:szCs w:val="21"/>
        </w:rPr>
        <w:t>12条</w:t>
      </w:r>
      <w:r>
        <w:rPr>
          <w:rFonts w:hint="eastAsia" w:ascii="宋体" w:hAnsi="宋体"/>
          <w:color w:val="auto"/>
          <w:szCs w:val="21"/>
        </w:rPr>
        <w:t>[</w:t>
      </w:r>
      <w:r>
        <w:rPr>
          <w:rFonts w:ascii="宋体" w:hAnsi="宋体"/>
          <w:color w:val="auto"/>
          <w:szCs w:val="21"/>
        </w:rPr>
        <w:t>竣工后试验</w:t>
      </w:r>
      <w:r>
        <w:rPr>
          <w:rFonts w:hint="eastAsia" w:ascii="宋体" w:hAnsi="宋体"/>
          <w:color w:val="auto"/>
          <w:szCs w:val="21"/>
        </w:rPr>
        <w:t>]的规定适用重新试验的，还应建议重新试验。发包人应在收到重新试验的通知后14天内答复，逾期未进行答复的视为同意重新试验。承包人未建议重新试验的，发包人也可在缺陷修补后的14天内指示进行必要的重新试验，以证明已修复的部分符合合同要求。</w:t>
      </w:r>
    </w:p>
    <w:p w14:paraId="105F243D">
      <w:pPr>
        <w:spacing w:line="360" w:lineRule="auto"/>
        <w:ind w:firstLine="420" w:firstLineChars="200"/>
        <w:rPr>
          <w:rFonts w:ascii="宋体" w:hAnsi="宋体"/>
          <w:color w:val="auto"/>
          <w:szCs w:val="21"/>
        </w:rPr>
      </w:pPr>
      <w:r>
        <w:rPr>
          <w:rFonts w:hint="eastAsia" w:ascii="宋体" w:hAnsi="宋体"/>
          <w:color w:val="auto"/>
          <w:szCs w:val="21"/>
        </w:rPr>
        <w:t>所有的重复试验应按照适用于先前试验的条款进行，但应由责任方承担修补工作的成本和重新试验的风险和费用。</w:t>
      </w:r>
    </w:p>
    <w:p w14:paraId="6712347A">
      <w:pPr>
        <w:pStyle w:val="4"/>
        <w:spacing w:before="120" w:line="360" w:lineRule="auto"/>
        <w:rPr>
          <w:color w:val="auto"/>
        </w:rPr>
      </w:pPr>
      <w:bookmarkStart w:id="1561" w:name="_Toc54862274"/>
      <w:bookmarkStart w:id="1562" w:name="_Toc154063590"/>
      <w:r>
        <w:rPr>
          <w:rFonts w:hint="eastAsia"/>
          <w:color w:val="auto"/>
        </w:rPr>
        <w:t>1</w:t>
      </w:r>
      <w:r>
        <w:rPr>
          <w:color w:val="auto"/>
        </w:rPr>
        <w:t xml:space="preserve">1.5 </w:t>
      </w:r>
      <w:r>
        <w:rPr>
          <w:rFonts w:hint="eastAsia"/>
          <w:color w:val="auto"/>
        </w:rPr>
        <w:t>承包人出入权</w:t>
      </w:r>
      <w:bookmarkEnd w:id="1561"/>
      <w:bookmarkEnd w:id="1562"/>
    </w:p>
    <w:p w14:paraId="7DFBA435">
      <w:pPr>
        <w:spacing w:line="360" w:lineRule="auto"/>
        <w:ind w:firstLine="420" w:firstLineChars="200"/>
        <w:rPr>
          <w:rFonts w:ascii="宋体" w:hAnsi="宋体"/>
          <w:color w:val="auto"/>
          <w:szCs w:val="21"/>
        </w:rPr>
      </w:pPr>
      <w:r>
        <w:rPr>
          <w:rFonts w:hint="eastAsia" w:ascii="宋体" w:hAnsi="宋体"/>
          <w:color w:val="auto"/>
          <w:szCs w:val="21"/>
        </w:rPr>
        <w:t>在缺陷责任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安保和保密等规定。</w:t>
      </w:r>
    </w:p>
    <w:p w14:paraId="0180E701">
      <w:pPr>
        <w:pStyle w:val="4"/>
        <w:spacing w:before="120" w:line="360" w:lineRule="auto"/>
        <w:rPr>
          <w:color w:val="auto"/>
        </w:rPr>
      </w:pPr>
      <w:bookmarkStart w:id="1563" w:name="_Ref4430223"/>
      <w:bookmarkStart w:id="1564" w:name="_Toc54862275"/>
      <w:bookmarkStart w:id="1565" w:name="_Toc154063591"/>
      <w:bookmarkStart w:id="1566" w:name="_Ref4430229"/>
      <w:r>
        <w:rPr>
          <w:rFonts w:hint="eastAsia"/>
          <w:color w:val="auto"/>
        </w:rPr>
        <w:t>1</w:t>
      </w:r>
      <w:r>
        <w:rPr>
          <w:color w:val="auto"/>
        </w:rPr>
        <w:t xml:space="preserve">1.6 </w:t>
      </w:r>
      <w:r>
        <w:rPr>
          <w:rFonts w:hint="eastAsia"/>
          <w:color w:val="auto"/>
        </w:rPr>
        <w:t>缺陷责任期终止证书</w:t>
      </w:r>
      <w:bookmarkEnd w:id="1563"/>
      <w:bookmarkEnd w:id="1564"/>
      <w:bookmarkEnd w:id="1565"/>
      <w:bookmarkEnd w:id="1566"/>
    </w:p>
    <w:p w14:paraId="4C575938">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w:t>
      </w:r>
      <w:bookmarkStart w:id="1567" w:name="_Hlk4686672"/>
      <w:r>
        <w:rPr>
          <w:rFonts w:hint="eastAsia" w:ascii="宋体" w:hAnsi="宋体"/>
          <w:color w:val="auto"/>
          <w:szCs w:val="21"/>
        </w:rPr>
        <w:t>承包人应于缺陷责任期届满前7天内向发包人发出缺陷责任期即将届满通知，发包人应在收到通知后</w:t>
      </w:r>
      <w:r>
        <w:rPr>
          <w:rFonts w:ascii="宋体" w:hAnsi="宋体"/>
          <w:color w:val="auto"/>
          <w:szCs w:val="21"/>
        </w:rPr>
        <w:t>7</w:t>
      </w:r>
      <w:r>
        <w:rPr>
          <w:rFonts w:hint="eastAsia" w:ascii="宋体" w:hAnsi="宋体"/>
          <w:color w:val="auto"/>
          <w:szCs w:val="21"/>
        </w:rPr>
        <w:t>天内核实承包人是否履行缺陷修复义务，承包人未能履行缺陷修复义务的，发包人有权扣除相应金额的维修费用。发包人应在缺陷责任期届满之日，向承包人颁发缺陷责任期终止证书，并按第</w:t>
      </w:r>
      <w:r>
        <w:rPr>
          <w:rFonts w:ascii="宋体" w:hAnsi="宋体"/>
          <w:color w:val="auto"/>
          <w:szCs w:val="21"/>
        </w:rPr>
        <w:t>14.6.3</w:t>
      </w:r>
      <w:r>
        <w:rPr>
          <w:rFonts w:hint="eastAsia" w:ascii="宋体" w:hAnsi="宋体"/>
          <w:color w:val="auto"/>
          <w:szCs w:val="21"/>
        </w:rPr>
        <w:t>项[质量保证金的返还]返还质量保证金。</w:t>
      </w:r>
      <w:bookmarkEnd w:id="1567"/>
    </w:p>
    <w:p w14:paraId="2A00E7AC">
      <w:pPr>
        <w:spacing w:line="360" w:lineRule="auto"/>
        <w:ind w:firstLine="420" w:firstLineChars="200"/>
        <w:rPr>
          <w:rFonts w:ascii="宋体" w:hAnsi="宋体"/>
          <w:color w:val="auto"/>
          <w:szCs w:val="21"/>
        </w:rPr>
      </w:pPr>
      <w:r>
        <w:rPr>
          <w:rFonts w:hint="eastAsia" w:ascii="宋体" w:hAnsi="宋体"/>
          <w:color w:val="auto"/>
          <w:szCs w:val="21"/>
        </w:rPr>
        <w:t>如根据第</w:t>
      </w:r>
      <w:r>
        <w:rPr>
          <w:rFonts w:ascii="宋体" w:hAnsi="宋体"/>
          <w:color w:val="auto"/>
          <w:szCs w:val="21"/>
        </w:rPr>
        <w:t>10.5.3</w:t>
      </w:r>
      <w:r>
        <w:rPr>
          <w:rFonts w:hint="eastAsia" w:ascii="宋体" w:hAnsi="宋体"/>
          <w:color w:val="auto"/>
          <w:szCs w:val="21"/>
        </w:rPr>
        <w:t>项[人员撤离]承包人在施工现场还留有人员、施工设备和临时工程的，承包人应当在收到缺陷责任期终止证书后28天内，将上述人员、施工设备和临时工程撤离施工现场。</w:t>
      </w:r>
    </w:p>
    <w:p w14:paraId="752589DF">
      <w:pPr>
        <w:pStyle w:val="4"/>
        <w:spacing w:before="120" w:line="360" w:lineRule="auto"/>
        <w:rPr>
          <w:color w:val="auto"/>
        </w:rPr>
      </w:pPr>
      <w:bookmarkStart w:id="1568" w:name="_Toc54862276"/>
      <w:bookmarkStart w:id="1569" w:name="_Ref4430272"/>
      <w:bookmarkStart w:id="1570" w:name="_Toc154063592"/>
      <w:r>
        <w:rPr>
          <w:rFonts w:hint="eastAsia"/>
          <w:color w:val="auto"/>
        </w:rPr>
        <w:t>1</w:t>
      </w:r>
      <w:r>
        <w:rPr>
          <w:color w:val="auto"/>
        </w:rPr>
        <w:t xml:space="preserve">1.7 </w:t>
      </w:r>
      <w:r>
        <w:rPr>
          <w:rFonts w:hint="eastAsia"/>
          <w:color w:val="auto"/>
        </w:rPr>
        <w:t>保修责任</w:t>
      </w:r>
      <w:bookmarkEnd w:id="1568"/>
      <w:bookmarkEnd w:id="1569"/>
      <w:bookmarkEnd w:id="1570"/>
    </w:p>
    <w:p w14:paraId="56ED6900">
      <w:pPr>
        <w:spacing w:line="360" w:lineRule="auto"/>
        <w:ind w:firstLine="420" w:firstLineChars="200"/>
        <w:rPr>
          <w:rFonts w:ascii="宋体" w:hAnsi="宋体"/>
          <w:color w:val="auto"/>
          <w:szCs w:val="21"/>
        </w:rPr>
      </w:pPr>
      <w:r>
        <w:rPr>
          <w:rFonts w:hint="eastAsia" w:ascii="宋体" w:hAnsi="宋体"/>
          <w:color w:val="auto"/>
          <w:szCs w:val="21"/>
        </w:rPr>
        <w:t>因承包人原因导致的质量缺陷责任，由合同当事人根据有关法律规定，在专用合同条件和工程质量保修书中约定工程质量保修范围、期限和责任。</w:t>
      </w:r>
      <w:bookmarkEnd w:id="1385"/>
      <w:bookmarkStart w:id="1571" w:name="_Ref531957860"/>
      <w:bookmarkStart w:id="1572" w:name="_Ref531958289"/>
    </w:p>
    <w:bookmarkEnd w:id="1571"/>
    <w:p w14:paraId="1A833449">
      <w:pPr>
        <w:pStyle w:val="3"/>
        <w:spacing w:before="48" w:line="360" w:lineRule="auto"/>
        <w:rPr>
          <w:rFonts w:ascii="黑体" w:hAnsi="黑体"/>
          <w:bCs w:val="0"/>
          <w:color w:val="auto"/>
          <w:sz w:val="28"/>
        </w:rPr>
      </w:pPr>
      <w:bookmarkStart w:id="1573" w:name="_Toc154063593"/>
      <w:bookmarkStart w:id="1574" w:name="_Ref4621057"/>
      <w:bookmarkStart w:id="1575" w:name="_Ref4621065"/>
      <w:bookmarkStart w:id="1576" w:name="_Toc54862277"/>
      <w:bookmarkStart w:id="1577" w:name="_Ref4796958"/>
      <w:bookmarkStart w:id="1578" w:name="_Ref4796955"/>
      <w:r>
        <w:rPr>
          <w:rFonts w:hint="eastAsia" w:ascii="黑体" w:hAnsi="黑体"/>
          <w:bCs w:val="0"/>
          <w:color w:val="auto"/>
          <w:sz w:val="28"/>
        </w:rPr>
        <w:t>第1</w:t>
      </w:r>
      <w:r>
        <w:rPr>
          <w:rFonts w:ascii="黑体" w:hAnsi="黑体"/>
          <w:bCs w:val="0"/>
          <w:color w:val="auto"/>
          <w:sz w:val="28"/>
        </w:rPr>
        <w:t>2</w:t>
      </w:r>
      <w:r>
        <w:rPr>
          <w:rFonts w:hint="eastAsia" w:ascii="黑体" w:hAnsi="黑体"/>
          <w:bCs w:val="0"/>
          <w:color w:val="auto"/>
          <w:sz w:val="28"/>
        </w:rPr>
        <w:t>条 竣工后试验</w:t>
      </w:r>
      <w:bookmarkEnd w:id="1573"/>
      <w:bookmarkEnd w:id="1574"/>
      <w:bookmarkEnd w:id="1575"/>
      <w:bookmarkEnd w:id="1576"/>
    </w:p>
    <w:p w14:paraId="185F2CE5">
      <w:pPr>
        <w:spacing w:line="360" w:lineRule="auto"/>
        <w:ind w:firstLine="420" w:firstLineChars="200"/>
        <w:rPr>
          <w:rFonts w:ascii="宋体" w:hAnsi="宋体"/>
          <w:color w:val="auto"/>
          <w:szCs w:val="21"/>
        </w:rPr>
      </w:pPr>
      <w:r>
        <w:rPr>
          <w:rFonts w:hint="eastAsia" w:ascii="宋体" w:hAnsi="宋体"/>
          <w:color w:val="auto"/>
          <w:szCs w:val="21"/>
        </w:rPr>
        <w:t>本合同工程包含竣工后试验的，遵守本条约定。</w:t>
      </w:r>
    </w:p>
    <w:p w14:paraId="478399C3">
      <w:pPr>
        <w:pStyle w:val="4"/>
        <w:spacing w:before="120" w:line="360" w:lineRule="auto"/>
        <w:rPr>
          <w:color w:val="auto"/>
        </w:rPr>
      </w:pPr>
      <w:bookmarkStart w:id="1579" w:name="_Ref531954601"/>
      <w:bookmarkStart w:id="1580" w:name="_Ref531954604"/>
      <w:bookmarkStart w:id="1581" w:name="_Toc54862278"/>
      <w:bookmarkStart w:id="1582" w:name="_Toc154063594"/>
      <w:bookmarkStart w:id="1583" w:name="_Ref531954694"/>
      <w:bookmarkStart w:id="1584" w:name="_Hlk522259976"/>
      <w:r>
        <w:rPr>
          <w:rFonts w:hint="eastAsia"/>
          <w:color w:val="auto"/>
        </w:rPr>
        <w:t>1</w:t>
      </w:r>
      <w:r>
        <w:rPr>
          <w:color w:val="auto"/>
        </w:rPr>
        <w:t xml:space="preserve">2.1 </w:t>
      </w:r>
      <w:r>
        <w:rPr>
          <w:rFonts w:hint="eastAsia"/>
          <w:color w:val="auto"/>
        </w:rPr>
        <w:t>竣工后试验</w:t>
      </w:r>
      <w:bookmarkEnd w:id="1579"/>
      <w:bookmarkEnd w:id="1580"/>
      <w:r>
        <w:rPr>
          <w:rFonts w:hint="eastAsia"/>
          <w:color w:val="auto"/>
        </w:rPr>
        <w:t>的程序</w:t>
      </w:r>
      <w:bookmarkEnd w:id="1581"/>
      <w:bookmarkEnd w:id="1582"/>
      <w:bookmarkEnd w:id="1583"/>
    </w:p>
    <w:p w14:paraId="277D73F4">
      <w:pPr>
        <w:pStyle w:val="130"/>
        <w:numPr>
          <w:ilvl w:val="0"/>
          <w:numId w:val="0"/>
        </w:numPr>
        <w:ind w:firstLine="420" w:firstLineChars="200"/>
        <w:rPr>
          <w:color w:val="auto"/>
          <w:sz w:val="21"/>
        </w:rPr>
      </w:pPr>
      <w:bookmarkStart w:id="1585" w:name="_Ref11920184"/>
      <w:r>
        <w:rPr>
          <w:rFonts w:hint="eastAsia"/>
          <w:color w:val="auto"/>
          <w:sz w:val="21"/>
        </w:rPr>
        <w:t>1</w:t>
      </w:r>
      <w:r>
        <w:rPr>
          <w:color w:val="auto"/>
          <w:sz w:val="21"/>
        </w:rPr>
        <w:t xml:space="preserve">2.1.1 </w:t>
      </w:r>
      <w:r>
        <w:rPr>
          <w:rFonts w:hint="eastAsia"/>
          <w:color w:val="auto"/>
          <w:sz w:val="21"/>
        </w:rPr>
        <w:t>工程或区段工程被发包人接收后，在合理可行的情况下应根据合同约定尽早进行竣工后试验。</w:t>
      </w:r>
      <w:bookmarkEnd w:id="1585"/>
    </w:p>
    <w:p w14:paraId="37BDB57A">
      <w:pPr>
        <w:pStyle w:val="130"/>
        <w:numPr>
          <w:ilvl w:val="0"/>
          <w:numId w:val="0"/>
        </w:numPr>
        <w:ind w:firstLine="420" w:firstLineChars="200"/>
        <w:rPr>
          <w:color w:val="auto"/>
          <w:sz w:val="21"/>
        </w:rPr>
      </w:pPr>
      <w:r>
        <w:rPr>
          <w:rFonts w:hint="eastAsia"/>
          <w:color w:val="auto"/>
          <w:sz w:val="21"/>
        </w:rPr>
        <w:t>1</w:t>
      </w:r>
      <w:r>
        <w:rPr>
          <w:color w:val="auto"/>
          <w:sz w:val="21"/>
        </w:rPr>
        <w:t xml:space="preserve">2.1.2 </w:t>
      </w:r>
      <w:r>
        <w:rPr>
          <w:rFonts w:hint="eastAsia"/>
          <w:color w:val="auto"/>
          <w:sz w:val="21"/>
        </w:rPr>
        <w:t>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p>
    <w:p w14:paraId="57BF53C1">
      <w:pPr>
        <w:pStyle w:val="130"/>
        <w:numPr>
          <w:ilvl w:val="0"/>
          <w:numId w:val="0"/>
        </w:numPr>
        <w:ind w:firstLine="420" w:firstLineChars="200"/>
        <w:rPr>
          <w:color w:val="auto"/>
          <w:sz w:val="21"/>
        </w:rPr>
      </w:pPr>
      <w:bookmarkStart w:id="1586" w:name="_Ref11920162"/>
      <w:r>
        <w:rPr>
          <w:rFonts w:hint="eastAsia"/>
          <w:color w:val="auto"/>
          <w:sz w:val="21"/>
        </w:rPr>
        <w:t>1</w:t>
      </w:r>
      <w:r>
        <w:rPr>
          <w:color w:val="auto"/>
          <w:sz w:val="21"/>
        </w:rPr>
        <w:t xml:space="preserve">2.1.3 </w:t>
      </w:r>
      <w:r>
        <w:rPr>
          <w:rFonts w:hint="eastAsia"/>
          <w:color w:val="auto"/>
          <w:sz w:val="21"/>
        </w:rPr>
        <w:t>除《发包人要求》另有约定外，发包人应在合理可行的情况下尽快进行每项竣工后试验，并至少提前21天将该项竣工后试验的内容、地点和时间，以及显示其他竣工后试验拟开展时间的竣工后试验计划通知承包人。</w:t>
      </w:r>
      <w:bookmarkEnd w:id="1586"/>
    </w:p>
    <w:p w14:paraId="3107FEEB">
      <w:pPr>
        <w:pStyle w:val="130"/>
        <w:numPr>
          <w:ilvl w:val="0"/>
          <w:numId w:val="0"/>
        </w:numPr>
        <w:ind w:firstLine="420" w:firstLineChars="200"/>
        <w:rPr>
          <w:color w:val="auto"/>
          <w:sz w:val="21"/>
        </w:rPr>
      </w:pPr>
      <w:bookmarkStart w:id="1587" w:name="_Ref11920146"/>
      <w:r>
        <w:rPr>
          <w:rFonts w:hint="eastAsia"/>
          <w:color w:val="auto"/>
          <w:sz w:val="21"/>
        </w:rPr>
        <w:t>1</w:t>
      </w:r>
      <w:r>
        <w:rPr>
          <w:color w:val="auto"/>
          <w:sz w:val="21"/>
        </w:rPr>
        <w:t xml:space="preserve">2.1.4 </w:t>
      </w:r>
      <w:r>
        <w:rPr>
          <w:rFonts w:hint="eastAsia"/>
          <w:color w:val="auto"/>
          <w:sz w:val="21"/>
        </w:rPr>
        <w:t>发包人应根据《发包人要求》、承包人按照第</w:t>
      </w:r>
      <w:r>
        <w:rPr>
          <w:color w:val="auto"/>
          <w:sz w:val="21"/>
        </w:rPr>
        <w:t>5.5</w:t>
      </w:r>
      <w:r>
        <w:rPr>
          <w:rFonts w:hint="eastAsia"/>
          <w:color w:val="auto"/>
          <w:sz w:val="21"/>
        </w:rPr>
        <w:t>款</w:t>
      </w:r>
      <w:bookmarkStart w:id="1588" w:name="_Hlk18943978"/>
      <w:r>
        <w:rPr>
          <w:rFonts w:hint="eastAsia"/>
          <w:color w:val="auto"/>
          <w:sz w:val="21"/>
        </w:rPr>
        <w:t>[</w:t>
      </w:r>
      <w:r>
        <w:rPr>
          <w:color w:val="auto"/>
          <w:sz w:val="21"/>
        </w:rPr>
        <w:t>操作和维修手册</w:t>
      </w:r>
      <w:r>
        <w:rPr>
          <w:rFonts w:hint="eastAsia"/>
          <w:color w:val="auto"/>
          <w:sz w:val="21"/>
        </w:rPr>
        <w:t>]</w:t>
      </w:r>
      <w:bookmarkEnd w:id="1588"/>
      <w:r>
        <w:rPr>
          <w:rFonts w:hint="eastAsia"/>
          <w:color w:val="auto"/>
          <w:sz w:val="21"/>
        </w:rPr>
        <w:t>提交的文件，以及承包人被要求提供的指导进行竣工后试验。如承包人未在发包人通知的时间和地点参加竣工后试验，发包人可自行进行，该试验应被视为是承包人在场的情况下进行的，且承包人应视为认可试验数据。</w:t>
      </w:r>
      <w:bookmarkEnd w:id="1587"/>
    </w:p>
    <w:p w14:paraId="1ABB3B7E">
      <w:pPr>
        <w:pStyle w:val="130"/>
        <w:numPr>
          <w:ilvl w:val="0"/>
          <w:numId w:val="0"/>
        </w:numPr>
        <w:ind w:firstLine="420" w:firstLineChars="200"/>
        <w:rPr>
          <w:color w:val="auto"/>
          <w:sz w:val="21"/>
        </w:rPr>
      </w:pPr>
      <w:r>
        <w:rPr>
          <w:rFonts w:hint="eastAsia"/>
          <w:color w:val="auto"/>
          <w:sz w:val="21"/>
        </w:rPr>
        <w:t>1</w:t>
      </w:r>
      <w:r>
        <w:rPr>
          <w:color w:val="auto"/>
          <w:sz w:val="21"/>
        </w:rPr>
        <w:t xml:space="preserve">2.1.5 </w:t>
      </w:r>
      <w:r>
        <w:rPr>
          <w:rFonts w:hint="eastAsia"/>
          <w:color w:val="auto"/>
          <w:sz w:val="21"/>
        </w:rPr>
        <w:t>竣工后试验的结果应由双方进行整理和评价，并应适当考虑发包人对工程或其任何部分的使用，对工程或区段工程的性能、特性和试验结果产生的影响。</w:t>
      </w:r>
    </w:p>
    <w:p w14:paraId="18541270">
      <w:pPr>
        <w:pStyle w:val="4"/>
        <w:spacing w:before="120" w:line="360" w:lineRule="auto"/>
        <w:rPr>
          <w:color w:val="auto"/>
        </w:rPr>
      </w:pPr>
      <w:bookmarkStart w:id="1589" w:name="_Ref531954785"/>
      <w:bookmarkStart w:id="1590" w:name="_Ref531954781"/>
      <w:bookmarkStart w:id="1591" w:name="_Toc54862279"/>
      <w:bookmarkStart w:id="1592" w:name="_Toc154063595"/>
      <w:r>
        <w:rPr>
          <w:rFonts w:hint="eastAsia"/>
          <w:color w:val="auto"/>
        </w:rPr>
        <w:t>1</w:t>
      </w:r>
      <w:r>
        <w:rPr>
          <w:color w:val="auto"/>
        </w:rPr>
        <w:t xml:space="preserve">2.2 </w:t>
      </w:r>
      <w:r>
        <w:rPr>
          <w:rFonts w:hint="eastAsia"/>
          <w:color w:val="auto"/>
        </w:rPr>
        <w:t>延误的试验</w:t>
      </w:r>
      <w:bookmarkEnd w:id="1589"/>
      <w:bookmarkEnd w:id="1590"/>
      <w:bookmarkEnd w:id="1591"/>
      <w:bookmarkEnd w:id="1592"/>
      <w:r>
        <w:rPr>
          <w:rFonts w:hint="eastAsia"/>
          <w:color w:val="auto"/>
        </w:rPr>
        <w:t xml:space="preserve"> </w:t>
      </w:r>
    </w:p>
    <w:p w14:paraId="3EBE5AE1">
      <w:pPr>
        <w:pStyle w:val="130"/>
        <w:numPr>
          <w:ilvl w:val="0"/>
          <w:numId w:val="0"/>
        </w:numPr>
        <w:ind w:firstLine="420" w:firstLineChars="200"/>
        <w:rPr>
          <w:color w:val="auto"/>
          <w:sz w:val="21"/>
        </w:rPr>
      </w:pPr>
      <w:r>
        <w:rPr>
          <w:rFonts w:hint="eastAsia"/>
          <w:color w:val="auto"/>
          <w:sz w:val="21"/>
        </w:rPr>
        <w:t>1</w:t>
      </w:r>
      <w:r>
        <w:rPr>
          <w:color w:val="auto"/>
          <w:sz w:val="21"/>
        </w:rPr>
        <w:t xml:space="preserve">2.2.1 </w:t>
      </w:r>
      <w:r>
        <w:rPr>
          <w:rFonts w:hint="eastAsia"/>
          <w:color w:val="auto"/>
          <w:sz w:val="21"/>
        </w:rPr>
        <w:t>如果竣工后试验因发包人原因被延误的，发包人应承担承包人由此增加的费用并支付承包人合理利润。</w:t>
      </w:r>
    </w:p>
    <w:p w14:paraId="5C3E2BBB">
      <w:pPr>
        <w:pStyle w:val="130"/>
        <w:numPr>
          <w:ilvl w:val="0"/>
          <w:numId w:val="0"/>
        </w:numPr>
        <w:ind w:firstLine="420" w:firstLineChars="200"/>
        <w:rPr>
          <w:color w:val="auto"/>
          <w:sz w:val="21"/>
        </w:rPr>
      </w:pPr>
      <w:r>
        <w:rPr>
          <w:rFonts w:hint="eastAsia"/>
          <w:color w:val="auto"/>
          <w:sz w:val="21"/>
        </w:rPr>
        <w:t>1</w:t>
      </w:r>
      <w:r>
        <w:rPr>
          <w:color w:val="auto"/>
          <w:sz w:val="21"/>
        </w:rPr>
        <w:t xml:space="preserve">2.2.2 </w:t>
      </w:r>
      <w:r>
        <w:rPr>
          <w:rFonts w:hint="eastAsia"/>
          <w:color w:val="auto"/>
          <w:sz w:val="21"/>
        </w:rPr>
        <w:t>如果因承包人以外的原因，导致竣工后试验未能在缺陷责任期或双方另行同意的其他期限内完成，则相关工程或区段工程应视为已通过该竣工后试验。</w:t>
      </w:r>
    </w:p>
    <w:p w14:paraId="2024D060">
      <w:pPr>
        <w:pStyle w:val="4"/>
        <w:spacing w:before="120" w:line="360" w:lineRule="auto"/>
        <w:rPr>
          <w:color w:val="auto"/>
        </w:rPr>
      </w:pPr>
      <w:bookmarkStart w:id="1593" w:name="_Toc154063596"/>
      <w:bookmarkStart w:id="1594" w:name="_Toc54862280"/>
      <w:r>
        <w:rPr>
          <w:rFonts w:hint="eastAsia"/>
          <w:color w:val="auto"/>
        </w:rPr>
        <w:t>1</w:t>
      </w:r>
      <w:r>
        <w:rPr>
          <w:color w:val="auto"/>
        </w:rPr>
        <w:t xml:space="preserve">2.3 </w:t>
      </w:r>
      <w:r>
        <w:rPr>
          <w:rFonts w:hint="eastAsia"/>
          <w:color w:val="auto"/>
        </w:rPr>
        <w:t>重新试验</w:t>
      </w:r>
      <w:bookmarkEnd w:id="1593"/>
      <w:bookmarkEnd w:id="1594"/>
    </w:p>
    <w:p w14:paraId="27519471">
      <w:pPr>
        <w:spacing w:line="360" w:lineRule="auto"/>
        <w:ind w:firstLine="420" w:firstLineChars="200"/>
        <w:rPr>
          <w:rFonts w:ascii="宋体" w:hAnsi="宋体"/>
          <w:color w:val="auto"/>
          <w:szCs w:val="21"/>
        </w:rPr>
      </w:pPr>
      <w:r>
        <w:rPr>
          <w:rFonts w:hint="eastAsia" w:ascii="宋体" w:hAnsi="宋体"/>
          <w:color w:val="auto"/>
          <w:szCs w:val="21"/>
        </w:rPr>
        <w:t>如工程或区段工程未能通过竣工后试验，则承包人应根据第</w:t>
      </w:r>
      <w:r>
        <w:rPr>
          <w:rFonts w:ascii="宋体" w:hAnsi="宋体"/>
          <w:color w:val="auto"/>
          <w:szCs w:val="21"/>
        </w:rPr>
        <w:t>11.3</w:t>
      </w:r>
      <w:r>
        <w:rPr>
          <w:rFonts w:hint="eastAsia" w:ascii="宋体" w:hAnsi="宋体"/>
          <w:color w:val="auto"/>
          <w:szCs w:val="21"/>
        </w:rPr>
        <w:t>款[缺陷调查]的规定修补缺陷，以达到合同约定的要求；并按照第</w:t>
      </w:r>
      <w:r>
        <w:rPr>
          <w:rFonts w:ascii="宋体" w:hAnsi="宋体"/>
          <w:color w:val="auto"/>
          <w:szCs w:val="21"/>
        </w:rPr>
        <w:t>11.4</w:t>
      </w:r>
      <w:r>
        <w:rPr>
          <w:rFonts w:hint="eastAsia" w:ascii="宋体" w:hAnsi="宋体"/>
          <w:color w:val="auto"/>
          <w:szCs w:val="21"/>
        </w:rPr>
        <w:t>款[缺陷修复后的进一步试验]重新进行竣工后试验以及承担风险和费用。如未通过试验和重新试验是承包人原因造成的，则承包人还应承担发包人因此增加的费用。</w:t>
      </w:r>
    </w:p>
    <w:bookmarkEnd w:id="1584"/>
    <w:p w14:paraId="6B339982">
      <w:pPr>
        <w:pStyle w:val="4"/>
        <w:spacing w:before="120" w:line="360" w:lineRule="auto"/>
        <w:rPr>
          <w:color w:val="auto"/>
        </w:rPr>
      </w:pPr>
      <w:bookmarkStart w:id="1595" w:name="_Toc154063597"/>
      <w:bookmarkStart w:id="1596" w:name="_Toc54862281"/>
      <w:bookmarkStart w:id="1597" w:name="_Ref531954811"/>
      <w:bookmarkStart w:id="1598" w:name="_Ref531954819"/>
      <w:r>
        <w:rPr>
          <w:rFonts w:hint="eastAsia"/>
          <w:color w:val="auto"/>
        </w:rPr>
        <w:t>1</w:t>
      </w:r>
      <w:r>
        <w:rPr>
          <w:color w:val="auto"/>
        </w:rPr>
        <w:t xml:space="preserve">2.4 </w:t>
      </w:r>
      <w:r>
        <w:rPr>
          <w:rFonts w:hint="eastAsia"/>
          <w:color w:val="auto"/>
        </w:rPr>
        <w:t>未能通过竣工后试验</w:t>
      </w:r>
      <w:bookmarkEnd w:id="1595"/>
      <w:bookmarkEnd w:id="1596"/>
      <w:bookmarkEnd w:id="1597"/>
      <w:bookmarkEnd w:id="1598"/>
    </w:p>
    <w:p w14:paraId="1D7EAE4A">
      <w:pPr>
        <w:pStyle w:val="130"/>
        <w:numPr>
          <w:ilvl w:val="0"/>
          <w:numId w:val="0"/>
        </w:numPr>
        <w:ind w:firstLine="420" w:firstLineChars="200"/>
        <w:rPr>
          <w:color w:val="auto"/>
          <w:sz w:val="21"/>
        </w:rPr>
      </w:pPr>
      <w:bookmarkStart w:id="1599" w:name="_Ref531954829"/>
      <w:r>
        <w:rPr>
          <w:rFonts w:hint="eastAsia"/>
          <w:color w:val="auto"/>
          <w:sz w:val="21"/>
        </w:rPr>
        <w:t>1</w:t>
      </w:r>
      <w:r>
        <w:rPr>
          <w:color w:val="auto"/>
          <w:sz w:val="21"/>
        </w:rPr>
        <w:t xml:space="preserve">2.4.1 </w:t>
      </w:r>
      <w:r>
        <w:rPr>
          <w:rFonts w:hint="eastAsia"/>
          <w:color w:val="auto"/>
          <w:sz w:val="21"/>
        </w:rPr>
        <w:t>工程或区段工程未能通过竣工后试验，且合同中就该项未通过的试验约定了性能损害赔偿违约金及其计算方法的，或者就该项未通过的试验另行达成补充协议的，承包人在缺陷责任期内向发包人支付相应违约金或按补充协议履行后，视为通过竣工后试验。</w:t>
      </w:r>
      <w:bookmarkEnd w:id="1599"/>
    </w:p>
    <w:p w14:paraId="7D8E266F">
      <w:pPr>
        <w:pStyle w:val="130"/>
        <w:numPr>
          <w:ilvl w:val="0"/>
          <w:numId w:val="0"/>
        </w:numPr>
        <w:ind w:firstLine="420" w:firstLineChars="200"/>
        <w:rPr>
          <w:color w:val="auto"/>
          <w:sz w:val="21"/>
        </w:rPr>
      </w:pPr>
      <w:r>
        <w:rPr>
          <w:rFonts w:hint="eastAsia"/>
          <w:color w:val="auto"/>
          <w:sz w:val="21"/>
        </w:rPr>
        <w:t>1</w:t>
      </w:r>
      <w:r>
        <w:rPr>
          <w:color w:val="auto"/>
          <w:sz w:val="21"/>
        </w:rPr>
        <w:t xml:space="preserve">2.4.2 </w:t>
      </w:r>
      <w:r>
        <w:rPr>
          <w:rFonts w:hint="eastAsia"/>
          <w:color w:val="auto"/>
          <w:sz w:val="21"/>
        </w:rPr>
        <w:t>对未能通过竣工后试验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该竣工后试验。</w:t>
      </w:r>
    </w:p>
    <w:p w14:paraId="599757FA">
      <w:pPr>
        <w:pStyle w:val="130"/>
        <w:numPr>
          <w:ilvl w:val="0"/>
          <w:numId w:val="0"/>
        </w:numPr>
        <w:ind w:firstLine="420" w:firstLineChars="200"/>
        <w:rPr>
          <w:color w:val="auto"/>
          <w:sz w:val="21"/>
        </w:rPr>
      </w:pPr>
      <w:r>
        <w:rPr>
          <w:rFonts w:hint="eastAsia"/>
          <w:color w:val="auto"/>
          <w:sz w:val="21"/>
        </w:rPr>
        <w:t>1</w:t>
      </w:r>
      <w:r>
        <w:rPr>
          <w:color w:val="auto"/>
          <w:sz w:val="21"/>
        </w:rPr>
        <w:t xml:space="preserve">2.4.3 </w:t>
      </w:r>
      <w:r>
        <w:rPr>
          <w:rFonts w:hint="eastAsia"/>
          <w:color w:val="auto"/>
          <w:sz w:val="21"/>
        </w:rPr>
        <w:t>发包人无故拖延给予承包人进行调查、调整或修补所需的进入工程或区段工程的许可，并造成承包人费用增加的，应承担由此增加的费用并支付承包人合理利润。</w:t>
      </w:r>
    </w:p>
    <w:p w14:paraId="5922768F">
      <w:pPr>
        <w:pStyle w:val="3"/>
        <w:spacing w:before="48" w:line="360" w:lineRule="auto"/>
        <w:rPr>
          <w:rFonts w:ascii="黑体" w:hAnsi="黑体"/>
          <w:bCs w:val="0"/>
          <w:color w:val="auto"/>
          <w:sz w:val="28"/>
        </w:rPr>
      </w:pPr>
      <w:bookmarkStart w:id="1600" w:name="_Ref4415801"/>
      <w:bookmarkStart w:id="1601" w:name="_Toc54862282"/>
      <w:bookmarkStart w:id="1602" w:name="_Toc154063598"/>
      <w:r>
        <w:rPr>
          <w:rFonts w:hint="eastAsia" w:ascii="黑体" w:hAnsi="黑体"/>
          <w:bCs w:val="0"/>
          <w:color w:val="auto"/>
          <w:sz w:val="28"/>
        </w:rPr>
        <w:t>第1</w:t>
      </w:r>
      <w:r>
        <w:rPr>
          <w:rFonts w:ascii="黑体" w:hAnsi="黑体"/>
          <w:bCs w:val="0"/>
          <w:color w:val="auto"/>
          <w:sz w:val="28"/>
        </w:rPr>
        <w:t>3</w:t>
      </w:r>
      <w:r>
        <w:rPr>
          <w:rFonts w:hint="eastAsia" w:ascii="黑体" w:hAnsi="黑体"/>
          <w:bCs w:val="0"/>
          <w:color w:val="auto"/>
          <w:sz w:val="28"/>
        </w:rPr>
        <w:t>条 变更与调整</w:t>
      </w:r>
      <w:bookmarkEnd w:id="1600"/>
      <w:bookmarkEnd w:id="1601"/>
      <w:bookmarkEnd w:id="1602"/>
    </w:p>
    <w:p w14:paraId="1560A722">
      <w:pPr>
        <w:pStyle w:val="4"/>
        <w:spacing w:before="120" w:line="360" w:lineRule="auto"/>
        <w:rPr>
          <w:color w:val="auto"/>
        </w:rPr>
      </w:pPr>
      <w:bookmarkStart w:id="1603" w:name="_Ref532670393"/>
      <w:bookmarkStart w:id="1604" w:name="_Ref532677084"/>
      <w:bookmarkStart w:id="1605" w:name="_Toc154063599"/>
      <w:bookmarkStart w:id="1606" w:name="_Ref532668569"/>
      <w:bookmarkStart w:id="1607" w:name="_Ref532668573"/>
      <w:bookmarkStart w:id="1608" w:name="_Toc54862283"/>
      <w:bookmarkStart w:id="1609" w:name="_Ref532677087"/>
      <w:bookmarkStart w:id="1610" w:name="_Ref532670395"/>
      <w:r>
        <w:rPr>
          <w:rFonts w:hint="eastAsia"/>
          <w:color w:val="auto"/>
        </w:rPr>
        <w:t>1</w:t>
      </w:r>
      <w:r>
        <w:rPr>
          <w:color w:val="auto"/>
        </w:rPr>
        <w:t xml:space="preserve">3.1 </w:t>
      </w:r>
      <w:r>
        <w:rPr>
          <w:rFonts w:hint="eastAsia"/>
          <w:color w:val="auto"/>
        </w:rPr>
        <w:t>发包人变更权</w:t>
      </w:r>
      <w:bookmarkEnd w:id="1603"/>
      <w:bookmarkEnd w:id="1604"/>
      <w:bookmarkEnd w:id="1605"/>
      <w:bookmarkEnd w:id="1606"/>
      <w:bookmarkEnd w:id="1607"/>
      <w:bookmarkEnd w:id="1608"/>
      <w:bookmarkEnd w:id="1609"/>
      <w:bookmarkEnd w:id="1610"/>
      <w:r>
        <w:rPr>
          <w:rFonts w:hint="eastAsia"/>
          <w:color w:val="auto"/>
        </w:rPr>
        <w:t xml:space="preserve"> </w:t>
      </w:r>
    </w:p>
    <w:p w14:paraId="2D2F241F">
      <w:pPr>
        <w:pStyle w:val="130"/>
        <w:numPr>
          <w:ilvl w:val="0"/>
          <w:numId w:val="0"/>
        </w:numPr>
        <w:ind w:firstLine="420" w:firstLineChars="200"/>
        <w:rPr>
          <w:color w:val="auto"/>
          <w:sz w:val="21"/>
        </w:rPr>
      </w:pPr>
      <w:bookmarkStart w:id="1611" w:name="_Ref4534979"/>
      <w:r>
        <w:rPr>
          <w:rFonts w:hint="eastAsia"/>
          <w:color w:val="auto"/>
          <w:sz w:val="21"/>
        </w:rPr>
        <w:t>1</w:t>
      </w:r>
      <w:r>
        <w:rPr>
          <w:color w:val="auto"/>
          <w:sz w:val="21"/>
        </w:rPr>
        <w:t xml:space="preserve">3.1.1 </w:t>
      </w:r>
      <w:r>
        <w:rPr>
          <w:rFonts w:hint="eastAsia"/>
          <w:color w:val="auto"/>
          <w:sz w:val="21"/>
        </w:rPr>
        <w:t>变更指示应经发包人同意，并由工程师发出经发包人签认的变更指示。除第</w:t>
      </w:r>
      <w:r>
        <w:rPr>
          <w:color w:val="auto"/>
          <w:sz w:val="21"/>
        </w:rPr>
        <w:t>11.3.6</w:t>
      </w:r>
      <w:r>
        <w:rPr>
          <w:rFonts w:hint="eastAsia"/>
          <w:color w:val="auto"/>
          <w:sz w:val="21"/>
        </w:rPr>
        <w:t>项[未能修复]约定的情况外，变更不应包括准备将任何工作删减并交由他人或发包人自行实施的情况。承包人收到变更指示后，方可实施变更。未经许可，承包人不得擅自对工程的任何部分进行变更。</w:t>
      </w:r>
      <w:bookmarkEnd w:id="1611"/>
      <w:r>
        <w:rPr>
          <w:rFonts w:hint="eastAsia"/>
          <w:color w:val="auto"/>
          <w:sz w:val="21"/>
        </w:rPr>
        <w:t>发包人与承包人对某项指示或批准是否构成变更产生争议的，按第</w:t>
      </w:r>
      <w:r>
        <w:rPr>
          <w:color w:val="auto"/>
          <w:sz w:val="21"/>
        </w:rPr>
        <w:t>20条</w:t>
      </w:r>
      <w:r>
        <w:rPr>
          <w:rFonts w:hint="eastAsia"/>
          <w:color w:val="auto"/>
          <w:sz w:val="21"/>
        </w:rPr>
        <w:t>[争议解决]处理。</w:t>
      </w:r>
    </w:p>
    <w:p w14:paraId="6CD87A57">
      <w:pPr>
        <w:pStyle w:val="130"/>
        <w:numPr>
          <w:ilvl w:val="0"/>
          <w:numId w:val="0"/>
        </w:numPr>
        <w:ind w:firstLine="420" w:firstLineChars="200"/>
        <w:rPr>
          <w:color w:val="auto"/>
          <w:sz w:val="21"/>
        </w:rPr>
      </w:pPr>
      <w:r>
        <w:rPr>
          <w:rFonts w:hint="eastAsia"/>
          <w:color w:val="auto"/>
          <w:sz w:val="21"/>
        </w:rPr>
        <w:t>1</w:t>
      </w:r>
      <w:r>
        <w:rPr>
          <w:color w:val="auto"/>
          <w:sz w:val="21"/>
        </w:rPr>
        <w:t xml:space="preserve">3.1.2 </w:t>
      </w:r>
      <w:r>
        <w:rPr>
          <w:rFonts w:hint="eastAsia"/>
          <w:color w:val="auto"/>
          <w:sz w:val="21"/>
        </w:rPr>
        <w:t>承包人应按照变更指示执行，除非承包人及时向工程师发出通知，说明该项变更指示将降低工程的安全性、稳定性或适用性；涉及的工作内容和范围不可预见；所涉设备难以采购；导致承包人无法执行第</w:t>
      </w:r>
      <w:r>
        <w:rPr>
          <w:color w:val="auto"/>
          <w:sz w:val="21"/>
        </w:rPr>
        <w:t>7.5</w:t>
      </w:r>
      <w:r>
        <w:rPr>
          <w:rFonts w:hint="eastAsia"/>
          <w:color w:val="auto"/>
          <w:sz w:val="21"/>
        </w:rPr>
        <w:t>款[现场劳动用工]、第7</w:t>
      </w:r>
      <w:r>
        <w:rPr>
          <w:color w:val="auto"/>
          <w:sz w:val="21"/>
        </w:rPr>
        <w:t>.6</w:t>
      </w:r>
      <w:r>
        <w:rPr>
          <w:rFonts w:hint="eastAsia"/>
          <w:color w:val="auto"/>
          <w:sz w:val="21"/>
        </w:rPr>
        <w:t>款[安全文明施工</w:t>
      </w:r>
      <w:r>
        <w:rPr>
          <w:color w:val="auto"/>
          <w:sz w:val="21"/>
        </w:rPr>
        <w:t>]</w:t>
      </w:r>
      <w:r>
        <w:rPr>
          <w:rFonts w:hint="eastAsia"/>
          <w:color w:val="auto"/>
          <w:sz w:val="21"/>
        </w:rPr>
        <w:t>、第</w:t>
      </w:r>
      <w:r>
        <w:rPr>
          <w:color w:val="auto"/>
          <w:sz w:val="21"/>
        </w:rPr>
        <w:t>7.7</w:t>
      </w:r>
      <w:r>
        <w:rPr>
          <w:rFonts w:hint="eastAsia"/>
          <w:color w:val="auto"/>
          <w:sz w:val="21"/>
        </w:rPr>
        <w:t>款[</w:t>
      </w:r>
      <w:r>
        <w:rPr>
          <w:color w:val="auto"/>
          <w:sz w:val="21"/>
        </w:rPr>
        <w:t>职业健康]</w:t>
      </w:r>
      <w:r>
        <w:rPr>
          <w:rFonts w:hint="eastAsia"/>
          <w:color w:val="auto"/>
          <w:sz w:val="21"/>
        </w:rPr>
        <w:t>或第</w:t>
      </w:r>
      <w:r>
        <w:rPr>
          <w:color w:val="auto"/>
          <w:sz w:val="21"/>
        </w:rPr>
        <w:t>7.8</w:t>
      </w:r>
      <w:r>
        <w:rPr>
          <w:rFonts w:hint="eastAsia"/>
          <w:color w:val="auto"/>
          <w:sz w:val="21"/>
        </w:rPr>
        <w:t>款[环境保护</w:t>
      </w:r>
      <w:r>
        <w:rPr>
          <w:color w:val="auto"/>
          <w:sz w:val="21"/>
        </w:rPr>
        <w:t>]</w:t>
      </w:r>
      <w:r>
        <w:rPr>
          <w:rFonts w:hint="eastAsia"/>
          <w:color w:val="auto"/>
          <w:sz w:val="21"/>
        </w:rPr>
        <w:t>内容；将造成工期延误；与第</w:t>
      </w:r>
      <w:r>
        <w:rPr>
          <w:color w:val="auto"/>
          <w:sz w:val="21"/>
        </w:rPr>
        <w:t>4.1</w:t>
      </w:r>
      <w:r>
        <w:rPr>
          <w:rFonts w:hint="eastAsia"/>
          <w:color w:val="auto"/>
          <w:sz w:val="21"/>
        </w:rPr>
        <w:t>款[</w:t>
      </w:r>
      <w:r>
        <w:rPr>
          <w:color w:val="auto"/>
          <w:sz w:val="21"/>
        </w:rPr>
        <w:t>承包人的一般义务]</w:t>
      </w:r>
      <w:r>
        <w:rPr>
          <w:rFonts w:hint="eastAsia"/>
          <w:color w:val="auto"/>
          <w:sz w:val="21"/>
        </w:rPr>
        <w:t>相冲突等无法执行的理由。工程师接到承包人的通知后，应作出经发包人签认的取消、确认或改变原指示的书面回复。</w:t>
      </w:r>
    </w:p>
    <w:p w14:paraId="6325119E">
      <w:pPr>
        <w:pStyle w:val="4"/>
        <w:spacing w:before="120" w:line="360" w:lineRule="auto"/>
        <w:rPr>
          <w:color w:val="auto"/>
        </w:rPr>
      </w:pPr>
      <w:bookmarkStart w:id="1612" w:name="_Ref531955587"/>
      <w:bookmarkStart w:id="1613" w:name="_Ref531955590"/>
      <w:bookmarkStart w:id="1614" w:name="_Ref4623207"/>
      <w:bookmarkStart w:id="1615" w:name="_Toc154063600"/>
      <w:bookmarkStart w:id="1616" w:name="_Toc54862284"/>
      <w:r>
        <w:rPr>
          <w:rFonts w:hint="eastAsia"/>
          <w:color w:val="auto"/>
        </w:rPr>
        <w:t>1</w:t>
      </w:r>
      <w:r>
        <w:rPr>
          <w:color w:val="auto"/>
        </w:rPr>
        <w:t xml:space="preserve">3.2 </w:t>
      </w:r>
      <w:r>
        <w:rPr>
          <w:rFonts w:hint="eastAsia"/>
          <w:color w:val="auto"/>
        </w:rPr>
        <w:t>承</w:t>
      </w:r>
      <w:bookmarkEnd w:id="1612"/>
      <w:bookmarkEnd w:id="1613"/>
      <w:r>
        <w:rPr>
          <w:rFonts w:hint="eastAsia"/>
          <w:color w:val="auto"/>
        </w:rPr>
        <w:t>包人的合理化建议</w:t>
      </w:r>
      <w:bookmarkEnd w:id="1614"/>
      <w:bookmarkEnd w:id="1615"/>
      <w:bookmarkEnd w:id="1616"/>
    </w:p>
    <w:p w14:paraId="65A2AB66">
      <w:pPr>
        <w:pStyle w:val="130"/>
        <w:numPr>
          <w:ilvl w:val="0"/>
          <w:numId w:val="0"/>
        </w:numPr>
        <w:ind w:firstLine="420" w:firstLineChars="200"/>
        <w:rPr>
          <w:color w:val="auto"/>
          <w:sz w:val="21"/>
        </w:rPr>
      </w:pPr>
      <w:r>
        <w:rPr>
          <w:rFonts w:hint="eastAsia"/>
          <w:color w:val="auto"/>
          <w:sz w:val="21"/>
        </w:rPr>
        <w:t>1</w:t>
      </w:r>
      <w:r>
        <w:rPr>
          <w:color w:val="auto"/>
          <w:sz w:val="21"/>
        </w:rPr>
        <w:t xml:space="preserve">3.2.1 </w:t>
      </w:r>
      <w:r>
        <w:rPr>
          <w:rFonts w:hint="eastAsia"/>
          <w:color w:val="auto"/>
          <w:sz w:val="21"/>
        </w:rPr>
        <w:t>承包人提出合理化建议的，应向工程师提交合理化建议说明，说明建议的内容、理由以及实施该建议对合同价格和工期的影响。</w:t>
      </w:r>
    </w:p>
    <w:p w14:paraId="0458F921">
      <w:pPr>
        <w:pStyle w:val="130"/>
        <w:numPr>
          <w:ilvl w:val="0"/>
          <w:numId w:val="0"/>
        </w:numPr>
        <w:ind w:firstLine="420" w:firstLineChars="200"/>
        <w:rPr>
          <w:color w:val="auto"/>
          <w:sz w:val="21"/>
        </w:rPr>
      </w:pPr>
      <w:bookmarkStart w:id="1617" w:name="_Ref4681686"/>
      <w:r>
        <w:rPr>
          <w:rFonts w:hint="eastAsia"/>
          <w:color w:val="auto"/>
          <w:sz w:val="21"/>
        </w:rPr>
        <w:t>1</w:t>
      </w:r>
      <w:r>
        <w:rPr>
          <w:color w:val="auto"/>
          <w:sz w:val="21"/>
        </w:rPr>
        <w:t xml:space="preserve">3.2.2 </w:t>
      </w:r>
      <w:r>
        <w:rPr>
          <w:rFonts w:hint="eastAsia"/>
          <w:color w:val="auto"/>
          <w:sz w:val="21"/>
        </w:rPr>
        <w:t>除专用合同条件另有约定外，</w:t>
      </w:r>
      <w:bookmarkStart w:id="1618" w:name="_Hlk4682273"/>
      <w:r>
        <w:rPr>
          <w:rFonts w:hint="eastAsia"/>
          <w:color w:val="auto"/>
          <w:sz w:val="21"/>
        </w:rPr>
        <w:t>工程师应在收到承包人提交的合理化建议后7天内审查完毕并报送发包人，发现其中存在技术上的缺陷，应通知承包人修改。发包人应在收到工程师报送的合理化建议后7天内审批完毕。合理化建议经发包人批准的，工程师应及时发出变更指示，由此引起的合同价格调整按照第</w:t>
      </w:r>
      <w:r>
        <w:rPr>
          <w:color w:val="auto"/>
          <w:sz w:val="21"/>
        </w:rPr>
        <w:t>13.3.3</w:t>
      </w:r>
      <w:r>
        <w:rPr>
          <w:rFonts w:hint="eastAsia"/>
          <w:color w:val="auto"/>
          <w:sz w:val="21"/>
        </w:rPr>
        <w:t>项[</w:t>
      </w:r>
      <w:r>
        <w:rPr>
          <w:color w:val="auto"/>
          <w:sz w:val="21"/>
        </w:rPr>
        <w:t>变更估价</w:t>
      </w:r>
      <w:r>
        <w:rPr>
          <w:rFonts w:hint="eastAsia"/>
          <w:color w:val="auto"/>
          <w:sz w:val="21"/>
        </w:rPr>
        <w:t>]约定执行。发包人不同意变更的，工程师应书面通知承包人</w:t>
      </w:r>
      <w:bookmarkEnd w:id="1617"/>
      <w:r>
        <w:rPr>
          <w:rFonts w:hint="eastAsia"/>
          <w:color w:val="auto"/>
          <w:sz w:val="21"/>
        </w:rPr>
        <w:t>。</w:t>
      </w:r>
    </w:p>
    <w:p w14:paraId="1D6F5EE6">
      <w:pPr>
        <w:pStyle w:val="130"/>
        <w:numPr>
          <w:ilvl w:val="0"/>
          <w:numId w:val="0"/>
        </w:numPr>
        <w:ind w:firstLine="420" w:firstLineChars="200"/>
        <w:rPr>
          <w:color w:val="auto"/>
          <w:sz w:val="21"/>
        </w:rPr>
      </w:pPr>
      <w:r>
        <w:rPr>
          <w:color w:val="auto"/>
          <w:sz w:val="21"/>
        </w:rPr>
        <w:t xml:space="preserve">13.2.3 </w:t>
      </w:r>
      <w:r>
        <w:rPr>
          <w:rFonts w:hint="eastAsia"/>
          <w:color w:val="auto"/>
          <w:sz w:val="21"/>
        </w:rPr>
        <w:t>合理化建议降低了合同价格、缩短了工期或者提高了工程经济效益的，双方可以按照专用合同条件的约定进行利益分享。</w:t>
      </w:r>
    </w:p>
    <w:bookmarkEnd w:id="1618"/>
    <w:p w14:paraId="601D1544">
      <w:pPr>
        <w:pStyle w:val="4"/>
        <w:spacing w:before="120" w:line="360" w:lineRule="auto"/>
        <w:rPr>
          <w:color w:val="auto"/>
        </w:rPr>
      </w:pPr>
      <w:bookmarkStart w:id="1619" w:name="_Ref532673541"/>
      <w:bookmarkStart w:id="1620" w:name="_Ref532669302"/>
      <w:bookmarkStart w:id="1621" w:name="_Ref532669305"/>
      <w:bookmarkStart w:id="1622" w:name="_Ref532673538"/>
      <w:bookmarkStart w:id="1623" w:name="_Toc54862285"/>
      <w:bookmarkStart w:id="1624" w:name="_Ref532671484"/>
      <w:bookmarkStart w:id="1625" w:name="_Toc154063601"/>
      <w:bookmarkStart w:id="1626" w:name="_Ref532671480"/>
      <w:r>
        <w:rPr>
          <w:rFonts w:hint="eastAsia"/>
          <w:color w:val="auto"/>
        </w:rPr>
        <w:t>1</w:t>
      </w:r>
      <w:r>
        <w:rPr>
          <w:color w:val="auto"/>
        </w:rPr>
        <w:t xml:space="preserve">3.3 </w:t>
      </w:r>
      <w:r>
        <w:rPr>
          <w:rFonts w:hint="eastAsia"/>
          <w:color w:val="auto"/>
        </w:rPr>
        <w:t>变更程序</w:t>
      </w:r>
      <w:bookmarkEnd w:id="1619"/>
      <w:bookmarkEnd w:id="1620"/>
      <w:bookmarkEnd w:id="1621"/>
      <w:bookmarkEnd w:id="1622"/>
      <w:bookmarkEnd w:id="1623"/>
      <w:bookmarkEnd w:id="1624"/>
      <w:bookmarkEnd w:id="1625"/>
      <w:bookmarkEnd w:id="1626"/>
    </w:p>
    <w:p w14:paraId="5CF5A0E0">
      <w:pPr>
        <w:pStyle w:val="130"/>
        <w:numPr>
          <w:ilvl w:val="0"/>
          <w:numId w:val="0"/>
        </w:numPr>
        <w:ind w:firstLine="420" w:firstLineChars="200"/>
        <w:rPr>
          <w:color w:val="auto"/>
          <w:sz w:val="21"/>
        </w:rPr>
      </w:pPr>
      <w:bookmarkStart w:id="1627" w:name="_Ref4534600"/>
      <w:r>
        <w:rPr>
          <w:rFonts w:hint="eastAsia"/>
          <w:color w:val="auto"/>
          <w:sz w:val="21"/>
        </w:rPr>
        <w:t>1</w:t>
      </w:r>
      <w:r>
        <w:rPr>
          <w:color w:val="auto"/>
          <w:sz w:val="21"/>
        </w:rPr>
        <w:t xml:space="preserve">3.3.1 </w:t>
      </w:r>
      <w:r>
        <w:rPr>
          <w:rFonts w:hint="eastAsia"/>
          <w:color w:val="auto"/>
          <w:sz w:val="21"/>
        </w:rPr>
        <w:t>发包人提出变更</w:t>
      </w:r>
      <w:bookmarkEnd w:id="1627"/>
    </w:p>
    <w:p w14:paraId="4F853C2D">
      <w:pPr>
        <w:spacing w:line="360" w:lineRule="auto"/>
        <w:ind w:firstLine="420" w:firstLineChars="200"/>
        <w:rPr>
          <w:rFonts w:ascii="宋体" w:hAnsi="宋体"/>
          <w:color w:val="auto"/>
          <w:szCs w:val="21"/>
        </w:rPr>
      </w:pPr>
      <w:r>
        <w:rPr>
          <w:rFonts w:hint="eastAsia" w:ascii="宋体" w:hAnsi="宋体"/>
          <w:color w:val="auto"/>
          <w:szCs w:val="21"/>
        </w:rPr>
        <w:t>发包人提出变更的，应通过工程师向承包人发出书面形式的变更指示，变更指示应说明计划变更的工程范围和变更的内容。</w:t>
      </w:r>
    </w:p>
    <w:p w14:paraId="11548CCE">
      <w:pPr>
        <w:pStyle w:val="130"/>
        <w:numPr>
          <w:ilvl w:val="0"/>
          <w:numId w:val="0"/>
        </w:numPr>
        <w:ind w:firstLine="420" w:firstLineChars="200"/>
        <w:rPr>
          <w:color w:val="auto"/>
          <w:sz w:val="21"/>
        </w:rPr>
      </w:pPr>
      <w:bookmarkStart w:id="1628" w:name="_Ref4534617"/>
      <w:r>
        <w:rPr>
          <w:rFonts w:hint="eastAsia"/>
          <w:color w:val="auto"/>
          <w:sz w:val="21"/>
        </w:rPr>
        <w:t>1</w:t>
      </w:r>
      <w:r>
        <w:rPr>
          <w:color w:val="auto"/>
          <w:sz w:val="21"/>
        </w:rPr>
        <w:t xml:space="preserve">3.3.2 </w:t>
      </w:r>
      <w:r>
        <w:rPr>
          <w:rFonts w:hint="eastAsia"/>
          <w:color w:val="auto"/>
          <w:sz w:val="21"/>
        </w:rPr>
        <w:t>变更执行</w:t>
      </w:r>
      <w:bookmarkEnd w:id="1628"/>
    </w:p>
    <w:p w14:paraId="517D6D9F">
      <w:pPr>
        <w:spacing w:line="360" w:lineRule="auto"/>
        <w:ind w:firstLine="420" w:firstLineChars="200"/>
        <w:rPr>
          <w:rFonts w:ascii="宋体" w:hAnsi="宋体"/>
          <w:color w:val="auto"/>
          <w:szCs w:val="21"/>
        </w:rPr>
      </w:pPr>
      <w:r>
        <w:rPr>
          <w:rFonts w:hint="eastAsia" w:ascii="宋体" w:hAnsi="宋体"/>
          <w:color w:val="auto"/>
          <w:szCs w:val="21"/>
        </w:rPr>
        <w:t>承包人收到工程师下达的变更指示后，认为不能执行，应在合理期限内提出不能执行该变更指示的理由。承包人认为可以执行变更的，应当书面说明实施该变更指示需要采取的具体措施及对合同价格和工期的影响，且合同当事人应当按照第</w:t>
      </w:r>
      <w:r>
        <w:rPr>
          <w:rFonts w:ascii="宋体" w:hAnsi="宋体"/>
          <w:color w:val="auto"/>
          <w:szCs w:val="21"/>
        </w:rPr>
        <w:t>13.3.3</w:t>
      </w:r>
      <w:r>
        <w:rPr>
          <w:rFonts w:hint="eastAsia" w:ascii="宋体" w:hAnsi="宋体"/>
          <w:color w:val="auto"/>
          <w:szCs w:val="21"/>
        </w:rPr>
        <w:t>项[变更估价]约定确定变更估价。</w:t>
      </w:r>
    </w:p>
    <w:p w14:paraId="6DED6D1E">
      <w:pPr>
        <w:pStyle w:val="130"/>
        <w:numPr>
          <w:ilvl w:val="0"/>
          <w:numId w:val="0"/>
        </w:numPr>
        <w:ind w:firstLine="420" w:firstLineChars="200"/>
        <w:rPr>
          <w:color w:val="auto"/>
          <w:sz w:val="21"/>
        </w:rPr>
      </w:pPr>
      <w:bookmarkStart w:id="1629" w:name="_Ref3835481"/>
      <w:r>
        <w:rPr>
          <w:rFonts w:hint="eastAsia"/>
          <w:color w:val="auto"/>
          <w:sz w:val="21"/>
        </w:rPr>
        <w:t>1</w:t>
      </w:r>
      <w:r>
        <w:rPr>
          <w:color w:val="auto"/>
          <w:sz w:val="21"/>
        </w:rPr>
        <w:t xml:space="preserve">3.3.3 </w:t>
      </w:r>
      <w:r>
        <w:rPr>
          <w:rFonts w:hint="eastAsia"/>
          <w:color w:val="auto"/>
          <w:sz w:val="21"/>
        </w:rPr>
        <w:t>变更估价</w:t>
      </w:r>
      <w:bookmarkEnd w:id="1629"/>
    </w:p>
    <w:p w14:paraId="702758D7">
      <w:pPr>
        <w:pStyle w:val="152"/>
        <w:widowControl/>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3.3.3.1 </w:t>
      </w:r>
      <w:r>
        <w:rPr>
          <w:rFonts w:hint="eastAsia"/>
          <w:color w:val="auto"/>
          <w:sz w:val="21"/>
        </w:rPr>
        <w:t>变更估价原则</w:t>
      </w:r>
    </w:p>
    <w:p w14:paraId="758E7344">
      <w:pPr>
        <w:spacing w:line="360" w:lineRule="auto"/>
        <w:ind w:firstLine="630" w:firstLineChars="300"/>
        <w:rPr>
          <w:rFonts w:ascii="宋体" w:hAnsi="宋体"/>
          <w:color w:val="auto"/>
          <w:szCs w:val="21"/>
        </w:rPr>
      </w:pPr>
      <w:r>
        <w:rPr>
          <w:rFonts w:hint="eastAsia" w:ascii="宋体" w:hAnsi="宋体"/>
          <w:color w:val="auto"/>
          <w:szCs w:val="21"/>
        </w:rPr>
        <w:t>除专用合同条件另有约定外，变更估价按照本款约定处理：</w:t>
      </w:r>
    </w:p>
    <w:p w14:paraId="5964C1BC">
      <w:pPr>
        <w:spacing w:line="360" w:lineRule="auto"/>
        <w:ind w:firstLine="600"/>
        <w:rPr>
          <w:rFonts w:ascii="宋体" w:hAnsi="宋体"/>
          <w:color w:val="auto"/>
          <w:szCs w:val="21"/>
        </w:rPr>
      </w:pPr>
      <w:r>
        <w:rPr>
          <w:rFonts w:hint="eastAsia" w:ascii="宋体" w:hAnsi="宋体"/>
          <w:color w:val="auto"/>
          <w:szCs w:val="21"/>
        </w:rPr>
        <w:t>（1）合同中未包含价格清单，合同价格应按照所执行的变更工程的成本加利润调整；</w:t>
      </w:r>
    </w:p>
    <w:p w14:paraId="5C8FA007">
      <w:pPr>
        <w:spacing w:line="360" w:lineRule="auto"/>
        <w:ind w:firstLine="600"/>
        <w:rPr>
          <w:rFonts w:ascii="宋体" w:hAnsi="宋体"/>
          <w:color w:val="auto"/>
          <w:szCs w:val="21"/>
        </w:rPr>
      </w:pPr>
      <w:r>
        <w:rPr>
          <w:rFonts w:hint="eastAsia" w:ascii="宋体" w:hAnsi="宋体"/>
          <w:color w:val="auto"/>
          <w:szCs w:val="21"/>
        </w:rPr>
        <w:t>（2）合同中包含价格清单，合同价格按照如下规则调整：</w:t>
      </w:r>
    </w:p>
    <w:p w14:paraId="693EC9EC">
      <w:pPr>
        <w:spacing w:line="360" w:lineRule="auto"/>
        <w:ind w:firstLine="806" w:firstLineChars="384"/>
        <w:rPr>
          <w:rFonts w:ascii="宋体" w:hAnsi="宋体"/>
          <w:color w:val="auto"/>
          <w:szCs w:val="21"/>
        </w:rPr>
      </w:pPr>
      <w:r>
        <w:rPr>
          <w:rFonts w:hint="eastAsia" w:ascii="宋体" w:hAnsi="宋体"/>
          <w:color w:val="auto"/>
          <w:szCs w:val="21"/>
        </w:rPr>
        <w:t>1）价格清单中有适用于变更工程项目的，应采用该项目的费率和价格；</w:t>
      </w:r>
    </w:p>
    <w:p w14:paraId="7E88E109">
      <w:pPr>
        <w:spacing w:line="360" w:lineRule="auto"/>
        <w:ind w:firstLine="806" w:firstLineChars="384"/>
        <w:rPr>
          <w:rFonts w:ascii="宋体" w:hAnsi="宋体"/>
          <w:color w:val="auto"/>
          <w:szCs w:val="21"/>
        </w:rPr>
      </w:pPr>
      <w:r>
        <w:rPr>
          <w:rFonts w:hint="eastAsia" w:ascii="宋体" w:hAnsi="宋体"/>
          <w:color w:val="auto"/>
          <w:szCs w:val="21"/>
        </w:rPr>
        <w:t>2）价格清单中没有适用但有类似于变更工程项目的，可在合理范围内参照类似项目的费率或价格；</w:t>
      </w:r>
    </w:p>
    <w:p w14:paraId="51F966D4">
      <w:pPr>
        <w:spacing w:line="360" w:lineRule="auto"/>
        <w:ind w:firstLine="806" w:firstLineChars="384"/>
        <w:rPr>
          <w:rFonts w:ascii="宋体" w:hAnsi="宋体"/>
          <w:color w:val="auto"/>
          <w:szCs w:val="21"/>
        </w:rPr>
      </w:pPr>
      <w:r>
        <w:rPr>
          <w:rFonts w:hint="eastAsia" w:ascii="宋体" w:hAnsi="宋体"/>
          <w:color w:val="auto"/>
          <w:szCs w:val="21"/>
        </w:rPr>
        <w:t>3）价格清单中没有适用也没有类似于变更工程项目的，该工程项目应按成本加利润原则调整适用新的费率或价格。</w:t>
      </w:r>
    </w:p>
    <w:p w14:paraId="59E4F4D9">
      <w:pPr>
        <w:pStyle w:val="152"/>
        <w:widowControl/>
        <w:numPr>
          <w:ilvl w:val="0"/>
          <w:numId w:val="0"/>
        </w:numPr>
        <w:tabs>
          <w:tab w:val="clear" w:pos="1680"/>
        </w:tabs>
        <w:ind w:firstLine="630" w:firstLineChars="300"/>
        <w:rPr>
          <w:color w:val="auto"/>
          <w:sz w:val="21"/>
        </w:rPr>
      </w:pPr>
      <w:r>
        <w:rPr>
          <w:rFonts w:hint="eastAsia"/>
          <w:color w:val="auto"/>
          <w:sz w:val="21"/>
        </w:rPr>
        <w:t>1</w:t>
      </w:r>
      <w:r>
        <w:rPr>
          <w:color w:val="auto"/>
          <w:sz w:val="21"/>
        </w:rPr>
        <w:t>3.3.</w:t>
      </w:r>
      <w:r>
        <w:rPr>
          <w:rFonts w:hint="eastAsia"/>
          <w:color w:val="auto"/>
          <w:sz w:val="21"/>
        </w:rPr>
        <w:t>3</w:t>
      </w:r>
      <w:r>
        <w:rPr>
          <w:color w:val="auto"/>
          <w:sz w:val="21"/>
        </w:rPr>
        <w:t xml:space="preserve">.2 </w:t>
      </w:r>
      <w:r>
        <w:rPr>
          <w:rFonts w:hint="eastAsia"/>
          <w:color w:val="auto"/>
          <w:sz w:val="21"/>
        </w:rPr>
        <w:t>变更估价程序</w:t>
      </w:r>
    </w:p>
    <w:p w14:paraId="52BBF0CB">
      <w:pPr>
        <w:spacing w:line="360" w:lineRule="auto"/>
        <w:ind w:firstLine="630" w:firstLineChars="300"/>
        <w:rPr>
          <w:rFonts w:ascii="宋体" w:hAnsi="宋体"/>
          <w:color w:val="auto"/>
          <w:szCs w:val="21"/>
        </w:rPr>
      </w:pPr>
      <w:bookmarkStart w:id="1630" w:name="_Ref531955605"/>
      <w:bookmarkStart w:id="1631" w:name="_Ref531955607"/>
      <w:bookmarkStart w:id="1632" w:name="_Toc337558844"/>
      <w:bookmarkStart w:id="1633" w:name="_Toc296346651"/>
      <w:bookmarkStart w:id="1634" w:name="_Toc296503150"/>
      <w:r>
        <w:rPr>
          <w:rFonts w:hint="eastAsia" w:ascii="宋体" w:hAnsi="宋体"/>
          <w:color w:val="auto"/>
          <w:szCs w:val="21"/>
        </w:rPr>
        <w:t>承包人应在收到变更指示后14天内，向工程师提交变更估价申请。工程师应在收到承包人提交的变更估价申请后7天内审查完毕并报送发包人，工程师对变更估价申请有异议，通知承包人修改后重新提交。发包人应在承包人提交变更估价申请后14天内审批完毕。发包人逾期未完成审批或未提出异议的，视为认可承包人提交的变更估价申请。</w:t>
      </w:r>
    </w:p>
    <w:p w14:paraId="52CBEFA6">
      <w:pPr>
        <w:spacing w:line="360" w:lineRule="auto"/>
        <w:ind w:firstLine="600"/>
        <w:rPr>
          <w:rFonts w:ascii="宋体" w:hAnsi="宋体"/>
          <w:color w:val="auto"/>
          <w:szCs w:val="21"/>
        </w:rPr>
      </w:pPr>
      <w:r>
        <w:rPr>
          <w:rFonts w:hint="eastAsia" w:ascii="宋体" w:hAnsi="宋体"/>
          <w:color w:val="auto"/>
          <w:szCs w:val="21"/>
        </w:rPr>
        <w:t>因变更引起的价格调整应计入最近一期的进度款中支付。</w:t>
      </w:r>
    </w:p>
    <w:p w14:paraId="47D99F0A">
      <w:pPr>
        <w:pStyle w:val="130"/>
        <w:numPr>
          <w:ilvl w:val="0"/>
          <w:numId w:val="0"/>
        </w:numPr>
        <w:ind w:firstLine="420" w:firstLineChars="200"/>
        <w:rPr>
          <w:color w:val="auto"/>
          <w:sz w:val="21"/>
        </w:rPr>
      </w:pPr>
      <w:r>
        <w:rPr>
          <w:rFonts w:hint="eastAsia"/>
          <w:color w:val="auto"/>
          <w:sz w:val="21"/>
        </w:rPr>
        <w:t>1</w:t>
      </w:r>
      <w:r>
        <w:rPr>
          <w:color w:val="auto"/>
          <w:sz w:val="21"/>
        </w:rPr>
        <w:t xml:space="preserve">3.3.4 </w:t>
      </w:r>
      <w:r>
        <w:rPr>
          <w:rFonts w:hint="eastAsia"/>
          <w:color w:val="auto"/>
          <w:sz w:val="21"/>
        </w:rPr>
        <w:t>变更引起的工期调整</w:t>
      </w:r>
    </w:p>
    <w:p w14:paraId="4CD49EEF">
      <w:pPr>
        <w:spacing w:line="360" w:lineRule="auto"/>
        <w:ind w:firstLine="420" w:firstLineChars="200"/>
        <w:rPr>
          <w:rFonts w:ascii="宋体" w:hAnsi="宋体"/>
          <w:color w:val="auto"/>
          <w:szCs w:val="21"/>
        </w:rPr>
      </w:pPr>
      <w:r>
        <w:rPr>
          <w:rFonts w:hint="eastAsia" w:ascii="宋体" w:hAnsi="宋体"/>
          <w:color w:val="auto"/>
          <w:szCs w:val="21"/>
        </w:rPr>
        <w:t>因变更引起工期变化的，合同当事人均可要求调整合同工期，由合同当事人按照第</w:t>
      </w:r>
      <w:r>
        <w:rPr>
          <w:rFonts w:ascii="宋体" w:hAnsi="宋体"/>
          <w:color w:val="auto"/>
          <w:szCs w:val="21"/>
        </w:rPr>
        <w:t>3.6</w:t>
      </w:r>
      <w:r>
        <w:rPr>
          <w:rFonts w:hint="eastAsia" w:ascii="宋体" w:hAnsi="宋体"/>
          <w:color w:val="auto"/>
          <w:szCs w:val="21"/>
        </w:rPr>
        <w:t>款[商定或确定]并参考工程所在地的工期定额标准确定增减工期天数。</w:t>
      </w:r>
    </w:p>
    <w:p w14:paraId="35B04B57">
      <w:pPr>
        <w:pStyle w:val="4"/>
        <w:spacing w:before="120" w:line="360" w:lineRule="auto"/>
        <w:rPr>
          <w:color w:val="auto"/>
        </w:rPr>
      </w:pPr>
      <w:bookmarkStart w:id="1635" w:name="_Toc54862286"/>
      <w:bookmarkStart w:id="1636" w:name="_Ref4431237"/>
      <w:bookmarkStart w:id="1637" w:name="_Toc154063602"/>
      <w:r>
        <w:rPr>
          <w:rFonts w:hint="eastAsia"/>
          <w:color w:val="auto"/>
        </w:rPr>
        <w:t>1</w:t>
      </w:r>
      <w:r>
        <w:rPr>
          <w:color w:val="auto"/>
        </w:rPr>
        <w:t xml:space="preserve">3.4 </w:t>
      </w:r>
      <w:r>
        <w:rPr>
          <w:rFonts w:hint="eastAsia"/>
          <w:color w:val="auto"/>
        </w:rPr>
        <w:t>暂估价</w:t>
      </w:r>
      <w:bookmarkEnd w:id="1635"/>
      <w:bookmarkEnd w:id="1636"/>
      <w:bookmarkEnd w:id="1637"/>
    </w:p>
    <w:p w14:paraId="7E3F2911">
      <w:pPr>
        <w:pStyle w:val="130"/>
        <w:numPr>
          <w:ilvl w:val="0"/>
          <w:numId w:val="0"/>
        </w:numPr>
        <w:ind w:firstLine="420" w:firstLineChars="200"/>
        <w:rPr>
          <w:color w:val="auto"/>
          <w:sz w:val="21"/>
        </w:rPr>
      </w:pPr>
      <w:bookmarkStart w:id="1638" w:name="_Ref4616729"/>
      <w:r>
        <w:rPr>
          <w:rFonts w:hint="eastAsia"/>
          <w:color w:val="auto"/>
          <w:sz w:val="21"/>
        </w:rPr>
        <w:t>1</w:t>
      </w:r>
      <w:r>
        <w:rPr>
          <w:color w:val="auto"/>
          <w:sz w:val="21"/>
        </w:rPr>
        <w:t xml:space="preserve">3.4.1 </w:t>
      </w:r>
      <w:r>
        <w:rPr>
          <w:rFonts w:hint="eastAsia"/>
          <w:color w:val="auto"/>
          <w:sz w:val="21"/>
        </w:rPr>
        <w:t>依法必须招标的暂估价项目</w:t>
      </w:r>
      <w:bookmarkEnd w:id="1638"/>
    </w:p>
    <w:p w14:paraId="49B723A4">
      <w:pPr>
        <w:spacing w:line="360" w:lineRule="auto"/>
        <w:ind w:firstLine="420" w:firstLineChars="200"/>
        <w:rPr>
          <w:rFonts w:ascii="宋体" w:hAnsi="宋体"/>
          <w:color w:val="auto"/>
          <w:szCs w:val="21"/>
        </w:rPr>
      </w:pPr>
      <w:r>
        <w:rPr>
          <w:rFonts w:hint="eastAsia" w:ascii="宋体" w:hAnsi="宋体"/>
          <w:color w:val="auto"/>
          <w:szCs w:val="21"/>
        </w:rPr>
        <w:t>对于依法必须招标的暂估价项目，专用合同条件约定由承包人作为招标人的，招标文件、评标方案、评标结果应报送发包人批准。与组织招标工作有关的费用应当被认为已经包括在承包人的签约合同价中。</w:t>
      </w:r>
    </w:p>
    <w:p w14:paraId="6A3C4C59">
      <w:pPr>
        <w:pStyle w:val="147"/>
        <w:numPr>
          <w:ilvl w:val="0"/>
          <w:numId w:val="0"/>
        </w:numPr>
        <w:ind w:firstLine="420" w:firstLineChars="200"/>
        <w:rPr>
          <w:color w:val="auto"/>
          <w:sz w:val="21"/>
          <w:szCs w:val="21"/>
        </w:rPr>
      </w:pPr>
      <w:r>
        <w:rPr>
          <w:rFonts w:hint="eastAsia"/>
          <w:color w:val="auto"/>
          <w:sz w:val="21"/>
          <w:szCs w:val="21"/>
        </w:rPr>
        <w:t>专用合同条件约定由发包人和承包人共同作为招标人的，与组织招标工作有关的费用在专用合同条件中约定。</w:t>
      </w:r>
    </w:p>
    <w:p w14:paraId="24A6E4A5">
      <w:pPr>
        <w:spacing w:line="360" w:lineRule="auto"/>
        <w:ind w:firstLine="420" w:firstLineChars="200"/>
        <w:rPr>
          <w:rFonts w:ascii="宋体" w:hAnsi="宋体"/>
          <w:color w:val="auto"/>
          <w:szCs w:val="21"/>
        </w:rPr>
      </w:pPr>
      <w:r>
        <w:rPr>
          <w:rFonts w:hint="eastAsia" w:ascii="宋体" w:hAnsi="宋体"/>
          <w:color w:val="auto"/>
          <w:szCs w:val="21"/>
        </w:rPr>
        <w:t>具体的招标程序以及发包人和承包人权利义务关系可在专用合同条件中约定。暂估价项目的中标金额与价格清单中所列暂估价的金额差以及相应的税金等其他费用应列入合同价格。</w:t>
      </w:r>
    </w:p>
    <w:p w14:paraId="0FB57674">
      <w:pPr>
        <w:pStyle w:val="130"/>
        <w:numPr>
          <w:ilvl w:val="0"/>
          <w:numId w:val="0"/>
        </w:numPr>
        <w:ind w:firstLine="420" w:firstLineChars="200"/>
        <w:rPr>
          <w:color w:val="auto"/>
          <w:sz w:val="21"/>
        </w:rPr>
      </w:pPr>
      <w:bookmarkStart w:id="1639" w:name="_Ref4682312"/>
      <w:r>
        <w:rPr>
          <w:rFonts w:hint="eastAsia"/>
          <w:color w:val="auto"/>
          <w:sz w:val="21"/>
        </w:rPr>
        <w:t>1</w:t>
      </w:r>
      <w:r>
        <w:rPr>
          <w:color w:val="auto"/>
          <w:sz w:val="21"/>
        </w:rPr>
        <w:t xml:space="preserve">3.4.2 </w:t>
      </w:r>
      <w:r>
        <w:rPr>
          <w:rFonts w:hint="eastAsia"/>
          <w:color w:val="auto"/>
          <w:sz w:val="21"/>
        </w:rPr>
        <w:t>不属于依法必须招标的暂估价项目</w:t>
      </w:r>
      <w:bookmarkEnd w:id="1639"/>
    </w:p>
    <w:p w14:paraId="2876CE03">
      <w:pPr>
        <w:spacing w:line="360" w:lineRule="auto"/>
        <w:ind w:firstLine="420" w:firstLineChars="200"/>
        <w:rPr>
          <w:rFonts w:ascii="宋体" w:hAnsi="宋体"/>
          <w:color w:val="auto"/>
          <w:szCs w:val="21"/>
        </w:rPr>
      </w:pPr>
      <w:r>
        <w:rPr>
          <w:rFonts w:hint="eastAsia" w:ascii="宋体" w:hAnsi="宋体"/>
          <w:color w:val="auto"/>
          <w:szCs w:val="21"/>
        </w:rPr>
        <w:t>对于不属于依法必须招标的暂估价项目，承包人具备实施暂估价项目的资格和条件的，经发包人和承包人协商一致后，可由承包人自行实施暂估价项目，具体的协商和估价程序以及发包人和承包人权利义务关系可在专用合同条件中约定。确定后的暂估价项目金额与价格清单中所列暂估价的金额差以及相应的税金等其他费用应列入合同价格。</w:t>
      </w:r>
    </w:p>
    <w:p w14:paraId="0C1062FE">
      <w:pPr>
        <w:spacing w:line="360" w:lineRule="auto"/>
        <w:ind w:firstLine="420" w:firstLineChars="200"/>
        <w:rPr>
          <w:rFonts w:ascii="宋体" w:hAnsi="宋体"/>
          <w:color w:val="auto"/>
          <w:szCs w:val="21"/>
        </w:rPr>
      </w:pPr>
      <w:r>
        <w:rPr>
          <w:rFonts w:hint="eastAsia" w:ascii="宋体" w:hAnsi="宋体"/>
          <w:color w:val="auto"/>
          <w:szCs w:val="21"/>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397E5028">
      <w:pPr>
        <w:pStyle w:val="4"/>
        <w:spacing w:before="120" w:line="360" w:lineRule="auto"/>
        <w:rPr>
          <w:color w:val="auto"/>
        </w:rPr>
      </w:pPr>
      <w:bookmarkStart w:id="1640" w:name="_Toc54862287"/>
      <w:bookmarkStart w:id="1641" w:name="_Toc154063603"/>
      <w:bookmarkStart w:id="1642" w:name="_Ref4431250"/>
      <w:r>
        <w:rPr>
          <w:rFonts w:hint="eastAsia"/>
          <w:color w:val="auto"/>
        </w:rPr>
        <w:t>1</w:t>
      </w:r>
      <w:r>
        <w:rPr>
          <w:color w:val="auto"/>
        </w:rPr>
        <w:t xml:space="preserve">3.5 </w:t>
      </w:r>
      <w:r>
        <w:rPr>
          <w:rFonts w:hint="eastAsia"/>
          <w:color w:val="auto"/>
        </w:rPr>
        <w:t>暂列金额</w:t>
      </w:r>
      <w:bookmarkEnd w:id="1640"/>
      <w:bookmarkEnd w:id="1641"/>
      <w:bookmarkEnd w:id="1642"/>
      <w:r>
        <w:rPr>
          <w:rFonts w:hint="eastAsia"/>
          <w:color w:val="auto"/>
        </w:rPr>
        <w:t xml:space="preserve"> </w:t>
      </w:r>
      <w:bookmarkEnd w:id="1630"/>
      <w:bookmarkEnd w:id="1631"/>
    </w:p>
    <w:bookmarkEnd w:id="1632"/>
    <w:bookmarkEnd w:id="1633"/>
    <w:bookmarkEnd w:id="1634"/>
    <w:p w14:paraId="046B462D">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每一笔暂列金额只能按照发包人的指示全部或部分使用，并对合同价格进行相应调整。付给承包人的总金额应仅包括发包人已指示的，与暂列金额相关的工作、货物或服务的应付款项。</w:t>
      </w:r>
    </w:p>
    <w:p w14:paraId="1C1E9020">
      <w:pPr>
        <w:spacing w:line="360" w:lineRule="auto"/>
        <w:ind w:firstLine="420" w:firstLineChars="200"/>
        <w:rPr>
          <w:rFonts w:hint="eastAsia" w:ascii="宋体" w:hAnsi="宋体"/>
          <w:color w:val="auto"/>
          <w:szCs w:val="21"/>
        </w:rPr>
      </w:pPr>
      <w:r>
        <w:rPr>
          <w:rFonts w:hint="eastAsia" w:ascii="宋体" w:hAnsi="宋体"/>
          <w:color w:val="auto"/>
          <w:szCs w:val="21"/>
        </w:rPr>
        <w:t>对于每笔暂列金额，发包人可以指示用于下列支付：</w:t>
      </w:r>
    </w:p>
    <w:p w14:paraId="341D416C">
      <w:pPr>
        <w:spacing w:line="360" w:lineRule="auto"/>
        <w:ind w:firstLine="420" w:firstLineChars="200"/>
        <w:rPr>
          <w:rFonts w:ascii="宋体" w:hAnsi="宋体"/>
          <w:color w:val="auto"/>
          <w:szCs w:val="21"/>
        </w:rPr>
      </w:pPr>
      <w:r>
        <w:rPr>
          <w:rFonts w:hint="eastAsia" w:ascii="宋体" w:hAnsi="宋体"/>
          <w:color w:val="auto"/>
          <w:szCs w:val="21"/>
        </w:rPr>
        <w:t>（1）发包人根据第</w:t>
      </w:r>
      <w:r>
        <w:rPr>
          <w:rFonts w:ascii="宋体" w:hAnsi="宋体"/>
          <w:color w:val="auto"/>
          <w:szCs w:val="21"/>
        </w:rPr>
        <w:t>13.1</w:t>
      </w:r>
      <w:r>
        <w:rPr>
          <w:rFonts w:hint="eastAsia" w:ascii="宋体" w:hAnsi="宋体"/>
          <w:color w:val="auto"/>
          <w:szCs w:val="21"/>
        </w:rPr>
        <w:t>款[发包人变更权]指示变更，决定对合同价格和付款计划表（如有）进行调整的、由承包人实施的工作（包括要提供的工程设备、材料和服务）；</w:t>
      </w:r>
    </w:p>
    <w:p w14:paraId="5BF8FCB1">
      <w:pPr>
        <w:spacing w:line="360" w:lineRule="auto"/>
        <w:ind w:firstLine="420" w:firstLineChars="200"/>
        <w:rPr>
          <w:rFonts w:ascii="宋体" w:hAnsi="宋体"/>
          <w:color w:val="auto"/>
          <w:szCs w:val="21"/>
        </w:rPr>
      </w:pPr>
      <w:r>
        <w:rPr>
          <w:rFonts w:hint="eastAsia" w:ascii="宋体" w:hAnsi="宋体"/>
          <w:color w:val="auto"/>
          <w:szCs w:val="21"/>
        </w:rPr>
        <w:t>（2）承包人购买的工程设备、材料、工作或服务，应支付包括承包人已付（或应付）的实际金额以及相应的管理费等费用和利润（管理费和利润应以实际金额为基数根据合同约定的费率（如有）或百分比计算）。</w:t>
      </w:r>
    </w:p>
    <w:p w14:paraId="3A924A38">
      <w:pPr>
        <w:spacing w:line="360" w:lineRule="auto"/>
        <w:ind w:firstLine="420" w:firstLineChars="200"/>
        <w:rPr>
          <w:rFonts w:ascii="宋体" w:hAnsi="宋体"/>
          <w:color w:val="auto"/>
          <w:szCs w:val="21"/>
        </w:rPr>
      </w:pPr>
      <w:r>
        <w:rPr>
          <w:rFonts w:hint="eastAsia" w:ascii="宋体" w:hAnsi="宋体"/>
          <w:color w:val="auto"/>
          <w:szCs w:val="21"/>
        </w:rPr>
        <w:t>发包人根据上述(1)和（或）(2)指示支付暂列金额的，可以要求承包人提交其供应商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p>
    <w:p w14:paraId="2C98A118">
      <w:pPr>
        <w:spacing w:line="360" w:lineRule="auto"/>
        <w:ind w:firstLine="420" w:firstLineChars="200"/>
        <w:rPr>
          <w:rFonts w:ascii="宋体" w:hAnsi="宋体"/>
          <w:color w:val="auto"/>
          <w:szCs w:val="21"/>
        </w:rPr>
      </w:pPr>
      <w:r>
        <w:rPr>
          <w:rFonts w:hint="eastAsia" w:ascii="宋体" w:hAnsi="宋体"/>
          <w:color w:val="auto"/>
          <w:szCs w:val="21"/>
        </w:rPr>
        <w:t>每份包含暂列金额的文件还应包括用以证明暂列金额的所有有效的发票、凭证和账户或收据。</w:t>
      </w:r>
    </w:p>
    <w:p w14:paraId="206EBC70">
      <w:pPr>
        <w:pStyle w:val="4"/>
        <w:spacing w:before="120" w:line="360" w:lineRule="auto"/>
        <w:rPr>
          <w:color w:val="auto"/>
        </w:rPr>
      </w:pPr>
      <w:bookmarkStart w:id="1643" w:name="_Toc154063604"/>
      <w:bookmarkStart w:id="1644" w:name="_Ref4431438"/>
      <w:bookmarkStart w:id="1645" w:name="_Toc296346653"/>
      <w:bookmarkStart w:id="1646" w:name="_Toc337558845"/>
      <w:bookmarkStart w:id="1647" w:name="_Toc296503152"/>
      <w:bookmarkStart w:id="1648" w:name="_Toc54862288"/>
      <w:r>
        <w:rPr>
          <w:rFonts w:hint="eastAsia"/>
          <w:color w:val="auto"/>
        </w:rPr>
        <w:t>1</w:t>
      </w:r>
      <w:r>
        <w:rPr>
          <w:color w:val="auto"/>
        </w:rPr>
        <w:t xml:space="preserve">3.6 </w:t>
      </w:r>
      <w:r>
        <w:rPr>
          <w:rFonts w:hint="eastAsia"/>
          <w:color w:val="auto"/>
        </w:rPr>
        <w:t>计日工</w:t>
      </w:r>
      <w:bookmarkEnd w:id="1643"/>
      <w:bookmarkEnd w:id="1644"/>
      <w:bookmarkEnd w:id="1645"/>
      <w:bookmarkEnd w:id="1646"/>
      <w:bookmarkEnd w:id="1647"/>
      <w:bookmarkEnd w:id="1648"/>
    </w:p>
    <w:p w14:paraId="3FE30B9B">
      <w:pPr>
        <w:pStyle w:val="130"/>
        <w:numPr>
          <w:ilvl w:val="0"/>
          <w:numId w:val="0"/>
        </w:numPr>
        <w:ind w:firstLine="420" w:firstLineChars="200"/>
        <w:rPr>
          <w:color w:val="auto"/>
          <w:sz w:val="21"/>
        </w:rPr>
      </w:pPr>
      <w:r>
        <w:rPr>
          <w:rFonts w:hint="eastAsia"/>
          <w:color w:val="auto"/>
          <w:sz w:val="21"/>
        </w:rPr>
        <w:t>1</w:t>
      </w:r>
      <w:r>
        <w:rPr>
          <w:color w:val="auto"/>
          <w:sz w:val="21"/>
        </w:rPr>
        <w:t xml:space="preserve">3.6.1 </w:t>
      </w:r>
      <w:r>
        <w:rPr>
          <w:rFonts w:hint="eastAsia"/>
          <w:color w:val="auto"/>
          <w:sz w:val="21"/>
        </w:rPr>
        <w:t>需要采用计日工方式的，经发包人同意后，由工程师通知承包人以计日工计价方式实施相应的工作，其价款按列入价格清单或预算书中的计日工计价项目及其单价进行计算；价格清单或预算书中无相应的计日工单价的，按照合理的成本与利润构成的原则，由工程师按照第</w:t>
      </w:r>
      <w:r>
        <w:rPr>
          <w:color w:val="auto"/>
          <w:sz w:val="21"/>
        </w:rPr>
        <w:t>3.6</w:t>
      </w:r>
      <w:r>
        <w:rPr>
          <w:rFonts w:hint="eastAsia"/>
          <w:color w:val="auto"/>
          <w:sz w:val="21"/>
        </w:rPr>
        <w:t>款[商定或确定]确定计日工的单价。</w:t>
      </w:r>
    </w:p>
    <w:p w14:paraId="02EF03AE">
      <w:pPr>
        <w:pStyle w:val="130"/>
        <w:numPr>
          <w:ilvl w:val="0"/>
          <w:numId w:val="0"/>
        </w:numPr>
        <w:ind w:firstLine="420" w:firstLineChars="200"/>
        <w:rPr>
          <w:color w:val="auto"/>
          <w:sz w:val="21"/>
        </w:rPr>
      </w:pPr>
      <w:r>
        <w:rPr>
          <w:rFonts w:hint="eastAsia"/>
          <w:color w:val="auto"/>
          <w:sz w:val="21"/>
        </w:rPr>
        <w:t>1</w:t>
      </w:r>
      <w:r>
        <w:rPr>
          <w:color w:val="auto"/>
          <w:sz w:val="21"/>
        </w:rPr>
        <w:t xml:space="preserve">3.6.2 </w:t>
      </w:r>
      <w:r>
        <w:rPr>
          <w:rFonts w:hint="eastAsia"/>
          <w:color w:val="auto"/>
          <w:sz w:val="21"/>
        </w:rPr>
        <w:t>采用计日工计价的任何一项工作，承包人应在该项工作实施过程中，每天提交以下报表和有关凭证报送工程师审查：</w:t>
      </w:r>
    </w:p>
    <w:p w14:paraId="62DB5725">
      <w:pPr>
        <w:spacing w:line="360" w:lineRule="auto"/>
        <w:ind w:firstLine="420" w:firstLineChars="200"/>
        <w:rPr>
          <w:rFonts w:ascii="宋体" w:hAnsi="宋体"/>
          <w:color w:val="auto"/>
          <w:szCs w:val="21"/>
        </w:rPr>
      </w:pPr>
      <w:r>
        <w:rPr>
          <w:rFonts w:hint="eastAsia" w:ascii="宋体" w:hAnsi="宋体"/>
          <w:color w:val="auto"/>
          <w:szCs w:val="21"/>
        </w:rPr>
        <w:t>（1）工作名称、内容和数量；</w:t>
      </w:r>
    </w:p>
    <w:p w14:paraId="2DD94ED5">
      <w:pPr>
        <w:spacing w:line="360" w:lineRule="auto"/>
        <w:ind w:firstLine="420" w:firstLineChars="200"/>
        <w:rPr>
          <w:rFonts w:ascii="宋体" w:hAnsi="宋体"/>
          <w:color w:val="auto"/>
          <w:szCs w:val="21"/>
        </w:rPr>
      </w:pPr>
      <w:r>
        <w:rPr>
          <w:rFonts w:hint="eastAsia" w:ascii="宋体" w:hAnsi="宋体"/>
          <w:color w:val="auto"/>
          <w:szCs w:val="21"/>
        </w:rPr>
        <w:t>（2）投入该工作的所有人员的姓名、专业、工种、级别和耗用工时；</w:t>
      </w:r>
    </w:p>
    <w:p w14:paraId="6057216F">
      <w:pPr>
        <w:spacing w:line="360" w:lineRule="auto"/>
        <w:ind w:firstLine="420" w:firstLineChars="200"/>
        <w:rPr>
          <w:rFonts w:ascii="宋体" w:hAnsi="宋体"/>
          <w:color w:val="auto"/>
          <w:szCs w:val="21"/>
        </w:rPr>
      </w:pPr>
      <w:r>
        <w:rPr>
          <w:rFonts w:hint="eastAsia" w:ascii="宋体" w:hAnsi="宋体"/>
          <w:color w:val="auto"/>
          <w:szCs w:val="21"/>
        </w:rPr>
        <w:t>（3）投入该工作的材料类别和数量；</w:t>
      </w:r>
    </w:p>
    <w:p w14:paraId="3B1CDD76">
      <w:pPr>
        <w:spacing w:line="360" w:lineRule="auto"/>
        <w:ind w:firstLine="420" w:firstLineChars="200"/>
        <w:rPr>
          <w:rFonts w:ascii="宋体" w:hAnsi="宋体"/>
          <w:color w:val="auto"/>
          <w:szCs w:val="21"/>
        </w:rPr>
      </w:pPr>
      <w:r>
        <w:rPr>
          <w:rFonts w:hint="eastAsia" w:ascii="宋体" w:hAnsi="宋体"/>
          <w:color w:val="auto"/>
          <w:szCs w:val="21"/>
        </w:rPr>
        <w:t>（4）投入该工作的施工设备型号、台数和耗用台时；</w:t>
      </w:r>
    </w:p>
    <w:p w14:paraId="0952AF88">
      <w:pPr>
        <w:spacing w:line="360" w:lineRule="auto"/>
        <w:ind w:firstLine="420" w:firstLineChars="200"/>
        <w:rPr>
          <w:rFonts w:ascii="宋体" w:hAnsi="宋体"/>
          <w:color w:val="auto"/>
          <w:szCs w:val="21"/>
        </w:rPr>
      </w:pPr>
      <w:r>
        <w:rPr>
          <w:rFonts w:hint="eastAsia" w:ascii="宋体" w:hAnsi="宋体"/>
          <w:color w:val="auto"/>
          <w:szCs w:val="21"/>
        </w:rPr>
        <w:t>（</w:t>
      </w:r>
      <w:r>
        <w:rPr>
          <w:rFonts w:ascii="宋体" w:hAnsi="宋体"/>
          <w:color w:val="auto"/>
          <w:szCs w:val="21"/>
        </w:rPr>
        <w:t>5</w:t>
      </w:r>
      <w:r>
        <w:rPr>
          <w:rFonts w:hint="eastAsia" w:ascii="宋体" w:hAnsi="宋体"/>
          <w:color w:val="auto"/>
          <w:szCs w:val="21"/>
        </w:rPr>
        <w:t>）其他有关资料和凭证。</w:t>
      </w:r>
    </w:p>
    <w:p w14:paraId="6F8EDA84">
      <w:pPr>
        <w:spacing w:line="360" w:lineRule="auto"/>
        <w:ind w:firstLine="420" w:firstLineChars="200"/>
        <w:rPr>
          <w:rFonts w:ascii="宋体" w:hAnsi="宋体"/>
          <w:color w:val="auto"/>
          <w:szCs w:val="21"/>
        </w:rPr>
      </w:pPr>
      <w:r>
        <w:rPr>
          <w:rFonts w:hint="eastAsia" w:ascii="宋体" w:hAnsi="宋体"/>
          <w:color w:val="auto"/>
          <w:szCs w:val="21"/>
        </w:rPr>
        <w:t>计日工由承包人汇总后，列入最近一期进度付款申请单，由工程师审查并经发包人批准后列入进度付款。</w:t>
      </w:r>
    </w:p>
    <w:p w14:paraId="5E9F14E1">
      <w:pPr>
        <w:pStyle w:val="4"/>
        <w:spacing w:before="120" w:line="360" w:lineRule="auto"/>
        <w:rPr>
          <w:color w:val="auto"/>
        </w:rPr>
      </w:pPr>
      <w:bookmarkStart w:id="1649" w:name="_Toc54862289"/>
      <w:bookmarkStart w:id="1650" w:name="_Ref4617331"/>
      <w:bookmarkStart w:id="1651" w:name="_Ref4617318"/>
      <w:bookmarkStart w:id="1652" w:name="_Toc154063605"/>
      <w:r>
        <w:rPr>
          <w:rFonts w:hint="eastAsia"/>
          <w:color w:val="auto"/>
        </w:rPr>
        <w:t>1</w:t>
      </w:r>
      <w:r>
        <w:rPr>
          <w:color w:val="auto"/>
        </w:rPr>
        <w:t xml:space="preserve">3.7 </w:t>
      </w:r>
      <w:r>
        <w:rPr>
          <w:rFonts w:hint="eastAsia"/>
          <w:color w:val="auto"/>
        </w:rPr>
        <w:t>法律变化引起的调整</w:t>
      </w:r>
      <w:bookmarkEnd w:id="1649"/>
      <w:bookmarkEnd w:id="1650"/>
      <w:bookmarkEnd w:id="1651"/>
      <w:bookmarkEnd w:id="1652"/>
    </w:p>
    <w:p w14:paraId="510BC0C4">
      <w:pPr>
        <w:pStyle w:val="130"/>
        <w:numPr>
          <w:ilvl w:val="0"/>
          <w:numId w:val="0"/>
        </w:numPr>
        <w:ind w:firstLine="420" w:firstLineChars="200"/>
        <w:rPr>
          <w:color w:val="auto"/>
          <w:sz w:val="21"/>
        </w:rPr>
      </w:pPr>
      <w:r>
        <w:rPr>
          <w:rFonts w:hint="eastAsia"/>
          <w:color w:val="auto"/>
          <w:sz w:val="21"/>
        </w:rPr>
        <w:t>1</w:t>
      </w:r>
      <w:r>
        <w:rPr>
          <w:color w:val="auto"/>
          <w:sz w:val="21"/>
        </w:rPr>
        <w:t xml:space="preserve">3.7.1 </w:t>
      </w:r>
      <w:r>
        <w:rPr>
          <w:rFonts w:hint="eastAsia"/>
          <w:color w:val="auto"/>
          <w:sz w:val="21"/>
        </w:rPr>
        <w:t>基准日期后，法律变化导致承包人在合同履行过程中所需要的费用发生除第13.</w:t>
      </w:r>
      <w:r>
        <w:rPr>
          <w:color w:val="auto"/>
          <w:sz w:val="21"/>
        </w:rPr>
        <w:t>8</w:t>
      </w:r>
      <w:r>
        <w:rPr>
          <w:rFonts w:hint="eastAsia"/>
          <w:color w:val="auto"/>
          <w:sz w:val="21"/>
        </w:rPr>
        <w:t>款[市场价格波动引起的调整]约定以外的增加时，由发包人承担由此增加的费用；减少时，应从合同价格中予以扣减。基准日期后，因法律变化造成工期延误时，工期应予以顺延。</w:t>
      </w:r>
    </w:p>
    <w:p w14:paraId="1EBC4AFD">
      <w:pPr>
        <w:pStyle w:val="130"/>
        <w:numPr>
          <w:ilvl w:val="0"/>
          <w:numId w:val="0"/>
        </w:numPr>
        <w:ind w:firstLine="420" w:firstLineChars="200"/>
        <w:rPr>
          <w:color w:val="auto"/>
          <w:sz w:val="21"/>
        </w:rPr>
      </w:pPr>
      <w:r>
        <w:rPr>
          <w:rFonts w:hint="eastAsia"/>
          <w:color w:val="auto"/>
          <w:sz w:val="21"/>
        </w:rPr>
        <w:t>1</w:t>
      </w:r>
      <w:r>
        <w:rPr>
          <w:color w:val="auto"/>
          <w:sz w:val="21"/>
        </w:rPr>
        <w:t xml:space="preserve">3.7.2 </w:t>
      </w:r>
      <w:r>
        <w:rPr>
          <w:rFonts w:hint="eastAsia"/>
          <w:color w:val="auto"/>
          <w:sz w:val="21"/>
        </w:rPr>
        <w:t>因法律变化引起的合同价格和工期调整，合同当事人无法达成一致的，由工程师按第</w:t>
      </w:r>
      <w:r>
        <w:rPr>
          <w:color w:val="auto"/>
          <w:sz w:val="21"/>
        </w:rPr>
        <w:t>3.6</w:t>
      </w:r>
      <w:r>
        <w:rPr>
          <w:rFonts w:hint="eastAsia"/>
          <w:color w:val="auto"/>
          <w:sz w:val="21"/>
        </w:rPr>
        <w:t>款[商定或确定]的约定处理。</w:t>
      </w:r>
    </w:p>
    <w:p w14:paraId="19FEC556">
      <w:pPr>
        <w:pStyle w:val="130"/>
        <w:numPr>
          <w:ilvl w:val="0"/>
          <w:numId w:val="0"/>
        </w:numPr>
        <w:ind w:firstLine="420" w:firstLineChars="200"/>
        <w:rPr>
          <w:color w:val="auto"/>
          <w:sz w:val="21"/>
        </w:rPr>
      </w:pPr>
      <w:r>
        <w:rPr>
          <w:rFonts w:hint="eastAsia"/>
          <w:color w:val="auto"/>
          <w:sz w:val="21"/>
        </w:rPr>
        <w:t>1</w:t>
      </w:r>
      <w:r>
        <w:rPr>
          <w:color w:val="auto"/>
          <w:sz w:val="21"/>
        </w:rPr>
        <w:t xml:space="preserve">3.7.3 </w:t>
      </w:r>
      <w:r>
        <w:rPr>
          <w:rFonts w:hint="eastAsia"/>
          <w:color w:val="auto"/>
          <w:sz w:val="21"/>
        </w:rPr>
        <w:t>因承包人原因造成工期延误，在工期延误期间出现法律变化的，由此增加的费用和（或）延误的工期由承包人承担。</w:t>
      </w:r>
    </w:p>
    <w:p w14:paraId="7D34A300">
      <w:pPr>
        <w:pStyle w:val="130"/>
        <w:numPr>
          <w:ilvl w:val="0"/>
          <w:numId w:val="0"/>
        </w:numPr>
        <w:ind w:firstLine="420" w:firstLineChars="200"/>
        <w:rPr>
          <w:color w:val="auto"/>
          <w:sz w:val="21"/>
        </w:rPr>
      </w:pPr>
      <w:r>
        <w:rPr>
          <w:rFonts w:hint="eastAsia"/>
          <w:color w:val="auto"/>
          <w:sz w:val="21"/>
        </w:rPr>
        <w:t>1</w:t>
      </w:r>
      <w:r>
        <w:rPr>
          <w:color w:val="auto"/>
          <w:sz w:val="21"/>
        </w:rPr>
        <w:t xml:space="preserve">3.7.4 </w:t>
      </w:r>
      <w:r>
        <w:rPr>
          <w:rFonts w:hint="eastAsia"/>
          <w:color w:val="auto"/>
          <w:sz w:val="21"/>
        </w:rPr>
        <w:t>因法律变化而需要对工程的实施进行任何调整的，承包人应迅速通知发包人，或者发包人应迅速通知承包人，并附上详细的辅助资料。发包人接到通知后，应根据第</w:t>
      </w:r>
      <w:r>
        <w:rPr>
          <w:color w:val="auto"/>
          <w:sz w:val="21"/>
        </w:rPr>
        <w:t>13.3</w:t>
      </w:r>
      <w:r>
        <w:rPr>
          <w:rFonts w:hint="eastAsia"/>
          <w:color w:val="auto"/>
          <w:sz w:val="21"/>
        </w:rPr>
        <w:t>款[</w:t>
      </w:r>
      <w:r>
        <w:rPr>
          <w:color w:val="auto"/>
          <w:sz w:val="21"/>
        </w:rPr>
        <w:t>变更程序</w:t>
      </w:r>
      <w:r>
        <w:rPr>
          <w:rFonts w:hint="eastAsia"/>
          <w:color w:val="auto"/>
          <w:sz w:val="21"/>
        </w:rPr>
        <w:t>]发出变更指示。</w:t>
      </w:r>
    </w:p>
    <w:p w14:paraId="2B78EAB5">
      <w:pPr>
        <w:pStyle w:val="4"/>
        <w:spacing w:before="120" w:line="360" w:lineRule="auto"/>
        <w:rPr>
          <w:color w:val="auto"/>
        </w:rPr>
      </w:pPr>
      <w:bookmarkStart w:id="1653" w:name="_Ref18977613"/>
      <w:bookmarkStart w:id="1654" w:name="_Ref531955630"/>
      <w:bookmarkStart w:id="1655" w:name="_Toc154063606"/>
      <w:bookmarkStart w:id="1656" w:name="_Ref531955627"/>
      <w:bookmarkStart w:id="1657" w:name="_Toc54862290"/>
      <w:r>
        <w:rPr>
          <w:rFonts w:hint="eastAsia"/>
          <w:color w:val="auto"/>
        </w:rPr>
        <w:t>1</w:t>
      </w:r>
      <w:r>
        <w:rPr>
          <w:color w:val="auto"/>
        </w:rPr>
        <w:t xml:space="preserve">3.8 </w:t>
      </w:r>
      <w:r>
        <w:rPr>
          <w:rFonts w:hint="eastAsia"/>
          <w:color w:val="auto"/>
        </w:rPr>
        <w:t>市场价格波动引起的调整</w:t>
      </w:r>
      <w:bookmarkEnd w:id="1653"/>
      <w:bookmarkEnd w:id="1654"/>
      <w:bookmarkEnd w:id="1655"/>
      <w:bookmarkEnd w:id="1656"/>
      <w:bookmarkEnd w:id="1657"/>
    </w:p>
    <w:p w14:paraId="694B9FDE">
      <w:pPr>
        <w:pStyle w:val="130"/>
        <w:numPr>
          <w:ilvl w:val="0"/>
          <w:numId w:val="0"/>
        </w:numPr>
        <w:ind w:firstLine="420" w:firstLineChars="200"/>
        <w:rPr>
          <w:color w:val="auto"/>
          <w:sz w:val="21"/>
        </w:rPr>
      </w:pPr>
      <w:bookmarkStart w:id="1658" w:name="_Ref4709841"/>
      <w:r>
        <w:rPr>
          <w:rFonts w:hint="eastAsia"/>
          <w:color w:val="auto"/>
          <w:sz w:val="21"/>
        </w:rPr>
        <w:t>1</w:t>
      </w:r>
      <w:r>
        <w:rPr>
          <w:color w:val="auto"/>
          <w:sz w:val="21"/>
        </w:rPr>
        <w:t xml:space="preserve">3.8.1 </w:t>
      </w:r>
      <w:r>
        <w:rPr>
          <w:rFonts w:hint="eastAsia"/>
          <w:color w:val="auto"/>
          <w:sz w:val="21"/>
        </w:rPr>
        <w:t>主要工程材料、设备、人工价格与招标时基期价相比，波动幅度超过合同约定幅度的，双方按照合同约定的价格调整方式调整。</w:t>
      </w:r>
    </w:p>
    <w:p w14:paraId="7EFCCC73">
      <w:pPr>
        <w:pStyle w:val="130"/>
        <w:numPr>
          <w:ilvl w:val="0"/>
          <w:numId w:val="0"/>
        </w:numPr>
        <w:ind w:firstLine="420" w:firstLineChars="200"/>
        <w:rPr>
          <w:color w:val="auto"/>
          <w:sz w:val="21"/>
        </w:rPr>
      </w:pPr>
      <w:r>
        <w:rPr>
          <w:rFonts w:hint="eastAsia"/>
          <w:color w:val="auto"/>
          <w:sz w:val="21"/>
        </w:rPr>
        <w:t>1</w:t>
      </w:r>
      <w:r>
        <w:rPr>
          <w:color w:val="auto"/>
          <w:sz w:val="21"/>
        </w:rPr>
        <w:t xml:space="preserve">3.8.2 </w:t>
      </w:r>
      <w:r>
        <w:rPr>
          <w:rFonts w:hint="eastAsia"/>
          <w:color w:val="auto"/>
          <w:sz w:val="21"/>
        </w:rPr>
        <w:t>发包人与承包人在专用合同条件中约定采用《价格指数权重表》的，适用本项约定。</w:t>
      </w:r>
    </w:p>
    <w:p w14:paraId="0D2B65BA">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3.8.2.1 </w:t>
      </w:r>
      <w:r>
        <w:rPr>
          <w:rFonts w:hint="eastAsia"/>
          <w:color w:val="auto"/>
          <w:sz w:val="21"/>
        </w:rPr>
        <w:t>双方当事人可以将部分主要工程材料、工程设备、人工价格及其他双方认为应当根据市场价格调整的费用列入附件</w:t>
      </w:r>
      <w:r>
        <w:rPr>
          <w:color w:val="auto"/>
          <w:sz w:val="21"/>
        </w:rPr>
        <w:t>6</w:t>
      </w:r>
      <w:r>
        <w:rPr>
          <w:rFonts w:hint="eastAsia"/>
          <w:color w:val="auto"/>
          <w:sz w:val="21"/>
        </w:rPr>
        <w:t>[</w:t>
      </w:r>
      <w:r>
        <w:rPr>
          <w:color w:val="auto"/>
          <w:sz w:val="21"/>
        </w:rPr>
        <w:t>价格指数权重表</w:t>
      </w:r>
      <w:r>
        <w:rPr>
          <w:rFonts w:hint="eastAsia"/>
          <w:color w:val="auto"/>
          <w:sz w:val="21"/>
        </w:rPr>
        <w:t>]</w:t>
      </w:r>
      <w:r>
        <w:rPr>
          <w:color w:val="auto"/>
          <w:sz w:val="21"/>
        </w:rPr>
        <w:t>，并根据以下公式计算差额并调整合同价格：</w:t>
      </w:r>
    </w:p>
    <w:bookmarkEnd w:id="1658"/>
    <w:p w14:paraId="6DDAA57D">
      <w:pPr>
        <w:spacing w:line="360" w:lineRule="auto"/>
        <w:ind w:firstLine="630" w:firstLineChars="300"/>
        <w:rPr>
          <w:rFonts w:hint="eastAsia" w:ascii="宋体" w:hAnsi="宋体"/>
          <w:color w:val="auto"/>
          <w:szCs w:val="21"/>
        </w:rPr>
      </w:pPr>
      <w:bookmarkStart w:id="1659" w:name="_Ref4616996"/>
      <w:r>
        <w:rPr>
          <w:rFonts w:hint="eastAsia" w:ascii="宋体" w:hAnsi="宋体"/>
          <w:color w:val="auto"/>
          <w:szCs w:val="21"/>
        </w:rPr>
        <w:t>（1）价格调整公式</w:t>
      </w:r>
      <w:bookmarkEnd w:id="1659"/>
    </w:p>
    <w:p w14:paraId="3F5A600E">
      <w:pPr>
        <w:spacing w:line="360" w:lineRule="auto"/>
        <w:rPr>
          <w:rFonts w:hint="eastAsia" w:ascii="宋体" w:hAnsi="宋体"/>
          <w:color w:val="auto"/>
          <w:szCs w:val="21"/>
        </w:rPr>
      </w:pPr>
      <w:r>
        <w:rPr>
          <w:rFonts w:ascii="宋体" w:hAnsi="宋体"/>
          <w:color w:val="auto"/>
          <w:szCs w:val="21"/>
        </w:rPr>
        <w:drawing>
          <wp:inline distT="0" distB="0" distL="114300" distR="114300">
            <wp:extent cx="4777740" cy="678815"/>
            <wp:effectExtent l="0" t="0" r="381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8"/>
                    <a:stretch>
                      <a:fillRect/>
                    </a:stretch>
                  </pic:blipFill>
                  <pic:spPr>
                    <a:xfrm>
                      <a:off x="0" y="0"/>
                      <a:ext cx="4777740" cy="678815"/>
                    </a:xfrm>
                    <a:prstGeom prst="rect">
                      <a:avLst/>
                    </a:prstGeom>
                    <a:noFill/>
                    <a:ln>
                      <a:noFill/>
                    </a:ln>
                  </pic:spPr>
                </pic:pic>
              </a:graphicData>
            </a:graphic>
          </wp:inline>
        </w:drawing>
      </w:r>
    </w:p>
    <w:p w14:paraId="73646483">
      <w:pPr>
        <w:spacing w:line="360" w:lineRule="auto"/>
        <w:ind w:firstLine="600"/>
        <w:rPr>
          <w:rFonts w:ascii="宋体" w:hAnsi="宋体"/>
          <w:color w:val="auto"/>
          <w:szCs w:val="21"/>
        </w:rPr>
      </w:pPr>
      <w:r>
        <w:rPr>
          <w:rFonts w:hint="eastAsia" w:ascii="宋体" w:hAnsi="宋体"/>
          <w:color w:val="auto"/>
          <w:szCs w:val="21"/>
        </w:rPr>
        <w:t>公式中：△P---需调整的价格差额；</w:t>
      </w:r>
    </w:p>
    <w:p w14:paraId="52F72BFA">
      <w:pPr>
        <w:spacing w:line="360" w:lineRule="auto"/>
        <w:ind w:firstLine="600"/>
        <w:rPr>
          <w:rFonts w:ascii="宋体" w:hAnsi="宋体"/>
          <w:color w:val="auto"/>
          <w:szCs w:val="21"/>
        </w:rPr>
      </w:pPr>
      <w:r>
        <w:rPr>
          <w:rFonts w:hint="eastAsia" w:ascii="宋体" w:hAnsi="宋体"/>
          <w:color w:val="auto"/>
          <w:szCs w:val="21"/>
        </w:rPr>
        <w:t>P</w:t>
      </w:r>
      <w:r>
        <w:rPr>
          <w:rFonts w:hint="eastAsia" w:ascii="宋体" w:hAnsi="宋体"/>
          <w:color w:val="auto"/>
          <w:szCs w:val="21"/>
          <w:vertAlign w:val="subscript"/>
        </w:rPr>
        <w:t>O</w:t>
      </w:r>
      <w:r>
        <w:rPr>
          <w:rFonts w:hint="eastAsia" w:ascii="宋体" w:hAnsi="宋体"/>
          <w:color w:val="auto"/>
          <w:szCs w:val="21"/>
        </w:rPr>
        <w:t>---付款证书中承包人应得到的已完成工作量的金额。此项金额应不包括价格调整、不计质量保证金的预留和支付、预付款的支付和扣回。第13条[变更与</w:t>
      </w:r>
      <w:r>
        <w:rPr>
          <w:rFonts w:ascii="宋体" w:hAnsi="宋体"/>
          <w:color w:val="auto"/>
          <w:szCs w:val="21"/>
        </w:rPr>
        <w:t>调整</w:t>
      </w:r>
      <w:r>
        <w:rPr>
          <w:rFonts w:hint="eastAsia" w:ascii="宋体" w:hAnsi="宋体"/>
          <w:color w:val="auto"/>
          <w:szCs w:val="21"/>
        </w:rPr>
        <w:t>]约定的变更及其他金额已按当期价格计价的，也不计在内；</w:t>
      </w:r>
    </w:p>
    <w:p w14:paraId="130F1015">
      <w:pPr>
        <w:spacing w:line="360" w:lineRule="auto"/>
        <w:ind w:firstLine="600"/>
        <w:rPr>
          <w:rFonts w:ascii="宋体" w:hAnsi="宋体"/>
          <w:color w:val="auto"/>
          <w:szCs w:val="21"/>
        </w:rPr>
      </w:pPr>
      <w:r>
        <w:rPr>
          <w:rFonts w:hint="eastAsia" w:ascii="宋体" w:hAnsi="宋体"/>
          <w:color w:val="auto"/>
          <w:szCs w:val="21"/>
        </w:rPr>
        <w:t xml:space="preserve">A ---定值权重（即不调部分的权重）； </w:t>
      </w:r>
    </w:p>
    <w:p w14:paraId="0B75F217">
      <w:pPr>
        <w:spacing w:line="360" w:lineRule="auto"/>
        <w:ind w:firstLine="600"/>
        <w:rPr>
          <w:rFonts w:ascii="宋体" w:hAnsi="宋体"/>
          <w:color w:val="auto"/>
          <w:szCs w:val="21"/>
        </w:rPr>
      </w:pPr>
      <w:bookmarkStart w:id="1660" w:name="_Hlk24103184"/>
      <w:r>
        <w:rPr>
          <w:rFonts w:hint="eastAsia" w:ascii="宋体" w:hAnsi="宋体"/>
          <w:color w:val="auto"/>
          <w:szCs w:val="21"/>
        </w:rPr>
        <w:t>B</w:t>
      </w:r>
      <w:r>
        <w:rPr>
          <w:rFonts w:hint="eastAsia" w:ascii="宋体" w:hAnsi="宋体"/>
          <w:color w:val="auto"/>
          <w:szCs w:val="21"/>
          <w:vertAlign w:val="subscript"/>
        </w:rPr>
        <w:t>1</w:t>
      </w:r>
      <w:bookmarkEnd w:id="1660"/>
      <w:r>
        <w:rPr>
          <w:rFonts w:hint="eastAsia" w:ascii="宋体" w:hAnsi="宋体"/>
          <w:color w:val="auto"/>
          <w:szCs w:val="21"/>
        </w:rPr>
        <w:t>；</w:t>
      </w:r>
      <w:bookmarkStart w:id="1661" w:name="_Hlk24103205"/>
      <w:r>
        <w:rPr>
          <w:rFonts w:hint="eastAsia" w:ascii="宋体" w:hAnsi="宋体"/>
          <w:color w:val="auto"/>
          <w:szCs w:val="21"/>
        </w:rPr>
        <w:t>B</w:t>
      </w:r>
      <w:r>
        <w:rPr>
          <w:rFonts w:hint="eastAsia" w:ascii="宋体" w:hAnsi="宋体"/>
          <w:color w:val="auto"/>
          <w:szCs w:val="21"/>
          <w:vertAlign w:val="subscript"/>
        </w:rPr>
        <w:t>2</w:t>
      </w:r>
      <w:bookmarkEnd w:id="1661"/>
      <w:r>
        <w:rPr>
          <w:rFonts w:hint="eastAsia" w:ascii="宋体" w:hAnsi="宋体"/>
          <w:color w:val="auto"/>
          <w:szCs w:val="21"/>
        </w:rPr>
        <w:t>；</w:t>
      </w:r>
      <w:bookmarkStart w:id="1662" w:name="_Hlk24103220"/>
      <w:r>
        <w:rPr>
          <w:rFonts w:hint="eastAsia" w:ascii="宋体" w:hAnsi="宋体"/>
          <w:color w:val="auto"/>
          <w:szCs w:val="21"/>
        </w:rPr>
        <w:t>B</w:t>
      </w:r>
      <w:r>
        <w:rPr>
          <w:rFonts w:hint="eastAsia" w:ascii="宋体" w:hAnsi="宋体"/>
          <w:color w:val="auto"/>
          <w:szCs w:val="21"/>
          <w:vertAlign w:val="subscript"/>
        </w:rPr>
        <w:t>3</w:t>
      </w:r>
      <w:bookmarkEnd w:id="1662"/>
      <w:r>
        <w:rPr>
          <w:rFonts w:hint="eastAsia" w:ascii="宋体" w:hAnsi="宋体"/>
          <w:color w:val="auto"/>
          <w:szCs w:val="21"/>
        </w:rPr>
        <w:t>；……</w:t>
      </w:r>
      <w:bookmarkStart w:id="1663" w:name="_Hlk24103245"/>
      <w:r>
        <w:rPr>
          <w:rFonts w:hint="eastAsia" w:ascii="宋体" w:hAnsi="宋体"/>
          <w:color w:val="auto"/>
          <w:szCs w:val="21"/>
        </w:rPr>
        <w:t>B</w:t>
      </w:r>
      <w:r>
        <w:rPr>
          <w:rFonts w:hint="eastAsia" w:ascii="宋体" w:hAnsi="宋体"/>
          <w:color w:val="auto"/>
          <w:szCs w:val="21"/>
          <w:vertAlign w:val="subscript"/>
        </w:rPr>
        <w:t>n</w:t>
      </w:r>
      <w:bookmarkEnd w:id="1663"/>
      <w:r>
        <w:rPr>
          <w:rFonts w:hint="eastAsia" w:ascii="宋体" w:hAnsi="宋体"/>
          <w:color w:val="auto"/>
          <w:szCs w:val="21"/>
        </w:rPr>
        <w:t>---各可调因子的变值权重（即可调部分的权重）为各可调因子在投标函投标总报价中所占的比例，且A+B</w:t>
      </w:r>
      <w:r>
        <w:rPr>
          <w:rFonts w:hint="eastAsia" w:ascii="宋体" w:hAnsi="宋体"/>
          <w:color w:val="auto"/>
          <w:szCs w:val="21"/>
          <w:vertAlign w:val="subscript"/>
        </w:rPr>
        <w:t>1</w:t>
      </w:r>
      <w:r>
        <w:rPr>
          <w:rFonts w:hint="eastAsia" w:ascii="宋体" w:hAnsi="宋体"/>
          <w:color w:val="auto"/>
          <w:szCs w:val="21"/>
        </w:rPr>
        <w:t>+B</w:t>
      </w:r>
      <w:r>
        <w:rPr>
          <w:rFonts w:hint="eastAsia" w:ascii="宋体" w:hAnsi="宋体"/>
          <w:color w:val="auto"/>
          <w:szCs w:val="21"/>
          <w:vertAlign w:val="subscript"/>
        </w:rPr>
        <w:t>2</w:t>
      </w:r>
      <w:r>
        <w:rPr>
          <w:rFonts w:hint="eastAsia" w:ascii="宋体" w:hAnsi="宋体"/>
          <w:color w:val="auto"/>
          <w:szCs w:val="21"/>
        </w:rPr>
        <w:t>+B</w:t>
      </w:r>
      <w:r>
        <w:rPr>
          <w:rFonts w:hint="eastAsia" w:ascii="宋体" w:hAnsi="宋体"/>
          <w:color w:val="auto"/>
          <w:szCs w:val="21"/>
          <w:vertAlign w:val="subscript"/>
        </w:rPr>
        <w:t>3</w:t>
      </w:r>
      <w:r>
        <w:rPr>
          <w:rFonts w:hint="eastAsia" w:ascii="宋体" w:hAnsi="宋体"/>
          <w:color w:val="auto"/>
          <w:szCs w:val="21"/>
        </w:rPr>
        <w:t>+……+B</w:t>
      </w:r>
      <w:r>
        <w:rPr>
          <w:rFonts w:hint="eastAsia" w:ascii="宋体" w:hAnsi="宋体"/>
          <w:color w:val="auto"/>
          <w:szCs w:val="21"/>
          <w:vertAlign w:val="subscript"/>
        </w:rPr>
        <w:t>n</w:t>
      </w:r>
      <w:r>
        <w:rPr>
          <w:rFonts w:hint="eastAsia" w:ascii="宋体" w:hAnsi="宋体"/>
          <w:color w:val="auto"/>
          <w:szCs w:val="21"/>
        </w:rPr>
        <w:t>=1；</w:t>
      </w:r>
    </w:p>
    <w:p w14:paraId="532999BC">
      <w:pPr>
        <w:spacing w:line="360" w:lineRule="auto"/>
        <w:ind w:firstLine="600"/>
        <w:rPr>
          <w:rFonts w:ascii="宋体" w:hAnsi="宋体"/>
          <w:color w:val="auto"/>
          <w:szCs w:val="21"/>
        </w:rPr>
      </w:pPr>
      <w:r>
        <w:rPr>
          <w:rFonts w:hint="eastAsia" w:ascii="宋体" w:hAnsi="宋体"/>
          <w:color w:val="auto"/>
          <w:szCs w:val="21"/>
        </w:rPr>
        <w:t>F</w:t>
      </w:r>
      <w:r>
        <w:rPr>
          <w:rFonts w:hint="eastAsia" w:ascii="宋体" w:hAnsi="宋体"/>
          <w:color w:val="auto"/>
          <w:szCs w:val="21"/>
          <w:vertAlign w:val="subscript"/>
        </w:rPr>
        <w:t>t1</w:t>
      </w:r>
      <w:r>
        <w:rPr>
          <w:rFonts w:hint="eastAsia" w:ascii="宋体" w:hAnsi="宋体"/>
          <w:color w:val="auto"/>
          <w:szCs w:val="21"/>
        </w:rPr>
        <w:t>；F</w:t>
      </w:r>
      <w:r>
        <w:rPr>
          <w:rFonts w:hint="eastAsia" w:ascii="宋体" w:hAnsi="宋体"/>
          <w:color w:val="auto"/>
          <w:szCs w:val="21"/>
          <w:vertAlign w:val="subscript"/>
        </w:rPr>
        <w:t>t2</w:t>
      </w:r>
      <w:r>
        <w:rPr>
          <w:rFonts w:hint="eastAsia" w:ascii="宋体" w:hAnsi="宋体"/>
          <w:color w:val="auto"/>
          <w:szCs w:val="21"/>
        </w:rPr>
        <w:t>；F</w:t>
      </w:r>
      <w:r>
        <w:rPr>
          <w:rFonts w:hint="eastAsia" w:ascii="宋体" w:hAnsi="宋体"/>
          <w:color w:val="auto"/>
          <w:szCs w:val="21"/>
          <w:vertAlign w:val="subscript"/>
        </w:rPr>
        <w:t>t3</w:t>
      </w:r>
      <w:r>
        <w:rPr>
          <w:rFonts w:hint="eastAsia" w:ascii="宋体" w:hAnsi="宋体"/>
          <w:color w:val="auto"/>
          <w:szCs w:val="21"/>
        </w:rPr>
        <w:t>；……F</w:t>
      </w:r>
      <w:r>
        <w:rPr>
          <w:rFonts w:hint="eastAsia" w:ascii="宋体" w:hAnsi="宋体"/>
          <w:color w:val="auto"/>
          <w:szCs w:val="21"/>
          <w:vertAlign w:val="subscript"/>
        </w:rPr>
        <w:t>tn</w:t>
      </w:r>
      <w:r>
        <w:rPr>
          <w:rFonts w:hint="eastAsia" w:ascii="宋体" w:hAnsi="宋体"/>
          <w:color w:val="auto"/>
          <w:szCs w:val="21"/>
        </w:rPr>
        <w:t>---各可调因子的当期价格指数，指付款证书相关周期最后一天的前42天的各可调因子的价格指数；</w:t>
      </w:r>
    </w:p>
    <w:p w14:paraId="1592807F">
      <w:pPr>
        <w:spacing w:line="360" w:lineRule="auto"/>
        <w:ind w:firstLine="600"/>
        <w:rPr>
          <w:rFonts w:ascii="宋体" w:hAnsi="宋体"/>
          <w:color w:val="auto"/>
          <w:szCs w:val="21"/>
        </w:rPr>
      </w:pPr>
      <w:r>
        <w:rPr>
          <w:rFonts w:hint="eastAsia" w:ascii="宋体" w:hAnsi="宋体"/>
          <w:color w:val="auto"/>
          <w:szCs w:val="21"/>
        </w:rPr>
        <w:t>F</w:t>
      </w:r>
      <w:r>
        <w:rPr>
          <w:rFonts w:hint="eastAsia" w:ascii="宋体" w:hAnsi="宋体"/>
          <w:color w:val="auto"/>
          <w:szCs w:val="21"/>
          <w:vertAlign w:val="subscript"/>
        </w:rPr>
        <w:t>01</w:t>
      </w:r>
      <w:r>
        <w:rPr>
          <w:rFonts w:hint="eastAsia" w:ascii="宋体" w:hAnsi="宋体"/>
          <w:color w:val="auto"/>
          <w:szCs w:val="21"/>
        </w:rPr>
        <w:t>；F</w:t>
      </w:r>
      <w:r>
        <w:rPr>
          <w:rFonts w:hint="eastAsia" w:ascii="宋体" w:hAnsi="宋体"/>
          <w:color w:val="auto"/>
          <w:szCs w:val="21"/>
          <w:vertAlign w:val="subscript"/>
        </w:rPr>
        <w:t>02</w:t>
      </w:r>
      <w:r>
        <w:rPr>
          <w:rFonts w:hint="eastAsia" w:ascii="宋体" w:hAnsi="宋体"/>
          <w:color w:val="auto"/>
          <w:szCs w:val="21"/>
        </w:rPr>
        <w:t>；F</w:t>
      </w:r>
      <w:r>
        <w:rPr>
          <w:rFonts w:hint="eastAsia" w:ascii="宋体" w:hAnsi="宋体"/>
          <w:color w:val="auto"/>
          <w:szCs w:val="21"/>
          <w:vertAlign w:val="subscript"/>
        </w:rPr>
        <w:t>03</w:t>
      </w:r>
      <w:r>
        <w:rPr>
          <w:rFonts w:hint="eastAsia" w:ascii="宋体" w:hAnsi="宋体"/>
          <w:color w:val="auto"/>
          <w:szCs w:val="21"/>
        </w:rPr>
        <w:t>；……F</w:t>
      </w:r>
      <w:r>
        <w:rPr>
          <w:rFonts w:hint="eastAsia" w:ascii="宋体" w:hAnsi="宋体"/>
          <w:color w:val="auto"/>
          <w:szCs w:val="21"/>
          <w:vertAlign w:val="subscript"/>
        </w:rPr>
        <w:t>0n</w:t>
      </w:r>
      <w:r>
        <w:rPr>
          <w:rFonts w:hint="eastAsia" w:ascii="宋体" w:hAnsi="宋体"/>
          <w:color w:val="auto"/>
          <w:szCs w:val="21"/>
        </w:rPr>
        <w:t>---各可调因子的基本价格指数，指基准日期的各可调因子的价格指数。</w:t>
      </w:r>
    </w:p>
    <w:p w14:paraId="42E8E2AA">
      <w:pPr>
        <w:spacing w:line="360" w:lineRule="auto"/>
        <w:ind w:firstLine="600"/>
        <w:rPr>
          <w:rFonts w:ascii="宋体" w:hAnsi="宋体"/>
          <w:color w:val="auto"/>
          <w:szCs w:val="21"/>
        </w:rPr>
      </w:pPr>
      <w:r>
        <w:rPr>
          <w:rFonts w:hint="eastAsia" w:ascii="宋体" w:hAnsi="宋体"/>
          <w:color w:val="auto"/>
          <w:szCs w:val="21"/>
        </w:rPr>
        <w:t>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p>
    <w:p w14:paraId="6E24B22C">
      <w:pPr>
        <w:spacing w:line="360" w:lineRule="auto"/>
        <w:ind w:firstLine="630" w:firstLineChars="300"/>
        <w:rPr>
          <w:rFonts w:ascii="宋体" w:hAnsi="宋体"/>
          <w:color w:val="auto"/>
          <w:szCs w:val="21"/>
        </w:rPr>
      </w:pPr>
      <w:r>
        <w:rPr>
          <w:rFonts w:hint="eastAsia" w:ascii="宋体" w:hAnsi="宋体"/>
          <w:color w:val="auto"/>
          <w:szCs w:val="21"/>
        </w:rPr>
        <w:t>（2）暂时确定调整差额</w:t>
      </w:r>
    </w:p>
    <w:p w14:paraId="2AEF40B9">
      <w:pPr>
        <w:spacing w:line="360" w:lineRule="auto"/>
        <w:ind w:firstLine="630" w:firstLineChars="300"/>
        <w:rPr>
          <w:rFonts w:ascii="宋体" w:hAnsi="宋体"/>
          <w:color w:val="auto"/>
          <w:szCs w:val="21"/>
        </w:rPr>
      </w:pPr>
      <w:r>
        <w:rPr>
          <w:rFonts w:hint="eastAsia" w:ascii="宋体" w:hAnsi="宋体"/>
          <w:color w:val="auto"/>
          <w:szCs w:val="21"/>
        </w:rPr>
        <w:t>在计算调整差额时得不到当期价格指数的，可暂用上一次价格指数计算，并在以后的付款中再按实际价格指数进行调整。</w:t>
      </w:r>
    </w:p>
    <w:p w14:paraId="28289C57">
      <w:pPr>
        <w:spacing w:line="360" w:lineRule="auto"/>
        <w:ind w:firstLine="630" w:firstLineChars="300"/>
        <w:rPr>
          <w:rFonts w:ascii="宋体" w:hAnsi="宋体"/>
          <w:color w:val="auto"/>
          <w:szCs w:val="21"/>
        </w:rPr>
      </w:pPr>
      <w:r>
        <w:rPr>
          <w:rFonts w:hint="eastAsia" w:ascii="宋体" w:hAnsi="宋体"/>
          <w:color w:val="auto"/>
          <w:szCs w:val="21"/>
        </w:rPr>
        <w:t>（3）权重的调整</w:t>
      </w:r>
    </w:p>
    <w:p w14:paraId="07BA374C">
      <w:pPr>
        <w:spacing w:line="360" w:lineRule="auto"/>
        <w:ind w:firstLine="630" w:firstLineChars="300"/>
        <w:rPr>
          <w:rFonts w:ascii="宋体" w:hAnsi="宋体"/>
          <w:color w:val="auto"/>
          <w:szCs w:val="21"/>
        </w:rPr>
      </w:pPr>
      <w:r>
        <w:rPr>
          <w:rFonts w:hint="eastAsia" w:ascii="宋体" w:hAnsi="宋体"/>
          <w:color w:val="auto"/>
          <w:szCs w:val="21"/>
        </w:rPr>
        <w:t>按第</w:t>
      </w:r>
      <w:r>
        <w:rPr>
          <w:rFonts w:ascii="宋体" w:hAnsi="宋体"/>
          <w:color w:val="auto"/>
          <w:szCs w:val="21"/>
        </w:rPr>
        <w:t>13.1</w:t>
      </w:r>
      <w:r>
        <w:rPr>
          <w:rFonts w:hint="eastAsia" w:ascii="宋体" w:hAnsi="宋体"/>
          <w:color w:val="auto"/>
          <w:szCs w:val="21"/>
        </w:rPr>
        <w:t>款[发包人变更权]约定的变更导致原定合同中的权重不合理的，由工程师与承包人和发包人协商后进行调整。</w:t>
      </w:r>
    </w:p>
    <w:p w14:paraId="198B72CD">
      <w:pPr>
        <w:spacing w:line="360" w:lineRule="auto"/>
        <w:ind w:firstLine="630" w:firstLineChars="300"/>
        <w:rPr>
          <w:rFonts w:ascii="宋体" w:hAnsi="宋体"/>
          <w:color w:val="auto"/>
          <w:szCs w:val="21"/>
        </w:rPr>
      </w:pPr>
      <w:r>
        <w:rPr>
          <w:rFonts w:hint="eastAsia" w:ascii="宋体" w:hAnsi="宋体"/>
          <w:color w:val="auto"/>
          <w:szCs w:val="21"/>
        </w:rPr>
        <w:t>（4）承包人原因工期延误后的价格调整</w:t>
      </w:r>
    </w:p>
    <w:p w14:paraId="6B5FF2D8">
      <w:pPr>
        <w:spacing w:line="360" w:lineRule="auto"/>
        <w:ind w:firstLine="630" w:firstLineChars="300"/>
        <w:rPr>
          <w:rFonts w:ascii="宋体" w:hAnsi="宋体"/>
          <w:color w:val="auto"/>
          <w:szCs w:val="21"/>
        </w:rPr>
      </w:pPr>
      <w:r>
        <w:rPr>
          <w:rFonts w:hint="eastAsia" w:ascii="宋体" w:hAnsi="宋体"/>
          <w:color w:val="auto"/>
          <w:szCs w:val="21"/>
        </w:rPr>
        <w:t>因承包人原因未在约定的工期内竣工的，则对原约定竣工日期后继续施工的工程，在使用本款第(1)项价格调整公式时，应采用原约定竣工日期与实际竣工日期的两个价格指数中较低的一个作为当期价格指数。</w:t>
      </w:r>
    </w:p>
    <w:p w14:paraId="15A84FE3">
      <w:pPr>
        <w:spacing w:line="360" w:lineRule="auto"/>
        <w:ind w:firstLine="630" w:firstLineChars="300"/>
        <w:rPr>
          <w:rFonts w:ascii="宋体" w:hAnsi="宋体"/>
          <w:color w:val="auto"/>
          <w:szCs w:val="21"/>
        </w:rPr>
      </w:pPr>
      <w:r>
        <w:rPr>
          <w:rFonts w:hint="eastAsia" w:ascii="宋体" w:hAnsi="宋体"/>
          <w:color w:val="auto"/>
          <w:szCs w:val="21"/>
        </w:rPr>
        <w:t>（5）发包人引起的工期延误后的价格调整</w:t>
      </w:r>
    </w:p>
    <w:p w14:paraId="1D7E342B">
      <w:pPr>
        <w:spacing w:line="360" w:lineRule="auto"/>
        <w:ind w:firstLine="630" w:firstLineChars="300"/>
        <w:rPr>
          <w:rFonts w:ascii="宋体" w:hAnsi="宋体"/>
          <w:color w:val="auto"/>
          <w:szCs w:val="21"/>
        </w:rPr>
      </w:pPr>
      <w:r>
        <w:rPr>
          <w:rFonts w:hint="eastAsia" w:ascii="宋体" w:hAnsi="宋体"/>
          <w:color w:val="auto"/>
          <w:szCs w:val="21"/>
        </w:rPr>
        <w:t>由于发包人原因未在约定的工期内竣工的，则对原约定竣工日期后继续施工的工程，在使用本款第（1）目价格调整公式时，应采用原约定竣工日期与实际竣工日期的两个价格指数中较高的一个作为当期价格指数。</w:t>
      </w:r>
    </w:p>
    <w:p w14:paraId="331ABF2A">
      <w:pPr>
        <w:pStyle w:val="152"/>
        <w:numPr>
          <w:ilvl w:val="0"/>
          <w:numId w:val="0"/>
        </w:numPr>
        <w:tabs>
          <w:tab w:val="clear" w:pos="1680"/>
        </w:tabs>
        <w:ind w:firstLine="630" w:firstLineChars="300"/>
        <w:rPr>
          <w:color w:val="auto"/>
          <w:sz w:val="21"/>
        </w:rPr>
      </w:pPr>
      <w:r>
        <w:rPr>
          <w:rFonts w:hint="eastAsia"/>
          <w:color w:val="auto"/>
          <w:sz w:val="21"/>
        </w:rPr>
        <w:t>1</w:t>
      </w:r>
      <w:r>
        <w:rPr>
          <w:color w:val="auto"/>
          <w:sz w:val="21"/>
        </w:rPr>
        <w:t xml:space="preserve">3.8.2.2 </w:t>
      </w:r>
      <w:r>
        <w:rPr>
          <w:rFonts w:hint="eastAsia"/>
          <w:color w:val="auto"/>
          <w:sz w:val="21"/>
        </w:rPr>
        <w:t>未列入</w:t>
      </w:r>
      <w:bookmarkStart w:id="1664" w:name="_Hlk24494865"/>
      <w:r>
        <w:rPr>
          <w:rFonts w:hint="eastAsia"/>
          <w:color w:val="auto"/>
          <w:sz w:val="21"/>
        </w:rPr>
        <w:t>《价格指数权重表》</w:t>
      </w:r>
      <w:bookmarkEnd w:id="1664"/>
      <w:r>
        <w:rPr>
          <w:rFonts w:hint="eastAsia"/>
          <w:color w:val="auto"/>
          <w:sz w:val="21"/>
        </w:rPr>
        <w:t>的费用不因市场变化而调整。</w:t>
      </w:r>
    </w:p>
    <w:p w14:paraId="315C5AFC">
      <w:pPr>
        <w:pStyle w:val="130"/>
        <w:numPr>
          <w:ilvl w:val="0"/>
          <w:numId w:val="0"/>
        </w:numPr>
        <w:ind w:firstLine="420" w:firstLineChars="200"/>
        <w:rPr>
          <w:color w:val="auto"/>
          <w:sz w:val="21"/>
        </w:rPr>
      </w:pPr>
      <w:r>
        <w:rPr>
          <w:rFonts w:hint="eastAsia"/>
          <w:color w:val="auto"/>
          <w:sz w:val="21"/>
        </w:rPr>
        <w:t>1</w:t>
      </w:r>
      <w:r>
        <w:rPr>
          <w:color w:val="auto"/>
          <w:sz w:val="21"/>
        </w:rPr>
        <w:t xml:space="preserve">3.8.3 </w:t>
      </w:r>
      <w:r>
        <w:rPr>
          <w:rFonts w:hint="eastAsia"/>
          <w:color w:val="auto"/>
          <w:sz w:val="21"/>
        </w:rPr>
        <w:t>双方约定采用其他方式调整合同价款的，以专用合同条件约定为准。</w:t>
      </w:r>
    </w:p>
    <w:p w14:paraId="574935E6">
      <w:pPr>
        <w:pStyle w:val="3"/>
        <w:spacing w:before="48" w:line="360" w:lineRule="auto"/>
        <w:rPr>
          <w:rFonts w:ascii="黑体" w:hAnsi="黑体"/>
          <w:bCs w:val="0"/>
          <w:color w:val="auto"/>
          <w:sz w:val="28"/>
        </w:rPr>
      </w:pPr>
      <w:bookmarkStart w:id="1665" w:name="_Ref531955880"/>
      <w:bookmarkStart w:id="1666" w:name="_Ref531955885"/>
      <w:bookmarkStart w:id="1667" w:name="_Toc54862291"/>
      <w:bookmarkStart w:id="1668" w:name="_Toc154063607"/>
      <w:r>
        <w:rPr>
          <w:rFonts w:hint="eastAsia" w:ascii="黑体" w:hAnsi="黑体"/>
          <w:bCs w:val="0"/>
          <w:color w:val="auto"/>
          <w:sz w:val="28"/>
        </w:rPr>
        <w:t>第1</w:t>
      </w:r>
      <w:r>
        <w:rPr>
          <w:rFonts w:ascii="黑体" w:hAnsi="黑体"/>
          <w:bCs w:val="0"/>
          <w:color w:val="auto"/>
          <w:sz w:val="28"/>
        </w:rPr>
        <w:t>4</w:t>
      </w:r>
      <w:r>
        <w:rPr>
          <w:rFonts w:hint="eastAsia" w:ascii="黑体" w:hAnsi="黑体"/>
          <w:bCs w:val="0"/>
          <w:color w:val="auto"/>
          <w:sz w:val="28"/>
        </w:rPr>
        <w:t>条 合同价格与支付</w:t>
      </w:r>
      <w:bookmarkEnd w:id="1665"/>
      <w:bookmarkEnd w:id="1666"/>
      <w:bookmarkEnd w:id="1667"/>
      <w:bookmarkEnd w:id="1668"/>
    </w:p>
    <w:p w14:paraId="3AD4093C">
      <w:pPr>
        <w:pStyle w:val="4"/>
        <w:spacing w:before="120" w:line="360" w:lineRule="auto"/>
        <w:rPr>
          <w:color w:val="auto"/>
        </w:rPr>
      </w:pPr>
      <w:bookmarkStart w:id="1669" w:name="_Ref4431521"/>
      <w:bookmarkStart w:id="1670" w:name="_Toc154063608"/>
      <w:bookmarkStart w:id="1671" w:name="_Ref4431531"/>
      <w:bookmarkStart w:id="1672" w:name="_Toc54862292"/>
      <w:r>
        <w:rPr>
          <w:rFonts w:hint="eastAsia"/>
          <w:color w:val="auto"/>
        </w:rPr>
        <w:t>1</w:t>
      </w:r>
      <w:r>
        <w:rPr>
          <w:color w:val="auto"/>
        </w:rPr>
        <w:t xml:space="preserve">4.1 </w:t>
      </w:r>
      <w:r>
        <w:rPr>
          <w:rFonts w:hint="eastAsia"/>
          <w:color w:val="auto"/>
        </w:rPr>
        <w:t>合同价格形式</w:t>
      </w:r>
      <w:bookmarkEnd w:id="1669"/>
      <w:bookmarkEnd w:id="1670"/>
      <w:bookmarkEnd w:id="1671"/>
      <w:bookmarkEnd w:id="1672"/>
    </w:p>
    <w:p w14:paraId="3505579D">
      <w:pPr>
        <w:pStyle w:val="130"/>
        <w:numPr>
          <w:ilvl w:val="0"/>
          <w:numId w:val="0"/>
        </w:numPr>
        <w:ind w:firstLine="420" w:firstLineChars="200"/>
        <w:rPr>
          <w:color w:val="auto"/>
          <w:sz w:val="21"/>
        </w:rPr>
      </w:pPr>
      <w:r>
        <w:rPr>
          <w:rFonts w:hint="eastAsia"/>
          <w:color w:val="auto"/>
          <w:sz w:val="21"/>
        </w:rPr>
        <w:t>1</w:t>
      </w:r>
      <w:r>
        <w:rPr>
          <w:color w:val="auto"/>
          <w:sz w:val="21"/>
        </w:rPr>
        <w:t xml:space="preserve">4.1.1 </w:t>
      </w:r>
      <w:r>
        <w:rPr>
          <w:rFonts w:hint="eastAsia"/>
          <w:color w:val="auto"/>
          <w:sz w:val="21"/>
        </w:rPr>
        <w:t>除专用合同条件中另有约定外，本合同为总价合同，除根据第</w:t>
      </w:r>
      <w:r>
        <w:rPr>
          <w:color w:val="auto"/>
          <w:sz w:val="21"/>
        </w:rPr>
        <w:t>13条</w:t>
      </w:r>
      <w:r>
        <w:rPr>
          <w:rFonts w:hint="eastAsia"/>
          <w:color w:val="auto"/>
          <w:sz w:val="21"/>
        </w:rPr>
        <w:t>[</w:t>
      </w:r>
      <w:r>
        <w:rPr>
          <w:color w:val="auto"/>
          <w:sz w:val="21"/>
        </w:rPr>
        <w:t>变更与调整]</w:t>
      </w:r>
      <w:r>
        <w:rPr>
          <w:rFonts w:hint="eastAsia"/>
          <w:color w:val="auto"/>
          <w:sz w:val="21"/>
        </w:rPr>
        <w:t>，以及合同中其它相关增减金额的约定进行调整外，合同价格不做调整。</w:t>
      </w:r>
    </w:p>
    <w:p w14:paraId="613A99C9">
      <w:pPr>
        <w:pStyle w:val="130"/>
        <w:numPr>
          <w:ilvl w:val="0"/>
          <w:numId w:val="0"/>
        </w:numPr>
        <w:ind w:firstLine="420" w:firstLineChars="200"/>
        <w:rPr>
          <w:color w:val="auto"/>
          <w:sz w:val="21"/>
        </w:rPr>
      </w:pPr>
      <w:r>
        <w:rPr>
          <w:rFonts w:hint="eastAsia"/>
          <w:color w:val="auto"/>
          <w:sz w:val="21"/>
        </w:rPr>
        <w:t>1</w:t>
      </w:r>
      <w:r>
        <w:rPr>
          <w:color w:val="auto"/>
          <w:sz w:val="21"/>
        </w:rPr>
        <w:t xml:space="preserve">4.1.2 </w:t>
      </w:r>
      <w:r>
        <w:rPr>
          <w:rFonts w:hint="eastAsia"/>
          <w:color w:val="auto"/>
          <w:sz w:val="21"/>
        </w:rPr>
        <w:t>除专用合同条件另有约定外：</w:t>
      </w:r>
    </w:p>
    <w:p w14:paraId="65B86BD3">
      <w:pPr>
        <w:spacing w:line="360" w:lineRule="auto"/>
        <w:ind w:firstLine="420" w:firstLineChars="200"/>
        <w:rPr>
          <w:rFonts w:ascii="宋体" w:hAnsi="宋体"/>
          <w:color w:val="auto"/>
          <w:szCs w:val="21"/>
        </w:rPr>
      </w:pPr>
      <w:r>
        <w:rPr>
          <w:rFonts w:hint="eastAsia" w:ascii="宋体" w:hAnsi="宋体"/>
          <w:color w:val="auto"/>
          <w:szCs w:val="21"/>
        </w:rPr>
        <w:t>（1）工程款的支付应以合同协议书约定的签约合同价格为基础，按照合同约定进行调整；</w:t>
      </w:r>
    </w:p>
    <w:p w14:paraId="39741C8B">
      <w:pPr>
        <w:spacing w:line="360" w:lineRule="auto"/>
        <w:ind w:firstLine="420" w:firstLineChars="200"/>
        <w:rPr>
          <w:rFonts w:ascii="宋体" w:hAnsi="宋体"/>
          <w:color w:val="auto"/>
          <w:szCs w:val="21"/>
        </w:rPr>
      </w:pPr>
      <w:r>
        <w:rPr>
          <w:rFonts w:hint="eastAsia" w:ascii="宋体" w:hAnsi="宋体"/>
          <w:color w:val="auto"/>
          <w:szCs w:val="21"/>
        </w:rPr>
        <w:t>（2）承包人应支付根据法律规定或合同约定应由其支付的各项税费，除第</w:t>
      </w:r>
      <w:r>
        <w:rPr>
          <w:rFonts w:ascii="宋体" w:hAnsi="宋体"/>
          <w:color w:val="auto"/>
          <w:szCs w:val="21"/>
        </w:rPr>
        <w:t>13.7</w:t>
      </w:r>
      <w:r>
        <w:rPr>
          <w:rFonts w:hint="eastAsia" w:ascii="宋体" w:hAnsi="宋体"/>
          <w:color w:val="auto"/>
          <w:szCs w:val="21"/>
        </w:rPr>
        <w:t>款[</w:t>
      </w:r>
      <w:r>
        <w:rPr>
          <w:rFonts w:ascii="宋体" w:hAnsi="宋体"/>
          <w:color w:val="auto"/>
          <w:szCs w:val="21"/>
        </w:rPr>
        <w:t>法律变化引起的调整]</w:t>
      </w:r>
      <w:r>
        <w:rPr>
          <w:rFonts w:hint="eastAsia" w:ascii="宋体" w:hAnsi="宋体"/>
          <w:color w:val="auto"/>
          <w:szCs w:val="21"/>
        </w:rPr>
        <w:t>约定外，合同价格不应因任何这些税费进行调整；</w:t>
      </w:r>
    </w:p>
    <w:p w14:paraId="3CE73FA0">
      <w:pPr>
        <w:spacing w:line="360" w:lineRule="auto"/>
        <w:ind w:firstLine="420" w:firstLineChars="200"/>
        <w:rPr>
          <w:rFonts w:ascii="宋体" w:hAnsi="宋体"/>
          <w:color w:val="auto"/>
          <w:szCs w:val="21"/>
        </w:rPr>
      </w:pPr>
      <w:r>
        <w:rPr>
          <w:rFonts w:hint="eastAsia" w:ascii="宋体" w:hAnsi="宋体"/>
          <w:color w:val="auto"/>
          <w:szCs w:val="21"/>
        </w:rPr>
        <w:t>（3）价格清单列出的任何数量仅为估算的工作量，不得将其视为要求承包人实施的工程的实际或准确的工作量。在价格清单中列出的任何工作量和价格数据应仅限用于变更和支付的参考资料，而不能用于其他目的。</w:t>
      </w:r>
    </w:p>
    <w:p w14:paraId="74F6AF4D">
      <w:pPr>
        <w:pStyle w:val="130"/>
        <w:numPr>
          <w:ilvl w:val="0"/>
          <w:numId w:val="0"/>
        </w:numPr>
        <w:ind w:firstLine="420" w:firstLineChars="200"/>
        <w:rPr>
          <w:color w:val="auto"/>
          <w:sz w:val="21"/>
        </w:rPr>
      </w:pPr>
      <w:r>
        <w:rPr>
          <w:rFonts w:hint="eastAsia"/>
          <w:color w:val="auto"/>
          <w:sz w:val="21"/>
        </w:rPr>
        <w:t>1</w:t>
      </w:r>
      <w:r>
        <w:rPr>
          <w:color w:val="auto"/>
          <w:sz w:val="21"/>
        </w:rPr>
        <w:t xml:space="preserve">4.1.3 </w:t>
      </w:r>
      <w:r>
        <w:rPr>
          <w:rFonts w:hint="eastAsia"/>
          <w:color w:val="auto"/>
          <w:sz w:val="21"/>
        </w:rPr>
        <w:t>合同约定工程的某部分按照实际完成的工程量进行支付的，应按照专用合同条件的约定进行计量和估价，并据此调整合同价格。</w:t>
      </w:r>
    </w:p>
    <w:p w14:paraId="60291421">
      <w:pPr>
        <w:pStyle w:val="4"/>
        <w:spacing w:before="120" w:line="360" w:lineRule="auto"/>
        <w:rPr>
          <w:color w:val="auto"/>
        </w:rPr>
      </w:pPr>
      <w:bookmarkStart w:id="1673" w:name="_Toc154063609"/>
      <w:bookmarkStart w:id="1674" w:name="_Ref531956881"/>
      <w:bookmarkStart w:id="1675" w:name="_Toc54862293"/>
      <w:bookmarkStart w:id="1676" w:name="_Ref531956884"/>
      <w:r>
        <w:rPr>
          <w:rFonts w:hint="eastAsia"/>
          <w:color w:val="auto"/>
        </w:rPr>
        <w:t>1</w:t>
      </w:r>
      <w:r>
        <w:rPr>
          <w:color w:val="auto"/>
        </w:rPr>
        <w:t xml:space="preserve">4.2 </w:t>
      </w:r>
      <w:r>
        <w:rPr>
          <w:rFonts w:hint="eastAsia"/>
          <w:color w:val="auto"/>
        </w:rPr>
        <w:t>预付款</w:t>
      </w:r>
      <w:bookmarkEnd w:id="1673"/>
      <w:bookmarkEnd w:id="1674"/>
      <w:bookmarkEnd w:id="1675"/>
      <w:bookmarkEnd w:id="1676"/>
    </w:p>
    <w:p w14:paraId="0DD22C73">
      <w:pPr>
        <w:pStyle w:val="130"/>
        <w:numPr>
          <w:ilvl w:val="0"/>
          <w:numId w:val="0"/>
        </w:numPr>
        <w:ind w:firstLine="420" w:firstLineChars="200"/>
        <w:rPr>
          <w:color w:val="auto"/>
          <w:sz w:val="21"/>
        </w:rPr>
      </w:pPr>
      <w:r>
        <w:rPr>
          <w:rFonts w:hint="eastAsia"/>
          <w:color w:val="auto"/>
          <w:sz w:val="21"/>
        </w:rPr>
        <w:t>1</w:t>
      </w:r>
      <w:r>
        <w:rPr>
          <w:color w:val="auto"/>
          <w:sz w:val="21"/>
        </w:rPr>
        <w:t xml:space="preserve">4.2.1 </w:t>
      </w:r>
      <w:r>
        <w:rPr>
          <w:rFonts w:hint="eastAsia"/>
          <w:color w:val="auto"/>
          <w:sz w:val="21"/>
        </w:rPr>
        <w:t>预付款支付</w:t>
      </w:r>
    </w:p>
    <w:p w14:paraId="2F2B0BDE">
      <w:pPr>
        <w:spacing w:line="360" w:lineRule="auto"/>
        <w:ind w:firstLine="420" w:firstLineChars="200"/>
        <w:rPr>
          <w:rFonts w:ascii="宋体" w:hAnsi="宋体"/>
          <w:color w:val="auto"/>
          <w:szCs w:val="21"/>
        </w:rPr>
      </w:pPr>
      <w:r>
        <w:rPr>
          <w:rFonts w:hint="eastAsia" w:ascii="宋体" w:hAnsi="宋体"/>
          <w:color w:val="auto"/>
          <w:szCs w:val="21"/>
        </w:rPr>
        <w:t>预付款的额度和支付按照专用合同条件约定执行。预付款应当专用于承包人为合同工程的设计和工程实施购置材料、工程设备、施工设备、修建临时设施以及组织施工队伍进场等合同工作。</w:t>
      </w:r>
    </w:p>
    <w:p w14:paraId="0A5980A0">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除专用合同条件另有约定外，预付款在进度付款中同比例扣回。在颁发工程接收证书前，提前解除合同的，尚未扣完的预付款应与合同价款一并结算。</w:t>
      </w:r>
    </w:p>
    <w:p w14:paraId="055A60A1">
      <w:pPr>
        <w:spacing w:line="360" w:lineRule="auto"/>
        <w:ind w:firstLine="420" w:firstLineChars="200"/>
        <w:rPr>
          <w:rFonts w:ascii="宋体" w:hAnsi="宋体"/>
          <w:color w:val="auto"/>
          <w:szCs w:val="21"/>
        </w:rPr>
      </w:pPr>
      <w:r>
        <w:rPr>
          <w:rFonts w:hint="eastAsia" w:ascii="宋体" w:hAnsi="宋体"/>
          <w:color w:val="auto"/>
          <w:szCs w:val="21"/>
        </w:rPr>
        <w:t>发包人逾期支付预付款超过7天的，承包人有权向发包人发出要求预付的催告通知，发包人收到通知后7天内仍未支付的，承包人有权暂停施工，并按第15.1.1项[发包人违约的情形]执行。</w:t>
      </w:r>
    </w:p>
    <w:p w14:paraId="12B94306">
      <w:pPr>
        <w:pStyle w:val="130"/>
        <w:numPr>
          <w:ilvl w:val="0"/>
          <w:numId w:val="0"/>
        </w:numPr>
        <w:ind w:firstLine="420" w:firstLineChars="200"/>
        <w:rPr>
          <w:color w:val="auto"/>
          <w:sz w:val="21"/>
        </w:rPr>
      </w:pPr>
      <w:bookmarkStart w:id="1677" w:name="_Ref531956907"/>
      <w:bookmarkStart w:id="1678" w:name="_Ref4797624"/>
      <w:bookmarkStart w:id="1679" w:name="_Hlk54429963"/>
      <w:r>
        <w:rPr>
          <w:rFonts w:hint="eastAsia"/>
          <w:color w:val="auto"/>
          <w:sz w:val="21"/>
        </w:rPr>
        <w:t>1</w:t>
      </w:r>
      <w:r>
        <w:rPr>
          <w:color w:val="auto"/>
          <w:sz w:val="21"/>
        </w:rPr>
        <w:t xml:space="preserve">4.2.2 </w:t>
      </w:r>
      <w:r>
        <w:rPr>
          <w:rFonts w:hint="eastAsia"/>
          <w:color w:val="auto"/>
          <w:sz w:val="21"/>
        </w:rPr>
        <w:t>预付款</w:t>
      </w:r>
      <w:bookmarkEnd w:id="1677"/>
      <w:r>
        <w:rPr>
          <w:rFonts w:hint="eastAsia"/>
          <w:color w:val="auto"/>
          <w:sz w:val="21"/>
        </w:rPr>
        <w:t>担保</w:t>
      </w:r>
      <w:bookmarkEnd w:id="1678"/>
    </w:p>
    <w:bookmarkEnd w:id="1679"/>
    <w:p w14:paraId="49969589">
      <w:pPr>
        <w:spacing w:line="360" w:lineRule="auto"/>
        <w:ind w:firstLine="420" w:firstLineChars="200"/>
        <w:rPr>
          <w:rFonts w:ascii="宋体" w:hAnsi="宋体"/>
          <w:color w:val="auto"/>
          <w:szCs w:val="21"/>
        </w:rPr>
      </w:pPr>
      <w:r>
        <w:rPr>
          <w:rFonts w:hint="eastAsia" w:ascii="宋体" w:hAnsi="宋体"/>
          <w:color w:val="auto"/>
          <w:szCs w:val="21"/>
        </w:rPr>
        <w:t>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p>
    <w:p w14:paraId="692356C4">
      <w:pPr>
        <w:spacing w:line="360" w:lineRule="auto"/>
        <w:ind w:firstLine="420" w:firstLineChars="200"/>
        <w:rPr>
          <w:rFonts w:ascii="宋体" w:hAnsi="宋体"/>
          <w:color w:val="auto"/>
          <w:szCs w:val="21"/>
        </w:rPr>
      </w:pPr>
      <w:r>
        <w:rPr>
          <w:rFonts w:hint="eastAsia" w:ascii="宋体" w:hAnsi="宋体"/>
          <w:color w:val="auto"/>
          <w:szCs w:val="21"/>
        </w:rPr>
        <w:t>发包人在工程款中逐期扣回预付款后，预付款担保额度应相应减少，但剩余的预付款担保金额不得低于未被扣回的预付款金额。</w:t>
      </w:r>
    </w:p>
    <w:p w14:paraId="57A5843E">
      <w:pPr>
        <w:pStyle w:val="4"/>
        <w:spacing w:before="120" w:line="360" w:lineRule="auto"/>
        <w:rPr>
          <w:color w:val="auto"/>
        </w:rPr>
      </w:pPr>
      <w:bookmarkStart w:id="1680" w:name="_Toc4784193"/>
      <w:bookmarkEnd w:id="1680"/>
      <w:bookmarkStart w:id="1681" w:name="_Toc4784195"/>
      <w:bookmarkEnd w:id="1681"/>
      <w:bookmarkStart w:id="1682" w:name="_Toc4784194"/>
      <w:bookmarkEnd w:id="1682"/>
      <w:bookmarkStart w:id="1683" w:name="_Ref531956967"/>
      <w:bookmarkStart w:id="1684" w:name="_Ref4623398"/>
      <w:bookmarkStart w:id="1685" w:name="_Toc54862294"/>
      <w:bookmarkStart w:id="1686" w:name="_Toc154063610"/>
      <w:bookmarkStart w:id="1687" w:name="_Ref531956963"/>
      <w:r>
        <w:rPr>
          <w:rFonts w:hint="eastAsia"/>
          <w:color w:val="auto"/>
        </w:rPr>
        <w:t>1</w:t>
      </w:r>
      <w:r>
        <w:rPr>
          <w:color w:val="auto"/>
        </w:rPr>
        <w:t xml:space="preserve">4.3 </w:t>
      </w:r>
      <w:r>
        <w:rPr>
          <w:rFonts w:hint="eastAsia"/>
          <w:color w:val="auto"/>
        </w:rPr>
        <w:t>工程进度款</w:t>
      </w:r>
      <w:bookmarkEnd w:id="1683"/>
      <w:bookmarkEnd w:id="1684"/>
      <w:bookmarkEnd w:id="1685"/>
      <w:bookmarkEnd w:id="1686"/>
      <w:bookmarkEnd w:id="1687"/>
    </w:p>
    <w:p w14:paraId="084C7341">
      <w:pPr>
        <w:pStyle w:val="130"/>
        <w:numPr>
          <w:ilvl w:val="0"/>
          <w:numId w:val="0"/>
        </w:numPr>
        <w:ind w:firstLine="420" w:firstLineChars="200"/>
        <w:rPr>
          <w:color w:val="auto"/>
          <w:sz w:val="21"/>
        </w:rPr>
      </w:pPr>
      <w:bookmarkStart w:id="1688" w:name="_Ref532679934"/>
      <w:bookmarkStart w:id="1689" w:name="_Ref531956987"/>
      <w:r>
        <w:rPr>
          <w:rFonts w:hint="eastAsia"/>
          <w:color w:val="auto"/>
          <w:sz w:val="21"/>
        </w:rPr>
        <w:t>1</w:t>
      </w:r>
      <w:r>
        <w:rPr>
          <w:color w:val="auto"/>
          <w:sz w:val="21"/>
        </w:rPr>
        <w:t xml:space="preserve">4.3.1 </w:t>
      </w:r>
      <w:r>
        <w:rPr>
          <w:rFonts w:hint="eastAsia"/>
          <w:color w:val="auto"/>
          <w:sz w:val="21"/>
        </w:rPr>
        <w:t>工程进度付款申请</w:t>
      </w:r>
      <w:bookmarkEnd w:id="1688"/>
      <w:bookmarkEnd w:id="1689"/>
    </w:p>
    <w:p w14:paraId="7FE6DEE9">
      <w:pPr>
        <w:spacing w:line="360" w:lineRule="auto"/>
        <w:ind w:firstLine="420" w:firstLineChars="200"/>
        <w:rPr>
          <w:rFonts w:ascii="宋体" w:hAnsi="宋体"/>
          <w:color w:val="auto"/>
          <w:szCs w:val="21"/>
        </w:rPr>
      </w:pPr>
      <w:r>
        <w:rPr>
          <w:rFonts w:hint="eastAsia" w:ascii="宋体" w:hAnsi="宋体"/>
          <w:color w:val="auto"/>
          <w:szCs w:val="21"/>
        </w:rPr>
        <w:t>（1）人工费的申请</w:t>
      </w:r>
    </w:p>
    <w:p w14:paraId="015C3F23">
      <w:pPr>
        <w:spacing w:line="360" w:lineRule="auto"/>
        <w:ind w:firstLine="420" w:firstLineChars="200"/>
        <w:rPr>
          <w:rFonts w:ascii="宋体" w:hAnsi="宋体"/>
          <w:color w:val="auto"/>
          <w:szCs w:val="21"/>
        </w:rPr>
      </w:pPr>
      <w:r>
        <w:rPr>
          <w:rFonts w:ascii="宋体" w:hAnsi="宋体"/>
          <w:color w:val="auto"/>
          <w:szCs w:val="21"/>
        </w:rPr>
        <w:t>人工费应按月支付，工程师应在收到承包人人工费付款申请单以及相关资料后7天内完成审查并报送发包人，发包人应在收到后7天内完成审批并向承包人签发人工费支付证书，发包人应在人工费支付证书签发后7天内完成支付。已支付的人工费部分，发包人支付进度款时予以相应扣除</w:t>
      </w:r>
      <w:r>
        <w:rPr>
          <w:rFonts w:hint="eastAsia" w:ascii="宋体" w:hAnsi="宋体"/>
          <w:color w:val="auto"/>
          <w:szCs w:val="21"/>
        </w:rPr>
        <w:t>。</w:t>
      </w:r>
    </w:p>
    <w:p w14:paraId="47CE6DB9">
      <w:pPr>
        <w:spacing w:line="360" w:lineRule="auto"/>
        <w:ind w:firstLine="420" w:firstLineChars="200"/>
        <w:rPr>
          <w:rFonts w:ascii="宋体" w:hAnsi="宋体"/>
          <w:color w:val="auto"/>
          <w:szCs w:val="21"/>
        </w:rPr>
      </w:pPr>
      <w:r>
        <w:rPr>
          <w:rFonts w:hint="eastAsia" w:ascii="宋体" w:hAnsi="宋体"/>
          <w:color w:val="auto"/>
          <w:szCs w:val="21"/>
        </w:rPr>
        <w:t>（2）除专用合同条件另有约定外，承包人应在每月月末向工程师提交进度付款申请单，该进度付款申请单应包括下列内容：</w:t>
      </w:r>
    </w:p>
    <w:p w14:paraId="3E6DE0FE">
      <w:pPr>
        <w:spacing w:line="360" w:lineRule="auto"/>
        <w:ind w:firstLine="600"/>
        <w:rPr>
          <w:rFonts w:ascii="宋体" w:hAnsi="宋体"/>
          <w:color w:val="auto"/>
          <w:szCs w:val="21"/>
        </w:rPr>
      </w:pPr>
      <w:bookmarkStart w:id="1690" w:name="_Ref24496054"/>
      <w:r>
        <w:rPr>
          <w:rFonts w:hint="eastAsia" w:ascii="宋体" w:hAnsi="宋体"/>
          <w:color w:val="auto"/>
          <w:szCs w:val="21"/>
        </w:rPr>
        <w:t>1）截至本次付款周期内已完成工作对应的金额；</w:t>
      </w:r>
      <w:bookmarkEnd w:id="1690"/>
    </w:p>
    <w:p w14:paraId="482653F4">
      <w:pPr>
        <w:spacing w:line="360" w:lineRule="auto"/>
        <w:ind w:firstLine="600"/>
        <w:rPr>
          <w:rFonts w:ascii="宋体" w:hAnsi="宋体"/>
          <w:color w:val="auto"/>
          <w:szCs w:val="21"/>
        </w:rPr>
      </w:pPr>
      <w:r>
        <w:rPr>
          <w:rFonts w:ascii="宋体" w:hAnsi="宋体"/>
          <w:color w:val="auto"/>
          <w:szCs w:val="21"/>
        </w:rPr>
        <w:t>2</w:t>
      </w:r>
      <w:r>
        <w:rPr>
          <w:rFonts w:hint="eastAsia" w:ascii="宋体" w:hAnsi="宋体"/>
          <w:color w:val="auto"/>
          <w:szCs w:val="21"/>
        </w:rPr>
        <w:t>）扣除依据本款第（</w:t>
      </w:r>
      <w:r>
        <w:rPr>
          <w:rFonts w:ascii="宋体" w:hAnsi="宋体"/>
          <w:color w:val="auto"/>
          <w:szCs w:val="21"/>
        </w:rPr>
        <w:t>1）</w:t>
      </w:r>
      <w:r>
        <w:rPr>
          <w:rFonts w:hint="eastAsia" w:ascii="宋体" w:hAnsi="宋体"/>
          <w:color w:val="auto"/>
          <w:szCs w:val="21"/>
        </w:rPr>
        <w:t>目</w:t>
      </w:r>
      <w:r>
        <w:rPr>
          <w:rFonts w:ascii="宋体" w:hAnsi="宋体"/>
          <w:color w:val="auto"/>
          <w:szCs w:val="21"/>
        </w:rPr>
        <w:t>约定中已扣除的人工费金额</w:t>
      </w:r>
      <w:r>
        <w:rPr>
          <w:rFonts w:hint="eastAsia" w:ascii="宋体" w:hAnsi="宋体"/>
          <w:color w:val="auto"/>
          <w:szCs w:val="21"/>
        </w:rPr>
        <w:t>；</w:t>
      </w:r>
    </w:p>
    <w:p w14:paraId="54786E85">
      <w:pPr>
        <w:spacing w:line="360" w:lineRule="auto"/>
        <w:ind w:firstLine="600"/>
        <w:rPr>
          <w:rFonts w:ascii="宋体" w:hAnsi="宋体"/>
          <w:color w:val="auto"/>
          <w:szCs w:val="21"/>
        </w:rPr>
      </w:pPr>
      <w:r>
        <w:rPr>
          <w:rFonts w:hint="eastAsia" w:ascii="宋体" w:hAnsi="宋体"/>
          <w:color w:val="auto"/>
          <w:szCs w:val="21"/>
        </w:rPr>
        <w:t>3）根据第</w:t>
      </w:r>
      <w:r>
        <w:rPr>
          <w:rFonts w:ascii="宋体" w:hAnsi="宋体"/>
          <w:color w:val="auto"/>
          <w:szCs w:val="21"/>
        </w:rPr>
        <w:t>13条</w:t>
      </w:r>
      <w:r>
        <w:rPr>
          <w:rFonts w:hint="eastAsia" w:ascii="宋体" w:hAnsi="宋体"/>
          <w:color w:val="auto"/>
          <w:szCs w:val="21"/>
        </w:rPr>
        <w:t>[变更与调整]应增加和扣减的变更金额；</w:t>
      </w:r>
    </w:p>
    <w:p w14:paraId="52D5D89A">
      <w:pPr>
        <w:spacing w:line="360" w:lineRule="auto"/>
        <w:ind w:firstLine="600"/>
        <w:rPr>
          <w:rFonts w:ascii="宋体" w:hAnsi="宋体"/>
          <w:color w:val="auto"/>
          <w:szCs w:val="21"/>
        </w:rPr>
      </w:pPr>
      <w:r>
        <w:rPr>
          <w:rFonts w:ascii="宋体" w:hAnsi="宋体"/>
          <w:color w:val="auto"/>
          <w:szCs w:val="21"/>
        </w:rPr>
        <w:t>4</w:t>
      </w:r>
      <w:r>
        <w:rPr>
          <w:rFonts w:hint="eastAsia" w:ascii="宋体" w:hAnsi="宋体"/>
          <w:color w:val="auto"/>
          <w:szCs w:val="21"/>
        </w:rPr>
        <w:t>）根据第</w:t>
      </w:r>
      <w:r>
        <w:rPr>
          <w:rFonts w:ascii="宋体" w:hAnsi="宋体"/>
          <w:color w:val="auto"/>
          <w:szCs w:val="21"/>
        </w:rPr>
        <w:t>14.2</w:t>
      </w:r>
      <w:r>
        <w:rPr>
          <w:rFonts w:hint="eastAsia" w:ascii="宋体" w:hAnsi="宋体"/>
          <w:color w:val="auto"/>
          <w:szCs w:val="21"/>
        </w:rPr>
        <w:t>款[预付款]约定应支付的预付款和扣减的返还预付款；</w:t>
      </w:r>
    </w:p>
    <w:p w14:paraId="61DE6211">
      <w:pPr>
        <w:spacing w:line="360" w:lineRule="auto"/>
        <w:ind w:firstLine="600"/>
        <w:rPr>
          <w:rFonts w:ascii="宋体" w:hAnsi="宋体"/>
          <w:color w:val="auto"/>
          <w:szCs w:val="21"/>
        </w:rPr>
      </w:pPr>
      <w:r>
        <w:rPr>
          <w:rFonts w:ascii="宋体" w:hAnsi="宋体"/>
          <w:color w:val="auto"/>
          <w:szCs w:val="21"/>
        </w:rPr>
        <w:t>5</w:t>
      </w:r>
      <w:r>
        <w:rPr>
          <w:rFonts w:hint="eastAsia" w:ascii="宋体" w:hAnsi="宋体"/>
          <w:color w:val="auto"/>
          <w:szCs w:val="21"/>
        </w:rPr>
        <w:t>）根据第</w:t>
      </w:r>
      <w:r>
        <w:rPr>
          <w:rFonts w:ascii="宋体" w:hAnsi="宋体"/>
          <w:color w:val="auto"/>
          <w:szCs w:val="21"/>
        </w:rPr>
        <w:t>14.6.2</w:t>
      </w:r>
      <w:r>
        <w:rPr>
          <w:rFonts w:hint="eastAsia" w:ascii="宋体" w:hAnsi="宋体"/>
          <w:color w:val="auto"/>
          <w:szCs w:val="21"/>
        </w:rPr>
        <w:t>项[质量保证金的预留]约定应预留的质量保证金金额；</w:t>
      </w:r>
    </w:p>
    <w:p w14:paraId="1A79E82B">
      <w:pPr>
        <w:spacing w:line="360" w:lineRule="auto"/>
        <w:ind w:firstLine="600"/>
        <w:rPr>
          <w:rFonts w:ascii="宋体" w:hAnsi="宋体"/>
          <w:color w:val="auto"/>
          <w:szCs w:val="21"/>
        </w:rPr>
      </w:pPr>
      <w:r>
        <w:rPr>
          <w:rFonts w:ascii="宋体" w:hAnsi="宋体"/>
          <w:color w:val="auto"/>
          <w:szCs w:val="21"/>
        </w:rPr>
        <w:t>6</w:t>
      </w:r>
      <w:r>
        <w:rPr>
          <w:rFonts w:hint="eastAsia" w:ascii="宋体" w:hAnsi="宋体"/>
          <w:color w:val="auto"/>
          <w:szCs w:val="21"/>
        </w:rPr>
        <w:t>）根据第</w:t>
      </w:r>
      <w:r>
        <w:rPr>
          <w:rFonts w:ascii="宋体" w:hAnsi="宋体"/>
          <w:color w:val="auto"/>
          <w:szCs w:val="21"/>
        </w:rPr>
        <w:t>19条</w:t>
      </w:r>
      <w:r>
        <w:rPr>
          <w:rFonts w:hint="eastAsia" w:ascii="宋体" w:hAnsi="宋体"/>
          <w:color w:val="auto"/>
          <w:szCs w:val="21"/>
        </w:rPr>
        <w:t>[索赔]应增加和扣减的索赔金额；</w:t>
      </w:r>
    </w:p>
    <w:p w14:paraId="68B09F2C">
      <w:pPr>
        <w:spacing w:line="360" w:lineRule="auto"/>
        <w:ind w:firstLine="600"/>
        <w:rPr>
          <w:rFonts w:ascii="宋体" w:hAnsi="宋体"/>
          <w:color w:val="auto"/>
          <w:szCs w:val="21"/>
        </w:rPr>
      </w:pPr>
      <w:r>
        <w:rPr>
          <w:rFonts w:ascii="宋体" w:hAnsi="宋体"/>
          <w:color w:val="auto"/>
          <w:szCs w:val="21"/>
        </w:rPr>
        <w:t>7</w:t>
      </w:r>
      <w:r>
        <w:rPr>
          <w:rFonts w:hint="eastAsia" w:ascii="宋体" w:hAnsi="宋体"/>
          <w:color w:val="auto"/>
          <w:szCs w:val="21"/>
        </w:rPr>
        <w:t>）对已签发的进度款支付证书中出现错误的修正，应在本次进度付款中支付或扣除的金额；</w:t>
      </w:r>
    </w:p>
    <w:p w14:paraId="70C9E98C">
      <w:pPr>
        <w:spacing w:line="360" w:lineRule="auto"/>
        <w:ind w:firstLine="600"/>
        <w:rPr>
          <w:rFonts w:ascii="宋体" w:hAnsi="宋体"/>
          <w:color w:val="auto"/>
          <w:szCs w:val="21"/>
        </w:rPr>
      </w:pPr>
      <w:r>
        <w:rPr>
          <w:rFonts w:hint="eastAsia" w:ascii="宋体" w:hAnsi="宋体"/>
          <w:color w:val="auto"/>
          <w:szCs w:val="21"/>
        </w:rPr>
        <w:t>8）根据合同约定应增加和扣减的其他金额。</w:t>
      </w:r>
    </w:p>
    <w:p w14:paraId="2F0F726D">
      <w:pPr>
        <w:pStyle w:val="130"/>
        <w:numPr>
          <w:ilvl w:val="0"/>
          <w:numId w:val="0"/>
        </w:numPr>
        <w:ind w:firstLine="420" w:firstLineChars="200"/>
        <w:rPr>
          <w:color w:val="auto"/>
          <w:sz w:val="21"/>
        </w:rPr>
      </w:pPr>
      <w:bookmarkStart w:id="1691" w:name="_Ref531957608"/>
      <w:r>
        <w:rPr>
          <w:rFonts w:hint="eastAsia"/>
          <w:color w:val="auto"/>
          <w:sz w:val="21"/>
        </w:rPr>
        <w:t>1</w:t>
      </w:r>
      <w:r>
        <w:rPr>
          <w:color w:val="auto"/>
          <w:sz w:val="21"/>
        </w:rPr>
        <w:t xml:space="preserve">4.3.2 </w:t>
      </w:r>
      <w:r>
        <w:rPr>
          <w:rFonts w:hint="eastAsia"/>
          <w:color w:val="auto"/>
          <w:sz w:val="21"/>
        </w:rPr>
        <w:t>进度付款审核和支付</w:t>
      </w:r>
      <w:bookmarkEnd w:id="1691"/>
    </w:p>
    <w:p w14:paraId="2C72B5BC">
      <w:pPr>
        <w:pStyle w:val="147"/>
        <w:numPr>
          <w:ilvl w:val="0"/>
          <w:numId w:val="0"/>
        </w:numPr>
        <w:ind w:firstLine="420" w:firstLineChars="200"/>
        <w:rPr>
          <w:color w:val="auto"/>
          <w:sz w:val="21"/>
          <w:szCs w:val="21"/>
        </w:rPr>
      </w:pPr>
      <w:r>
        <w:rPr>
          <w:rFonts w:hint="eastAsia"/>
          <w:color w:val="auto"/>
          <w:sz w:val="21"/>
          <w:szCs w:val="21"/>
        </w:rPr>
        <w:t>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p>
    <w:p w14:paraId="45FC4057">
      <w:pPr>
        <w:spacing w:line="360" w:lineRule="auto"/>
        <w:ind w:firstLine="420" w:firstLineChars="200"/>
        <w:rPr>
          <w:rFonts w:ascii="宋体" w:hAnsi="宋体"/>
          <w:color w:val="auto"/>
          <w:szCs w:val="21"/>
        </w:rPr>
      </w:pPr>
      <w:r>
        <w:rPr>
          <w:rFonts w:hint="eastAsia" w:ascii="宋体" w:hAnsi="宋体"/>
          <w:color w:val="auto"/>
          <w:szCs w:val="21"/>
        </w:rPr>
        <w:t>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w:t>
      </w:r>
      <w:r>
        <w:rPr>
          <w:rFonts w:ascii="宋体" w:hAnsi="宋体"/>
          <w:color w:val="auto"/>
          <w:szCs w:val="21"/>
        </w:rPr>
        <w:t>20条</w:t>
      </w:r>
      <w:r>
        <w:rPr>
          <w:rFonts w:hint="eastAsia" w:ascii="宋体" w:hAnsi="宋体"/>
          <w:color w:val="auto"/>
          <w:szCs w:val="21"/>
        </w:rPr>
        <w:t>[争议解决]的约定处理。</w:t>
      </w:r>
    </w:p>
    <w:p w14:paraId="67ACC622">
      <w:pPr>
        <w:pStyle w:val="147"/>
        <w:numPr>
          <w:ilvl w:val="0"/>
          <w:numId w:val="0"/>
        </w:numPr>
        <w:ind w:firstLine="420" w:firstLineChars="200"/>
        <w:rPr>
          <w:color w:val="auto"/>
          <w:sz w:val="21"/>
          <w:szCs w:val="21"/>
        </w:rPr>
      </w:pPr>
      <w:r>
        <w:rPr>
          <w:rFonts w:hint="eastAsia"/>
          <w:color w:val="auto"/>
          <w:sz w:val="21"/>
          <w:szCs w:val="21"/>
        </w:rPr>
        <w:t xml:space="preserve">除专用合同条件另有约定外，发包人应在进度款支付证书签发后14天内完成支付，发包人逾期支付进度款的，按照贷款市场报价利率（LPR）支付利息；逾期支付超过56天的，按照贷款市场报价利率（LPR）的两倍支付利息。 </w:t>
      </w:r>
    </w:p>
    <w:p w14:paraId="72A40332">
      <w:pPr>
        <w:pStyle w:val="147"/>
        <w:numPr>
          <w:ilvl w:val="0"/>
          <w:numId w:val="0"/>
        </w:numPr>
        <w:ind w:firstLine="420" w:firstLineChars="200"/>
        <w:rPr>
          <w:color w:val="auto"/>
          <w:sz w:val="21"/>
          <w:szCs w:val="21"/>
        </w:rPr>
      </w:pPr>
      <w:r>
        <w:rPr>
          <w:rFonts w:hint="eastAsia"/>
          <w:color w:val="auto"/>
          <w:sz w:val="21"/>
          <w:szCs w:val="21"/>
        </w:rPr>
        <w:t>发包人签发进度款支付证书，不表明发包人已同意、批准或接受了承包人完成的相应部分的工作。</w:t>
      </w:r>
    </w:p>
    <w:p w14:paraId="2658101E">
      <w:pPr>
        <w:pStyle w:val="130"/>
        <w:numPr>
          <w:ilvl w:val="0"/>
          <w:numId w:val="0"/>
        </w:numPr>
        <w:ind w:firstLine="420" w:firstLineChars="200"/>
        <w:rPr>
          <w:color w:val="auto"/>
          <w:sz w:val="21"/>
        </w:rPr>
      </w:pPr>
      <w:bookmarkStart w:id="1692" w:name="_Ref531957023"/>
      <w:r>
        <w:rPr>
          <w:rFonts w:hint="eastAsia"/>
          <w:color w:val="auto"/>
          <w:sz w:val="21"/>
        </w:rPr>
        <w:t>1</w:t>
      </w:r>
      <w:r>
        <w:rPr>
          <w:color w:val="auto"/>
          <w:sz w:val="21"/>
        </w:rPr>
        <w:t xml:space="preserve">4.3.3 </w:t>
      </w:r>
      <w:r>
        <w:rPr>
          <w:rFonts w:hint="eastAsia"/>
          <w:color w:val="auto"/>
          <w:sz w:val="21"/>
        </w:rPr>
        <w:t>进度付款的修正</w:t>
      </w:r>
      <w:bookmarkEnd w:id="1692"/>
    </w:p>
    <w:p w14:paraId="25E927F0">
      <w:pPr>
        <w:spacing w:line="360" w:lineRule="auto"/>
        <w:ind w:firstLine="420" w:firstLineChars="200"/>
        <w:rPr>
          <w:rFonts w:ascii="宋体" w:hAnsi="宋体"/>
          <w:color w:val="auto"/>
          <w:szCs w:val="21"/>
        </w:rPr>
      </w:pPr>
      <w:r>
        <w:rPr>
          <w:rFonts w:hint="eastAsia" w:ascii="宋体" w:hAnsi="宋体"/>
          <w:color w:val="auto"/>
          <w:szCs w:val="21"/>
        </w:rPr>
        <w:t>在对已签发的进度款支付证书进行阶段汇总和复核中发现错误、遗漏或重复的，发包人和承包人均有权提出修正申请。经发包人和承包人同意的修正，应在下期进度付款中支付或扣除。</w:t>
      </w:r>
    </w:p>
    <w:p w14:paraId="7AB41793">
      <w:pPr>
        <w:pStyle w:val="4"/>
        <w:spacing w:before="120" w:line="360" w:lineRule="auto"/>
        <w:rPr>
          <w:color w:val="auto"/>
        </w:rPr>
      </w:pPr>
      <w:bookmarkStart w:id="1693" w:name="_Ref4538578"/>
      <w:bookmarkStart w:id="1694" w:name="_Toc154063611"/>
      <w:bookmarkStart w:id="1695" w:name="_Toc54862295"/>
      <w:bookmarkStart w:id="1696" w:name="_Ref536647822"/>
      <w:bookmarkStart w:id="1697" w:name="_Ref536647814"/>
      <w:r>
        <w:rPr>
          <w:rFonts w:hint="eastAsia"/>
          <w:color w:val="auto"/>
        </w:rPr>
        <w:t>1</w:t>
      </w:r>
      <w:r>
        <w:rPr>
          <w:color w:val="auto"/>
        </w:rPr>
        <w:t xml:space="preserve">4.4 </w:t>
      </w:r>
      <w:r>
        <w:rPr>
          <w:rFonts w:hint="eastAsia"/>
          <w:color w:val="auto"/>
        </w:rPr>
        <w:t>付款计划表</w:t>
      </w:r>
      <w:bookmarkEnd w:id="1693"/>
      <w:bookmarkEnd w:id="1694"/>
      <w:bookmarkEnd w:id="1695"/>
    </w:p>
    <w:p w14:paraId="5104F7DA">
      <w:pPr>
        <w:pStyle w:val="130"/>
        <w:numPr>
          <w:ilvl w:val="0"/>
          <w:numId w:val="0"/>
        </w:numPr>
        <w:ind w:firstLine="420" w:firstLineChars="200"/>
        <w:rPr>
          <w:color w:val="auto"/>
          <w:sz w:val="21"/>
        </w:rPr>
      </w:pPr>
      <w:bookmarkStart w:id="1698" w:name="_Ref4570974"/>
      <w:r>
        <w:rPr>
          <w:rFonts w:hint="eastAsia"/>
          <w:color w:val="auto"/>
          <w:sz w:val="21"/>
        </w:rPr>
        <w:t>1</w:t>
      </w:r>
      <w:r>
        <w:rPr>
          <w:color w:val="auto"/>
          <w:sz w:val="21"/>
        </w:rPr>
        <w:t xml:space="preserve">4.4.1 </w:t>
      </w:r>
      <w:r>
        <w:rPr>
          <w:rFonts w:hint="eastAsia"/>
          <w:color w:val="auto"/>
          <w:sz w:val="21"/>
        </w:rPr>
        <w:t>付款计划表的编制要求</w:t>
      </w:r>
      <w:bookmarkEnd w:id="1698"/>
    </w:p>
    <w:p w14:paraId="4045B845">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除专用合同条件另有约定外，付款计划表按如下要求编制：</w:t>
      </w:r>
    </w:p>
    <w:p w14:paraId="64435037">
      <w:pPr>
        <w:spacing w:line="360" w:lineRule="auto"/>
        <w:ind w:firstLine="420" w:firstLineChars="200"/>
        <w:rPr>
          <w:rFonts w:ascii="宋体" w:hAnsi="宋体"/>
          <w:color w:val="auto"/>
          <w:szCs w:val="21"/>
        </w:rPr>
      </w:pPr>
      <w:r>
        <w:rPr>
          <w:rFonts w:hint="eastAsia" w:ascii="宋体" w:hAnsi="宋体"/>
          <w:color w:val="auto"/>
          <w:szCs w:val="21"/>
        </w:rPr>
        <w:t>（1）付款计划表中所列的每期付款金额，应为第</w:t>
      </w:r>
      <w:r>
        <w:rPr>
          <w:rFonts w:ascii="宋体" w:hAnsi="宋体"/>
          <w:color w:val="auto"/>
          <w:szCs w:val="21"/>
        </w:rPr>
        <w:t>14.3.1</w:t>
      </w:r>
      <w:r>
        <w:rPr>
          <w:rFonts w:hint="eastAsia" w:ascii="宋体" w:hAnsi="宋体"/>
          <w:color w:val="auto"/>
          <w:szCs w:val="21"/>
        </w:rPr>
        <w:t>项[工程进度付款申请]每期进度款的估算金额；</w:t>
      </w:r>
    </w:p>
    <w:p w14:paraId="6A60A1D0">
      <w:pPr>
        <w:spacing w:line="360" w:lineRule="auto"/>
        <w:ind w:firstLine="420" w:firstLineChars="200"/>
        <w:rPr>
          <w:rFonts w:ascii="宋体" w:hAnsi="宋体"/>
          <w:color w:val="auto"/>
          <w:szCs w:val="21"/>
        </w:rPr>
      </w:pPr>
      <w:r>
        <w:rPr>
          <w:rFonts w:hint="eastAsia" w:ascii="宋体" w:hAnsi="宋体"/>
          <w:color w:val="auto"/>
          <w:szCs w:val="21"/>
        </w:rPr>
        <w:t>（2）实际进度与项目进度计划不一致的，合同当事人可按照第</w:t>
      </w:r>
      <w:r>
        <w:rPr>
          <w:rFonts w:ascii="宋体" w:hAnsi="宋体"/>
          <w:color w:val="auto"/>
          <w:szCs w:val="21"/>
        </w:rPr>
        <w:t>3.6</w:t>
      </w:r>
      <w:r>
        <w:rPr>
          <w:rFonts w:hint="eastAsia" w:ascii="宋体" w:hAnsi="宋体"/>
          <w:color w:val="auto"/>
          <w:szCs w:val="21"/>
        </w:rPr>
        <w:t>款[</w:t>
      </w:r>
      <w:r>
        <w:rPr>
          <w:rFonts w:ascii="宋体" w:hAnsi="宋体"/>
          <w:color w:val="auto"/>
          <w:szCs w:val="21"/>
        </w:rPr>
        <w:t>商定或确定</w:t>
      </w:r>
      <w:r>
        <w:rPr>
          <w:rFonts w:hint="eastAsia" w:ascii="宋体" w:hAnsi="宋体"/>
          <w:color w:val="auto"/>
          <w:szCs w:val="21"/>
        </w:rPr>
        <w:t>]修改付款计划表；</w:t>
      </w:r>
    </w:p>
    <w:p w14:paraId="0DEDCF52">
      <w:pPr>
        <w:spacing w:line="360" w:lineRule="auto"/>
        <w:ind w:firstLine="420" w:firstLineChars="200"/>
        <w:rPr>
          <w:rFonts w:ascii="宋体" w:hAnsi="宋体"/>
          <w:color w:val="auto"/>
          <w:szCs w:val="21"/>
        </w:rPr>
      </w:pPr>
      <w:r>
        <w:rPr>
          <w:rFonts w:hint="eastAsia" w:ascii="宋体" w:hAnsi="宋体"/>
          <w:color w:val="auto"/>
          <w:szCs w:val="21"/>
        </w:rPr>
        <w:t>（3）不采用付款计划表的，承包人应向工程师提交按季度编制的支付估算付款计划表，用于支付参考。</w:t>
      </w:r>
    </w:p>
    <w:p w14:paraId="24DCB4A7">
      <w:pPr>
        <w:pStyle w:val="130"/>
        <w:numPr>
          <w:ilvl w:val="0"/>
          <w:numId w:val="0"/>
        </w:numPr>
        <w:ind w:firstLine="420" w:firstLineChars="200"/>
        <w:rPr>
          <w:color w:val="auto"/>
          <w:sz w:val="21"/>
        </w:rPr>
      </w:pPr>
      <w:bookmarkStart w:id="1699" w:name="_Ref4571011"/>
      <w:r>
        <w:rPr>
          <w:rFonts w:hint="eastAsia"/>
          <w:color w:val="auto"/>
          <w:sz w:val="21"/>
        </w:rPr>
        <w:t>1</w:t>
      </w:r>
      <w:r>
        <w:rPr>
          <w:color w:val="auto"/>
          <w:sz w:val="21"/>
        </w:rPr>
        <w:t xml:space="preserve">4.4.2 </w:t>
      </w:r>
      <w:r>
        <w:rPr>
          <w:rFonts w:hint="eastAsia"/>
          <w:color w:val="auto"/>
          <w:sz w:val="21"/>
        </w:rPr>
        <w:t>付款计划表的编制与审批</w:t>
      </w:r>
      <w:bookmarkEnd w:id="1699"/>
    </w:p>
    <w:p w14:paraId="5F65E49C">
      <w:pPr>
        <w:spacing w:line="360" w:lineRule="auto"/>
        <w:ind w:firstLine="420" w:firstLineChars="200"/>
        <w:rPr>
          <w:rFonts w:ascii="宋体" w:hAnsi="宋体"/>
          <w:color w:val="auto"/>
          <w:szCs w:val="21"/>
        </w:rPr>
      </w:pPr>
      <w:r>
        <w:rPr>
          <w:rFonts w:hint="eastAsia" w:ascii="宋体" w:hAnsi="宋体"/>
          <w:color w:val="auto"/>
          <w:szCs w:val="21"/>
        </w:rPr>
        <w:t>（1）除专用合同条件另有约定外，承包人应根据第</w:t>
      </w:r>
      <w:r>
        <w:rPr>
          <w:rFonts w:ascii="宋体" w:hAnsi="宋体"/>
          <w:color w:val="auto"/>
          <w:szCs w:val="21"/>
        </w:rPr>
        <w:t>8.4</w:t>
      </w:r>
      <w:r>
        <w:rPr>
          <w:rFonts w:hint="eastAsia" w:ascii="宋体" w:hAnsi="宋体"/>
          <w:color w:val="auto"/>
          <w:szCs w:val="21"/>
        </w:rPr>
        <w:t>款[项目进度计划]约定的项目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期和付款计划。承包人应当在收到工程师和发包人批准的项目进度计划后7天内，将付款计划表及编制付款计划表的支持性资料报送工程师。</w:t>
      </w:r>
    </w:p>
    <w:p w14:paraId="5A19FF6D">
      <w:pPr>
        <w:spacing w:line="360" w:lineRule="auto"/>
        <w:ind w:firstLine="420" w:firstLineChars="200"/>
        <w:rPr>
          <w:rFonts w:ascii="宋体" w:hAnsi="宋体"/>
          <w:color w:val="auto"/>
          <w:szCs w:val="21"/>
        </w:rPr>
      </w:pPr>
      <w:r>
        <w:rPr>
          <w:rFonts w:hint="eastAsia" w:ascii="宋体" w:hAnsi="宋体"/>
          <w:color w:val="auto"/>
          <w:szCs w:val="21"/>
        </w:rPr>
        <w:t>（2）工程师应在收到付款计划表后7天内完成审核并报送发包人。发包人应在收到经工程师审核的付款计划表后7天内完成审批，经发包人批准的付款计划表为有约束力的付款计划表。</w:t>
      </w:r>
    </w:p>
    <w:p w14:paraId="4768F3D4">
      <w:pPr>
        <w:spacing w:line="360" w:lineRule="auto"/>
        <w:ind w:firstLine="420" w:firstLineChars="200"/>
        <w:rPr>
          <w:rFonts w:ascii="宋体" w:hAnsi="宋体"/>
          <w:color w:val="auto"/>
          <w:szCs w:val="21"/>
        </w:rPr>
      </w:pPr>
      <w:r>
        <w:rPr>
          <w:rFonts w:hint="eastAsia" w:ascii="宋体" w:hAnsi="宋体"/>
          <w:color w:val="auto"/>
          <w:szCs w:val="21"/>
        </w:rPr>
        <w:t>（3）发包人逾期未完成付款计划表审批的，也未及时要求承包人进行修正和提供补充资料的，则承包人提交的付款计划表视为已经获得发包人批准。</w:t>
      </w:r>
    </w:p>
    <w:p w14:paraId="25D3150F">
      <w:pPr>
        <w:pStyle w:val="4"/>
        <w:spacing w:before="120" w:line="360" w:lineRule="auto"/>
        <w:rPr>
          <w:color w:val="auto"/>
        </w:rPr>
      </w:pPr>
      <w:bookmarkStart w:id="1700" w:name="_Ref4538634"/>
      <w:bookmarkStart w:id="1701" w:name="_Toc54862296"/>
      <w:bookmarkStart w:id="1702" w:name="_Toc154063612"/>
      <w:r>
        <w:rPr>
          <w:rFonts w:hint="eastAsia"/>
          <w:color w:val="auto"/>
        </w:rPr>
        <w:t>1</w:t>
      </w:r>
      <w:r>
        <w:rPr>
          <w:color w:val="auto"/>
        </w:rPr>
        <w:t xml:space="preserve">4.5 </w:t>
      </w:r>
      <w:r>
        <w:rPr>
          <w:rFonts w:hint="eastAsia"/>
          <w:color w:val="auto"/>
        </w:rPr>
        <w:t>竣工结算</w:t>
      </w:r>
      <w:bookmarkEnd w:id="1700"/>
      <w:bookmarkEnd w:id="1701"/>
      <w:bookmarkEnd w:id="1702"/>
    </w:p>
    <w:p w14:paraId="7B8A6063">
      <w:pPr>
        <w:pStyle w:val="130"/>
        <w:numPr>
          <w:ilvl w:val="0"/>
          <w:numId w:val="0"/>
        </w:numPr>
        <w:ind w:firstLine="420" w:firstLineChars="200"/>
        <w:rPr>
          <w:color w:val="auto"/>
          <w:sz w:val="21"/>
        </w:rPr>
      </w:pPr>
      <w:bookmarkStart w:id="1703" w:name="_Ref4571361"/>
      <w:r>
        <w:rPr>
          <w:rFonts w:hint="eastAsia"/>
          <w:color w:val="auto"/>
          <w:sz w:val="21"/>
        </w:rPr>
        <w:t>1</w:t>
      </w:r>
      <w:r>
        <w:rPr>
          <w:color w:val="auto"/>
          <w:sz w:val="21"/>
        </w:rPr>
        <w:t xml:space="preserve">4.5.1 </w:t>
      </w:r>
      <w:r>
        <w:rPr>
          <w:rFonts w:hint="eastAsia"/>
          <w:color w:val="auto"/>
          <w:sz w:val="21"/>
        </w:rPr>
        <w:t>竣工结算申请</w:t>
      </w:r>
      <w:bookmarkEnd w:id="1703"/>
    </w:p>
    <w:p w14:paraId="10494A2D">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除专用合同条件另有约定外，承包人应在工程竣工验收合格后42天内向工程师提交竣工结算申请单，并提交完整的结算资料，有关竣工结算申请单的资料清单和份数等要求由合同当事人在专用合同条件中约定。</w:t>
      </w:r>
    </w:p>
    <w:p w14:paraId="43DD6332">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除专用合同条件另有约定外，竣工结算申请单应包括以下内容：</w:t>
      </w:r>
    </w:p>
    <w:p w14:paraId="0A5F2DEF">
      <w:pPr>
        <w:spacing w:line="360" w:lineRule="auto"/>
        <w:ind w:firstLine="420" w:firstLineChars="200"/>
        <w:rPr>
          <w:rFonts w:ascii="宋体" w:hAnsi="宋体"/>
          <w:color w:val="auto"/>
          <w:szCs w:val="21"/>
        </w:rPr>
      </w:pPr>
      <w:r>
        <w:rPr>
          <w:rFonts w:hint="eastAsia" w:ascii="宋体" w:hAnsi="宋体"/>
          <w:color w:val="auto"/>
          <w:szCs w:val="21"/>
        </w:rPr>
        <w:t>（1）竣工结算合同价格；</w:t>
      </w:r>
    </w:p>
    <w:p w14:paraId="5354E05E">
      <w:pPr>
        <w:spacing w:line="360" w:lineRule="auto"/>
        <w:ind w:firstLine="420" w:firstLineChars="200"/>
        <w:rPr>
          <w:rFonts w:ascii="宋体" w:hAnsi="宋体"/>
          <w:color w:val="auto"/>
          <w:szCs w:val="21"/>
        </w:rPr>
      </w:pPr>
      <w:r>
        <w:rPr>
          <w:rFonts w:hint="eastAsia" w:ascii="宋体" w:hAnsi="宋体"/>
          <w:color w:val="auto"/>
          <w:szCs w:val="21"/>
        </w:rPr>
        <w:t>（2）发包人已支付承包人的款项；</w:t>
      </w:r>
    </w:p>
    <w:p w14:paraId="44D51CAB">
      <w:pPr>
        <w:spacing w:line="360" w:lineRule="auto"/>
        <w:ind w:firstLine="420" w:firstLineChars="200"/>
        <w:rPr>
          <w:rFonts w:ascii="宋体" w:hAnsi="宋体"/>
          <w:color w:val="auto"/>
          <w:szCs w:val="21"/>
        </w:rPr>
      </w:pPr>
      <w:r>
        <w:rPr>
          <w:rFonts w:hint="eastAsia" w:ascii="宋体" w:hAnsi="宋体"/>
          <w:color w:val="auto"/>
          <w:szCs w:val="21"/>
        </w:rPr>
        <w:t>（3）采用第</w:t>
      </w:r>
      <w:r>
        <w:rPr>
          <w:rFonts w:ascii="宋体" w:hAnsi="宋体"/>
          <w:color w:val="auto"/>
          <w:szCs w:val="21"/>
        </w:rPr>
        <w:t>14.6.1</w:t>
      </w:r>
      <w:r>
        <w:rPr>
          <w:rFonts w:hint="eastAsia" w:ascii="宋体" w:hAnsi="宋体"/>
          <w:color w:val="auto"/>
          <w:szCs w:val="21"/>
        </w:rPr>
        <w:t>项[承包人提供质量保证金的方式]第（2）种方式提供质量保证金的，应当列明应预留的质量保证金金额；采用第</w:t>
      </w:r>
      <w:r>
        <w:rPr>
          <w:rFonts w:ascii="宋体" w:hAnsi="宋体"/>
          <w:color w:val="auto"/>
          <w:szCs w:val="21"/>
        </w:rPr>
        <w:t>14.6.1</w:t>
      </w:r>
      <w:r>
        <w:rPr>
          <w:rFonts w:hint="eastAsia" w:ascii="宋体" w:hAnsi="宋体"/>
          <w:color w:val="auto"/>
          <w:szCs w:val="21"/>
        </w:rPr>
        <w:t>项[承包人提供质量保证金的方式]中其他方式提供质量保证金的，应当按第</w:t>
      </w:r>
      <w:r>
        <w:rPr>
          <w:rFonts w:ascii="宋体" w:hAnsi="宋体"/>
          <w:color w:val="auto"/>
          <w:szCs w:val="21"/>
        </w:rPr>
        <w:t>14.6</w:t>
      </w:r>
      <w:r>
        <w:rPr>
          <w:rFonts w:hint="eastAsia" w:ascii="宋体" w:hAnsi="宋体"/>
          <w:color w:val="auto"/>
          <w:szCs w:val="21"/>
        </w:rPr>
        <w:t>款[质量保证金]提供相关文件作为附件；</w:t>
      </w:r>
    </w:p>
    <w:p w14:paraId="77CFC01F">
      <w:pPr>
        <w:spacing w:line="360" w:lineRule="auto"/>
        <w:ind w:firstLine="420" w:firstLineChars="200"/>
        <w:rPr>
          <w:rFonts w:ascii="宋体" w:hAnsi="宋体"/>
          <w:color w:val="auto"/>
          <w:szCs w:val="21"/>
        </w:rPr>
      </w:pPr>
      <w:r>
        <w:rPr>
          <w:rFonts w:hint="eastAsia" w:ascii="宋体" w:hAnsi="宋体"/>
          <w:color w:val="auto"/>
          <w:szCs w:val="21"/>
        </w:rPr>
        <w:t>（4）发包人应支付承包人的合同价款。</w:t>
      </w:r>
    </w:p>
    <w:p w14:paraId="040714B3">
      <w:pPr>
        <w:pStyle w:val="130"/>
        <w:numPr>
          <w:ilvl w:val="0"/>
          <w:numId w:val="0"/>
        </w:numPr>
        <w:ind w:firstLine="420" w:firstLineChars="200"/>
        <w:rPr>
          <w:color w:val="auto"/>
          <w:sz w:val="21"/>
        </w:rPr>
      </w:pPr>
      <w:bookmarkStart w:id="1704" w:name="_Ref4571384"/>
      <w:r>
        <w:rPr>
          <w:rFonts w:hint="eastAsia"/>
          <w:color w:val="auto"/>
          <w:sz w:val="21"/>
        </w:rPr>
        <w:t>1</w:t>
      </w:r>
      <w:r>
        <w:rPr>
          <w:color w:val="auto"/>
          <w:sz w:val="21"/>
        </w:rPr>
        <w:t xml:space="preserve">4.5.2 </w:t>
      </w:r>
      <w:r>
        <w:rPr>
          <w:rFonts w:hint="eastAsia"/>
          <w:color w:val="auto"/>
          <w:sz w:val="21"/>
        </w:rPr>
        <w:t>竣工结算审核</w:t>
      </w:r>
      <w:bookmarkEnd w:id="1704"/>
    </w:p>
    <w:p w14:paraId="6FBCEEE8">
      <w:pPr>
        <w:spacing w:line="360" w:lineRule="auto"/>
        <w:ind w:firstLine="420" w:firstLineChars="200"/>
        <w:rPr>
          <w:rFonts w:ascii="宋体" w:hAnsi="宋体"/>
          <w:color w:val="auto"/>
          <w:szCs w:val="21"/>
        </w:rPr>
      </w:pPr>
      <w:r>
        <w:rPr>
          <w:rFonts w:hint="eastAsia" w:ascii="宋体" w:hAnsi="宋体"/>
          <w:color w:val="auto"/>
          <w:szCs w:val="21"/>
        </w:rPr>
        <w:t>（1）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p>
    <w:p w14:paraId="39C2D639">
      <w:pPr>
        <w:spacing w:line="360" w:lineRule="auto"/>
        <w:ind w:firstLine="420" w:firstLineChars="200"/>
        <w:rPr>
          <w:rFonts w:ascii="宋体" w:hAnsi="宋体"/>
          <w:color w:val="auto"/>
          <w:szCs w:val="21"/>
        </w:rPr>
      </w:pPr>
      <w:r>
        <w:rPr>
          <w:rFonts w:hint="eastAsia" w:ascii="宋体" w:hAnsi="宋体"/>
          <w:color w:val="auto"/>
          <w:szCs w:val="21"/>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05CB2F40">
      <w:pPr>
        <w:spacing w:line="360" w:lineRule="auto"/>
        <w:ind w:firstLine="420" w:firstLineChars="200"/>
        <w:rPr>
          <w:rFonts w:ascii="宋体" w:hAnsi="宋体"/>
          <w:color w:val="auto"/>
          <w:szCs w:val="21"/>
        </w:rPr>
      </w:pPr>
      <w:bookmarkStart w:id="1705" w:name="_Ref4618006"/>
      <w:r>
        <w:rPr>
          <w:rFonts w:hint="eastAsia" w:ascii="宋体" w:hAnsi="宋体"/>
          <w:color w:val="auto"/>
          <w:szCs w:val="21"/>
        </w:rPr>
        <w:t>（2） 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bookmarkEnd w:id="1705"/>
    </w:p>
    <w:p w14:paraId="756BB4E5">
      <w:pPr>
        <w:spacing w:line="360" w:lineRule="auto"/>
        <w:ind w:firstLine="420" w:firstLineChars="200"/>
        <w:rPr>
          <w:rFonts w:ascii="宋体" w:hAnsi="宋体"/>
          <w:color w:val="auto"/>
          <w:szCs w:val="21"/>
        </w:rPr>
      </w:pPr>
      <w:r>
        <w:rPr>
          <w:rFonts w:hint="eastAsia" w:ascii="宋体" w:hAnsi="宋体"/>
          <w:color w:val="auto"/>
          <w:szCs w:val="21"/>
        </w:rPr>
        <w:t>（3） 承包人对发包人签认的竣工付款证书有异议的，对于有异议部分应在收到发包人签认的竣工付款证书后7天内提出异议，并由合同当事人按照专用合同条件约定的方式和程序进行复核，或按照第</w:t>
      </w:r>
      <w:r>
        <w:rPr>
          <w:rFonts w:ascii="宋体" w:hAnsi="宋体"/>
          <w:color w:val="auto"/>
          <w:szCs w:val="21"/>
        </w:rPr>
        <w:t>20条</w:t>
      </w:r>
      <w:r>
        <w:rPr>
          <w:rFonts w:hint="eastAsia" w:ascii="宋体" w:hAnsi="宋体"/>
          <w:color w:val="auto"/>
          <w:szCs w:val="21"/>
        </w:rPr>
        <w:t>[争议解决]约定处理。对于无异议部分，发包人应签发临时竣工付款证书，并按本款第（2）项完成付款。承包人逾期未提出异议的，视为认可发包人的审批结果。</w:t>
      </w:r>
    </w:p>
    <w:p w14:paraId="26E09F61">
      <w:pPr>
        <w:pStyle w:val="130"/>
        <w:numPr>
          <w:ilvl w:val="0"/>
          <w:numId w:val="0"/>
        </w:numPr>
        <w:ind w:firstLine="420" w:firstLineChars="200"/>
        <w:rPr>
          <w:color w:val="auto"/>
          <w:sz w:val="21"/>
        </w:rPr>
      </w:pPr>
      <w:bookmarkStart w:id="1706" w:name="_Ref15484305"/>
      <w:r>
        <w:rPr>
          <w:rFonts w:hint="eastAsia"/>
          <w:color w:val="auto"/>
          <w:sz w:val="21"/>
        </w:rPr>
        <w:t>1</w:t>
      </w:r>
      <w:r>
        <w:rPr>
          <w:color w:val="auto"/>
          <w:sz w:val="21"/>
        </w:rPr>
        <w:t xml:space="preserve">4.5.3 </w:t>
      </w:r>
      <w:r>
        <w:rPr>
          <w:rFonts w:hint="eastAsia"/>
          <w:color w:val="auto"/>
          <w:sz w:val="21"/>
        </w:rPr>
        <w:t>扫尾工作清单</w:t>
      </w:r>
      <w:bookmarkEnd w:id="1706"/>
    </w:p>
    <w:p w14:paraId="62A3898A">
      <w:pPr>
        <w:spacing w:line="360" w:lineRule="auto"/>
        <w:ind w:firstLine="420" w:firstLineChars="200"/>
        <w:rPr>
          <w:rFonts w:ascii="宋体" w:hAnsi="宋体"/>
          <w:color w:val="auto"/>
          <w:szCs w:val="21"/>
        </w:rPr>
      </w:pPr>
      <w:r>
        <w:rPr>
          <w:rFonts w:hint="eastAsia" w:ascii="宋体" w:hAnsi="宋体"/>
          <w:color w:val="auto"/>
          <w:szCs w:val="21"/>
        </w:rPr>
        <w:t>经双方协商，部分工作在工程竣工验收后进行的，承包人应当编制扫尾工作清单，扫尾工作清单中应当列明承包人应当完成的扫尾工作的内容及完成时间。</w:t>
      </w:r>
    </w:p>
    <w:p w14:paraId="77FA142F">
      <w:pPr>
        <w:spacing w:line="360" w:lineRule="auto"/>
        <w:ind w:firstLine="420" w:firstLineChars="200"/>
        <w:rPr>
          <w:rFonts w:ascii="宋体" w:hAnsi="宋体"/>
          <w:color w:val="auto"/>
          <w:szCs w:val="21"/>
        </w:rPr>
      </w:pPr>
      <w:r>
        <w:rPr>
          <w:rFonts w:hint="eastAsia" w:ascii="宋体" w:hAnsi="宋体"/>
          <w:color w:val="auto"/>
          <w:szCs w:val="21"/>
        </w:rPr>
        <w:t>承包人完成扫尾工作清单中的内容应取得的费用包含在第</w:t>
      </w:r>
      <w:r>
        <w:rPr>
          <w:rFonts w:ascii="宋体" w:hAnsi="宋体"/>
          <w:color w:val="auto"/>
          <w:szCs w:val="21"/>
        </w:rPr>
        <w:t>14.5.1</w:t>
      </w:r>
      <w:r>
        <w:rPr>
          <w:rFonts w:hint="eastAsia" w:ascii="宋体" w:hAnsi="宋体"/>
          <w:color w:val="auto"/>
          <w:szCs w:val="21"/>
        </w:rPr>
        <w:t>项[</w:t>
      </w:r>
      <w:r>
        <w:rPr>
          <w:rFonts w:ascii="宋体" w:hAnsi="宋体"/>
          <w:color w:val="auto"/>
          <w:szCs w:val="21"/>
        </w:rPr>
        <w:t>竣工结算申请</w:t>
      </w:r>
      <w:r>
        <w:rPr>
          <w:rFonts w:hint="eastAsia" w:ascii="宋体" w:hAnsi="宋体"/>
          <w:color w:val="auto"/>
          <w:szCs w:val="21"/>
        </w:rPr>
        <w:t>]及第</w:t>
      </w:r>
      <w:r>
        <w:rPr>
          <w:rFonts w:ascii="宋体" w:hAnsi="宋体"/>
          <w:color w:val="auto"/>
          <w:szCs w:val="21"/>
        </w:rPr>
        <w:t>14.5.2</w:t>
      </w:r>
      <w:r>
        <w:rPr>
          <w:rFonts w:hint="eastAsia" w:ascii="宋体" w:hAnsi="宋体"/>
          <w:color w:val="auto"/>
          <w:szCs w:val="21"/>
        </w:rPr>
        <w:t>项[竣工结算审核]中一并结算。</w:t>
      </w:r>
    </w:p>
    <w:p w14:paraId="2D639230">
      <w:pPr>
        <w:spacing w:line="360" w:lineRule="auto"/>
        <w:ind w:firstLine="420" w:firstLineChars="200"/>
        <w:rPr>
          <w:rFonts w:ascii="宋体" w:hAnsi="宋体"/>
          <w:color w:val="auto"/>
          <w:szCs w:val="21"/>
        </w:rPr>
      </w:pPr>
      <w:r>
        <w:rPr>
          <w:rFonts w:hint="eastAsia" w:ascii="宋体" w:hAnsi="宋体"/>
          <w:color w:val="auto"/>
          <w:szCs w:val="21"/>
        </w:rPr>
        <w:t>扫尾工作的缺陷责任期按第</w:t>
      </w:r>
      <w:r>
        <w:rPr>
          <w:rFonts w:ascii="宋体" w:hAnsi="宋体"/>
          <w:color w:val="auto"/>
          <w:szCs w:val="21"/>
        </w:rPr>
        <w:t>11条</w:t>
      </w:r>
      <w:r>
        <w:rPr>
          <w:rFonts w:hint="eastAsia" w:ascii="宋体" w:hAnsi="宋体"/>
          <w:color w:val="auto"/>
          <w:szCs w:val="21"/>
        </w:rPr>
        <w:t>[缺陷责任与</w:t>
      </w:r>
      <w:r>
        <w:rPr>
          <w:rFonts w:ascii="宋体" w:hAnsi="宋体"/>
          <w:color w:val="auto"/>
          <w:szCs w:val="21"/>
        </w:rPr>
        <w:t>保</w:t>
      </w:r>
      <w:r>
        <w:rPr>
          <w:rFonts w:hint="eastAsia" w:ascii="宋体" w:hAnsi="宋体"/>
          <w:color w:val="auto"/>
          <w:szCs w:val="21"/>
        </w:rPr>
        <w:t>修]处理。承包人未能按照扫尾工作清单约定的完成时间完成扫尾工作的，视为承包人原因导致的工程质量缺陷按照第</w:t>
      </w:r>
      <w:r>
        <w:rPr>
          <w:rFonts w:ascii="宋体" w:hAnsi="宋体"/>
          <w:color w:val="auto"/>
          <w:szCs w:val="21"/>
        </w:rPr>
        <w:t>11.3</w:t>
      </w:r>
      <w:r>
        <w:rPr>
          <w:rFonts w:hint="eastAsia" w:ascii="宋体" w:hAnsi="宋体"/>
          <w:color w:val="auto"/>
          <w:szCs w:val="21"/>
        </w:rPr>
        <w:t>款[缺陷调查]处理。</w:t>
      </w:r>
    </w:p>
    <w:p w14:paraId="74BBCD28">
      <w:pPr>
        <w:pStyle w:val="4"/>
        <w:spacing w:before="120" w:line="360" w:lineRule="auto"/>
        <w:rPr>
          <w:color w:val="auto"/>
        </w:rPr>
      </w:pPr>
      <w:bookmarkStart w:id="1707" w:name="_Toc154063613"/>
      <w:bookmarkStart w:id="1708" w:name="_Ref4571127"/>
      <w:bookmarkStart w:id="1709" w:name="_Ref15395020"/>
      <w:bookmarkStart w:id="1710" w:name="_Ref4617592"/>
      <w:bookmarkStart w:id="1711" w:name="_Ref4617582"/>
      <w:bookmarkStart w:id="1712" w:name="_Toc54862297"/>
      <w:bookmarkStart w:id="1713" w:name="_Ref4571100"/>
      <w:bookmarkStart w:id="1714" w:name="_Ref4582115"/>
      <w:bookmarkStart w:id="1715" w:name="_Hlk15394931"/>
      <w:r>
        <w:rPr>
          <w:rFonts w:hint="eastAsia"/>
          <w:color w:val="auto"/>
        </w:rPr>
        <w:t>1</w:t>
      </w:r>
      <w:r>
        <w:rPr>
          <w:color w:val="auto"/>
        </w:rPr>
        <w:t xml:space="preserve">4.6 </w:t>
      </w:r>
      <w:r>
        <w:rPr>
          <w:rFonts w:hint="eastAsia"/>
          <w:color w:val="auto"/>
        </w:rPr>
        <w:t>质量保证金</w:t>
      </w:r>
      <w:bookmarkEnd w:id="1696"/>
      <w:bookmarkEnd w:id="1697"/>
      <w:bookmarkEnd w:id="1707"/>
      <w:bookmarkEnd w:id="1708"/>
      <w:bookmarkEnd w:id="1709"/>
      <w:bookmarkEnd w:id="1710"/>
      <w:bookmarkEnd w:id="1711"/>
      <w:bookmarkEnd w:id="1712"/>
      <w:bookmarkEnd w:id="1713"/>
      <w:bookmarkEnd w:id="1714"/>
      <w:r>
        <w:rPr>
          <w:rFonts w:hint="eastAsia"/>
          <w:color w:val="auto"/>
        </w:rPr>
        <w:t xml:space="preserve"> </w:t>
      </w:r>
    </w:p>
    <w:p w14:paraId="1AC6B3CF">
      <w:pPr>
        <w:spacing w:line="360" w:lineRule="auto"/>
        <w:ind w:firstLine="420" w:firstLineChars="200"/>
        <w:rPr>
          <w:rFonts w:ascii="宋体" w:hAnsi="宋体"/>
          <w:color w:val="auto"/>
          <w:szCs w:val="21"/>
        </w:rPr>
      </w:pPr>
      <w:r>
        <w:rPr>
          <w:rFonts w:hint="eastAsia" w:ascii="宋体" w:hAnsi="宋体"/>
          <w:color w:val="auto"/>
          <w:szCs w:val="21"/>
        </w:rPr>
        <w:t>经合同当事人协商一致提供质量保证金的，应在专用合同条件中予以明确。在工程项目竣工前，承包人已经提供履约担保的，发包人不得同时要求承包人提供质量保证金。</w:t>
      </w:r>
    </w:p>
    <w:bookmarkEnd w:id="1715"/>
    <w:p w14:paraId="760FAB12">
      <w:pPr>
        <w:pStyle w:val="130"/>
        <w:numPr>
          <w:ilvl w:val="0"/>
          <w:numId w:val="0"/>
        </w:numPr>
        <w:ind w:firstLine="420" w:firstLineChars="200"/>
        <w:rPr>
          <w:color w:val="auto"/>
          <w:sz w:val="21"/>
        </w:rPr>
      </w:pPr>
      <w:bookmarkStart w:id="1716" w:name="_Ref531955069"/>
      <w:bookmarkStart w:id="1717" w:name="_Ref531957153"/>
      <w:r>
        <w:rPr>
          <w:rFonts w:hint="eastAsia"/>
          <w:color w:val="auto"/>
          <w:sz w:val="21"/>
        </w:rPr>
        <w:t>1</w:t>
      </w:r>
      <w:r>
        <w:rPr>
          <w:color w:val="auto"/>
          <w:sz w:val="21"/>
        </w:rPr>
        <w:t xml:space="preserve">4.6.1 </w:t>
      </w:r>
      <w:r>
        <w:rPr>
          <w:rFonts w:hint="eastAsia"/>
          <w:color w:val="auto"/>
          <w:sz w:val="21"/>
        </w:rPr>
        <w:t>承包人提供质量保证金的方式</w:t>
      </w:r>
      <w:bookmarkEnd w:id="1716"/>
    </w:p>
    <w:p w14:paraId="41A7DEA4">
      <w:pPr>
        <w:spacing w:line="360" w:lineRule="auto"/>
        <w:ind w:firstLine="420" w:firstLineChars="200"/>
        <w:rPr>
          <w:rFonts w:ascii="宋体" w:hAnsi="宋体"/>
          <w:color w:val="auto"/>
          <w:szCs w:val="21"/>
        </w:rPr>
      </w:pPr>
      <w:r>
        <w:rPr>
          <w:rFonts w:hint="eastAsia" w:ascii="宋体" w:hAnsi="宋体"/>
          <w:color w:val="auto"/>
          <w:szCs w:val="21"/>
        </w:rPr>
        <w:t>承包人提供质量保证金有以下三种方式：</w:t>
      </w:r>
    </w:p>
    <w:p w14:paraId="64A2E23F">
      <w:pPr>
        <w:spacing w:line="360" w:lineRule="auto"/>
        <w:ind w:firstLine="420" w:firstLineChars="200"/>
        <w:rPr>
          <w:rFonts w:ascii="宋体" w:hAnsi="宋体"/>
          <w:color w:val="auto"/>
          <w:szCs w:val="21"/>
        </w:rPr>
      </w:pPr>
      <w:bookmarkStart w:id="1718" w:name="_Ref531955096"/>
      <w:r>
        <w:rPr>
          <w:rFonts w:hint="eastAsia" w:ascii="宋体" w:hAnsi="宋体"/>
          <w:color w:val="auto"/>
          <w:szCs w:val="21"/>
        </w:rPr>
        <w:t>（1）提交工程质量保证担保；</w:t>
      </w:r>
      <w:bookmarkEnd w:id="1718"/>
    </w:p>
    <w:p w14:paraId="1B4EA45F">
      <w:pPr>
        <w:spacing w:line="360" w:lineRule="auto"/>
        <w:ind w:firstLine="420" w:firstLineChars="200"/>
        <w:rPr>
          <w:rFonts w:ascii="宋体" w:hAnsi="宋体"/>
          <w:color w:val="auto"/>
          <w:szCs w:val="21"/>
        </w:rPr>
      </w:pPr>
      <w:bookmarkStart w:id="1719" w:name="_Ref531955107"/>
      <w:r>
        <w:rPr>
          <w:rFonts w:hint="eastAsia" w:ascii="宋体" w:hAnsi="宋体"/>
          <w:color w:val="auto"/>
          <w:szCs w:val="21"/>
        </w:rPr>
        <w:t>（2）预留相应比例的工程款；</w:t>
      </w:r>
      <w:bookmarkEnd w:id="1719"/>
    </w:p>
    <w:p w14:paraId="69A140D3">
      <w:pPr>
        <w:spacing w:line="360" w:lineRule="auto"/>
        <w:ind w:firstLine="420" w:firstLineChars="200"/>
        <w:rPr>
          <w:rFonts w:ascii="宋体" w:hAnsi="宋体"/>
          <w:color w:val="auto"/>
          <w:szCs w:val="21"/>
        </w:rPr>
      </w:pPr>
      <w:bookmarkStart w:id="1720" w:name="_Ref531955117"/>
      <w:r>
        <w:rPr>
          <w:rFonts w:hint="eastAsia" w:ascii="宋体" w:hAnsi="宋体"/>
          <w:color w:val="auto"/>
          <w:szCs w:val="21"/>
        </w:rPr>
        <w:t>（3）双方约定的其他方式。</w:t>
      </w:r>
      <w:bookmarkEnd w:id="1720"/>
    </w:p>
    <w:p w14:paraId="0EBD8A95">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质量保证金原则上采用上述第（1）种方式，且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3%。</w:t>
      </w:r>
    </w:p>
    <w:p w14:paraId="3B3B5399">
      <w:pPr>
        <w:pStyle w:val="130"/>
        <w:numPr>
          <w:ilvl w:val="0"/>
          <w:numId w:val="0"/>
        </w:numPr>
        <w:ind w:firstLine="420" w:firstLineChars="200"/>
        <w:rPr>
          <w:color w:val="auto"/>
          <w:sz w:val="21"/>
        </w:rPr>
      </w:pPr>
      <w:bookmarkStart w:id="1721" w:name="_Ref18931667"/>
      <w:bookmarkStart w:id="1722" w:name="_Ref15419738"/>
      <w:r>
        <w:rPr>
          <w:rFonts w:hint="eastAsia"/>
          <w:color w:val="auto"/>
          <w:sz w:val="21"/>
        </w:rPr>
        <w:t>1</w:t>
      </w:r>
      <w:r>
        <w:rPr>
          <w:color w:val="auto"/>
          <w:sz w:val="21"/>
        </w:rPr>
        <w:t xml:space="preserve">4.6.2 </w:t>
      </w:r>
      <w:r>
        <w:rPr>
          <w:rFonts w:hint="eastAsia"/>
          <w:color w:val="auto"/>
          <w:sz w:val="21"/>
        </w:rPr>
        <w:t>质量保证金的预留</w:t>
      </w:r>
      <w:bookmarkEnd w:id="1721"/>
      <w:bookmarkEnd w:id="1722"/>
    </w:p>
    <w:p w14:paraId="6FA9B16B">
      <w:pPr>
        <w:spacing w:line="360" w:lineRule="auto"/>
        <w:ind w:firstLine="420" w:firstLineChars="200"/>
        <w:rPr>
          <w:rFonts w:ascii="宋体" w:hAnsi="宋体"/>
          <w:color w:val="auto"/>
          <w:szCs w:val="21"/>
        </w:rPr>
      </w:pPr>
      <w:r>
        <w:rPr>
          <w:rFonts w:hint="eastAsia" w:ascii="宋体" w:hAnsi="宋体"/>
          <w:color w:val="auto"/>
          <w:szCs w:val="21"/>
        </w:rPr>
        <w:t>双方约定采用预留相应比例的工程款方式提供质量保证金的，质量保证金的预留有以下三种方式：</w:t>
      </w:r>
    </w:p>
    <w:p w14:paraId="4E796082">
      <w:pPr>
        <w:spacing w:line="360" w:lineRule="auto"/>
        <w:ind w:firstLine="420" w:firstLineChars="200"/>
        <w:rPr>
          <w:rFonts w:ascii="宋体" w:hAnsi="宋体"/>
          <w:color w:val="auto"/>
          <w:szCs w:val="21"/>
        </w:rPr>
      </w:pPr>
      <w:bookmarkStart w:id="1723" w:name="_Hlk18840714"/>
      <w:bookmarkStart w:id="1724" w:name="_Ref531955143"/>
      <w:r>
        <w:rPr>
          <w:rFonts w:hint="eastAsia" w:ascii="宋体" w:hAnsi="宋体"/>
          <w:color w:val="auto"/>
          <w:szCs w:val="21"/>
        </w:rPr>
        <w:t>（1）按专用合同条件的约定在支付工程进度款时逐次预留，直至预留的质量保证金总额达到专用合同条件约定的金额或比例为止</w:t>
      </w:r>
      <w:bookmarkEnd w:id="1723"/>
      <w:r>
        <w:rPr>
          <w:rFonts w:hint="eastAsia" w:ascii="宋体" w:hAnsi="宋体"/>
          <w:color w:val="auto"/>
          <w:szCs w:val="21"/>
        </w:rPr>
        <w:t>。在此情形下，质量保证金的计算基数不包括预付款的支付、扣回以及价格调整的金额；</w:t>
      </w:r>
      <w:bookmarkEnd w:id="1724"/>
    </w:p>
    <w:p w14:paraId="44CE2B1B">
      <w:pPr>
        <w:spacing w:line="360" w:lineRule="auto"/>
        <w:ind w:firstLine="420" w:firstLineChars="200"/>
        <w:rPr>
          <w:rFonts w:ascii="宋体" w:hAnsi="宋体"/>
          <w:color w:val="auto"/>
          <w:szCs w:val="21"/>
        </w:rPr>
      </w:pPr>
      <w:bookmarkStart w:id="1725" w:name="_Ref531955151"/>
      <w:r>
        <w:rPr>
          <w:rFonts w:hint="eastAsia" w:ascii="宋体" w:hAnsi="宋体"/>
          <w:color w:val="auto"/>
          <w:szCs w:val="21"/>
        </w:rPr>
        <w:t>（2）工程竣工结算时一次性预留质量保证金；</w:t>
      </w:r>
      <w:bookmarkEnd w:id="1725"/>
    </w:p>
    <w:p w14:paraId="2710CB26">
      <w:pPr>
        <w:spacing w:line="360" w:lineRule="auto"/>
        <w:ind w:firstLine="420" w:firstLineChars="200"/>
        <w:rPr>
          <w:rFonts w:ascii="宋体" w:hAnsi="宋体"/>
          <w:color w:val="auto"/>
          <w:szCs w:val="21"/>
        </w:rPr>
      </w:pPr>
      <w:bookmarkStart w:id="1726" w:name="_Ref531955161"/>
      <w:r>
        <w:rPr>
          <w:rFonts w:hint="eastAsia" w:ascii="宋体" w:hAnsi="宋体"/>
          <w:color w:val="auto"/>
          <w:szCs w:val="21"/>
        </w:rPr>
        <w:t>（3）双方约定的其他预留方式。</w:t>
      </w:r>
      <w:bookmarkEnd w:id="1726"/>
    </w:p>
    <w:p w14:paraId="43278A60">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p>
    <w:p w14:paraId="7133EE38">
      <w:pPr>
        <w:pStyle w:val="130"/>
        <w:numPr>
          <w:ilvl w:val="0"/>
          <w:numId w:val="0"/>
        </w:numPr>
        <w:ind w:firstLine="420" w:firstLineChars="200"/>
        <w:rPr>
          <w:color w:val="auto"/>
          <w:sz w:val="21"/>
        </w:rPr>
      </w:pPr>
      <w:bookmarkStart w:id="1727" w:name="_Ref532690096"/>
      <w:bookmarkStart w:id="1728" w:name="_Ref4571243"/>
      <w:r>
        <w:rPr>
          <w:rFonts w:hint="eastAsia"/>
          <w:color w:val="auto"/>
          <w:sz w:val="21"/>
        </w:rPr>
        <w:t>1</w:t>
      </w:r>
      <w:r>
        <w:rPr>
          <w:color w:val="auto"/>
          <w:sz w:val="21"/>
        </w:rPr>
        <w:t xml:space="preserve">4.6.3 </w:t>
      </w:r>
      <w:r>
        <w:rPr>
          <w:rFonts w:hint="eastAsia"/>
          <w:color w:val="auto"/>
          <w:sz w:val="21"/>
        </w:rPr>
        <w:t>质量保证金的</w:t>
      </w:r>
      <w:bookmarkEnd w:id="1727"/>
      <w:r>
        <w:rPr>
          <w:rFonts w:hint="eastAsia"/>
          <w:color w:val="auto"/>
          <w:sz w:val="21"/>
        </w:rPr>
        <w:t>返还</w:t>
      </w:r>
      <w:bookmarkEnd w:id="1728"/>
    </w:p>
    <w:p w14:paraId="7B8F1B5F">
      <w:pPr>
        <w:spacing w:line="360" w:lineRule="auto"/>
        <w:ind w:firstLine="420" w:firstLineChars="200"/>
        <w:rPr>
          <w:rFonts w:ascii="宋体" w:hAnsi="宋体"/>
          <w:color w:val="auto"/>
          <w:szCs w:val="21"/>
        </w:rPr>
      </w:pPr>
      <w:r>
        <w:rPr>
          <w:rFonts w:hint="eastAsia" w:ascii="宋体" w:hAnsi="宋体"/>
          <w:color w:val="auto"/>
          <w:szCs w:val="21"/>
        </w:rPr>
        <w:t>缺陷责任期内，承包人认真履行合同约定的责任，缺陷责任期满，发包人根据第</w:t>
      </w:r>
      <w:r>
        <w:rPr>
          <w:rFonts w:ascii="宋体" w:hAnsi="宋体"/>
          <w:color w:val="auto"/>
          <w:szCs w:val="21"/>
        </w:rPr>
        <w:t>11.6</w:t>
      </w:r>
      <w:r>
        <w:rPr>
          <w:rFonts w:hint="eastAsia" w:ascii="宋体" w:hAnsi="宋体"/>
          <w:color w:val="auto"/>
          <w:szCs w:val="21"/>
        </w:rPr>
        <w:t>款[缺陷责任期终止证书]向承包人颁发缺陷责任期终止证书后，承包人可向发包人申请返还质量保证金。</w:t>
      </w:r>
    </w:p>
    <w:p w14:paraId="72B265E5">
      <w:pPr>
        <w:spacing w:line="360" w:lineRule="auto"/>
        <w:ind w:firstLine="420" w:firstLineChars="200"/>
        <w:rPr>
          <w:rFonts w:ascii="宋体" w:hAnsi="宋体"/>
          <w:color w:val="auto"/>
          <w:szCs w:val="21"/>
        </w:rPr>
      </w:pPr>
      <w:r>
        <w:rPr>
          <w:rFonts w:hint="eastAsia" w:ascii="宋体" w:hAnsi="宋体"/>
          <w:color w:val="auto"/>
          <w:szCs w:val="21"/>
        </w:rPr>
        <w:t>发包人在接到承包人返还质量保证金申请后，应于</w:t>
      </w:r>
      <w:r>
        <w:rPr>
          <w:rFonts w:ascii="宋体" w:hAnsi="宋体"/>
          <w:color w:val="auto"/>
          <w:szCs w:val="21"/>
        </w:rPr>
        <w:t>7</w:t>
      </w:r>
      <w:r>
        <w:rPr>
          <w:rFonts w:hint="eastAsia" w:ascii="宋体" w:hAnsi="宋体"/>
          <w:color w:val="auto"/>
          <w:szCs w:val="21"/>
        </w:rPr>
        <w:t>天内将质量保证金返还承包人，逾期未返还的，应承担违约责任。发包人在接到承包人返还质量保证金申请后</w:t>
      </w:r>
      <w:r>
        <w:rPr>
          <w:rFonts w:ascii="宋体" w:hAnsi="宋体"/>
          <w:color w:val="auto"/>
          <w:szCs w:val="21"/>
        </w:rPr>
        <w:t>7</w:t>
      </w:r>
      <w:r>
        <w:rPr>
          <w:rFonts w:hint="eastAsia" w:ascii="宋体" w:hAnsi="宋体"/>
          <w:color w:val="auto"/>
          <w:szCs w:val="21"/>
        </w:rPr>
        <w:t>天内不予答复，视同认可承包人的返还质量保证金申请。</w:t>
      </w:r>
    </w:p>
    <w:p w14:paraId="0AE82F21">
      <w:pPr>
        <w:spacing w:line="360" w:lineRule="auto"/>
        <w:ind w:firstLine="420" w:firstLineChars="200"/>
        <w:rPr>
          <w:rFonts w:ascii="宋体" w:hAnsi="宋体"/>
          <w:color w:val="auto"/>
          <w:szCs w:val="21"/>
        </w:rPr>
      </w:pPr>
      <w:r>
        <w:rPr>
          <w:rFonts w:hint="eastAsia" w:ascii="宋体" w:hAnsi="宋体"/>
          <w:color w:val="auto"/>
          <w:szCs w:val="21"/>
        </w:rPr>
        <w:t>发包人和承包人对质量保证金预留、返还以及工程维修质量、费用有争议的，按本合同第</w:t>
      </w:r>
      <w:r>
        <w:rPr>
          <w:rFonts w:ascii="宋体" w:hAnsi="宋体"/>
          <w:color w:val="auto"/>
          <w:szCs w:val="21"/>
        </w:rPr>
        <w:t>20条</w:t>
      </w:r>
      <w:r>
        <w:rPr>
          <w:rFonts w:hint="eastAsia" w:ascii="宋体" w:hAnsi="宋体"/>
          <w:color w:val="auto"/>
          <w:szCs w:val="21"/>
        </w:rPr>
        <w:t>[争议解决]约定的争议和纠纷解决程序处理。</w:t>
      </w:r>
    </w:p>
    <w:bookmarkEnd w:id="1717"/>
    <w:p w14:paraId="4CD5E33C">
      <w:pPr>
        <w:pStyle w:val="4"/>
        <w:spacing w:before="120" w:line="360" w:lineRule="auto"/>
        <w:rPr>
          <w:color w:val="auto"/>
        </w:rPr>
      </w:pPr>
      <w:bookmarkStart w:id="1729" w:name="_Ref531957341"/>
      <w:bookmarkStart w:id="1730" w:name="_Toc154063614"/>
      <w:bookmarkStart w:id="1731" w:name="_Ref531957339"/>
      <w:bookmarkStart w:id="1732" w:name="_Toc54862298"/>
      <w:r>
        <w:rPr>
          <w:rFonts w:hint="eastAsia"/>
          <w:color w:val="auto"/>
        </w:rPr>
        <w:t>1</w:t>
      </w:r>
      <w:r>
        <w:rPr>
          <w:color w:val="auto"/>
        </w:rPr>
        <w:t xml:space="preserve">4.7 </w:t>
      </w:r>
      <w:r>
        <w:rPr>
          <w:rFonts w:hint="eastAsia"/>
          <w:color w:val="auto"/>
        </w:rPr>
        <w:t>最终结清</w:t>
      </w:r>
      <w:bookmarkEnd w:id="1729"/>
      <w:bookmarkEnd w:id="1730"/>
      <w:bookmarkEnd w:id="1731"/>
      <w:bookmarkEnd w:id="1732"/>
      <w:r>
        <w:rPr>
          <w:rFonts w:hint="eastAsia"/>
          <w:color w:val="auto"/>
        </w:rPr>
        <w:t xml:space="preserve"> </w:t>
      </w:r>
    </w:p>
    <w:p w14:paraId="23FC0F6F">
      <w:pPr>
        <w:pStyle w:val="130"/>
        <w:numPr>
          <w:ilvl w:val="0"/>
          <w:numId w:val="0"/>
        </w:numPr>
        <w:ind w:firstLine="420" w:firstLineChars="200"/>
        <w:rPr>
          <w:color w:val="auto"/>
          <w:sz w:val="21"/>
        </w:rPr>
      </w:pPr>
      <w:bookmarkStart w:id="1733" w:name="_Ref531957350"/>
      <w:r>
        <w:rPr>
          <w:rFonts w:hint="eastAsia"/>
          <w:color w:val="auto"/>
          <w:sz w:val="21"/>
        </w:rPr>
        <w:t>1</w:t>
      </w:r>
      <w:r>
        <w:rPr>
          <w:color w:val="auto"/>
          <w:sz w:val="21"/>
        </w:rPr>
        <w:t xml:space="preserve">4.7.1 </w:t>
      </w:r>
      <w:r>
        <w:rPr>
          <w:rFonts w:hint="eastAsia"/>
          <w:color w:val="auto"/>
          <w:sz w:val="21"/>
        </w:rPr>
        <w:t>最终结清申请</w:t>
      </w:r>
      <w:bookmarkEnd w:id="1733"/>
      <w:r>
        <w:rPr>
          <w:rFonts w:hint="eastAsia"/>
          <w:color w:val="auto"/>
          <w:sz w:val="21"/>
        </w:rPr>
        <w:t>单</w:t>
      </w:r>
    </w:p>
    <w:p w14:paraId="316C41DB">
      <w:pPr>
        <w:spacing w:line="360" w:lineRule="auto"/>
        <w:ind w:firstLine="420" w:firstLineChars="200"/>
        <w:rPr>
          <w:rFonts w:ascii="宋体" w:hAnsi="宋体"/>
          <w:color w:val="auto"/>
          <w:szCs w:val="21"/>
        </w:rPr>
      </w:pPr>
      <w:r>
        <w:rPr>
          <w:rFonts w:hint="eastAsia" w:ascii="宋体" w:hAnsi="宋体"/>
          <w:color w:val="auto"/>
          <w:szCs w:val="21"/>
        </w:rPr>
        <w:t>（1）除专用合同条件另有约定外，承包人应在缺陷责任期终止证书颁发后7天内，按专用合同条件约定的份数向发包人提交最终结清申请单，并提供相关证明材料。</w:t>
      </w:r>
    </w:p>
    <w:p w14:paraId="74901CEA">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除专用合同条件另有约定外，最终结清申请单应列明质量保证金、应扣除的质量保证金、缺陷责任期内发生的增减费用。</w:t>
      </w:r>
    </w:p>
    <w:p w14:paraId="59FADB30">
      <w:pPr>
        <w:spacing w:line="360" w:lineRule="auto"/>
        <w:ind w:firstLine="420" w:firstLineChars="200"/>
        <w:rPr>
          <w:rFonts w:ascii="宋体" w:hAnsi="宋体"/>
          <w:color w:val="auto"/>
          <w:szCs w:val="21"/>
        </w:rPr>
      </w:pPr>
      <w:r>
        <w:rPr>
          <w:rFonts w:hint="eastAsia" w:ascii="宋体" w:hAnsi="宋体"/>
          <w:color w:val="auto"/>
          <w:szCs w:val="21"/>
        </w:rPr>
        <w:t>（2）发包人对最终结清申请单内容有异议的，有权要求承包人进行修正和提供补充资料，承包人应向发包人提交修正后的最终结清申请单。</w:t>
      </w:r>
    </w:p>
    <w:p w14:paraId="38AE9B31">
      <w:pPr>
        <w:pStyle w:val="130"/>
        <w:numPr>
          <w:ilvl w:val="0"/>
          <w:numId w:val="0"/>
        </w:numPr>
        <w:ind w:firstLine="420" w:firstLineChars="200"/>
        <w:rPr>
          <w:color w:val="auto"/>
          <w:sz w:val="21"/>
        </w:rPr>
      </w:pPr>
      <w:bookmarkStart w:id="1734" w:name="_Ref531957369"/>
      <w:bookmarkStart w:id="1735" w:name="_Ref4624099"/>
      <w:r>
        <w:rPr>
          <w:rFonts w:hint="eastAsia"/>
          <w:color w:val="auto"/>
          <w:sz w:val="21"/>
        </w:rPr>
        <w:t>1</w:t>
      </w:r>
      <w:r>
        <w:rPr>
          <w:color w:val="auto"/>
          <w:sz w:val="21"/>
        </w:rPr>
        <w:t xml:space="preserve">4.7.2 </w:t>
      </w:r>
      <w:r>
        <w:rPr>
          <w:rFonts w:hint="eastAsia"/>
          <w:color w:val="auto"/>
          <w:sz w:val="21"/>
        </w:rPr>
        <w:t>最终结清证书</w:t>
      </w:r>
      <w:bookmarkEnd w:id="1734"/>
      <w:r>
        <w:rPr>
          <w:rFonts w:hint="eastAsia"/>
          <w:color w:val="auto"/>
          <w:sz w:val="21"/>
        </w:rPr>
        <w:t>和支付</w:t>
      </w:r>
      <w:bookmarkEnd w:id="1735"/>
    </w:p>
    <w:p w14:paraId="27E23BD7">
      <w:pPr>
        <w:spacing w:line="360" w:lineRule="auto"/>
        <w:ind w:firstLine="420" w:firstLineChars="200"/>
        <w:rPr>
          <w:rFonts w:hint="eastAsia" w:ascii="宋体" w:hAnsi="宋体"/>
          <w:color w:val="auto"/>
          <w:szCs w:val="21"/>
        </w:rPr>
      </w:pPr>
      <w:r>
        <w:rPr>
          <w:rFonts w:hint="eastAsia" w:ascii="宋体" w:hAnsi="宋体"/>
          <w:color w:val="auto"/>
          <w:szCs w:val="21"/>
        </w:rPr>
        <w:t>（1）除专用合同条件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5A67BBF2">
      <w:pPr>
        <w:spacing w:line="360" w:lineRule="auto"/>
        <w:ind w:firstLine="420" w:firstLineChars="200"/>
        <w:rPr>
          <w:rFonts w:ascii="宋体" w:hAnsi="宋体"/>
          <w:color w:val="auto"/>
          <w:szCs w:val="21"/>
        </w:rPr>
      </w:pPr>
      <w:r>
        <w:rPr>
          <w:rFonts w:hint="eastAsia" w:ascii="宋体" w:hAnsi="宋体"/>
          <w:color w:val="auto"/>
          <w:szCs w:val="21"/>
        </w:rPr>
        <w:t>（2）除专用合同条件另有约定外，发包人应在颁发最终结清证书后7天内完成支付。发包人逾期支付的，按照贷款市场报价利率（LPR）支付利息；逾期支付超过56天的，按照贷款市场报价利率（LPR）的两倍支付利息。</w:t>
      </w:r>
    </w:p>
    <w:p w14:paraId="558DBD93">
      <w:pPr>
        <w:spacing w:line="360" w:lineRule="auto"/>
        <w:ind w:firstLine="420" w:firstLineChars="200"/>
        <w:rPr>
          <w:rFonts w:ascii="宋体" w:hAnsi="宋体"/>
          <w:color w:val="auto"/>
          <w:szCs w:val="21"/>
        </w:rPr>
      </w:pPr>
      <w:r>
        <w:rPr>
          <w:rFonts w:hint="eastAsia" w:ascii="宋体" w:hAnsi="宋体"/>
          <w:color w:val="auto"/>
          <w:szCs w:val="21"/>
        </w:rPr>
        <w:t>（3）承包人对发包人颁发的最终结清证书有异议的，按第</w:t>
      </w:r>
      <w:r>
        <w:rPr>
          <w:rFonts w:ascii="宋体" w:hAnsi="宋体"/>
          <w:color w:val="auto"/>
          <w:szCs w:val="21"/>
        </w:rPr>
        <w:t>20条</w:t>
      </w:r>
      <w:r>
        <w:rPr>
          <w:rFonts w:hint="eastAsia" w:ascii="宋体" w:hAnsi="宋体"/>
          <w:color w:val="auto"/>
          <w:szCs w:val="21"/>
        </w:rPr>
        <w:t>[争议解决]的约定办理。</w:t>
      </w:r>
    </w:p>
    <w:p w14:paraId="6E2866C9">
      <w:pPr>
        <w:pStyle w:val="3"/>
        <w:spacing w:before="48" w:line="360" w:lineRule="auto"/>
        <w:rPr>
          <w:rFonts w:ascii="黑体" w:hAnsi="黑体"/>
          <w:bCs w:val="0"/>
          <w:color w:val="auto"/>
          <w:sz w:val="28"/>
        </w:rPr>
      </w:pPr>
      <w:bookmarkStart w:id="1736" w:name="_Toc154063615"/>
      <w:bookmarkStart w:id="1737" w:name="_Ref11874957"/>
      <w:bookmarkStart w:id="1738" w:name="_Toc54862299"/>
      <w:bookmarkStart w:id="1739" w:name="_Ref11920407"/>
      <w:bookmarkStart w:id="1740" w:name="_Ref11920396"/>
      <w:r>
        <w:rPr>
          <w:rFonts w:hint="eastAsia" w:ascii="黑体" w:hAnsi="黑体"/>
          <w:bCs w:val="0"/>
          <w:color w:val="auto"/>
          <w:sz w:val="28"/>
        </w:rPr>
        <w:t>第1</w:t>
      </w:r>
      <w:r>
        <w:rPr>
          <w:rFonts w:ascii="黑体" w:hAnsi="黑体"/>
          <w:bCs w:val="0"/>
          <w:color w:val="auto"/>
          <w:sz w:val="28"/>
        </w:rPr>
        <w:t>5</w:t>
      </w:r>
      <w:r>
        <w:rPr>
          <w:rFonts w:hint="eastAsia" w:ascii="黑体" w:hAnsi="黑体"/>
          <w:bCs w:val="0"/>
          <w:color w:val="auto"/>
          <w:sz w:val="28"/>
        </w:rPr>
        <w:t>条 违约</w:t>
      </w:r>
      <w:bookmarkEnd w:id="1572"/>
      <w:bookmarkEnd w:id="1577"/>
      <w:bookmarkEnd w:id="1578"/>
      <w:bookmarkEnd w:id="1736"/>
      <w:bookmarkEnd w:id="1737"/>
      <w:bookmarkEnd w:id="1738"/>
      <w:bookmarkEnd w:id="1739"/>
      <w:bookmarkEnd w:id="1740"/>
    </w:p>
    <w:p w14:paraId="040032C6">
      <w:pPr>
        <w:pStyle w:val="4"/>
        <w:spacing w:before="120" w:line="360" w:lineRule="auto"/>
        <w:rPr>
          <w:color w:val="auto"/>
        </w:rPr>
      </w:pPr>
      <w:bookmarkStart w:id="1741" w:name="_Toc54862300"/>
      <w:bookmarkStart w:id="1742" w:name="_Ref4534399"/>
      <w:bookmarkStart w:id="1743" w:name="_Toc154063616"/>
      <w:bookmarkStart w:id="1744" w:name="_Ref4534384"/>
      <w:bookmarkStart w:id="1745" w:name="_Ref4534411"/>
      <w:bookmarkStart w:id="1746" w:name="_Ref4534376"/>
      <w:r>
        <w:rPr>
          <w:rFonts w:hint="eastAsia"/>
          <w:color w:val="auto"/>
        </w:rPr>
        <w:t>1</w:t>
      </w:r>
      <w:r>
        <w:rPr>
          <w:color w:val="auto"/>
        </w:rPr>
        <w:t xml:space="preserve">5.1 </w:t>
      </w:r>
      <w:r>
        <w:rPr>
          <w:rFonts w:hint="eastAsia"/>
          <w:color w:val="auto"/>
        </w:rPr>
        <w:t>发包人违约</w:t>
      </w:r>
      <w:bookmarkEnd w:id="1741"/>
      <w:bookmarkEnd w:id="1742"/>
      <w:bookmarkEnd w:id="1743"/>
      <w:bookmarkEnd w:id="1744"/>
      <w:bookmarkEnd w:id="1745"/>
      <w:bookmarkEnd w:id="1746"/>
    </w:p>
    <w:p w14:paraId="3FB2BD99">
      <w:pPr>
        <w:pStyle w:val="130"/>
        <w:numPr>
          <w:ilvl w:val="0"/>
          <w:numId w:val="0"/>
        </w:numPr>
        <w:ind w:firstLine="420" w:firstLineChars="200"/>
        <w:rPr>
          <w:color w:val="auto"/>
          <w:sz w:val="21"/>
        </w:rPr>
      </w:pPr>
      <w:bookmarkStart w:id="1747" w:name="_Ref3841087"/>
      <w:r>
        <w:rPr>
          <w:rFonts w:hint="eastAsia"/>
          <w:color w:val="auto"/>
          <w:sz w:val="21"/>
        </w:rPr>
        <w:t>1</w:t>
      </w:r>
      <w:r>
        <w:rPr>
          <w:color w:val="auto"/>
          <w:sz w:val="21"/>
        </w:rPr>
        <w:t xml:space="preserve">5.1.1 </w:t>
      </w:r>
      <w:r>
        <w:rPr>
          <w:rFonts w:hint="eastAsia"/>
          <w:color w:val="auto"/>
          <w:sz w:val="21"/>
        </w:rPr>
        <w:t>发包人违约的情形</w:t>
      </w:r>
      <w:bookmarkEnd w:id="1747"/>
    </w:p>
    <w:p w14:paraId="3BEE380F">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除专用合同条件另有约定外，在合同履行过程中发生的下列情形，属于发包人违约：</w:t>
      </w:r>
    </w:p>
    <w:p w14:paraId="67C83CE6">
      <w:pPr>
        <w:spacing w:line="360" w:lineRule="auto"/>
        <w:ind w:firstLine="420" w:firstLineChars="200"/>
        <w:rPr>
          <w:rFonts w:ascii="宋体" w:hAnsi="宋体"/>
          <w:color w:val="auto"/>
          <w:szCs w:val="21"/>
        </w:rPr>
      </w:pPr>
      <w:r>
        <w:rPr>
          <w:rFonts w:hint="eastAsia" w:ascii="宋体" w:hAnsi="宋体"/>
          <w:color w:val="auto"/>
          <w:szCs w:val="21"/>
        </w:rPr>
        <w:t xml:space="preserve">（1）因发包人原因导致开始工作日期延误的； </w:t>
      </w:r>
    </w:p>
    <w:p w14:paraId="56CF2E1D">
      <w:pPr>
        <w:spacing w:line="360" w:lineRule="auto"/>
        <w:ind w:firstLine="420" w:firstLineChars="200"/>
        <w:rPr>
          <w:rFonts w:ascii="宋体" w:hAnsi="宋体"/>
          <w:color w:val="auto"/>
          <w:szCs w:val="21"/>
        </w:rPr>
      </w:pPr>
      <w:r>
        <w:rPr>
          <w:rFonts w:hint="eastAsia" w:ascii="宋体" w:hAnsi="宋体"/>
          <w:color w:val="auto"/>
          <w:szCs w:val="21"/>
        </w:rPr>
        <w:t>（2）因发包人原因未能按合同约定支付合同价款的；</w:t>
      </w:r>
    </w:p>
    <w:p w14:paraId="0C64F83B">
      <w:pPr>
        <w:spacing w:line="360" w:lineRule="auto"/>
        <w:ind w:firstLine="420" w:firstLineChars="200"/>
        <w:rPr>
          <w:rFonts w:ascii="宋体" w:hAnsi="宋体"/>
          <w:color w:val="auto"/>
          <w:szCs w:val="21"/>
        </w:rPr>
      </w:pPr>
      <w:r>
        <w:rPr>
          <w:rFonts w:hint="eastAsia" w:ascii="宋体" w:hAnsi="宋体"/>
          <w:color w:val="auto"/>
          <w:szCs w:val="21"/>
        </w:rPr>
        <w:t>（3）发包人违反第</w:t>
      </w:r>
      <w:r>
        <w:rPr>
          <w:rFonts w:ascii="宋体" w:hAnsi="宋体"/>
          <w:color w:val="auto"/>
          <w:szCs w:val="21"/>
        </w:rPr>
        <w:t>13.1.1</w:t>
      </w:r>
      <w:r>
        <w:rPr>
          <w:rFonts w:hint="eastAsia" w:ascii="宋体" w:hAnsi="宋体"/>
          <w:color w:val="auto"/>
          <w:szCs w:val="21"/>
        </w:rPr>
        <w:t>项约定，自行实施被取消的工作或转由他人实施的；</w:t>
      </w:r>
    </w:p>
    <w:p w14:paraId="75D44D3C">
      <w:pPr>
        <w:spacing w:line="360" w:lineRule="auto"/>
        <w:ind w:firstLine="420" w:firstLineChars="200"/>
        <w:rPr>
          <w:rFonts w:ascii="宋体" w:hAnsi="宋体"/>
          <w:color w:val="auto"/>
          <w:szCs w:val="21"/>
        </w:rPr>
      </w:pPr>
      <w:r>
        <w:rPr>
          <w:rFonts w:hint="eastAsia" w:ascii="宋体" w:hAnsi="宋体"/>
          <w:color w:val="auto"/>
          <w:szCs w:val="21"/>
        </w:rPr>
        <w:t>（4）因发包人违反合同约定造成工程暂停施工的；</w:t>
      </w:r>
    </w:p>
    <w:p w14:paraId="38DA8DAD">
      <w:pPr>
        <w:spacing w:line="360" w:lineRule="auto"/>
        <w:ind w:firstLine="420" w:firstLineChars="200"/>
        <w:rPr>
          <w:rFonts w:ascii="宋体" w:hAnsi="宋体"/>
          <w:color w:val="auto"/>
          <w:szCs w:val="21"/>
        </w:rPr>
      </w:pPr>
      <w:r>
        <w:rPr>
          <w:rFonts w:hint="eastAsia" w:ascii="宋体" w:hAnsi="宋体"/>
          <w:color w:val="auto"/>
          <w:szCs w:val="21"/>
        </w:rPr>
        <w:t>（5）工程师无正当理由没有在约定期限内发出复工指示，导致承包人无法复工的；</w:t>
      </w:r>
    </w:p>
    <w:p w14:paraId="76595663">
      <w:pPr>
        <w:spacing w:line="360" w:lineRule="auto"/>
        <w:ind w:firstLine="420" w:firstLineChars="200"/>
        <w:rPr>
          <w:rFonts w:ascii="宋体" w:hAnsi="宋体"/>
          <w:color w:val="auto"/>
          <w:szCs w:val="21"/>
        </w:rPr>
      </w:pPr>
      <w:r>
        <w:rPr>
          <w:rFonts w:hint="eastAsia" w:ascii="宋体" w:hAnsi="宋体"/>
          <w:color w:val="auto"/>
          <w:szCs w:val="21"/>
        </w:rPr>
        <w:t>（6）发包人明确表示或者以其行为表明不履行合同主要义务的；</w:t>
      </w:r>
    </w:p>
    <w:p w14:paraId="0648C4EF">
      <w:pPr>
        <w:spacing w:line="360" w:lineRule="auto"/>
        <w:ind w:firstLine="420" w:firstLineChars="200"/>
        <w:rPr>
          <w:rFonts w:ascii="宋体" w:hAnsi="宋体"/>
          <w:color w:val="auto"/>
          <w:szCs w:val="21"/>
        </w:rPr>
      </w:pPr>
      <w:r>
        <w:rPr>
          <w:rFonts w:hint="eastAsia" w:ascii="宋体" w:hAnsi="宋体"/>
          <w:color w:val="auto"/>
          <w:szCs w:val="21"/>
        </w:rPr>
        <w:t>（7）发包人未能按照合同约定履行其他义务的。</w:t>
      </w:r>
    </w:p>
    <w:p w14:paraId="1DE0A5DD">
      <w:pPr>
        <w:pStyle w:val="130"/>
        <w:numPr>
          <w:ilvl w:val="0"/>
          <w:numId w:val="0"/>
        </w:numPr>
        <w:ind w:firstLine="420" w:firstLineChars="200"/>
        <w:rPr>
          <w:color w:val="auto"/>
          <w:sz w:val="21"/>
        </w:rPr>
      </w:pPr>
      <w:bookmarkStart w:id="1748" w:name="_Ref4535692"/>
      <w:r>
        <w:rPr>
          <w:rFonts w:hint="eastAsia"/>
          <w:color w:val="auto"/>
          <w:sz w:val="21"/>
        </w:rPr>
        <w:t>1</w:t>
      </w:r>
      <w:r>
        <w:rPr>
          <w:color w:val="auto"/>
          <w:sz w:val="21"/>
        </w:rPr>
        <w:t xml:space="preserve">5.1.2 </w:t>
      </w:r>
      <w:r>
        <w:rPr>
          <w:rFonts w:hint="eastAsia"/>
          <w:color w:val="auto"/>
          <w:sz w:val="21"/>
        </w:rPr>
        <w:t>通知改正</w:t>
      </w:r>
      <w:bookmarkEnd w:id="1748"/>
    </w:p>
    <w:p w14:paraId="587067DE">
      <w:pPr>
        <w:spacing w:line="360" w:lineRule="auto"/>
        <w:ind w:firstLine="420" w:firstLineChars="200"/>
        <w:rPr>
          <w:rFonts w:ascii="宋体" w:hAnsi="宋体"/>
          <w:color w:val="auto"/>
          <w:szCs w:val="21"/>
        </w:rPr>
      </w:pPr>
      <w:bookmarkStart w:id="1749" w:name="_Hlk16248297"/>
      <w:r>
        <w:rPr>
          <w:rFonts w:hint="eastAsia" w:ascii="宋体" w:hAnsi="宋体"/>
          <w:color w:val="auto"/>
          <w:szCs w:val="21"/>
        </w:rPr>
        <w:t>发包人发生除第</w:t>
      </w:r>
      <w:r>
        <w:rPr>
          <w:rFonts w:ascii="宋体" w:hAnsi="宋体"/>
          <w:color w:val="auto"/>
          <w:szCs w:val="21"/>
        </w:rPr>
        <w:t>15.1.1</w:t>
      </w:r>
      <w:r>
        <w:rPr>
          <w:rFonts w:hint="eastAsia" w:ascii="宋体" w:hAnsi="宋体"/>
          <w:color w:val="auto"/>
          <w:szCs w:val="21"/>
        </w:rPr>
        <w:t>项第(</w:t>
      </w:r>
      <w:r>
        <w:rPr>
          <w:rFonts w:ascii="宋体" w:hAnsi="宋体"/>
          <w:color w:val="auto"/>
          <w:szCs w:val="21"/>
        </w:rPr>
        <w:t>6</w:t>
      </w:r>
      <w:r>
        <w:rPr>
          <w:rFonts w:hint="eastAsia" w:ascii="宋体" w:hAnsi="宋体"/>
          <w:color w:val="auto"/>
          <w:szCs w:val="21"/>
        </w:rPr>
        <w:t>)目以外的违约情况时，承包人可向发包人发出通知，要求发包人采取有效措施纠正违约行为。发包人收到承包人通知后28天内仍不纠正违约行为的，承包人有权暂停相应部位工程实施，并通知工程师。</w:t>
      </w:r>
      <w:bookmarkEnd w:id="1749"/>
    </w:p>
    <w:p w14:paraId="38E1580E">
      <w:pPr>
        <w:pStyle w:val="130"/>
        <w:numPr>
          <w:ilvl w:val="0"/>
          <w:numId w:val="0"/>
        </w:numPr>
        <w:ind w:firstLine="420" w:firstLineChars="200"/>
        <w:rPr>
          <w:color w:val="auto"/>
          <w:sz w:val="21"/>
        </w:rPr>
      </w:pPr>
      <w:bookmarkStart w:id="1750" w:name="_Ref3841132"/>
      <w:r>
        <w:rPr>
          <w:rFonts w:hint="eastAsia"/>
          <w:color w:val="auto"/>
          <w:sz w:val="21"/>
        </w:rPr>
        <w:t>1</w:t>
      </w:r>
      <w:r>
        <w:rPr>
          <w:color w:val="auto"/>
          <w:sz w:val="21"/>
        </w:rPr>
        <w:t xml:space="preserve">5.1.3 </w:t>
      </w:r>
      <w:r>
        <w:rPr>
          <w:rFonts w:hint="eastAsia"/>
          <w:color w:val="auto"/>
          <w:sz w:val="21"/>
        </w:rPr>
        <w:t>发包人违约的责任</w:t>
      </w:r>
      <w:bookmarkEnd w:id="1750"/>
    </w:p>
    <w:p w14:paraId="1F730B94">
      <w:pPr>
        <w:spacing w:line="360" w:lineRule="auto"/>
        <w:ind w:firstLine="420" w:firstLineChars="200"/>
        <w:rPr>
          <w:rFonts w:ascii="宋体" w:hAnsi="宋体"/>
          <w:color w:val="auto"/>
          <w:szCs w:val="21"/>
        </w:rPr>
      </w:pPr>
      <w:bookmarkStart w:id="1751" w:name="_Hlk16247984"/>
      <w:r>
        <w:rPr>
          <w:rFonts w:hint="eastAsia" w:ascii="宋体" w:hAnsi="宋体"/>
          <w:color w:val="auto"/>
          <w:szCs w:val="21"/>
        </w:rPr>
        <w:t>发包人应承担因其违约给承包人增加的费用和（或）延误的工期，并支付承包人合理的利润。此外，合同当事人可在专用合同条件中另行约定发包人违约责任的承担方式和计算方法。</w:t>
      </w:r>
      <w:bookmarkEnd w:id="1751"/>
    </w:p>
    <w:p w14:paraId="24785CAC">
      <w:pPr>
        <w:pStyle w:val="4"/>
        <w:spacing w:before="120" w:line="360" w:lineRule="auto"/>
        <w:rPr>
          <w:color w:val="auto"/>
        </w:rPr>
      </w:pPr>
      <w:bookmarkStart w:id="1752" w:name="_Toc154063617"/>
      <w:bookmarkStart w:id="1753" w:name="_Toc54862301"/>
      <w:bookmarkStart w:id="1754" w:name="_Ref11958663"/>
      <w:bookmarkStart w:id="1755" w:name="_Ref11958660"/>
      <w:r>
        <w:rPr>
          <w:rFonts w:hint="eastAsia"/>
          <w:color w:val="auto"/>
        </w:rPr>
        <w:t>1</w:t>
      </w:r>
      <w:r>
        <w:rPr>
          <w:color w:val="auto"/>
        </w:rPr>
        <w:t xml:space="preserve">5.2 </w:t>
      </w:r>
      <w:r>
        <w:rPr>
          <w:rFonts w:hint="eastAsia"/>
          <w:color w:val="auto"/>
        </w:rPr>
        <w:t>承包人违约</w:t>
      </w:r>
      <w:bookmarkEnd w:id="1752"/>
      <w:bookmarkEnd w:id="1753"/>
      <w:bookmarkEnd w:id="1754"/>
      <w:bookmarkEnd w:id="1755"/>
    </w:p>
    <w:p w14:paraId="14F15AAF">
      <w:pPr>
        <w:pStyle w:val="130"/>
        <w:numPr>
          <w:ilvl w:val="0"/>
          <w:numId w:val="0"/>
        </w:numPr>
        <w:ind w:firstLine="420" w:firstLineChars="200"/>
        <w:rPr>
          <w:color w:val="auto"/>
          <w:sz w:val="21"/>
        </w:rPr>
      </w:pPr>
      <w:bookmarkStart w:id="1756" w:name="_Ref3841153"/>
      <w:r>
        <w:rPr>
          <w:rFonts w:hint="eastAsia"/>
          <w:color w:val="auto"/>
          <w:sz w:val="21"/>
        </w:rPr>
        <w:t>1</w:t>
      </w:r>
      <w:r>
        <w:rPr>
          <w:color w:val="auto"/>
          <w:sz w:val="21"/>
        </w:rPr>
        <w:t xml:space="preserve">5.2.1 </w:t>
      </w:r>
      <w:r>
        <w:rPr>
          <w:rFonts w:hint="eastAsia"/>
          <w:color w:val="auto"/>
          <w:sz w:val="21"/>
        </w:rPr>
        <w:t>承包人违约的情形</w:t>
      </w:r>
      <w:bookmarkEnd w:id="1756"/>
    </w:p>
    <w:p w14:paraId="0F3FAEA0">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除专用合同条件另有约定外，在履行合同过程中发生的下列情况之一的，属于承包人违约：</w:t>
      </w:r>
    </w:p>
    <w:p w14:paraId="499FFCF4">
      <w:pPr>
        <w:spacing w:line="360" w:lineRule="auto"/>
        <w:ind w:firstLine="420" w:firstLineChars="200"/>
        <w:rPr>
          <w:rFonts w:ascii="宋体" w:hAnsi="宋体"/>
          <w:color w:val="auto"/>
          <w:szCs w:val="21"/>
        </w:rPr>
      </w:pPr>
      <w:r>
        <w:rPr>
          <w:rFonts w:hint="eastAsia" w:ascii="宋体" w:hAnsi="宋体"/>
          <w:color w:val="auto"/>
          <w:szCs w:val="21"/>
        </w:rPr>
        <w:t>（1）承包人的原因导致的承包人文件、实施和竣工的工程不符合法律法规、工程质量验收标准以及合同约定；</w:t>
      </w:r>
    </w:p>
    <w:p w14:paraId="1C5890C8">
      <w:pPr>
        <w:spacing w:line="360" w:lineRule="auto"/>
        <w:ind w:firstLine="420" w:firstLineChars="200"/>
        <w:rPr>
          <w:rFonts w:ascii="宋体" w:hAnsi="宋体"/>
          <w:color w:val="auto"/>
          <w:szCs w:val="21"/>
        </w:rPr>
      </w:pPr>
      <w:r>
        <w:rPr>
          <w:rFonts w:hint="eastAsia" w:ascii="宋体" w:hAnsi="宋体"/>
          <w:color w:val="auto"/>
          <w:szCs w:val="21"/>
        </w:rPr>
        <w:t>（2）承包人违反合同约定进行转包或违法分包的；</w:t>
      </w:r>
    </w:p>
    <w:p w14:paraId="7CB559A7">
      <w:pPr>
        <w:spacing w:line="360" w:lineRule="auto"/>
        <w:ind w:firstLine="420" w:firstLineChars="200"/>
        <w:rPr>
          <w:rFonts w:ascii="宋体" w:hAnsi="宋体"/>
          <w:color w:val="auto"/>
          <w:szCs w:val="21"/>
        </w:rPr>
      </w:pPr>
      <w:r>
        <w:rPr>
          <w:rFonts w:hint="eastAsia" w:ascii="宋体" w:hAnsi="宋体"/>
          <w:color w:val="auto"/>
          <w:szCs w:val="21"/>
        </w:rPr>
        <w:t>（3）承包人违反约定采购和使用不合格材料或工程设备；</w:t>
      </w:r>
    </w:p>
    <w:p w14:paraId="0CAEF3BD">
      <w:pPr>
        <w:spacing w:line="360" w:lineRule="auto"/>
        <w:ind w:firstLine="420" w:firstLineChars="200"/>
        <w:rPr>
          <w:rFonts w:ascii="宋体" w:hAnsi="宋体"/>
          <w:color w:val="auto"/>
          <w:szCs w:val="21"/>
        </w:rPr>
      </w:pPr>
      <w:r>
        <w:rPr>
          <w:rFonts w:hint="eastAsia" w:ascii="宋体" w:hAnsi="宋体"/>
          <w:color w:val="auto"/>
          <w:szCs w:val="21"/>
        </w:rPr>
        <w:t>（4）因承包人原因导致工程质量不符合合同要求的；</w:t>
      </w:r>
    </w:p>
    <w:p w14:paraId="230A95C2">
      <w:pPr>
        <w:spacing w:line="360" w:lineRule="auto"/>
        <w:ind w:firstLine="420" w:firstLineChars="200"/>
        <w:rPr>
          <w:rFonts w:ascii="宋体" w:hAnsi="宋体"/>
          <w:color w:val="auto"/>
          <w:szCs w:val="21"/>
        </w:rPr>
      </w:pPr>
      <w:r>
        <w:rPr>
          <w:rFonts w:hint="eastAsia" w:ascii="宋体" w:hAnsi="宋体"/>
          <w:color w:val="auto"/>
          <w:szCs w:val="21"/>
        </w:rPr>
        <w:t>（5）承包人未经工程师批准，擅自将已按合同约定进入施工现场的施工设备、临时设施或材料撤离施工现场；</w:t>
      </w:r>
    </w:p>
    <w:p w14:paraId="04CD5C59">
      <w:pPr>
        <w:spacing w:line="360" w:lineRule="auto"/>
        <w:ind w:firstLine="420" w:firstLineChars="200"/>
        <w:rPr>
          <w:rFonts w:ascii="宋体" w:hAnsi="宋体"/>
          <w:color w:val="auto"/>
          <w:szCs w:val="21"/>
        </w:rPr>
      </w:pPr>
      <w:r>
        <w:rPr>
          <w:rFonts w:hint="eastAsia" w:ascii="宋体" w:hAnsi="宋体"/>
          <w:color w:val="auto"/>
          <w:szCs w:val="21"/>
        </w:rPr>
        <w:t>（6）承包人未能按项目进度计划及时完成合同约定的工作，造成工期延误；</w:t>
      </w:r>
    </w:p>
    <w:p w14:paraId="45AAD6B1">
      <w:pPr>
        <w:spacing w:line="360" w:lineRule="auto"/>
        <w:ind w:firstLine="420" w:firstLineChars="200"/>
        <w:rPr>
          <w:rFonts w:ascii="宋体" w:hAnsi="宋体"/>
          <w:color w:val="auto"/>
          <w:szCs w:val="21"/>
        </w:rPr>
      </w:pPr>
      <w:r>
        <w:rPr>
          <w:rFonts w:hint="eastAsia" w:ascii="宋体" w:hAnsi="宋体"/>
          <w:color w:val="auto"/>
          <w:szCs w:val="21"/>
        </w:rPr>
        <w:t>（7）由于承包人原因未能通过竣工试验或竣工后试验的；</w:t>
      </w:r>
    </w:p>
    <w:p w14:paraId="1F9B1559">
      <w:pPr>
        <w:spacing w:line="360" w:lineRule="auto"/>
        <w:ind w:firstLine="420" w:firstLineChars="200"/>
        <w:rPr>
          <w:rFonts w:ascii="宋体" w:hAnsi="宋体"/>
          <w:color w:val="auto"/>
          <w:szCs w:val="21"/>
        </w:rPr>
      </w:pPr>
      <w:r>
        <w:rPr>
          <w:rFonts w:hint="eastAsia" w:ascii="宋体" w:hAnsi="宋体"/>
          <w:color w:val="auto"/>
          <w:szCs w:val="21"/>
        </w:rPr>
        <w:t>（8）承包人在缺陷责任期及保修期内，未能在合理期限对工程缺陷进行修复，或拒绝按发包人指示进行修复的；</w:t>
      </w:r>
    </w:p>
    <w:p w14:paraId="59394364">
      <w:pPr>
        <w:spacing w:line="360" w:lineRule="auto"/>
        <w:ind w:firstLine="420" w:firstLineChars="200"/>
        <w:rPr>
          <w:rFonts w:ascii="宋体" w:hAnsi="宋体"/>
          <w:color w:val="auto"/>
          <w:szCs w:val="21"/>
        </w:rPr>
      </w:pPr>
      <w:r>
        <w:rPr>
          <w:rFonts w:hint="eastAsia" w:ascii="宋体" w:hAnsi="宋体"/>
          <w:color w:val="auto"/>
          <w:szCs w:val="21"/>
        </w:rPr>
        <w:t>（9）承包人明确表示或者以其行为表明不履行合同主要义务的；</w:t>
      </w:r>
    </w:p>
    <w:p w14:paraId="650FA967">
      <w:pPr>
        <w:spacing w:line="360" w:lineRule="auto"/>
        <w:ind w:firstLine="420" w:firstLineChars="200"/>
        <w:rPr>
          <w:rFonts w:ascii="宋体" w:hAnsi="宋体"/>
          <w:color w:val="auto"/>
          <w:szCs w:val="21"/>
        </w:rPr>
      </w:pPr>
      <w:r>
        <w:rPr>
          <w:rFonts w:hint="eastAsia" w:ascii="宋体" w:hAnsi="宋体"/>
          <w:color w:val="auto"/>
          <w:szCs w:val="21"/>
        </w:rPr>
        <w:t>（1</w:t>
      </w:r>
      <w:r>
        <w:rPr>
          <w:rFonts w:ascii="宋体" w:hAnsi="宋体"/>
          <w:color w:val="auto"/>
          <w:szCs w:val="21"/>
        </w:rPr>
        <w:t>0</w:t>
      </w:r>
      <w:r>
        <w:rPr>
          <w:rFonts w:hint="eastAsia" w:ascii="宋体" w:hAnsi="宋体"/>
          <w:color w:val="auto"/>
          <w:szCs w:val="21"/>
        </w:rPr>
        <w:t>）承包人未能按照合同约定履行其他义务的。</w:t>
      </w:r>
    </w:p>
    <w:p w14:paraId="39DCE4D9">
      <w:pPr>
        <w:pStyle w:val="130"/>
        <w:numPr>
          <w:ilvl w:val="0"/>
          <w:numId w:val="0"/>
        </w:numPr>
        <w:ind w:firstLine="420" w:firstLineChars="200"/>
        <w:rPr>
          <w:color w:val="auto"/>
          <w:sz w:val="21"/>
        </w:rPr>
      </w:pPr>
      <w:bookmarkStart w:id="1757" w:name="_Ref531958512"/>
      <w:r>
        <w:rPr>
          <w:rFonts w:hint="eastAsia"/>
          <w:color w:val="auto"/>
          <w:sz w:val="21"/>
        </w:rPr>
        <w:t>1</w:t>
      </w:r>
      <w:r>
        <w:rPr>
          <w:color w:val="auto"/>
          <w:sz w:val="21"/>
        </w:rPr>
        <w:t xml:space="preserve">5.2.2 </w:t>
      </w:r>
      <w:r>
        <w:rPr>
          <w:rFonts w:hint="eastAsia"/>
          <w:color w:val="auto"/>
          <w:sz w:val="21"/>
        </w:rPr>
        <w:t>通知改正</w:t>
      </w:r>
      <w:bookmarkEnd w:id="1757"/>
    </w:p>
    <w:p w14:paraId="15FBBED7">
      <w:pPr>
        <w:spacing w:line="360" w:lineRule="auto"/>
        <w:ind w:firstLine="420" w:firstLineChars="200"/>
        <w:rPr>
          <w:rFonts w:ascii="宋体" w:hAnsi="宋体"/>
          <w:color w:val="auto"/>
          <w:szCs w:val="21"/>
        </w:rPr>
      </w:pPr>
      <w:r>
        <w:rPr>
          <w:rFonts w:hint="eastAsia" w:ascii="宋体" w:hAnsi="宋体"/>
          <w:color w:val="auto"/>
          <w:szCs w:val="21"/>
        </w:rPr>
        <w:t>承包人发生除第</w:t>
      </w:r>
      <w:r>
        <w:rPr>
          <w:rFonts w:ascii="宋体" w:hAnsi="宋体"/>
          <w:color w:val="auto"/>
          <w:szCs w:val="21"/>
        </w:rPr>
        <w:t>15.2.1</w:t>
      </w:r>
      <w:r>
        <w:rPr>
          <w:rFonts w:hint="eastAsia" w:ascii="宋体" w:hAnsi="宋体"/>
          <w:color w:val="auto"/>
          <w:szCs w:val="21"/>
        </w:rPr>
        <w:t>项第(7)目、第(9)目约定以外的其他违约情况时，工程师可在专用合同条件约定的合理期限内向承包人发出整改通知，要求其在指定的期限内改正。</w:t>
      </w:r>
    </w:p>
    <w:p w14:paraId="2F935FFD">
      <w:pPr>
        <w:pStyle w:val="130"/>
        <w:numPr>
          <w:ilvl w:val="0"/>
          <w:numId w:val="0"/>
        </w:numPr>
        <w:ind w:firstLine="420" w:firstLineChars="200"/>
        <w:rPr>
          <w:color w:val="auto"/>
          <w:sz w:val="21"/>
        </w:rPr>
      </w:pPr>
      <w:bookmarkStart w:id="1758" w:name="_Ref3841166"/>
      <w:r>
        <w:rPr>
          <w:rFonts w:hint="eastAsia"/>
          <w:color w:val="auto"/>
          <w:sz w:val="21"/>
        </w:rPr>
        <w:t>1</w:t>
      </w:r>
      <w:r>
        <w:rPr>
          <w:color w:val="auto"/>
          <w:sz w:val="21"/>
        </w:rPr>
        <w:t xml:space="preserve">5.2.3 </w:t>
      </w:r>
      <w:r>
        <w:rPr>
          <w:rFonts w:hint="eastAsia"/>
          <w:color w:val="auto"/>
          <w:sz w:val="21"/>
        </w:rPr>
        <w:t>承包人违约的责任</w:t>
      </w:r>
      <w:bookmarkEnd w:id="1758"/>
    </w:p>
    <w:p w14:paraId="6D3294A9">
      <w:pPr>
        <w:spacing w:line="360" w:lineRule="auto"/>
        <w:ind w:firstLine="420" w:firstLineChars="200"/>
        <w:rPr>
          <w:rFonts w:ascii="宋体" w:hAnsi="宋体"/>
          <w:color w:val="auto"/>
          <w:szCs w:val="21"/>
        </w:rPr>
      </w:pPr>
      <w:r>
        <w:rPr>
          <w:rFonts w:hint="eastAsia" w:ascii="宋体" w:hAnsi="宋体"/>
          <w:color w:val="auto"/>
          <w:szCs w:val="21"/>
        </w:rPr>
        <w:t>承包人应承担因其违约行为而增加的费用和（或）延误的工期。此外，合同当事人可在专用合同条件中另行约定承包人违约责任的承担方式和计算方法。</w:t>
      </w:r>
    </w:p>
    <w:p w14:paraId="319346BF">
      <w:pPr>
        <w:pStyle w:val="4"/>
        <w:spacing w:before="120" w:line="360" w:lineRule="auto"/>
        <w:rPr>
          <w:color w:val="auto"/>
        </w:rPr>
      </w:pPr>
      <w:bookmarkStart w:id="1759" w:name="_Toc54862302"/>
      <w:bookmarkStart w:id="1760" w:name="_Toc154063618"/>
      <w:r>
        <w:rPr>
          <w:rFonts w:hint="eastAsia"/>
          <w:color w:val="auto"/>
        </w:rPr>
        <w:t>1</w:t>
      </w:r>
      <w:r>
        <w:rPr>
          <w:color w:val="auto"/>
        </w:rPr>
        <w:t xml:space="preserve">5.3 </w:t>
      </w:r>
      <w:r>
        <w:rPr>
          <w:rFonts w:hint="eastAsia"/>
          <w:color w:val="auto"/>
        </w:rPr>
        <w:t>第三人造成的违约</w:t>
      </w:r>
      <w:bookmarkEnd w:id="1759"/>
      <w:bookmarkEnd w:id="1760"/>
    </w:p>
    <w:p w14:paraId="5B96FE7F">
      <w:pPr>
        <w:spacing w:line="360" w:lineRule="auto"/>
        <w:ind w:firstLine="420" w:firstLineChars="200"/>
        <w:rPr>
          <w:rFonts w:ascii="宋体" w:hAnsi="宋体"/>
          <w:color w:val="auto"/>
          <w:szCs w:val="21"/>
        </w:rPr>
      </w:pPr>
      <w:r>
        <w:rPr>
          <w:rFonts w:hint="eastAsia" w:ascii="宋体" w:hAnsi="宋体"/>
          <w:color w:val="auto"/>
          <w:szCs w:val="21"/>
        </w:rPr>
        <w:t>在履行合同过程中，一方当事人因第三人的原因造成违约的，应当向对方当事人承担违约责任。一方当事人和第三人之间的纠纷，依照法律规定或者按照约定解决。</w:t>
      </w:r>
    </w:p>
    <w:p w14:paraId="1DF75177">
      <w:pPr>
        <w:pStyle w:val="3"/>
        <w:spacing w:before="48" w:line="360" w:lineRule="auto"/>
        <w:rPr>
          <w:rFonts w:ascii="黑体" w:hAnsi="黑体"/>
          <w:bCs w:val="0"/>
          <w:color w:val="auto"/>
          <w:sz w:val="28"/>
        </w:rPr>
      </w:pPr>
      <w:bookmarkStart w:id="1761" w:name="_Toc154063619"/>
      <w:bookmarkStart w:id="1762" w:name="_Ref4510572"/>
      <w:bookmarkStart w:id="1763" w:name="_Toc54862303"/>
      <w:bookmarkStart w:id="1764" w:name="_Ref3840457"/>
      <w:bookmarkStart w:id="1765" w:name="_Ref532142069"/>
      <w:r>
        <w:rPr>
          <w:rFonts w:hint="eastAsia" w:ascii="黑体" w:hAnsi="黑体"/>
          <w:bCs w:val="0"/>
          <w:color w:val="auto"/>
          <w:sz w:val="28"/>
        </w:rPr>
        <w:t>第1</w:t>
      </w:r>
      <w:r>
        <w:rPr>
          <w:rFonts w:ascii="黑体" w:hAnsi="黑体"/>
          <w:bCs w:val="0"/>
          <w:color w:val="auto"/>
          <w:sz w:val="28"/>
        </w:rPr>
        <w:t>6</w:t>
      </w:r>
      <w:r>
        <w:rPr>
          <w:rFonts w:hint="eastAsia" w:ascii="黑体" w:hAnsi="黑体"/>
          <w:bCs w:val="0"/>
          <w:color w:val="auto"/>
          <w:sz w:val="28"/>
        </w:rPr>
        <w:t>条 合同解除</w:t>
      </w:r>
      <w:bookmarkEnd w:id="1761"/>
      <w:bookmarkEnd w:id="1762"/>
      <w:bookmarkEnd w:id="1763"/>
    </w:p>
    <w:p w14:paraId="33B16883">
      <w:pPr>
        <w:pStyle w:val="4"/>
        <w:spacing w:before="120" w:line="360" w:lineRule="auto"/>
        <w:rPr>
          <w:color w:val="auto"/>
        </w:rPr>
      </w:pPr>
      <w:bookmarkStart w:id="1766" w:name="_Toc154063620"/>
      <w:bookmarkStart w:id="1767" w:name="_Ref531958502"/>
      <w:bookmarkStart w:id="1768" w:name="_Toc54862304"/>
      <w:bookmarkStart w:id="1769" w:name="_Ref531958499"/>
      <w:r>
        <w:rPr>
          <w:rFonts w:hint="eastAsia"/>
          <w:color w:val="auto"/>
        </w:rPr>
        <w:t>1</w:t>
      </w:r>
      <w:r>
        <w:rPr>
          <w:color w:val="auto"/>
        </w:rPr>
        <w:t xml:space="preserve">6.1 </w:t>
      </w:r>
      <w:r>
        <w:rPr>
          <w:rFonts w:hint="eastAsia"/>
          <w:color w:val="auto"/>
        </w:rPr>
        <w:t>由发包人解除合同</w:t>
      </w:r>
      <w:bookmarkEnd w:id="1766"/>
      <w:bookmarkEnd w:id="1767"/>
      <w:bookmarkEnd w:id="1768"/>
      <w:bookmarkEnd w:id="1769"/>
    </w:p>
    <w:p w14:paraId="266E2217">
      <w:pPr>
        <w:pStyle w:val="130"/>
        <w:numPr>
          <w:ilvl w:val="0"/>
          <w:numId w:val="0"/>
        </w:numPr>
        <w:ind w:firstLine="420" w:firstLineChars="200"/>
        <w:rPr>
          <w:color w:val="auto"/>
          <w:sz w:val="21"/>
        </w:rPr>
      </w:pPr>
      <w:bookmarkStart w:id="1770" w:name="_Ref4535422"/>
      <w:r>
        <w:rPr>
          <w:rFonts w:hint="eastAsia"/>
          <w:color w:val="auto"/>
          <w:sz w:val="21"/>
        </w:rPr>
        <w:t>1</w:t>
      </w:r>
      <w:r>
        <w:rPr>
          <w:color w:val="auto"/>
          <w:sz w:val="21"/>
        </w:rPr>
        <w:t xml:space="preserve">6.1.1 </w:t>
      </w:r>
      <w:r>
        <w:rPr>
          <w:rFonts w:hint="eastAsia"/>
          <w:color w:val="auto"/>
          <w:sz w:val="21"/>
        </w:rPr>
        <w:t>因承包人违约解除合同</w:t>
      </w:r>
      <w:bookmarkEnd w:id="1770"/>
    </w:p>
    <w:p w14:paraId="0A3035AF">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除专用合同条件另有约定外，发包人有权基于下列原因，以书面形式通知承包人解除合同，解除通知中应注明是根据第</w:t>
      </w:r>
      <w:r>
        <w:rPr>
          <w:rFonts w:ascii="宋体" w:hAnsi="宋体"/>
          <w:color w:val="auto"/>
          <w:szCs w:val="21"/>
        </w:rPr>
        <w:t>16.1.1</w:t>
      </w:r>
      <w:r>
        <w:rPr>
          <w:rFonts w:hint="eastAsia" w:ascii="宋体" w:hAnsi="宋体"/>
          <w:color w:val="auto"/>
          <w:szCs w:val="21"/>
        </w:rPr>
        <w:t>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w:t>
      </w:r>
      <w:r>
        <w:rPr>
          <w:rFonts w:ascii="宋体" w:hAnsi="宋体"/>
          <w:color w:val="auto"/>
          <w:szCs w:val="21"/>
        </w:rPr>
        <w:t>5</w:t>
      </w:r>
      <w:r>
        <w:rPr>
          <w:rFonts w:hint="eastAsia" w:ascii="宋体" w:hAnsi="宋体"/>
          <w:color w:val="auto"/>
          <w:szCs w:val="21"/>
        </w:rPr>
        <w:t>)目的情况下，发包人无须提前告知承包人其解除合同意向，可直接发出正式解除合同通知立即解除合同：</w:t>
      </w:r>
    </w:p>
    <w:p w14:paraId="011D5456">
      <w:pPr>
        <w:spacing w:line="360" w:lineRule="auto"/>
        <w:ind w:firstLine="420" w:firstLineChars="200"/>
        <w:rPr>
          <w:rFonts w:ascii="宋体" w:hAnsi="宋体"/>
          <w:color w:val="auto"/>
          <w:szCs w:val="21"/>
        </w:rPr>
      </w:pPr>
      <w:bookmarkStart w:id="1771" w:name="_Ref531958536"/>
      <w:r>
        <w:rPr>
          <w:rFonts w:hint="eastAsia" w:ascii="宋体" w:hAnsi="宋体"/>
          <w:color w:val="auto"/>
          <w:szCs w:val="21"/>
        </w:rPr>
        <w:t>（1）承包人未能遵守第</w:t>
      </w:r>
      <w:r>
        <w:rPr>
          <w:rFonts w:ascii="宋体" w:hAnsi="宋体"/>
          <w:color w:val="auto"/>
          <w:szCs w:val="21"/>
        </w:rPr>
        <w:t>4.2</w:t>
      </w:r>
      <w:r>
        <w:rPr>
          <w:rFonts w:hint="eastAsia" w:ascii="宋体" w:hAnsi="宋体"/>
          <w:color w:val="auto"/>
          <w:szCs w:val="21"/>
        </w:rPr>
        <w:t>款</w:t>
      </w:r>
      <w:bookmarkStart w:id="1772" w:name="_Hlk18839947"/>
      <w:r>
        <w:rPr>
          <w:rFonts w:hint="eastAsia" w:ascii="宋体" w:hAnsi="宋体"/>
          <w:color w:val="auto"/>
          <w:szCs w:val="21"/>
        </w:rPr>
        <w:t>[履约担保]</w:t>
      </w:r>
      <w:bookmarkEnd w:id="1772"/>
      <w:r>
        <w:rPr>
          <w:rFonts w:hint="eastAsia" w:ascii="宋体" w:hAnsi="宋体"/>
          <w:color w:val="auto"/>
          <w:szCs w:val="21"/>
        </w:rPr>
        <w:t>的约定；</w:t>
      </w:r>
    </w:p>
    <w:p w14:paraId="789F79A8">
      <w:pPr>
        <w:spacing w:line="360" w:lineRule="auto"/>
        <w:ind w:firstLine="420" w:firstLineChars="200"/>
        <w:rPr>
          <w:rFonts w:ascii="宋体" w:hAnsi="宋体"/>
          <w:color w:val="auto"/>
          <w:szCs w:val="21"/>
        </w:rPr>
      </w:pPr>
      <w:r>
        <w:rPr>
          <w:rFonts w:hint="eastAsia" w:ascii="宋体" w:hAnsi="宋体"/>
          <w:color w:val="auto"/>
          <w:szCs w:val="21"/>
        </w:rPr>
        <w:t>（2）承包人未能遵守第</w:t>
      </w:r>
      <w:r>
        <w:rPr>
          <w:rFonts w:ascii="宋体" w:hAnsi="宋体"/>
          <w:color w:val="auto"/>
          <w:szCs w:val="21"/>
        </w:rPr>
        <w:t>4.5</w:t>
      </w:r>
      <w:r>
        <w:rPr>
          <w:rFonts w:hint="eastAsia" w:ascii="宋体" w:hAnsi="宋体"/>
          <w:color w:val="auto"/>
          <w:szCs w:val="21"/>
        </w:rPr>
        <w:t>款[分包]有关分包和转包的约定；</w:t>
      </w:r>
    </w:p>
    <w:p w14:paraId="1FE5F55B">
      <w:pPr>
        <w:spacing w:line="360" w:lineRule="auto"/>
        <w:ind w:firstLine="420" w:firstLineChars="200"/>
        <w:rPr>
          <w:rFonts w:ascii="宋体" w:hAnsi="宋体"/>
          <w:color w:val="auto"/>
          <w:szCs w:val="21"/>
        </w:rPr>
      </w:pPr>
      <w:r>
        <w:rPr>
          <w:rFonts w:hint="eastAsia" w:ascii="宋体" w:hAnsi="宋体"/>
          <w:color w:val="auto"/>
          <w:szCs w:val="21"/>
        </w:rPr>
        <w:t>（3）承包人实际进度明显落后于进度计划，并且未按发包人的指令采取措施并修正进度计划；</w:t>
      </w:r>
    </w:p>
    <w:p w14:paraId="1CA20537">
      <w:pPr>
        <w:spacing w:line="360" w:lineRule="auto"/>
        <w:ind w:firstLine="420" w:firstLineChars="200"/>
        <w:rPr>
          <w:rFonts w:ascii="宋体" w:hAnsi="宋体"/>
          <w:color w:val="auto"/>
          <w:szCs w:val="21"/>
        </w:rPr>
      </w:pPr>
      <w:r>
        <w:rPr>
          <w:rFonts w:hint="eastAsia" w:ascii="宋体" w:hAnsi="宋体"/>
          <w:color w:val="auto"/>
          <w:szCs w:val="21"/>
        </w:rPr>
        <w:t>（4）工程质量有严重缺陷，承包人无正当理由使修复开始日期拖延达28天以上；</w:t>
      </w:r>
    </w:p>
    <w:p w14:paraId="60985A65">
      <w:pPr>
        <w:spacing w:line="360" w:lineRule="auto"/>
        <w:ind w:firstLine="420" w:firstLineChars="200"/>
        <w:rPr>
          <w:rFonts w:ascii="宋体" w:hAnsi="宋体"/>
          <w:color w:val="auto"/>
          <w:szCs w:val="21"/>
        </w:rPr>
      </w:pPr>
      <w:r>
        <w:rPr>
          <w:rFonts w:hint="eastAsia" w:ascii="宋体" w:hAnsi="宋体"/>
          <w:color w:val="auto"/>
          <w:szCs w:val="21"/>
        </w:rPr>
        <w:t>（5）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11082B19">
      <w:pPr>
        <w:spacing w:line="360" w:lineRule="auto"/>
        <w:ind w:firstLine="420" w:firstLineChars="200"/>
        <w:rPr>
          <w:rFonts w:ascii="宋体" w:hAnsi="宋体"/>
          <w:color w:val="auto"/>
          <w:szCs w:val="21"/>
        </w:rPr>
      </w:pPr>
      <w:r>
        <w:rPr>
          <w:rFonts w:hint="eastAsia" w:ascii="宋体" w:hAnsi="宋体"/>
          <w:color w:val="auto"/>
          <w:szCs w:val="21"/>
        </w:rPr>
        <w:t>（6）承包人明确表示或以自己的行为表明不履行合同、或经发包人以书面形式通知其履约后仍未能依约履行合同、或以不适当的方式履行合同；</w:t>
      </w:r>
    </w:p>
    <w:p w14:paraId="576444BF">
      <w:pPr>
        <w:spacing w:line="360" w:lineRule="auto"/>
        <w:ind w:firstLine="420" w:firstLineChars="200"/>
        <w:rPr>
          <w:rFonts w:ascii="宋体" w:hAnsi="宋体"/>
          <w:color w:val="auto"/>
          <w:szCs w:val="21"/>
        </w:rPr>
      </w:pPr>
      <w:r>
        <w:rPr>
          <w:rFonts w:hint="eastAsia" w:ascii="宋体" w:hAnsi="宋体"/>
          <w:color w:val="auto"/>
          <w:szCs w:val="21"/>
        </w:rPr>
        <w:t>（7）未能通过的竣工试验、未能通过的竣工后试验，使工程的任何部分和（或）整个工程丧失了主要使用功能、生产功能；</w:t>
      </w:r>
    </w:p>
    <w:p w14:paraId="3E83206D">
      <w:pPr>
        <w:spacing w:line="360" w:lineRule="auto"/>
        <w:ind w:firstLine="420" w:firstLineChars="200"/>
        <w:rPr>
          <w:rFonts w:ascii="宋体" w:hAnsi="宋体"/>
          <w:color w:val="auto"/>
          <w:szCs w:val="21"/>
        </w:rPr>
      </w:pPr>
      <w:r>
        <w:rPr>
          <w:rFonts w:hint="eastAsia" w:ascii="宋体" w:hAnsi="宋体"/>
          <w:color w:val="auto"/>
          <w:szCs w:val="21"/>
        </w:rPr>
        <w:t>（8）因承包人的原因暂停工作超过56天且暂停影响到整个工程，或因承包人的原因暂停工作超过182天；</w:t>
      </w:r>
    </w:p>
    <w:p w14:paraId="01F87701">
      <w:pPr>
        <w:spacing w:line="360" w:lineRule="auto"/>
        <w:ind w:firstLine="420" w:firstLineChars="200"/>
        <w:rPr>
          <w:rFonts w:ascii="宋体" w:hAnsi="宋体"/>
          <w:color w:val="auto"/>
          <w:szCs w:val="21"/>
        </w:rPr>
      </w:pPr>
      <w:r>
        <w:rPr>
          <w:rFonts w:hint="eastAsia" w:ascii="宋体" w:hAnsi="宋体"/>
          <w:color w:val="auto"/>
          <w:szCs w:val="21"/>
        </w:rPr>
        <w:t>（9）承包人未能遵守第</w:t>
      </w:r>
      <w:r>
        <w:rPr>
          <w:rFonts w:ascii="宋体" w:hAnsi="宋体"/>
          <w:color w:val="auto"/>
          <w:szCs w:val="21"/>
        </w:rPr>
        <w:t>8.2</w:t>
      </w:r>
      <w:r>
        <w:rPr>
          <w:rFonts w:hint="eastAsia" w:ascii="宋体" w:hAnsi="宋体"/>
          <w:color w:val="auto"/>
          <w:szCs w:val="21"/>
        </w:rPr>
        <w:t>款[竣工日期]规定，延误超过1</w:t>
      </w:r>
      <w:r>
        <w:rPr>
          <w:rFonts w:ascii="宋体" w:hAnsi="宋体"/>
          <w:color w:val="auto"/>
          <w:szCs w:val="21"/>
        </w:rPr>
        <w:t>82</w:t>
      </w:r>
      <w:r>
        <w:rPr>
          <w:rFonts w:hint="eastAsia" w:ascii="宋体" w:hAnsi="宋体"/>
          <w:color w:val="auto"/>
          <w:szCs w:val="21"/>
        </w:rPr>
        <w:t>天；</w:t>
      </w:r>
    </w:p>
    <w:p w14:paraId="580EF61C">
      <w:pPr>
        <w:spacing w:line="360" w:lineRule="auto"/>
        <w:ind w:firstLine="420" w:firstLineChars="200"/>
        <w:rPr>
          <w:rFonts w:ascii="宋体" w:hAnsi="宋体"/>
          <w:color w:val="auto"/>
          <w:szCs w:val="21"/>
        </w:rPr>
      </w:pPr>
      <w:r>
        <w:rPr>
          <w:rFonts w:hint="eastAsia" w:ascii="宋体" w:hAnsi="宋体"/>
          <w:color w:val="auto"/>
          <w:szCs w:val="21"/>
        </w:rPr>
        <w:t>（1</w:t>
      </w:r>
      <w:r>
        <w:rPr>
          <w:rFonts w:ascii="宋体" w:hAnsi="宋体"/>
          <w:color w:val="auto"/>
          <w:szCs w:val="21"/>
        </w:rPr>
        <w:t>0</w:t>
      </w:r>
      <w:r>
        <w:rPr>
          <w:rFonts w:hint="eastAsia" w:ascii="宋体" w:hAnsi="宋体"/>
          <w:color w:val="auto"/>
          <w:szCs w:val="21"/>
        </w:rPr>
        <w:t>）工程师根据第</w:t>
      </w:r>
      <w:r>
        <w:rPr>
          <w:rFonts w:ascii="宋体" w:hAnsi="宋体"/>
          <w:color w:val="auto"/>
          <w:szCs w:val="21"/>
        </w:rPr>
        <w:t>15.2.2</w:t>
      </w:r>
      <w:r>
        <w:rPr>
          <w:rFonts w:hint="eastAsia" w:ascii="宋体" w:hAnsi="宋体"/>
          <w:color w:val="auto"/>
          <w:szCs w:val="21"/>
        </w:rPr>
        <w:t>项[通知改正]发出整改通知后，承包人在指定的合理期限内仍不纠正违约行为并致使合同目的不能实现的。</w:t>
      </w:r>
    </w:p>
    <w:bookmarkEnd w:id="1771"/>
    <w:p w14:paraId="7B2FD22A">
      <w:pPr>
        <w:pStyle w:val="130"/>
        <w:numPr>
          <w:ilvl w:val="0"/>
          <w:numId w:val="0"/>
        </w:numPr>
        <w:ind w:firstLine="420" w:firstLineChars="200"/>
        <w:rPr>
          <w:color w:val="auto"/>
          <w:sz w:val="21"/>
        </w:rPr>
      </w:pPr>
      <w:bookmarkStart w:id="1773" w:name="_Ref3841839"/>
      <w:bookmarkStart w:id="1774" w:name="_Ref4624315"/>
      <w:r>
        <w:rPr>
          <w:rFonts w:hint="eastAsia"/>
          <w:color w:val="auto"/>
          <w:sz w:val="21"/>
        </w:rPr>
        <w:t>1</w:t>
      </w:r>
      <w:r>
        <w:rPr>
          <w:color w:val="auto"/>
          <w:sz w:val="21"/>
        </w:rPr>
        <w:t xml:space="preserve">6.1.2 </w:t>
      </w:r>
      <w:r>
        <w:rPr>
          <w:rFonts w:hint="eastAsia"/>
          <w:color w:val="auto"/>
          <w:sz w:val="21"/>
        </w:rPr>
        <w:t>因承包人违约解除合同后</w:t>
      </w:r>
      <w:bookmarkEnd w:id="1773"/>
      <w:r>
        <w:rPr>
          <w:rFonts w:hint="eastAsia"/>
          <w:color w:val="auto"/>
          <w:sz w:val="21"/>
        </w:rPr>
        <w:t>承包人的义务</w:t>
      </w:r>
      <w:bookmarkEnd w:id="1774"/>
    </w:p>
    <w:p w14:paraId="19C81B46">
      <w:pPr>
        <w:spacing w:line="360" w:lineRule="auto"/>
        <w:ind w:firstLine="420" w:firstLineChars="200"/>
        <w:rPr>
          <w:rFonts w:ascii="宋体" w:hAnsi="宋体"/>
          <w:color w:val="auto"/>
          <w:szCs w:val="21"/>
        </w:rPr>
      </w:pPr>
      <w:r>
        <w:rPr>
          <w:rFonts w:hint="eastAsia" w:ascii="宋体" w:hAnsi="宋体"/>
          <w:color w:val="auto"/>
          <w:szCs w:val="21"/>
        </w:rPr>
        <w:t>合同解除后，承包人应按以下约定执行：</w:t>
      </w:r>
    </w:p>
    <w:p w14:paraId="16A882FD">
      <w:pPr>
        <w:spacing w:line="360" w:lineRule="auto"/>
        <w:ind w:firstLine="420" w:firstLineChars="200"/>
        <w:rPr>
          <w:rFonts w:ascii="宋体" w:hAnsi="宋体"/>
          <w:color w:val="auto"/>
          <w:szCs w:val="21"/>
        </w:rPr>
      </w:pPr>
      <w:r>
        <w:rPr>
          <w:rFonts w:hint="eastAsia" w:ascii="宋体" w:hAnsi="宋体"/>
          <w:color w:val="auto"/>
          <w:szCs w:val="21"/>
        </w:rPr>
        <w:t>（1）除了为保护生命、财产或工程安全、清理和必须执行的工作外，停止执行所有被通知解除的工作，并将相关人员撤离现场；</w:t>
      </w:r>
    </w:p>
    <w:p w14:paraId="16E8EBA2">
      <w:pPr>
        <w:spacing w:line="360" w:lineRule="auto"/>
        <w:ind w:firstLine="420" w:firstLineChars="200"/>
        <w:rPr>
          <w:rFonts w:ascii="宋体" w:hAnsi="宋体"/>
          <w:color w:val="auto"/>
          <w:szCs w:val="21"/>
        </w:rPr>
      </w:pPr>
      <w:r>
        <w:rPr>
          <w:rFonts w:hint="eastAsia" w:ascii="宋体" w:hAnsi="宋体"/>
          <w:color w:val="auto"/>
          <w:szCs w:val="21"/>
        </w:rPr>
        <w:t>（2）经发包人批准，承包人应将与被解除合同相关的和正在执行的分包合同及相关的责任和义务转让至发包人和（或）发包人指定方的名下，包括永久性工程及工程物资，以及相关工作；</w:t>
      </w:r>
    </w:p>
    <w:p w14:paraId="7C0838E0">
      <w:pPr>
        <w:spacing w:line="360" w:lineRule="auto"/>
        <w:ind w:firstLine="420" w:firstLineChars="200"/>
        <w:rPr>
          <w:rFonts w:ascii="宋体" w:hAnsi="宋体"/>
          <w:color w:val="auto"/>
          <w:szCs w:val="21"/>
        </w:rPr>
      </w:pPr>
      <w:r>
        <w:rPr>
          <w:rFonts w:hint="eastAsia" w:ascii="宋体" w:hAnsi="宋体"/>
          <w:color w:val="auto"/>
          <w:szCs w:val="21"/>
        </w:rPr>
        <w:t>（3）移交已完成的永久性工程及负责已运抵现场的工程物资。在移交前，妥善做好己完工程和已运抵现场的工程物资的保管、维护和保养；</w:t>
      </w:r>
    </w:p>
    <w:p w14:paraId="49E36E0C">
      <w:pPr>
        <w:spacing w:line="360" w:lineRule="auto"/>
        <w:ind w:firstLine="420" w:firstLineChars="200"/>
        <w:rPr>
          <w:rFonts w:ascii="宋体" w:hAnsi="宋体"/>
          <w:color w:val="auto"/>
          <w:szCs w:val="21"/>
        </w:rPr>
      </w:pPr>
      <w:r>
        <w:rPr>
          <w:rFonts w:hint="eastAsia" w:ascii="宋体" w:hAnsi="宋体"/>
          <w:color w:val="auto"/>
          <w:szCs w:val="21"/>
        </w:rPr>
        <w:t>（4）将发包人提供的所有信息及承包人为本工程编制的设计文件、技术资料及其它文件移交给发包人。在承包人留有的资料文件中，销毁与发包人提供的所有信息相关的数据及资料的备份；</w:t>
      </w:r>
    </w:p>
    <w:p w14:paraId="5C7809F0">
      <w:pPr>
        <w:spacing w:line="360" w:lineRule="auto"/>
        <w:ind w:firstLine="420" w:firstLineChars="200"/>
        <w:rPr>
          <w:rFonts w:ascii="宋体" w:hAnsi="宋体"/>
          <w:color w:val="auto"/>
          <w:szCs w:val="21"/>
        </w:rPr>
      </w:pPr>
      <w:r>
        <w:rPr>
          <w:rFonts w:hint="eastAsia" w:ascii="宋体" w:hAnsi="宋体"/>
          <w:color w:val="auto"/>
          <w:szCs w:val="21"/>
        </w:rPr>
        <w:t>（5）移交相应实施阶段已经付款的并已完成的和尚待完成的设计文件、图纸、资料、操作维修手册、施工组织设计、质检资料、竣工资料等；</w:t>
      </w:r>
    </w:p>
    <w:p w14:paraId="670391AF">
      <w:pPr>
        <w:pStyle w:val="130"/>
        <w:numPr>
          <w:ilvl w:val="0"/>
          <w:numId w:val="0"/>
        </w:numPr>
        <w:ind w:firstLine="420" w:firstLineChars="200"/>
        <w:rPr>
          <w:color w:val="auto"/>
          <w:sz w:val="21"/>
        </w:rPr>
      </w:pPr>
      <w:r>
        <w:rPr>
          <w:rFonts w:hint="eastAsia"/>
          <w:color w:val="auto"/>
          <w:sz w:val="21"/>
        </w:rPr>
        <w:t>1</w:t>
      </w:r>
      <w:r>
        <w:rPr>
          <w:color w:val="auto"/>
          <w:sz w:val="21"/>
        </w:rPr>
        <w:t xml:space="preserve">6.1.3 </w:t>
      </w:r>
      <w:r>
        <w:rPr>
          <w:rFonts w:hint="eastAsia"/>
          <w:color w:val="auto"/>
          <w:sz w:val="21"/>
        </w:rPr>
        <w:t>因承包人违约解除合同后的估价、付款和结算</w:t>
      </w:r>
    </w:p>
    <w:p w14:paraId="7FE63B0F">
      <w:pPr>
        <w:spacing w:line="360" w:lineRule="auto"/>
        <w:ind w:firstLine="420" w:firstLineChars="200"/>
        <w:rPr>
          <w:rFonts w:ascii="宋体" w:hAnsi="宋体"/>
          <w:color w:val="auto"/>
          <w:szCs w:val="21"/>
        </w:rPr>
      </w:pPr>
      <w:r>
        <w:rPr>
          <w:rFonts w:hint="eastAsia" w:ascii="宋体" w:hAnsi="宋体"/>
          <w:color w:val="auto"/>
          <w:szCs w:val="21"/>
        </w:rPr>
        <w:t>因承包人原因导致合同解除的，则合同当事人应在合同解除后28天内完成估价、付款和清算，并按以下约定执行：</w:t>
      </w:r>
    </w:p>
    <w:p w14:paraId="575391ED">
      <w:pPr>
        <w:spacing w:line="360" w:lineRule="auto"/>
        <w:ind w:firstLine="420" w:firstLineChars="200"/>
        <w:rPr>
          <w:rFonts w:ascii="宋体" w:hAnsi="宋体"/>
          <w:color w:val="auto"/>
          <w:szCs w:val="21"/>
        </w:rPr>
      </w:pPr>
      <w:r>
        <w:rPr>
          <w:rFonts w:hint="eastAsia" w:ascii="宋体" w:hAnsi="宋体"/>
          <w:color w:val="auto"/>
          <w:szCs w:val="21"/>
        </w:rPr>
        <w:t>（1）合同解除后，按第</w:t>
      </w:r>
      <w:r>
        <w:rPr>
          <w:rFonts w:ascii="宋体" w:hAnsi="宋体"/>
          <w:color w:val="auto"/>
          <w:szCs w:val="21"/>
        </w:rPr>
        <w:t>3.6</w:t>
      </w:r>
      <w:r>
        <w:rPr>
          <w:rFonts w:hint="eastAsia" w:ascii="宋体" w:hAnsi="宋体"/>
          <w:color w:val="auto"/>
          <w:szCs w:val="21"/>
        </w:rPr>
        <w:t>款[商定或确定]商定或确定承包人实际完成工作对应的合同价款，以及承包人已提供的材料、工程设备、施工设备和临时工程等的价值；</w:t>
      </w:r>
    </w:p>
    <w:p w14:paraId="6841A78B">
      <w:pPr>
        <w:spacing w:line="360" w:lineRule="auto"/>
        <w:ind w:firstLine="420" w:firstLineChars="200"/>
        <w:rPr>
          <w:rFonts w:ascii="宋体" w:hAnsi="宋体"/>
          <w:color w:val="auto"/>
          <w:szCs w:val="21"/>
        </w:rPr>
      </w:pPr>
      <w:r>
        <w:rPr>
          <w:rFonts w:hint="eastAsia" w:ascii="宋体" w:hAnsi="宋体"/>
          <w:color w:val="auto"/>
          <w:szCs w:val="21"/>
        </w:rPr>
        <w:t>（2）合同解除后，承包人应支付的违约金；</w:t>
      </w:r>
    </w:p>
    <w:p w14:paraId="6FD2ABE9">
      <w:pPr>
        <w:spacing w:line="360" w:lineRule="auto"/>
        <w:ind w:firstLine="420" w:firstLineChars="200"/>
        <w:rPr>
          <w:rFonts w:ascii="宋体" w:hAnsi="宋体"/>
          <w:color w:val="auto"/>
          <w:szCs w:val="21"/>
        </w:rPr>
      </w:pPr>
      <w:r>
        <w:rPr>
          <w:rFonts w:hint="eastAsia" w:ascii="宋体" w:hAnsi="宋体"/>
          <w:color w:val="auto"/>
          <w:szCs w:val="21"/>
        </w:rPr>
        <w:t>（3）合同解除后，因解除合同给发包人造成的损失；</w:t>
      </w:r>
    </w:p>
    <w:p w14:paraId="60BA9686">
      <w:pPr>
        <w:spacing w:line="360" w:lineRule="auto"/>
        <w:ind w:firstLine="420" w:firstLineChars="200"/>
        <w:rPr>
          <w:rFonts w:ascii="宋体" w:hAnsi="宋体"/>
          <w:color w:val="auto"/>
          <w:szCs w:val="21"/>
        </w:rPr>
      </w:pPr>
      <w:r>
        <w:rPr>
          <w:rFonts w:hint="eastAsia" w:ascii="宋体" w:hAnsi="宋体"/>
          <w:color w:val="auto"/>
          <w:szCs w:val="21"/>
        </w:rPr>
        <w:t>（4）合同解除后，承包人应按照发包人的指示完成现场的清理和撤离；</w:t>
      </w:r>
    </w:p>
    <w:p w14:paraId="3B28B426">
      <w:pPr>
        <w:spacing w:line="360" w:lineRule="auto"/>
        <w:ind w:firstLine="420" w:firstLineChars="200"/>
        <w:rPr>
          <w:rFonts w:ascii="宋体" w:hAnsi="宋体"/>
          <w:color w:val="auto"/>
          <w:szCs w:val="21"/>
        </w:rPr>
      </w:pPr>
      <w:r>
        <w:rPr>
          <w:rFonts w:hint="eastAsia" w:ascii="宋体" w:hAnsi="宋体"/>
          <w:color w:val="auto"/>
          <w:szCs w:val="21"/>
        </w:rPr>
        <w:t>（5）发包人和承包人应在合同解除后进行清算，出具最终结清付款证书，结清全部款项。</w:t>
      </w:r>
    </w:p>
    <w:p w14:paraId="39754BC2">
      <w:pPr>
        <w:spacing w:line="360" w:lineRule="auto"/>
        <w:ind w:firstLine="420" w:firstLineChars="200"/>
        <w:rPr>
          <w:rFonts w:ascii="宋体" w:hAnsi="宋体"/>
          <w:color w:val="auto"/>
          <w:szCs w:val="21"/>
        </w:rPr>
      </w:pPr>
      <w:r>
        <w:rPr>
          <w:rFonts w:hint="eastAsia" w:ascii="宋体" w:hAnsi="宋体"/>
          <w:color w:val="auto"/>
          <w:szCs w:val="21"/>
        </w:rPr>
        <w:t>因承包人违约解除合同的，发包人有权暂停对承包人的付款，查清各项付款和已扣款项，发包人和承包人未能就合同解除后的清算和款项支付达成一致的，按照第</w:t>
      </w:r>
      <w:r>
        <w:rPr>
          <w:rFonts w:ascii="宋体" w:hAnsi="宋体"/>
          <w:color w:val="auto"/>
          <w:szCs w:val="21"/>
        </w:rPr>
        <w:t>20条[争议解决]的约定处理</w:t>
      </w:r>
      <w:r>
        <w:rPr>
          <w:rFonts w:hint="eastAsia" w:ascii="宋体" w:hAnsi="宋体"/>
          <w:color w:val="auto"/>
          <w:szCs w:val="21"/>
        </w:rPr>
        <w:t>。</w:t>
      </w:r>
    </w:p>
    <w:p w14:paraId="4A5BB26E">
      <w:pPr>
        <w:pStyle w:val="130"/>
        <w:numPr>
          <w:ilvl w:val="0"/>
          <w:numId w:val="0"/>
        </w:numPr>
        <w:ind w:firstLine="420" w:firstLineChars="200"/>
        <w:rPr>
          <w:color w:val="auto"/>
          <w:sz w:val="21"/>
        </w:rPr>
      </w:pPr>
      <w:r>
        <w:rPr>
          <w:rFonts w:hint="eastAsia"/>
          <w:color w:val="auto"/>
          <w:sz w:val="21"/>
        </w:rPr>
        <w:t>1</w:t>
      </w:r>
      <w:r>
        <w:rPr>
          <w:color w:val="auto"/>
          <w:sz w:val="21"/>
        </w:rPr>
        <w:t xml:space="preserve">6.1.4 </w:t>
      </w:r>
      <w:r>
        <w:rPr>
          <w:rFonts w:hint="eastAsia"/>
          <w:color w:val="auto"/>
          <w:sz w:val="21"/>
        </w:rPr>
        <w:t>因承包人违约解除合同的合同权益转让</w:t>
      </w:r>
    </w:p>
    <w:p w14:paraId="709E35CF">
      <w:pPr>
        <w:spacing w:line="360" w:lineRule="auto"/>
        <w:ind w:firstLine="420" w:firstLineChars="200"/>
        <w:rPr>
          <w:rFonts w:ascii="宋体" w:hAnsi="宋体"/>
          <w:color w:val="auto"/>
          <w:szCs w:val="21"/>
        </w:rPr>
      </w:pPr>
      <w:r>
        <w:rPr>
          <w:rFonts w:hint="eastAsia" w:ascii="宋体" w:hAnsi="宋体"/>
          <w:color w:val="auto"/>
          <w:szCs w:val="21"/>
        </w:rPr>
        <w:t>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p>
    <w:p w14:paraId="6FB986CE">
      <w:pPr>
        <w:pStyle w:val="4"/>
        <w:spacing w:before="120" w:line="360" w:lineRule="auto"/>
        <w:rPr>
          <w:color w:val="auto"/>
        </w:rPr>
      </w:pPr>
      <w:bookmarkStart w:id="1775" w:name="_Ref531958554"/>
      <w:bookmarkStart w:id="1776" w:name="_Toc54862305"/>
      <w:bookmarkStart w:id="1777" w:name="_Toc154063621"/>
      <w:bookmarkStart w:id="1778" w:name="_Ref531958549"/>
      <w:r>
        <w:rPr>
          <w:rFonts w:hint="eastAsia"/>
          <w:color w:val="auto"/>
        </w:rPr>
        <w:t>1</w:t>
      </w:r>
      <w:r>
        <w:rPr>
          <w:color w:val="auto"/>
        </w:rPr>
        <w:t xml:space="preserve">6.2 </w:t>
      </w:r>
      <w:r>
        <w:rPr>
          <w:rFonts w:hint="eastAsia"/>
          <w:color w:val="auto"/>
        </w:rPr>
        <w:t>由承包人解除合同</w:t>
      </w:r>
      <w:bookmarkEnd w:id="1775"/>
      <w:bookmarkEnd w:id="1776"/>
      <w:bookmarkEnd w:id="1777"/>
      <w:bookmarkEnd w:id="1778"/>
    </w:p>
    <w:p w14:paraId="009C6F10">
      <w:pPr>
        <w:pStyle w:val="130"/>
        <w:numPr>
          <w:ilvl w:val="0"/>
          <w:numId w:val="0"/>
        </w:numPr>
        <w:ind w:firstLine="420" w:firstLineChars="200"/>
        <w:rPr>
          <w:color w:val="auto"/>
          <w:sz w:val="21"/>
        </w:rPr>
      </w:pPr>
      <w:bookmarkStart w:id="1779" w:name="_Ref3841758"/>
      <w:r>
        <w:rPr>
          <w:rFonts w:hint="eastAsia"/>
          <w:color w:val="auto"/>
          <w:sz w:val="21"/>
        </w:rPr>
        <w:t>1</w:t>
      </w:r>
      <w:r>
        <w:rPr>
          <w:color w:val="auto"/>
          <w:sz w:val="21"/>
        </w:rPr>
        <w:t xml:space="preserve">6.2.1 </w:t>
      </w:r>
      <w:r>
        <w:rPr>
          <w:rFonts w:hint="eastAsia"/>
          <w:color w:val="auto"/>
          <w:sz w:val="21"/>
        </w:rPr>
        <w:t>因发包人违约解除合同</w:t>
      </w:r>
      <w:bookmarkEnd w:id="1779"/>
    </w:p>
    <w:p w14:paraId="7A642A91">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除专用合同条件另有约定外，承包人有权基于下列原因，以书面形式通知发包人解除合同，解除通知中应注明是根据第</w:t>
      </w:r>
      <w:r>
        <w:rPr>
          <w:rFonts w:ascii="宋体" w:hAnsi="宋体"/>
          <w:color w:val="auto"/>
          <w:szCs w:val="21"/>
        </w:rPr>
        <w:t>16.2.1</w:t>
      </w:r>
      <w:r>
        <w:rPr>
          <w:rFonts w:hint="eastAsia" w:ascii="宋体" w:hAnsi="宋体"/>
          <w:color w:val="auto"/>
          <w:szCs w:val="21"/>
        </w:rPr>
        <w:t>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(5)目的情况下，承包人无须提前告知发包人其解除合同意向，可直接发出正式解除合同通知立即解除合同：</w:t>
      </w:r>
    </w:p>
    <w:p w14:paraId="30793B47">
      <w:pPr>
        <w:spacing w:line="360" w:lineRule="auto"/>
        <w:ind w:firstLine="420" w:firstLineChars="200"/>
        <w:rPr>
          <w:rFonts w:ascii="宋体" w:hAnsi="宋体"/>
          <w:color w:val="auto"/>
          <w:szCs w:val="21"/>
        </w:rPr>
      </w:pPr>
      <w:r>
        <w:rPr>
          <w:rFonts w:hint="eastAsia" w:ascii="宋体" w:hAnsi="宋体"/>
          <w:color w:val="auto"/>
          <w:szCs w:val="21"/>
        </w:rPr>
        <w:t>（1） 承包人就发包人未能遵守第2.</w:t>
      </w:r>
      <w:r>
        <w:rPr>
          <w:rFonts w:ascii="宋体" w:hAnsi="宋体"/>
          <w:color w:val="auto"/>
          <w:szCs w:val="21"/>
        </w:rPr>
        <w:t>5.2</w:t>
      </w:r>
      <w:r>
        <w:rPr>
          <w:rFonts w:hint="eastAsia" w:ascii="宋体" w:hAnsi="宋体"/>
          <w:color w:val="auto"/>
          <w:szCs w:val="21"/>
        </w:rPr>
        <w:t>项关于发包人的资金安排发出通知后42天内，仍未收到合理的证明；</w:t>
      </w:r>
    </w:p>
    <w:p w14:paraId="4DE835C4">
      <w:pPr>
        <w:spacing w:line="360" w:lineRule="auto"/>
        <w:ind w:firstLine="420" w:firstLineChars="200"/>
        <w:rPr>
          <w:rFonts w:ascii="宋体" w:hAnsi="宋体"/>
          <w:color w:val="auto"/>
          <w:szCs w:val="21"/>
        </w:rPr>
      </w:pPr>
      <w:r>
        <w:rPr>
          <w:rFonts w:hint="eastAsia" w:ascii="宋体" w:hAnsi="宋体"/>
          <w:color w:val="auto"/>
          <w:szCs w:val="21"/>
        </w:rPr>
        <w:t xml:space="preserve">（2）在第14条规定的付款时间到期后42天内，承包人仍未收到应付款项； </w:t>
      </w:r>
    </w:p>
    <w:p w14:paraId="79AEC615">
      <w:pPr>
        <w:spacing w:line="360" w:lineRule="auto"/>
        <w:ind w:firstLine="420" w:firstLineChars="200"/>
        <w:rPr>
          <w:rFonts w:ascii="宋体" w:hAnsi="宋体"/>
          <w:color w:val="auto"/>
          <w:szCs w:val="21"/>
        </w:rPr>
      </w:pPr>
      <w:r>
        <w:rPr>
          <w:rFonts w:hint="eastAsia" w:ascii="宋体" w:hAnsi="宋体"/>
          <w:color w:val="auto"/>
          <w:szCs w:val="21"/>
        </w:rPr>
        <w:t>（3）发包人实质上未能根据合同约定履行其义务，构成根本性违约；</w:t>
      </w:r>
    </w:p>
    <w:p w14:paraId="00B743DB">
      <w:pPr>
        <w:spacing w:line="360" w:lineRule="auto"/>
        <w:ind w:firstLine="420" w:firstLineChars="200"/>
        <w:rPr>
          <w:rFonts w:ascii="宋体" w:hAnsi="宋体"/>
          <w:color w:val="auto"/>
          <w:szCs w:val="21"/>
        </w:rPr>
      </w:pPr>
      <w:r>
        <w:rPr>
          <w:rFonts w:hint="eastAsia" w:ascii="宋体" w:hAnsi="宋体"/>
          <w:color w:val="auto"/>
          <w:szCs w:val="21"/>
        </w:rPr>
        <w:t>（4）发承包双方订立本合同协议书后的84天内，承包人未收到根据第</w:t>
      </w:r>
      <w:r>
        <w:rPr>
          <w:rFonts w:ascii="宋体" w:hAnsi="宋体"/>
          <w:color w:val="auto"/>
          <w:szCs w:val="21"/>
        </w:rPr>
        <w:t>8.1</w:t>
      </w:r>
      <w:r>
        <w:rPr>
          <w:rFonts w:hint="eastAsia" w:ascii="宋体" w:hAnsi="宋体"/>
          <w:color w:val="auto"/>
          <w:szCs w:val="21"/>
        </w:rPr>
        <w:t>款[开始工作]的开始工作通知；</w:t>
      </w:r>
    </w:p>
    <w:p w14:paraId="36C7D80B">
      <w:pPr>
        <w:spacing w:line="360" w:lineRule="auto"/>
        <w:ind w:firstLine="420" w:firstLineChars="200"/>
        <w:rPr>
          <w:rFonts w:ascii="宋体" w:hAnsi="宋体"/>
          <w:color w:val="auto"/>
          <w:szCs w:val="21"/>
        </w:rPr>
      </w:pPr>
      <w:r>
        <w:rPr>
          <w:rFonts w:hint="eastAsia" w:ascii="宋体" w:hAnsi="宋体"/>
          <w:color w:val="auto"/>
          <w:szCs w:val="21"/>
        </w:rPr>
        <w:t>（5）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15013805">
      <w:pPr>
        <w:spacing w:line="360" w:lineRule="auto"/>
        <w:ind w:firstLine="420" w:firstLineChars="200"/>
        <w:rPr>
          <w:rFonts w:ascii="宋体" w:hAnsi="宋体"/>
          <w:color w:val="auto"/>
          <w:szCs w:val="21"/>
        </w:rPr>
      </w:pPr>
      <w:r>
        <w:rPr>
          <w:rFonts w:hint="eastAsia" w:ascii="宋体" w:hAnsi="宋体"/>
          <w:color w:val="auto"/>
          <w:szCs w:val="21"/>
        </w:rPr>
        <w:t>（6）发包人未能遵守第</w:t>
      </w:r>
      <w:r>
        <w:rPr>
          <w:rFonts w:ascii="宋体" w:hAnsi="宋体"/>
          <w:color w:val="auto"/>
          <w:szCs w:val="21"/>
        </w:rPr>
        <w:t>2.5.3</w:t>
      </w:r>
      <w:r>
        <w:rPr>
          <w:rFonts w:hint="eastAsia" w:ascii="宋体" w:hAnsi="宋体"/>
          <w:color w:val="auto"/>
          <w:szCs w:val="21"/>
        </w:rPr>
        <w:t>项的约定提交支付担保；</w:t>
      </w:r>
    </w:p>
    <w:p w14:paraId="105284A1">
      <w:pPr>
        <w:spacing w:line="360" w:lineRule="auto"/>
        <w:ind w:firstLine="420" w:firstLineChars="200"/>
        <w:rPr>
          <w:rFonts w:ascii="宋体" w:hAnsi="宋体"/>
          <w:color w:val="auto"/>
          <w:szCs w:val="21"/>
        </w:rPr>
      </w:pPr>
      <w:r>
        <w:rPr>
          <w:rFonts w:hint="eastAsia" w:ascii="宋体" w:hAnsi="宋体"/>
          <w:color w:val="auto"/>
          <w:szCs w:val="21"/>
        </w:rPr>
        <w:t>（7）发包人未能执行第</w:t>
      </w:r>
      <w:r>
        <w:rPr>
          <w:rFonts w:ascii="宋体" w:hAnsi="宋体"/>
          <w:color w:val="auto"/>
          <w:szCs w:val="21"/>
        </w:rPr>
        <w:t>15.1.2</w:t>
      </w:r>
      <w:r>
        <w:rPr>
          <w:rFonts w:hint="eastAsia" w:ascii="宋体" w:hAnsi="宋体"/>
          <w:color w:val="auto"/>
          <w:szCs w:val="21"/>
        </w:rPr>
        <w:t>项[通知改正]的约定，致使合同目的不能实现的；</w:t>
      </w:r>
    </w:p>
    <w:p w14:paraId="6A253172">
      <w:pPr>
        <w:spacing w:line="360" w:lineRule="auto"/>
        <w:ind w:firstLine="420" w:firstLineChars="200"/>
        <w:rPr>
          <w:rFonts w:ascii="宋体" w:hAnsi="宋体"/>
          <w:color w:val="auto"/>
          <w:szCs w:val="21"/>
        </w:rPr>
      </w:pPr>
      <w:r>
        <w:rPr>
          <w:rFonts w:hint="eastAsia" w:ascii="宋体" w:hAnsi="宋体"/>
          <w:color w:val="auto"/>
          <w:szCs w:val="21"/>
        </w:rPr>
        <w:t>（8）因发包人的原因暂停工作超过56天且暂停影响到整个工程，或因发包人的原因暂停工作超过182天的；</w:t>
      </w:r>
    </w:p>
    <w:p w14:paraId="1C248575">
      <w:pPr>
        <w:spacing w:line="360" w:lineRule="auto"/>
        <w:ind w:firstLine="420" w:firstLineChars="200"/>
        <w:rPr>
          <w:rFonts w:ascii="宋体" w:hAnsi="宋体"/>
          <w:color w:val="auto"/>
          <w:szCs w:val="21"/>
        </w:rPr>
      </w:pPr>
      <w:r>
        <w:rPr>
          <w:rFonts w:hint="eastAsia" w:ascii="宋体" w:hAnsi="宋体"/>
          <w:color w:val="auto"/>
          <w:szCs w:val="21"/>
        </w:rPr>
        <w:t>（9）因发包人原因造成开始工作日期迟于承包人收到中标通知书（或在无中标通知书的情况下，订立本合同之日）后第</w:t>
      </w:r>
      <w:r>
        <w:rPr>
          <w:rFonts w:ascii="宋体" w:hAnsi="宋体"/>
          <w:color w:val="auto"/>
          <w:szCs w:val="21"/>
        </w:rPr>
        <w:t>84</w:t>
      </w:r>
      <w:r>
        <w:rPr>
          <w:rFonts w:hint="eastAsia" w:ascii="宋体" w:hAnsi="宋体"/>
          <w:color w:val="auto"/>
          <w:szCs w:val="21"/>
        </w:rPr>
        <w:t>天的。</w:t>
      </w:r>
    </w:p>
    <w:p w14:paraId="2DC6D10A">
      <w:pPr>
        <w:spacing w:line="360" w:lineRule="auto"/>
        <w:ind w:firstLine="420" w:firstLineChars="200"/>
        <w:rPr>
          <w:rFonts w:ascii="宋体" w:hAnsi="宋体"/>
          <w:color w:val="auto"/>
          <w:szCs w:val="21"/>
        </w:rPr>
      </w:pPr>
      <w:r>
        <w:rPr>
          <w:rFonts w:hint="eastAsia" w:ascii="宋体" w:hAnsi="宋体"/>
          <w:color w:val="auto"/>
          <w:szCs w:val="21"/>
        </w:rPr>
        <w:t>发包人接到承包人解除合同意向通知后14天内，发包人随后给予了付款，或同意复工、或继续履行其义务、或提供了支付担保等，承包人应尽快安排并恢复正常工作；因此造成工期延误的，竣工日期顺延；承包人因此增加的费用，由发包人承担。</w:t>
      </w:r>
    </w:p>
    <w:p w14:paraId="6F07CD11">
      <w:pPr>
        <w:pStyle w:val="130"/>
        <w:numPr>
          <w:ilvl w:val="0"/>
          <w:numId w:val="0"/>
        </w:numPr>
        <w:ind w:firstLine="420" w:firstLineChars="200"/>
        <w:rPr>
          <w:color w:val="auto"/>
          <w:sz w:val="21"/>
        </w:rPr>
      </w:pPr>
      <w:bookmarkStart w:id="1780" w:name="_Ref3842018"/>
      <w:bookmarkStart w:id="1781" w:name="_Ref4624336"/>
      <w:r>
        <w:rPr>
          <w:rFonts w:hint="eastAsia"/>
          <w:color w:val="auto"/>
          <w:sz w:val="21"/>
        </w:rPr>
        <w:t>1</w:t>
      </w:r>
      <w:r>
        <w:rPr>
          <w:color w:val="auto"/>
          <w:sz w:val="21"/>
        </w:rPr>
        <w:t xml:space="preserve">6.2.2 </w:t>
      </w:r>
      <w:r>
        <w:rPr>
          <w:rFonts w:hint="eastAsia"/>
          <w:color w:val="auto"/>
          <w:sz w:val="21"/>
        </w:rPr>
        <w:t>因发包人违约解除合同后</w:t>
      </w:r>
      <w:bookmarkEnd w:id="1780"/>
      <w:r>
        <w:rPr>
          <w:rFonts w:hint="eastAsia"/>
          <w:color w:val="auto"/>
          <w:sz w:val="21"/>
        </w:rPr>
        <w:t>承包人的义务</w:t>
      </w:r>
      <w:bookmarkEnd w:id="1781"/>
    </w:p>
    <w:p w14:paraId="0BCB497B">
      <w:pPr>
        <w:pStyle w:val="147"/>
        <w:numPr>
          <w:ilvl w:val="0"/>
          <w:numId w:val="0"/>
        </w:numPr>
        <w:ind w:firstLine="420" w:firstLineChars="200"/>
        <w:rPr>
          <w:color w:val="auto"/>
          <w:sz w:val="21"/>
          <w:szCs w:val="21"/>
        </w:rPr>
      </w:pPr>
      <w:r>
        <w:rPr>
          <w:rFonts w:hint="eastAsia"/>
          <w:color w:val="auto"/>
          <w:sz w:val="21"/>
          <w:szCs w:val="21"/>
        </w:rPr>
        <w:t>合同解除后，承包人应按以下约定执行：</w:t>
      </w:r>
    </w:p>
    <w:p w14:paraId="4BB442AA">
      <w:pPr>
        <w:spacing w:line="360" w:lineRule="auto"/>
        <w:ind w:firstLine="420" w:firstLineChars="200"/>
        <w:rPr>
          <w:rFonts w:ascii="宋体" w:hAnsi="宋体"/>
          <w:color w:val="auto"/>
          <w:szCs w:val="21"/>
        </w:rPr>
      </w:pPr>
      <w:r>
        <w:rPr>
          <w:rFonts w:hint="eastAsia" w:ascii="宋体" w:hAnsi="宋体"/>
          <w:color w:val="auto"/>
          <w:szCs w:val="21"/>
        </w:rPr>
        <w:t>（1）除为保护生命、财产、工程安全的工作外，停止所有进一步的工作；承包人因执行该保护工作而产生费用的，由发包人承担；</w:t>
      </w:r>
    </w:p>
    <w:p w14:paraId="49F8E1E6">
      <w:pPr>
        <w:spacing w:line="360" w:lineRule="auto"/>
        <w:ind w:firstLine="420" w:firstLineChars="200"/>
        <w:rPr>
          <w:rFonts w:ascii="宋体" w:hAnsi="宋体"/>
          <w:color w:val="auto"/>
          <w:szCs w:val="21"/>
        </w:rPr>
      </w:pPr>
      <w:r>
        <w:rPr>
          <w:rFonts w:hint="eastAsia" w:ascii="宋体" w:hAnsi="宋体"/>
          <w:color w:val="auto"/>
          <w:szCs w:val="21"/>
        </w:rPr>
        <w:t>（2）向发包人移交承包人已获得支付的承包人文件、生产设备、材料和其他工作；</w:t>
      </w:r>
    </w:p>
    <w:p w14:paraId="6CDC50C8">
      <w:pPr>
        <w:spacing w:line="360" w:lineRule="auto"/>
        <w:ind w:firstLine="420" w:firstLineChars="200"/>
        <w:rPr>
          <w:rFonts w:ascii="宋体" w:hAnsi="宋体"/>
          <w:color w:val="auto"/>
          <w:szCs w:val="21"/>
        </w:rPr>
      </w:pPr>
      <w:r>
        <w:rPr>
          <w:rFonts w:hint="eastAsia" w:ascii="宋体" w:hAnsi="宋体"/>
          <w:color w:val="auto"/>
          <w:szCs w:val="21"/>
        </w:rPr>
        <w:t>（3）从现场运走除为了安全需要以外的所有属于承包人的其他货物，并撤离现场。</w:t>
      </w:r>
    </w:p>
    <w:p w14:paraId="7E9F986D">
      <w:pPr>
        <w:pStyle w:val="130"/>
        <w:numPr>
          <w:ilvl w:val="0"/>
          <w:numId w:val="0"/>
        </w:numPr>
        <w:ind w:firstLine="420" w:firstLineChars="200"/>
        <w:rPr>
          <w:color w:val="auto"/>
          <w:sz w:val="21"/>
        </w:rPr>
      </w:pPr>
      <w:r>
        <w:rPr>
          <w:rFonts w:hint="eastAsia"/>
          <w:color w:val="auto"/>
          <w:sz w:val="21"/>
        </w:rPr>
        <w:t>1</w:t>
      </w:r>
      <w:r>
        <w:rPr>
          <w:color w:val="auto"/>
          <w:sz w:val="21"/>
        </w:rPr>
        <w:t xml:space="preserve">6.2.3 </w:t>
      </w:r>
      <w:r>
        <w:rPr>
          <w:rFonts w:hint="eastAsia"/>
          <w:color w:val="auto"/>
          <w:sz w:val="21"/>
        </w:rPr>
        <w:t>因发包人违约解除合同后的付款</w:t>
      </w:r>
    </w:p>
    <w:p w14:paraId="12F9F32A">
      <w:pPr>
        <w:spacing w:line="360" w:lineRule="auto"/>
        <w:ind w:firstLine="420" w:firstLineChars="200"/>
        <w:rPr>
          <w:rFonts w:ascii="宋体" w:hAnsi="宋体"/>
          <w:color w:val="auto"/>
          <w:szCs w:val="21"/>
        </w:rPr>
      </w:pPr>
      <w:r>
        <w:rPr>
          <w:rFonts w:hint="eastAsia" w:ascii="宋体" w:hAnsi="宋体"/>
          <w:color w:val="auto"/>
          <w:szCs w:val="21"/>
        </w:rPr>
        <w:t>承包人按照本款约定解除合同的，发包人应在解除合同后28天内支付下列款项，并退还履约担保：</w:t>
      </w:r>
    </w:p>
    <w:p w14:paraId="13EC2E55">
      <w:pPr>
        <w:spacing w:line="360" w:lineRule="auto"/>
        <w:ind w:firstLine="420" w:firstLineChars="200"/>
        <w:rPr>
          <w:rFonts w:ascii="宋体" w:hAnsi="宋体"/>
          <w:color w:val="auto"/>
          <w:szCs w:val="21"/>
        </w:rPr>
      </w:pPr>
      <w:r>
        <w:rPr>
          <w:rFonts w:hint="eastAsia" w:ascii="宋体" w:hAnsi="宋体"/>
          <w:color w:val="auto"/>
          <w:szCs w:val="21"/>
        </w:rPr>
        <w:t>（1）合同解除前所完成工作的价款；</w:t>
      </w:r>
    </w:p>
    <w:p w14:paraId="1D92DE61">
      <w:pPr>
        <w:spacing w:line="360" w:lineRule="auto"/>
        <w:ind w:firstLine="420" w:firstLineChars="200"/>
        <w:rPr>
          <w:rFonts w:ascii="宋体" w:hAnsi="宋体"/>
          <w:color w:val="auto"/>
          <w:szCs w:val="21"/>
        </w:rPr>
      </w:pPr>
      <w:r>
        <w:rPr>
          <w:rFonts w:hint="eastAsia" w:ascii="宋体" w:hAnsi="宋体"/>
          <w:color w:val="auto"/>
          <w:szCs w:val="21"/>
        </w:rPr>
        <w:t>（2） 承包人为工程施工订购并已付款的材料、工程设备和其他物品的价款；发包人付款后，该材料、工程设备和其他物品归发包人所有；</w:t>
      </w:r>
    </w:p>
    <w:p w14:paraId="1CAE944C">
      <w:pPr>
        <w:spacing w:line="360" w:lineRule="auto"/>
        <w:ind w:firstLine="420" w:firstLineChars="200"/>
        <w:rPr>
          <w:rFonts w:ascii="宋体" w:hAnsi="宋体"/>
          <w:color w:val="auto"/>
          <w:szCs w:val="21"/>
        </w:rPr>
      </w:pPr>
      <w:r>
        <w:rPr>
          <w:rFonts w:hint="eastAsia" w:ascii="宋体" w:hAnsi="宋体"/>
          <w:color w:val="auto"/>
          <w:szCs w:val="21"/>
        </w:rPr>
        <w:t>（3）承包人为完成工程所发生的，而发包人未支付的金额；</w:t>
      </w:r>
    </w:p>
    <w:p w14:paraId="22AF36E9">
      <w:pPr>
        <w:spacing w:line="360" w:lineRule="auto"/>
        <w:ind w:firstLine="420" w:firstLineChars="200"/>
        <w:rPr>
          <w:rFonts w:ascii="宋体" w:hAnsi="宋体"/>
          <w:color w:val="auto"/>
          <w:szCs w:val="21"/>
        </w:rPr>
      </w:pPr>
      <w:r>
        <w:rPr>
          <w:rFonts w:hint="eastAsia" w:ascii="宋体" w:hAnsi="宋体"/>
          <w:color w:val="auto"/>
          <w:szCs w:val="21"/>
        </w:rPr>
        <w:t>（4）承包人撤离施工现场以及遣散承包人人员的款项；</w:t>
      </w:r>
    </w:p>
    <w:p w14:paraId="6BDA0612">
      <w:pPr>
        <w:spacing w:line="360" w:lineRule="auto"/>
        <w:ind w:firstLine="420" w:firstLineChars="200"/>
        <w:rPr>
          <w:rFonts w:ascii="宋体" w:hAnsi="宋体"/>
          <w:color w:val="auto"/>
          <w:szCs w:val="21"/>
        </w:rPr>
      </w:pPr>
      <w:r>
        <w:rPr>
          <w:rFonts w:hint="eastAsia" w:ascii="宋体" w:hAnsi="宋体"/>
          <w:color w:val="auto"/>
          <w:szCs w:val="21"/>
        </w:rPr>
        <w:t>（5）按照合同约定在合同解除前应支付的违约金；</w:t>
      </w:r>
    </w:p>
    <w:p w14:paraId="3DF1191E">
      <w:pPr>
        <w:spacing w:line="360" w:lineRule="auto"/>
        <w:ind w:firstLine="420" w:firstLineChars="200"/>
        <w:rPr>
          <w:rFonts w:ascii="宋体" w:hAnsi="宋体"/>
          <w:color w:val="auto"/>
          <w:szCs w:val="21"/>
        </w:rPr>
      </w:pPr>
      <w:r>
        <w:rPr>
          <w:rFonts w:hint="eastAsia" w:ascii="宋体" w:hAnsi="宋体"/>
          <w:color w:val="auto"/>
          <w:szCs w:val="21"/>
        </w:rPr>
        <w:t>（6）按照合同约定应当支付给承包人的其他款项；</w:t>
      </w:r>
    </w:p>
    <w:p w14:paraId="4EF7FB02">
      <w:pPr>
        <w:spacing w:line="360" w:lineRule="auto"/>
        <w:ind w:firstLine="420" w:firstLineChars="200"/>
        <w:rPr>
          <w:rFonts w:ascii="宋体" w:hAnsi="宋体"/>
          <w:color w:val="auto"/>
          <w:szCs w:val="21"/>
        </w:rPr>
      </w:pPr>
      <w:r>
        <w:rPr>
          <w:rFonts w:hint="eastAsia" w:ascii="宋体" w:hAnsi="宋体"/>
          <w:color w:val="auto"/>
          <w:szCs w:val="21"/>
        </w:rPr>
        <w:t>（7）按照合同约定应返还的质量保证金；</w:t>
      </w:r>
    </w:p>
    <w:p w14:paraId="4D6B7A0C">
      <w:pPr>
        <w:spacing w:line="360" w:lineRule="auto"/>
        <w:ind w:firstLine="420" w:firstLineChars="200"/>
        <w:rPr>
          <w:rFonts w:ascii="宋体" w:hAnsi="宋体"/>
          <w:color w:val="auto"/>
          <w:szCs w:val="21"/>
        </w:rPr>
      </w:pPr>
      <w:r>
        <w:rPr>
          <w:rFonts w:hint="eastAsia" w:ascii="宋体" w:hAnsi="宋体"/>
          <w:color w:val="auto"/>
          <w:szCs w:val="21"/>
        </w:rPr>
        <w:t>（8）因解除合同给承包人造成的损失。</w:t>
      </w:r>
    </w:p>
    <w:p w14:paraId="2F6C0767">
      <w:pPr>
        <w:spacing w:line="360" w:lineRule="auto"/>
        <w:ind w:firstLine="420" w:firstLineChars="200"/>
        <w:rPr>
          <w:rFonts w:ascii="宋体" w:hAnsi="宋体"/>
          <w:color w:val="auto"/>
          <w:szCs w:val="21"/>
        </w:rPr>
      </w:pPr>
      <w:r>
        <w:rPr>
          <w:rFonts w:hint="eastAsia" w:ascii="宋体" w:hAnsi="宋体"/>
          <w:color w:val="auto"/>
          <w:szCs w:val="21"/>
        </w:rPr>
        <w:t>承包人应妥善做好已完工程和与工程有关的已购材料、工程设备的保护和移交工作，并将施工设备和人员撤出施工现场，发包人应为承包人撤出提供必要条件。</w:t>
      </w:r>
    </w:p>
    <w:p w14:paraId="4220FFDE">
      <w:pPr>
        <w:pStyle w:val="4"/>
        <w:spacing w:before="120" w:line="360" w:lineRule="auto"/>
        <w:rPr>
          <w:color w:val="auto"/>
        </w:rPr>
      </w:pPr>
      <w:bookmarkStart w:id="1782" w:name="_Ref3841966"/>
      <w:bookmarkStart w:id="1783" w:name="_Toc54862306"/>
      <w:bookmarkStart w:id="1784" w:name="_Toc154063622"/>
      <w:r>
        <w:rPr>
          <w:rFonts w:hint="eastAsia"/>
          <w:color w:val="auto"/>
        </w:rPr>
        <w:t>1</w:t>
      </w:r>
      <w:r>
        <w:rPr>
          <w:color w:val="auto"/>
        </w:rPr>
        <w:t xml:space="preserve">6.3 </w:t>
      </w:r>
      <w:r>
        <w:rPr>
          <w:rFonts w:hint="eastAsia"/>
          <w:color w:val="auto"/>
        </w:rPr>
        <w:t>合同解除后的事项</w:t>
      </w:r>
      <w:bookmarkEnd w:id="1782"/>
      <w:bookmarkEnd w:id="1783"/>
      <w:bookmarkEnd w:id="1784"/>
    </w:p>
    <w:p w14:paraId="563011E5">
      <w:pPr>
        <w:pStyle w:val="130"/>
        <w:numPr>
          <w:ilvl w:val="0"/>
          <w:numId w:val="0"/>
        </w:numPr>
        <w:ind w:firstLine="420" w:firstLineChars="200"/>
        <w:rPr>
          <w:color w:val="auto"/>
          <w:sz w:val="21"/>
        </w:rPr>
      </w:pPr>
      <w:r>
        <w:rPr>
          <w:rFonts w:hint="eastAsia"/>
          <w:color w:val="auto"/>
          <w:sz w:val="21"/>
        </w:rPr>
        <w:t>1</w:t>
      </w:r>
      <w:r>
        <w:rPr>
          <w:color w:val="auto"/>
          <w:sz w:val="21"/>
        </w:rPr>
        <w:t xml:space="preserve">6.3.1 </w:t>
      </w:r>
      <w:r>
        <w:rPr>
          <w:rFonts w:hint="eastAsia"/>
          <w:color w:val="auto"/>
          <w:sz w:val="21"/>
        </w:rPr>
        <w:t>结算约定依然有效</w:t>
      </w:r>
    </w:p>
    <w:p w14:paraId="5703C5FC">
      <w:pPr>
        <w:spacing w:line="360" w:lineRule="auto"/>
        <w:ind w:firstLine="420" w:firstLineChars="200"/>
        <w:rPr>
          <w:rFonts w:ascii="宋体" w:hAnsi="宋体"/>
          <w:color w:val="auto"/>
          <w:szCs w:val="21"/>
        </w:rPr>
      </w:pPr>
      <w:r>
        <w:rPr>
          <w:rFonts w:hint="eastAsia" w:ascii="宋体" w:hAnsi="宋体"/>
          <w:color w:val="auto"/>
          <w:szCs w:val="21"/>
        </w:rPr>
        <w:t>合同解除后，由发包人或由承包人解除合同的结算及结算后的付款约定仍然有效，直至解除合同的结算工作结清。</w:t>
      </w:r>
    </w:p>
    <w:p w14:paraId="570C7C00">
      <w:pPr>
        <w:pStyle w:val="130"/>
        <w:numPr>
          <w:ilvl w:val="0"/>
          <w:numId w:val="0"/>
        </w:numPr>
        <w:ind w:firstLine="420" w:firstLineChars="200"/>
        <w:rPr>
          <w:color w:val="auto"/>
          <w:sz w:val="21"/>
        </w:rPr>
      </w:pPr>
      <w:r>
        <w:rPr>
          <w:rFonts w:hint="eastAsia"/>
          <w:color w:val="auto"/>
          <w:sz w:val="21"/>
        </w:rPr>
        <w:t>1</w:t>
      </w:r>
      <w:r>
        <w:rPr>
          <w:color w:val="auto"/>
          <w:sz w:val="21"/>
        </w:rPr>
        <w:t xml:space="preserve">6.3.2 </w:t>
      </w:r>
      <w:r>
        <w:rPr>
          <w:rFonts w:hint="eastAsia"/>
          <w:color w:val="auto"/>
          <w:sz w:val="21"/>
        </w:rPr>
        <w:t>解除合同的争议</w:t>
      </w:r>
    </w:p>
    <w:p w14:paraId="6B4AD150">
      <w:pPr>
        <w:spacing w:line="360" w:lineRule="auto"/>
        <w:ind w:firstLine="420" w:firstLineChars="200"/>
        <w:rPr>
          <w:rFonts w:ascii="宋体" w:hAnsi="宋体"/>
          <w:color w:val="auto"/>
          <w:szCs w:val="21"/>
        </w:rPr>
      </w:pPr>
      <w:bookmarkStart w:id="1785" w:name="_Hlk18988355"/>
      <w:r>
        <w:rPr>
          <w:rFonts w:hint="eastAsia" w:ascii="宋体" w:hAnsi="宋体"/>
          <w:color w:val="auto"/>
          <w:szCs w:val="21"/>
        </w:rPr>
        <w:t>双方对解除合同或解除合同后的结算有争议的，按照第</w:t>
      </w:r>
      <w:r>
        <w:rPr>
          <w:rFonts w:ascii="宋体" w:hAnsi="宋体"/>
          <w:color w:val="auto"/>
          <w:szCs w:val="21"/>
        </w:rPr>
        <w:t>20条</w:t>
      </w:r>
      <w:r>
        <w:rPr>
          <w:rFonts w:hint="eastAsia" w:ascii="宋体" w:hAnsi="宋体"/>
          <w:color w:val="auto"/>
          <w:szCs w:val="21"/>
        </w:rPr>
        <w:t>[</w:t>
      </w:r>
      <w:r>
        <w:rPr>
          <w:rFonts w:ascii="宋体" w:hAnsi="宋体"/>
          <w:color w:val="auto"/>
          <w:szCs w:val="21"/>
        </w:rPr>
        <w:t>争议解决</w:t>
      </w:r>
      <w:r>
        <w:rPr>
          <w:rFonts w:hint="eastAsia" w:ascii="宋体" w:hAnsi="宋体"/>
          <w:color w:val="auto"/>
          <w:szCs w:val="21"/>
        </w:rPr>
        <w:t>]的约定处理。</w:t>
      </w:r>
      <w:bookmarkEnd w:id="1785"/>
    </w:p>
    <w:p w14:paraId="56C6408F">
      <w:pPr>
        <w:pStyle w:val="3"/>
        <w:spacing w:before="48" w:line="360" w:lineRule="auto"/>
        <w:rPr>
          <w:rFonts w:ascii="黑体" w:hAnsi="黑体"/>
          <w:bCs w:val="0"/>
          <w:color w:val="auto"/>
          <w:sz w:val="28"/>
        </w:rPr>
      </w:pPr>
      <w:bookmarkStart w:id="1786" w:name="_Ref3840974"/>
      <w:bookmarkStart w:id="1787" w:name="_Toc154063623"/>
      <w:bookmarkStart w:id="1788" w:name="_Toc54862307"/>
      <w:bookmarkStart w:id="1789" w:name="_Ref3840605"/>
      <w:r>
        <w:rPr>
          <w:rFonts w:hint="eastAsia" w:ascii="黑体" w:hAnsi="黑体"/>
          <w:bCs w:val="0"/>
          <w:color w:val="auto"/>
          <w:sz w:val="28"/>
        </w:rPr>
        <w:t>第1</w:t>
      </w:r>
      <w:r>
        <w:rPr>
          <w:rFonts w:ascii="黑体" w:hAnsi="黑体"/>
          <w:bCs w:val="0"/>
          <w:color w:val="auto"/>
          <w:sz w:val="28"/>
        </w:rPr>
        <w:t>7</w:t>
      </w:r>
      <w:r>
        <w:rPr>
          <w:rFonts w:hint="eastAsia" w:ascii="黑体" w:hAnsi="黑体"/>
          <w:bCs w:val="0"/>
          <w:color w:val="auto"/>
          <w:sz w:val="28"/>
        </w:rPr>
        <w:t>条 不可抗力</w:t>
      </w:r>
      <w:bookmarkEnd w:id="1786"/>
      <w:bookmarkEnd w:id="1787"/>
      <w:bookmarkEnd w:id="1788"/>
    </w:p>
    <w:p w14:paraId="4E3DC2B2">
      <w:pPr>
        <w:pStyle w:val="4"/>
        <w:spacing w:before="120" w:line="360" w:lineRule="auto"/>
        <w:rPr>
          <w:color w:val="auto"/>
        </w:rPr>
      </w:pPr>
      <w:bookmarkStart w:id="1790" w:name="_Ref531958161"/>
      <w:bookmarkStart w:id="1791" w:name="_Ref531958158"/>
      <w:bookmarkStart w:id="1792" w:name="_Toc154063624"/>
      <w:bookmarkStart w:id="1793" w:name="_Toc54862308"/>
      <w:r>
        <w:rPr>
          <w:rFonts w:hint="eastAsia"/>
          <w:color w:val="auto"/>
        </w:rPr>
        <w:t>1</w:t>
      </w:r>
      <w:r>
        <w:rPr>
          <w:color w:val="auto"/>
        </w:rPr>
        <w:t xml:space="preserve">7.1 </w:t>
      </w:r>
      <w:r>
        <w:rPr>
          <w:rFonts w:hint="eastAsia"/>
          <w:color w:val="auto"/>
        </w:rPr>
        <w:t>不可抗力的</w:t>
      </w:r>
      <w:bookmarkEnd w:id="1790"/>
      <w:bookmarkEnd w:id="1791"/>
      <w:r>
        <w:rPr>
          <w:rFonts w:hint="eastAsia"/>
          <w:color w:val="auto"/>
        </w:rPr>
        <w:t>定义</w:t>
      </w:r>
      <w:bookmarkEnd w:id="1792"/>
      <w:bookmarkEnd w:id="1793"/>
    </w:p>
    <w:p w14:paraId="50928AE8">
      <w:pPr>
        <w:spacing w:line="360" w:lineRule="auto"/>
        <w:ind w:firstLine="420" w:firstLineChars="200"/>
        <w:rPr>
          <w:rFonts w:ascii="宋体" w:hAnsi="宋体"/>
          <w:color w:val="auto"/>
          <w:szCs w:val="21"/>
        </w:rPr>
      </w:pPr>
      <w:r>
        <w:rPr>
          <w:rFonts w:hint="eastAsia" w:ascii="宋体" w:hAnsi="宋体"/>
          <w:color w:val="auto"/>
          <w:szCs w:val="21"/>
        </w:rPr>
        <w:t>不可抗力是指合同当事人在订立合同时不可预见，在合同履行过程中不可避免、不能克服且不能提前防备的自然灾害和社会性突发事件，如地震、海啸、瘟疫、骚乱、戒严、暴动、战争和专用合同条件中约定的其他情形。</w:t>
      </w:r>
    </w:p>
    <w:p w14:paraId="0055F0B5">
      <w:pPr>
        <w:pStyle w:val="4"/>
        <w:spacing w:before="120" w:line="360" w:lineRule="auto"/>
        <w:rPr>
          <w:color w:val="auto"/>
        </w:rPr>
      </w:pPr>
      <w:bookmarkStart w:id="1794" w:name="_Toc54862309"/>
      <w:bookmarkStart w:id="1795" w:name="_Toc154063625"/>
      <w:r>
        <w:rPr>
          <w:rFonts w:hint="eastAsia"/>
          <w:color w:val="auto"/>
        </w:rPr>
        <w:t>1</w:t>
      </w:r>
      <w:r>
        <w:rPr>
          <w:color w:val="auto"/>
        </w:rPr>
        <w:t xml:space="preserve">7.2 </w:t>
      </w:r>
      <w:r>
        <w:rPr>
          <w:rFonts w:hint="eastAsia"/>
          <w:color w:val="auto"/>
        </w:rPr>
        <w:t>不可抗力的通知</w:t>
      </w:r>
      <w:bookmarkEnd w:id="1794"/>
      <w:bookmarkEnd w:id="1795"/>
      <w:r>
        <w:rPr>
          <w:rFonts w:hint="eastAsia"/>
          <w:color w:val="auto"/>
        </w:rPr>
        <w:t xml:space="preserve"> </w:t>
      </w:r>
    </w:p>
    <w:p w14:paraId="46B2ED1A">
      <w:pPr>
        <w:spacing w:line="360" w:lineRule="auto"/>
        <w:ind w:firstLine="420" w:firstLineChars="200"/>
        <w:rPr>
          <w:rFonts w:ascii="宋体" w:hAnsi="宋体"/>
          <w:color w:val="auto"/>
          <w:szCs w:val="21"/>
        </w:rPr>
      </w:pPr>
      <w:r>
        <w:rPr>
          <w:rFonts w:hint="eastAsia" w:ascii="宋体" w:hAnsi="宋体"/>
          <w:color w:val="auto"/>
          <w:szCs w:val="21"/>
        </w:rPr>
        <w:t>合同一方当事人觉察或发现不可抗力事件发生，使其履行合同义务受到阻碍时，有义务立即通知合同另一方当事人和工程师，书面说明不可抗力和受阻碍的详细情况，并提供必要的证明。</w:t>
      </w:r>
    </w:p>
    <w:p w14:paraId="42B2525F">
      <w:pPr>
        <w:spacing w:line="360" w:lineRule="auto"/>
        <w:ind w:firstLine="420" w:firstLineChars="200"/>
        <w:rPr>
          <w:rFonts w:ascii="宋体" w:hAnsi="宋体"/>
          <w:color w:val="auto"/>
          <w:szCs w:val="21"/>
        </w:rPr>
      </w:pPr>
      <w:r>
        <w:rPr>
          <w:rFonts w:hint="eastAsia" w:ascii="宋体" w:hAnsi="宋体"/>
          <w:color w:val="auto"/>
          <w:szCs w:val="21"/>
        </w:rPr>
        <w:t>不可抗力持续发生的，合同一方当事人应每隔28天向合同另一方当事人和工程师提交中间报告，说明不可抗力和履行合同受阻的情况，并于不可抗力事件结束后28天内提交最终报告及有关资料。</w:t>
      </w:r>
    </w:p>
    <w:p w14:paraId="70236B00">
      <w:pPr>
        <w:pStyle w:val="4"/>
        <w:spacing w:before="120" w:line="360" w:lineRule="auto"/>
        <w:rPr>
          <w:color w:val="auto"/>
        </w:rPr>
      </w:pPr>
      <w:bookmarkStart w:id="1796" w:name="_Toc154063626"/>
      <w:bookmarkStart w:id="1797" w:name="_Toc54862310"/>
      <w:r>
        <w:rPr>
          <w:rFonts w:hint="eastAsia"/>
          <w:color w:val="auto"/>
        </w:rPr>
        <w:t>1</w:t>
      </w:r>
      <w:r>
        <w:rPr>
          <w:color w:val="auto"/>
        </w:rPr>
        <w:t xml:space="preserve">7.3 </w:t>
      </w:r>
      <w:r>
        <w:rPr>
          <w:rFonts w:hint="eastAsia"/>
          <w:color w:val="auto"/>
        </w:rPr>
        <w:t>将损失减至最小的义务</w:t>
      </w:r>
      <w:bookmarkEnd w:id="1796"/>
      <w:bookmarkEnd w:id="1797"/>
    </w:p>
    <w:p w14:paraId="3EC905E0">
      <w:pPr>
        <w:spacing w:line="360" w:lineRule="auto"/>
        <w:ind w:firstLine="420" w:firstLineChars="200"/>
        <w:rPr>
          <w:rFonts w:ascii="宋体" w:hAnsi="宋体"/>
          <w:color w:val="auto"/>
          <w:szCs w:val="21"/>
        </w:rPr>
      </w:pPr>
      <w:r>
        <w:rPr>
          <w:rFonts w:hint="eastAsia" w:ascii="宋体" w:hAnsi="宋体"/>
          <w:color w:val="auto"/>
          <w:szCs w:val="21"/>
        </w:rPr>
        <w:t>不可抗力发生后，合同当事人均应采取措施尽量避免和减少损失的扩大，使不可抗力对履行合同造成的损失减至最小。另一方全力协助并采取措施，需暂停实施的工作，立即停止。任何一方当事人没有采取有效措施导致损失扩大的，应对扩大的损失承担责任。</w:t>
      </w:r>
    </w:p>
    <w:p w14:paraId="04DE5059">
      <w:pPr>
        <w:pStyle w:val="4"/>
        <w:spacing w:before="120" w:line="360" w:lineRule="auto"/>
        <w:rPr>
          <w:color w:val="auto"/>
        </w:rPr>
      </w:pPr>
      <w:bookmarkStart w:id="1798" w:name="_Ref531958172"/>
      <w:bookmarkStart w:id="1799" w:name="_Ref531958170"/>
      <w:bookmarkStart w:id="1800" w:name="_Toc54862311"/>
      <w:bookmarkStart w:id="1801" w:name="_Toc154063627"/>
      <w:bookmarkStart w:id="1802" w:name="_Ref3840916"/>
      <w:r>
        <w:rPr>
          <w:rFonts w:hint="eastAsia"/>
          <w:color w:val="auto"/>
        </w:rPr>
        <w:t>1</w:t>
      </w:r>
      <w:r>
        <w:rPr>
          <w:color w:val="auto"/>
        </w:rPr>
        <w:t xml:space="preserve">7.4 </w:t>
      </w:r>
      <w:r>
        <w:rPr>
          <w:rFonts w:hint="eastAsia"/>
          <w:color w:val="auto"/>
        </w:rPr>
        <w:t>不可抗力后果</w:t>
      </w:r>
      <w:bookmarkEnd w:id="1798"/>
      <w:bookmarkEnd w:id="1799"/>
      <w:r>
        <w:rPr>
          <w:rFonts w:hint="eastAsia"/>
          <w:color w:val="auto"/>
        </w:rPr>
        <w:t>的承担</w:t>
      </w:r>
      <w:bookmarkEnd w:id="1800"/>
      <w:bookmarkEnd w:id="1801"/>
      <w:bookmarkEnd w:id="1802"/>
      <w:r>
        <w:rPr>
          <w:rFonts w:hint="eastAsia"/>
          <w:color w:val="auto"/>
        </w:rPr>
        <w:t xml:space="preserve"> </w:t>
      </w:r>
    </w:p>
    <w:p w14:paraId="607E9CEA">
      <w:pPr>
        <w:spacing w:line="360" w:lineRule="auto"/>
        <w:ind w:firstLine="420" w:firstLineChars="200"/>
        <w:rPr>
          <w:rFonts w:ascii="宋体" w:hAnsi="宋体"/>
          <w:color w:val="auto"/>
          <w:szCs w:val="21"/>
        </w:rPr>
      </w:pPr>
      <w:r>
        <w:rPr>
          <w:rFonts w:hint="eastAsia" w:ascii="宋体" w:hAnsi="宋体"/>
          <w:color w:val="auto"/>
          <w:szCs w:val="21"/>
        </w:rPr>
        <w:t>不可抗力导致的人员伤亡、财产损失、费用增加和（或）工期延误等后果，由合同当事人按以下原则承担：</w:t>
      </w:r>
    </w:p>
    <w:p w14:paraId="59A106C2">
      <w:pPr>
        <w:spacing w:line="360" w:lineRule="auto"/>
        <w:ind w:firstLine="420" w:firstLineChars="200"/>
        <w:rPr>
          <w:rFonts w:ascii="宋体" w:hAnsi="宋体"/>
          <w:color w:val="auto"/>
          <w:szCs w:val="21"/>
        </w:rPr>
      </w:pPr>
      <w:r>
        <w:rPr>
          <w:rFonts w:hint="eastAsia" w:ascii="宋体" w:hAnsi="宋体"/>
          <w:color w:val="auto"/>
          <w:szCs w:val="21"/>
        </w:rPr>
        <w:t>（1）永久工程，包括已运至施工现场的材料和工程设备的损害，以及因工程损害造成的第三人人员伤亡和财产损失由发包人承担；</w:t>
      </w:r>
    </w:p>
    <w:p w14:paraId="03E20929">
      <w:pPr>
        <w:spacing w:line="360" w:lineRule="auto"/>
        <w:ind w:firstLine="420" w:firstLineChars="200"/>
        <w:rPr>
          <w:rFonts w:ascii="宋体" w:hAnsi="宋体"/>
          <w:color w:val="auto"/>
          <w:szCs w:val="21"/>
        </w:rPr>
      </w:pPr>
      <w:r>
        <w:rPr>
          <w:rFonts w:hint="eastAsia" w:ascii="宋体" w:hAnsi="宋体"/>
          <w:color w:val="auto"/>
          <w:szCs w:val="21"/>
        </w:rPr>
        <w:t>（2）承包人提供的施工设备的损坏由承包人承担；</w:t>
      </w:r>
    </w:p>
    <w:p w14:paraId="7FA69780">
      <w:pPr>
        <w:spacing w:line="360" w:lineRule="auto"/>
        <w:ind w:firstLine="420" w:firstLineChars="200"/>
        <w:rPr>
          <w:rFonts w:ascii="宋体" w:hAnsi="宋体"/>
          <w:color w:val="auto"/>
          <w:szCs w:val="21"/>
        </w:rPr>
      </w:pPr>
      <w:r>
        <w:rPr>
          <w:rFonts w:hint="eastAsia" w:ascii="宋体" w:hAnsi="宋体"/>
          <w:color w:val="auto"/>
          <w:szCs w:val="21"/>
        </w:rPr>
        <w:t>（3）发包人和承包人各自承担其人员伤亡及其他财产损失；</w:t>
      </w:r>
    </w:p>
    <w:p w14:paraId="07A58751">
      <w:pPr>
        <w:spacing w:line="360" w:lineRule="auto"/>
        <w:ind w:firstLine="420" w:firstLineChars="200"/>
        <w:rPr>
          <w:rFonts w:ascii="宋体" w:hAnsi="宋体"/>
          <w:color w:val="auto"/>
          <w:szCs w:val="21"/>
        </w:rPr>
      </w:pPr>
      <w:r>
        <w:rPr>
          <w:rFonts w:hint="eastAsia" w:ascii="宋体" w:hAnsi="宋体"/>
          <w:color w:val="auto"/>
          <w:szCs w:val="21"/>
        </w:rPr>
        <w:t>（4）因不可抗力影响承包人履行合同约定的义务，已经引起或将引起工期延误的，应当顺延工期，由此导致承包人停工的费用损失由发包人和承包人合理分担，</w:t>
      </w:r>
      <w:bookmarkStart w:id="1803" w:name="_Hlk51507024"/>
      <w:r>
        <w:rPr>
          <w:rFonts w:hint="eastAsia" w:ascii="宋体" w:hAnsi="宋体"/>
          <w:color w:val="auto"/>
          <w:szCs w:val="21"/>
        </w:rPr>
        <w:t>停工期间必须支付的现场必要的工人工资</w:t>
      </w:r>
      <w:bookmarkEnd w:id="1803"/>
      <w:r>
        <w:rPr>
          <w:rFonts w:hint="eastAsia" w:ascii="宋体" w:hAnsi="宋体"/>
          <w:color w:val="auto"/>
          <w:szCs w:val="21"/>
        </w:rPr>
        <w:t>由发包人承担；</w:t>
      </w:r>
    </w:p>
    <w:p w14:paraId="4FB4180A">
      <w:pPr>
        <w:spacing w:line="360" w:lineRule="auto"/>
        <w:ind w:firstLine="420" w:firstLineChars="200"/>
        <w:rPr>
          <w:rFonts w:ascii="宋体" w:hAnsi="宋体"/>
          <w:color w:val="auto"/>
          <w:szCs w:val="21"/>
        </w:rPr>
      </w:pPr>
      <w:r>
        <w:rPr>
          <w:rFonts w:hint="eastAsia" w:ascii="宋体" w:hAnsi="宋体"/>
          <w:color w:val="auto"/>
          <w:szCs w:val="21"/>
        </w:rPr>
        <w:t>（5）因不可抗力引起或将引起工期延误，发包人指示赶工的，由此增加的赶工费用由发包人承担；</w:t>
      </w:r>
    </w:p>
    <w:p w14:paraId="77AAF1D3">
      <w:pPr>
        <w:spacing w:line="360" w:lineRule="auto"/>
        <w:ind w:firstLine="420" w:firstLineChars="200"/>
        <w:rPr>
          <w:rFonts w:ascii="宋体" w:hAnsi="宋体"/>
          <w:color w:val="auto"/>
          <w:szCs w:val="21"/>
        </w:rPr>
      </w:pPr>
      <w:r>
        <w:rPr>
          <w:rFonts w:hint="eastAsia" w:ascii="宋体" w:hAnsi="宋体"/>
          <w:color w:val="auto"/>
          <w:szCs w:val="21"/>
        </w:rPr>
        <w:t>（6）承包人在停工期间按照工程师或发包人要求照管、清理和修复工程的费用由发包人承担。</w:t>
      </w:r>
    </w:p>
    <w:p w14:paraId="5B98AC66">
      <w:pPr>
        <w:spacing w:line="360" w:lineRule="auto"/>
        <w:ind w:firstLine="420" w:firstLineChars="200"/>
        <w:rPr>
          <w:rFonts w:ascii="宋体" w:hAnsi="宋体"/>
          <w:color w:val="auto"/>
          <w:szCs w:val="21"/>
        </w:rPr>
      </w:pPr>
      <w:r>
        <w:rPr>
          <w:rFonts w:hint="eastAsia" w:ascii="宋体" w:hAnsi="宋体"/>
          <w:color w:val="auto"/>
          <w:szCs w:val="21"/>
        </w:rPr>
        <w:t>不可抗力引起的后果及造成的损失由合同当事人按照法律规定及合同约定各自承担。不可抗力发生前已完成的工程应当按照合同约定进行支付。</w:t>
      </w:r>
    </w:p>
    <w:p w14:paraId="7202CB19">
      <w:pPr>
        <w:pStyle w:val="4"/>
        <w:spacing w:before="120" w:line="360" w:lineRule="auto"/>
        <w:rPr>
          <w:color w:val="auto"/>
        </w:rPr>
      </w:pPr>
      <w:bookmarkStart w:id="1804" w:name="_Toc54862312"/>
      <w:bookmarkStart w:id="1805" w:name="_Toc154063628"/>
      <w:r>
        <w:rPr>
          <w:rFonts w:hint="eastAsia"/>
          <w:color w:val="auto"/>
        </w:rPr>
        <w:t>1</w:t>
      </w:r>
      <w:r>
        <w:rPr>
          <w:color w:val="auto"/>
        </w:rPr>
        <w:t xml:space="preserve">7.5 </w:t>
      </w:r>
      <w:r>
        <w:rPr>
          <w:rFonts w:hint="eastAsia"/>
          <w:color w:val="auto"/>
        </w:rPr>
        <w:t>不可抗力影响分包人</w:t>
      </w:r>
      <w:bookmarkEnd w:id="1804"/>
      <w:bookmarkEnd w:id="1805"/>
      <w:r>
        <w:rPr>
          <w:rFonts w:hint="eastAsia"/>
          <w:color w:val="auto"/>
        </w:rPr>
        <w:t xml:space="preserve"> </w:t>
      </w:r>
    </w:p>
    <w:p w14:paraId="3022D3A2">
      <w:pPr>
        <w:spacing w:line="360" w:lineRule="auto"/>
        <w:ind w:firstLine="420" w:firstLineChars="200"/>
        <w:rPr>
          <w:rFonts w:ascii="宋体" w:hAnsi="宋体"/>
          <w:color w:val="auto"/>
          <w:szCs w:val="21"/>
        </w:rPr>
      </w:pPr>
      <w:r>
        <w:rPr>
          <w:rFonts w:hint="eastAsia" w:ascii="宋体" w:hAnsi="宋体"/>
          <w:color w:val="auto"/>
          <w:szCs w:val="21"/>
        </w:rPr>
        <w:t>分包人根据分包合同的约定，有权获得更多或者更广的不可抗力而免除某些义务时，承包人不得以分包合同中不可抗力约定向发包人抗辩免除其义务。</w:t>
      </w:r>
    </w:p>
    <w:p w14:paraId="3BBCD3B0">
      <w:pPr>
        <w:pStyle w:val="4"/>
        <w:spacing w:before="120" w:line="360" w:lineRule="auto"/>
        <w:rPr>
          <w:color w:val="auto"/>
        </w:rPr>
      </w:pPr>
      <w:bookmarkStart w:id="1806" w:name="_Ref531958184"/>
      <w:bookmarkStart w:id="1807" w:name="_Ref531958181"/>
      <w:bookmarkStart w:id="1808" w:name="_Ref4538024"/>
      <w:bookmarkStart w:id="1809" w:name="_Ref3840892"/>
      <w:bookmarkStart w:id="1810" w:name="_Toc54862313"/>
      <w:bookmarkStart w:id="1811" w:name="_Toc154063629"/>
      <w:r>
        <w:rPr>
          <w:rFonts w:hint="eastAsia"/>
          <w:color w:val="auto"/>
        </w:rPr>
        <w:t>1</w:t>
      </w:r>
      <w:r>
        <w:rPr>
          <w:color w:val="auto"/>
        </w:rPr>
        <w:t xml:space="preserve">7.6 </w:t>
      </w:r>
      <w:r>
        <w:rPr>
          <w:rFonts w:hint="eastAsia"/>
          <w:color w:val="auto"/>
        </w:rPr>
        <w:t>因不可抗力解除</w:t>
      </w:r>
      <w:bookmarkEnd w:id="1806"/>
      <w:bookmarkEnd w:id="1807"/>
      <w:r>
        <w:rPr>
          <w:rFonts w:hint="eastAsia"/>
          <w:color w:val="auto"/>
        </w:rPr>
        <w:t>合同</w:t>
      </w:r>
      <w:bookmarkEnd w:id="1808"/>
      <w:bookmarkEnd w:id="1809"/>
      <w:bookmarkEnd w:id="1810"/>
      <w:bookmarkEnd w:id="1811"/>
      <w:r>
        <w:rPr>
          <w:rFonts w:hint="eastAsia"/>
          <w:color w:val="auto"/>
        </w:rPr>
        <w:t xml:space="preserve"> </w:t>
      </w:r>
    </w:p>
    <w:p w14:paraId="24815328">
      <w:pPr>
        <w:spacing w:line="360" w:lineRule="auto"/>
        <w:ind w:firstLine="420" w:firstLineChars="200"/>
        <w:rPr>
          <w:rFonts w:ascii="宋体" w:hAnsi="宋体"/>
          <w:color w:val="auto"/>
          <w:szCs w:val="21"/>
        </w:rPr>
      </w:pPr>
      <w:r>
        <w:rPr>
          <w:rFonts w:hint="eastAsia" w:ascii="宋体" w:hAnsi="宋体"/>
          <w:color w:val="auto"/>
          <w:szCs w:val="21"/>
        </w:rPr>
        <w:t>因单次不可抗力导致合同无法履行连续超过84天或累计超过140天的，发包人和承包人均有权解除合同。合同解除后，承包人应按照第</w:t>
      </w:r>
      <w:r>
        <w:rPr>
          <w:rFonts w:ascii="宋体" w:hAnsi="宋体"/>
          <w:color w:val="auto"/>
          <w:szCs w:val="21"/>
        </w:rPr>
        <w:t>10.5</w:t>
      </w:r>
      <w:r>
        <w:rPr>
          <w:rFonts w:hint="eastAsia" w:ascii="宋体" w:hAnsi="宋体"/>
          <w:color w:val="auto"/>
          <w:szCs w:val="21"/>
        </w:rPr>
        <w:t>款[竣工退场]的规定进行。由双方当事人按照第</w:t>
      </w:r>
      <w:r>
        <w:rPr>
          <w:rFonts w:ascii="宋体" w:hAnsi="宋体"/>
          <w:color w:val="auto"/>
          <w:szCs w:val="21"/>
        </w:rPr>
        <w:t>3.6</w:t>
      </w:r>
      <w:r>
        <w:rPr>
          <w:rFonts w:hint="eastAsia" w:ascii="宋体" w:hAnsi="宋体"/>
          <w:color w:val="auto"/>
          <w:szCs w:val="21"/>
        </w:rPr>
        <w:t>款[商定或确定]商定或确定发包人应支付的款项，该款项包括：</w:t>
      </w:r>
    </w:p>
    <w:p w14:paraId="7C1C7BBE">
      <w:pPr>
        <w:spacing w:line="360" w:lineRule="auto"/>
        <w:ind w:firstLine="420" w:firstLineChars="200"/>
        <w:rPr>
          <w:rFonts w:ascii="宋体" w:hAnsi="宋体"/>
          <w:color w:val="auto"/>
          <w:szCs w:val="21"/>
        </w:rPr>
      </w:pPr>
      <w:r>
        <w:rPr>
          <w:rFonts w:hint="eastAsia" w:ascii="宋体" w:hAnsi="宋体"/>
          <w:color w:val="auto"/>
          <w:szCs w:val="21"/>
        </w:rPr>
        <w:t>（1）合同解除前承包人已完成工作的价款；</w:t>
      </w:r>
    </w:p>
    <w:p w14:paraId="735F559B">
      <w:pPr>
        <w:spacing w:line="360" w:lineRule="auto"/>
        <w:ind w:firstLine="420" w:firstLineChars="200"/>
        <w:rPr>
          <w:rFonts w:ascii="宋体" w:hAnsi="宋体"/>
          <w:color w:val="auto"/>
          <w:szCs w:val="21"/>
        </w:rPr>
      </w:pPr>
      <w:r>
        <w:rPr>
          <w:rFonts w:hint="eastAsia" w:ascii="宋体" w:hAnsi="宋体"/>
          <w:color w:val="auto"/>
          <w:szCs w:val="21"/>
        </w:rPr>
        <w:t>（2）承包人为工程订购的并已交付给承包人，或承包人有责任接受交付的材料、工程设备和其他物品的价款；当发包人支付上述费用后，此项材料、工程设备与其他物品应成为发包人的财产，承包人应将其交由发包人处理；</w:t>
      </w:r>
    </w:p>
    <w:p w14:paraId="3A7F5294">
      <w:pPr>
        <w:spacing w:line="360" w:lineRule="auto"/>
        <w:ind w:firstLine="420" w:firstLineChars="200"/>
        <w:rPr>
          <w:rFonts w:ascii="宋体" w:hAnsi="宋体"/>
          <w:color w:val="auto"/>
          <w:szCs w:val="21"/>
        </w:rPr>
      </w:pPr>
      <w:r>
        <w:rPr>
          <w:rFonts w:hint="eastAsia" w:ascii="宋体" w:hAnsi="宋体"/>
          <w:color w:val="auto"/>
          <w:szCs w:val="21"/>
        </w:rPr>
        <w:t>（3）发包人指示承包人退货或解除订货合同而产生的费用，或因不能退货或解除合同而产生的损失；</w:t>
      </w:r>
    </w:p>
    <w:p w14:paraId="20F9974C">
      <w:pPr>
        <w:spacing w:line="360" w:lineRule="auto"/>
        <w:ind w:firstLine="420" w:firstLineChars="200"/>
        <w:rPr>
          <w:rFonts w:ascii="宋体" w:hAnsi="宋体"/>
          <w:color w:val="auto"/>
          <w:szCs w:val="21"/>
        </w:rPr>
      </w:pPr>
      <w:r>
        <w:rPr>
          <w:rFonts w:hint="eastAsia" w:ascii="宋体" w:hAnsi="宋体"/>
          <w:color w:val="auto"/>
          <w:szCs w:val="21"/>
        </w:rPr>
        <w:t>（4）承包人撤离施工现场以及遣散承包人人员的费用；</w:t>
      </w:r>
    </w:p>
    <w:p w14:paraId="6D6E93D7">
      <w:pPr>
        <w:spacing w:line="360" w:lineRule="auto"/>
        <w:ind w:firstLine="420" w:firstLineChars="200"/>
        <w:rPr>
          <w:rFonts w:ascii="宋体" w:hAnsi="宋体"/>
          <w:color w:val="auto"/>
          <w:szCs w:val="21"/>
        </w:rPr>
      </w:pPr>
      <w:r>
        <w:rPr>
          <w:rFonts w:hint="eastAsia" w:ascii="宋体" w:hAnsi="宋体"/>
          <w:color w:val="auto"/>
          <w:szCs w:val="21"/>
        </w:rPr>
        <w:t>（5）按照合同约定在合同解除前应支付给承包人的其他款项；</w:t>
      </w:r>
    </w:p>
    <w:p w14:paraId="0D272B39">
      <w:pPr>
        <w:spacing w:line="360" w:lineRule="auto"/>
        <w:ind w:firstLine="420" w:firstLineChars="200"/>
        <w:rPr>
          <w:rFonts w:ascii="宋体" w:hAnsi="宋体"/>
          <w:color w:val="auto"/>
          <w:szCs w:val="21"/>
        </w:rPr>
      </w:pPr>
      <w:r>
        <w:rPr>
          <w:rFonts w:hint="eastAsia" w:ascii="宋体" w:hAnsi="宋体"/>
          <w:color w:val="auto"/>
          <w:szCs w:val="21"/>
        </w:rPr>
        <w:t>（6）扣减承包人按照合同约定应向发包人支付的款项；</w:t>
      </w:r>
    </w:p>
    <w:p w14:paraId="52F6D856">
      <w:pPr>
        <w:spacing w:line="360" w:lineRule="auto"/>
        <w:ind w:firstLine="420" w:firstLineChars="200"/>
        <w:rPr>
          <w:rFonts w:ascii="宋体" w:hAnsi="宋体"/>
          <w:color w:val="auto"/>
          <w:szCs w:val="21"/>
        </w:rPr>
      </w:pPr>
      <w:r>
        <w:rPr>
          <w:rFonts w:hint="eastAsia" w:ascii="宋体" w:hAnsi="宋体"/>
          <w:color w:val="auto"/>
          <w:szCs w:val="21"/>
        </w:rPr>
        <w:t>（7）双方商定或确定的其他款项。</w:t>
      </w:r>
    </w:p>
    <w:p w14:paraId="76B1E233">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除专用合同条件另有约定外，合同解除后，发包人应当在商定或确定上述款项后28天内完成上述款项的支付。</w:t>
      </w:r>
    </w:p>
    <w:p w14:paraId="2CF0B351">
      <w:pPr>
        <w:pStyle w:val="3"/>
        <w:spacing w:before="48" w:line="360" w:lineRule="auto"/>
        <w:rPr>
          <w:rFonts w:ascii="黑体" w:hAnsi="黑体"/>
          <w:bCs w:val="0"/>
          <w:color w:val="auto"/>
          <w:sz w:val="28"/>
        </w:rPr>
      </w:pPr>
      <w:bookmarkStart w:id="1812" w:name="_Toc54862314"/>
      <w:bookmarkStart w:id="1813" w:name="_Ref11848264"/>
      <w:bookmarkStart w:id="1814" w:name="_Ref11848274"/>
      <w:bookmarkStart w:id="1815" w:name="_Toc154063630"/>
      <w:r>
        <w:rPr>
          <w:rFonts w:hint="eastAsia" w:ascii="黑体" w:hAnsi="黑体"/>
          <w:bCs w:val="0"/>
          <w:color w:val="auto"/>
          <w:sz w:val="28"/>
        </w:rPr>
        <w:t>第1</w:t>
      </w:r>
      <w:r>
        <w:rPr>
          <w:rFonts w:ascii="黑体" w:hAnsi="黑体"/>
          <w:bCs w:val="0"/>
          <w:color w:val="auto"/>
          <w:sz w:val="28"/>
        </w:rPr>
        <w:t>8</w:t>
      </w:r>
      <w:r>
        <w:rPr>
          <w:rFonts w:hint="eastAsia" w:ascii="黑体" w:hAnsi="黑体"/>
          <w:bCs w:val="0"/>
          <w:color w:val="auto"/>
          <w:sz w:val="28"/>
        </w:rPr>
        <w:t>条 保险</w:t>
      </w:r>
      <w:bookmarkEnd w:id="1789"/>
      <w:bookmarkEnd w:id="1812"/>
      <w:bookmarkEnd w:id="1813"/>
      <w:bookmarkEnd w:id="1814"/>
      <w:bookmarkEnd w:id="1815"/>
      <w:r>
        <w:rPr>
          <w:rFonts w:hint="eastAsia" w:ascii="黑体" w:hAnsi="黑体"/>
          <w:bCs w:val="0"/>
          <w:color w:val="auto"/>
          <w:sz w:val="28"/>
        </w:rPr>
        <w:t xml:space="preserve"> </w:t>
      </w:r>
    </w:p>
    <w:p w14:paraId="6130A6CF">
      <w:pPr>
        <w:pStyle w:val="4"/>
        <w:spacing w:before="120" w:line="360" w:lineRule="auto"/>
        <w:rPr>
          <w:color w:val="auto"/>
        </w:rPr>
      </w:pPr>
      <w:bookmarkStart w:id="1816" w:name="_Ref3840730"/>
      <w:bookmarkStart w:id="1817" w:name="_Toc154063631"/>
      <w:bookmarkStart w:id="1818" w:name="_Toc54862315"/>
      <w:bookmarkStart w:id="1819" w:name="_Ref3840734"/>
      <w:bookmarkStart w:id="1820" w:name="_Ref531957914"/>
      <w:bookmarkStart w:id="1821" w:name="_Ref531957911"/>
      <w:bookmarkStart w:id="1822" w:name="_Toc351203616"/>
      <w:r>
        <w:rPr>
          <w:rFonts w:hint="eastAsia"/>
          <w:color w:val="auto"/>
        </w:rPr>
        <w:t>1</w:t>
      </w:r>
      <w:r>
        <w:rPr>
          <w:color w:val="auto"/>
        </w:rPr>
        <w:t xml:space="preserve">8.1 </w:t>
      </w:r>
      <w:r>
        <w:rPr>
          <w:rFonts w:hint="eastAsia"/>
          <w:color w:val="auto"/>
        </w:rPr>
        <w:t>设计和工程保险</w:t>
      </w:r>
      <w:bookmarkEnd w:id="1816"/>
      <w:bookmarkEnd w:id="1817"/>
      <w:bookmarkEnd w:id="1818"/>
      <w:bookmarkEnd w:id="1819"/>
    </w:p>
    <w:bookmarkEnd w:id="1820"/>
    <w:bookmarkEnd w:id="1821"/>
    <w:p w14:paraId="6CB0F2C1">
      <w:pPr>
        <w:pStyle w:val="130"/>
        <w:numPr>
          <w:ilvl w:val="0"/>
          <w:numId w:val="0"/>
        </w:numPr>
        <w:ind w:firstLine="420" w:firstLineChars="200"/>
        <w:rPr>
          <w:color w:val="auto"/>
          <w:sz w:val="21"/>
        </w:rPr>
      </w:pPr>
      <w:r>
        <w:rPr>
          <w:rFonts w:hint="eastAsia"/>
          <w:color w:val="auto"/>
          <w:sz w:val="21"/>
        </w:rPr>
        <w:t>1</w:t>
      </w:r>
      <w:r>
        <w:rPr>
          <w:color w:val="auto"/>
          <w:sz w:val="21"/>
        </w:rPr>
        <w:t xml:space="preserve">8.1.1 </w:t>
      </w:r>
      <w:r>
        <w:rPr>
          <w:rFonts w:hint="eastAsia"/>
          <w:color w:val="auto"/>
          <w:sz w:val="21"/>
        </w:rPr>
        <w:t>双方应按照专用合同条件的约定向双方同意的保险人投保建设工程设计责任险、建筑安装工程一切险等保险。具体的投保险种、保险范围、保险金额、保险费率、保险期限等有关内容应当在专用合同条件中明确约定。</w:t>
      </w:r>
    </w:p>
    <w:p w14:paraId="7893ED01">
      <w:pPr>
        <w:pStyle w:val="130"/>
        <w:numPr>
          <w:ilvl w:val="0"/>
          <w:numId w:val="0"/>
        </w:numPr>
        <w:ind w:firstLine="420" w:firstLineChars="200"/>
        <w:rPr>
          <w:color w:val="auto"/>
          <w:sz w:val="21"/>
        </w:rPr>
      </w:pPr>
      <w:r>
        <w:rPr>
          <w:rFonts w:hint="eastAsia"/>
          <w:color w:val="auto"/>
          <w:sz w:val="21"/>
        </w:rPr>
        <w:t>1</w:t>
      </w:r>
      <w:r>
        <w:rPr>
          <w:color w:val="auto"/>
          <w:sz w:val="21"/>
        </w:rPr>
        <w:t xml:space="preserve">8.1.2 </w:t>
      </w:r>
      <w:r>
        <w:rPr>
          <w:rFonts w:hint="eastAsia"/>
          <w:color w:val="auto"/>
          <w:sz w:val="21"/>
        </w:rPr>
        <w:t>双方应按照专用合同条件的约定投保第三者责任险，并在缺陷责任期终止证书颁发前维持其持续有效。第三者责任险最低投保额应在专用合同条件内约定。</w:t>
      </w:r>
    </w:p>
    <w:p w14:paraId="6022DC23">
      <w:pPr>
        <w:pStyle w:val="4"/>
        <w:spacing w:before="120" w:line="360" w:lineRule="auto"/>
        <w:rPr>
          <w:color w:val="auto"/>
        </w:rPr>
      </w:pPr>
      <w:bookmarkStart w:id="1823" w:name="_Ref3840683"/>
      <w:bookmarkStart w:id="1824" w:name="_Toc54862316"/>
      <w:bookmarkStart w:id="1825" w:name="_Toc154063632"/>
      <w:r>
        <w:rPr>
          <w:rFonts w:hint="eastAsia"/>
          <w:color w:val="auto"/>
        </w:rPr>
        <w:t>1</w:t>
      </w:r>
      <w:r>
        <w:rPr>
          <w:color w:val="auto"/>
        </w:rPr>
        <w:t xml:space="preserve">8.2 </w:t>
      </w:r>
      <w:r>
        <w:rPr>
          <w:rFonts w:hint="eastAsia"/>
          <w:color w:val="auto"/>
        </w:rPr>
        <w:t>工伤和意外伤害保险</w:t>
      </w:r>
      <w:bookmarkEnd w:id="1823"/>
      <w:bookmarkEnd w:id="1824"/>
      <w:bookmarkEnd w:id="1825"/>
    </w:p>
    <w:p w14:paraId="7224C898">
      <w:pPr>
        <w:pStyle w:val="130"/>
        <w:numPr>
          <w:ilvl w:val="0"/>
          <w:numId w:val="0"/>
        </w:numPr>
        <w:ind w:firstLine="420" w:firstLineChars="200"/>
        <w:rPr>
          <w:color w:val="auto"/>
          <w:sz w:val="21"/>
        </w:rPr>
      </w:pPr>
      <w:r>
        <w:rPr>
          <w:rFonts w:hint="eastAsia"/>
          <w:color w:val="auto"/>
          <w:sz w:val="21"/>
        </w:rPr>
        <w:t>1</w:t>
      </w:r>
      <w:r>
        <w:rPr>
          <w:color w:val="auto"/>
          <w:sz w:val="21"/>
        </w:rPr>
        <w:t xml:space="preserve">8.2.1 </w:t>
      </w:r>
      <w:r>
        <w:rPr>
          <w:rFonts w:hint="eastAsia"/>
          <w:color w:val="auto"/>
          <w:sz w:val="21"/>
        </w:rPr>
        <w:t>发包人应依照法律规定为其在施工现场的雇用人员办理工伤保险，缴纳工伤保险费；并要求工程师及由发包人为履行合同聘请的第三方在施工现场的雇用人员依法办理工伤保险。</w:t>
      </w:r>
    </w:p>
    <w:p w14:paraId="41ED0675">
      <w:pPr>
        <w:pStyle w:val="130"/>
        <w:numPr>
          <w:ilvl w:val="0"/>
          <w:numId w:val="0"/>
        </w:numPr>
        <w:ind w:firstLine="420" w:firstLineChars="200"/>
        <w:rPr>
          <w:color w:val="auto"/>
          <w:sz w:val="21"/>
        </w:rPr>
      </w:pPr>
      <w:r>
        <w:rPr>
          <w:rFonts w:hint="eastAsia"/>
          <w:color w:val="auto"/>
          <w:sz w:val="21"/>
        </w:rPr>
        <w:t>1</w:t>
      </w:r>
      <w:r>
        <w:rPr>
          <w:color w:val="auto"/>
          <w:sz w:val="21"/>
        </w:rPr>
        <w:t xml:space="preserve">8.2.2 </w:t>
      </w:r>
      <w:r>
        <w:rPr>
          <w:rFonts w:hint="eastAsia"/>
          <w:color w:val="auto"/>
          <w:sz w:val="21"/>
        </w:rPr>
        <w:t>承包人应依照法律规定为其履行合同雇用的全部人员办理工伤保险，缴纳工伤保险费，并要求分包人及由承包人为履行合同聘请的第三方雇用的全部人员依法办理工伤保险。</w:t>
      </w:r>
    </w:p>
    <w:p w14:paraId="78169C96">
      <w:pPr>
        <w:pStyle w:val="130"/>
        <w:numPr>
          <w:ilvl w:val="0"/>
          <w:numId w:val="0"/>
        </w:numPr>
        <w:ind w:firstLine="420" w:firstLineChars="200"/>
        <w:rPr>
          <w:color w:val="auto"/>
          <w:sz w:val="21"/>
        </w:rPr>
      </w:pPr>
      <w:r>
        <w:rPr>
          <w:rFonts w:hint="eastAsia"/>
          <w:color w:val="auto"/>
          <w:sz w:val="21"/>
        </w:rPr>
        <w:t>1</w:t>
      </w:r>
      <w:r>
        <w:rPr>
          <w:color w:val="auto"/>
          <w:sz w:val="21"/>
        </w:rPr>
        <w:t xml:space="preserve">8.2.3 </w:t>
      </w:r>
      <w:r>
        <w:rPr>
          <w:rFonts w:hint="eastAsia"/>
          <w:color w:val="auto"/>
          <w:sz w:val="21"/>
        </w:rPr>
        <w:t>发包人和承包人可以为其施工现场的全部人员办理意外伤害保险并支付保险费，包括其员工及为履行合同聘请的第三方的人员，具体事项由合同当事人在专用合同条件约定。</w:t>
      </w:r>
    </w:p>
    <w:p w14:paraId="7F622D0B">
      <w:pPr>
        <w:pStyle w:val="4"/>
        <w:spacing w:before="120" w:line="360" w:lineRule="auto"/>
        <w:rPr>
          <w:color w:val="auto"/>
        </w:rPr>
      </w:pPr>
      <w:bookmarkStart w:id="1826" w:name="_Ref3840782"/>
      <w:bookmarkStart w:id="1827" w:name="_Toc54862317"/>
      <w:bookmarkStart w:id="1828" w:name="_Toc154063633"/>
      <w:r>
        <w:rPr>
          <w:rFonts w:hint="eastAsia"/>
          <w:color w:val="auto"/>
        </w:rPr>
        <w:t>1</w:t>
      </w:r>
      <w:r>
        <w:rPr>
          <w:color w:val="auto"/>
        </w:rPr>
        <w:t xml:space="preserve">8.3 </w:t>
      </w:r>
      <w:r>
        <w:rPr>
          <w:rFonts w:hint="eastAsia"/>
          <w:color w:val="auto"/>
        </w:rPr>
        <w:t>货物保险</w:t>
      </w:r>
      <w:bookmarkEnd w:id="1826"/>
      <w:bookmarkEnd w:id="1827"/>
      <w:bookmarkEnd w:id="1828"/>
    </w:p>
    <w:p w14:paraId="682CA2E9">
      <w:pPr>
        <w:spacing w:line="360" w:lineRule="auto"/>
        <w:ind w:firstLine="420" w:firstLineChars="200"/>
        <w:rPr>
          <w:rFonts w:ascii="宋体" w:hAnsi="宋体"/>
          <w:color w:val="auto"/>
          <w:szCs w:val="21"/>
        </w:rPr>
      </w:pPr>
      <w:r>
        <w:rPr>
          <w:rFonts w:hint="eastAsia" w:ascii="宋体" w:hAnsi="宋体"/>
          <w:color w:val="auto"/>
          <w:szCs w:val="21"/>
        </w:rPr>
        <w:t>承包人应</w:t>
      </w:r>
      <w:r>
        <w:rPr>
          <w:rFonts w:hint="eastAsia" w:ascii="宋体" w:hAnsi="宋体"/>
          <w:iCs/>
          <w:color w:val="auto"/>
          <w:szCs w:val="21"/>
        </w:rPr>
        <w:t>按照</w:t>
      </w:r>
      <w:r>
        <w:rPr>
          <w:rFonts w:hint="eastAsia" w:ascii="宋体" w:hAnsi="宋体"/>
          <w:color w:val="auto"/>
          <w:szCs w:val="21"/>
        </w:rPr>
        <w:t>专用合同条件的约定为</w:t>
      </w:r>
      <w:r>
        <w:rPr>
          <w:rFonts w:hint="eastAsia" w:ascii="宋体" w:hAnsi="宋体"/>
          <w:iCs/>
          <w:color w:val="auto"/>
          <w:szCs w:val="21"/>
        </w:rPr>
        <w:t>运抵现场的</w:t>
      </w:r>
      <w:r>
        <w:rPr>
          <w:rFonts w:hint="eastAsia" w:ascii="宋体" w:hAnsi="宋体"/>
          <w:color w:val="auto"/>
          <w:szCs w:val="21"/>
        </w:rPr>
        <w:t>施工设备、材料、工程设备和临时工程等办理财产保险，保险期限自上述货物运抵现场至其不再为工程所需要为止。</w:t>
      </w:r>
    </w:p>
    <w:p w14:paraId="1AE211A5">
      <w:pPr>
        <w:pStyle w:val="4"/>
        <w:spacing w:before="120" w:line="360" w:lineRule="auto"/>
        <w:rPr>
          <w:color w:val="auto"/>
        </w:rPr>
      </w:pPr>
      <w:bookmarkStart w:id="1829" w:name="_Ref4692238"/>
      <w:bookmarkStart w:id="1830" w:name="_Ref4692231"/>
      <w:bookmarkStart w:id="1831" w:name="_Toc154063634"/>
      <w:bookmarkStart w:id="1832" w:name="_Toc54862318"/>
      <w:r>
        <w:rPr>
          <w:rFonts w:hint="eastAsia"/>
          <w:color w:val="auto"/>
        </w:rPr>
        <w:t>1</w:t>
      </w:r>
      <w:r>
        <w:rPr>
          <w:color w:val="auto"/>
        </w:rPr>
        <w:t xml:space="preserve">8.4 </w:t>
      </w:r>
      <w:r>
        <w:rPr>
          <w:rFonts w:hint="eastAsia"/>
          <w:color w:val="auto"/>
        </w:rPr>
        <w:t>其他保险</w:t>
      </w:r>
      <w:bookmarkEnd w:id="1829"/>
      <w:bookmarkEnd w:id="1830"/>
      <w:bookmarkEnd w:id="1831"/>
      <w:bookmarkEnd w:id="1832"/>
    </w:p>
    <w:p w14:paraId="1418D643">
      <w:pPr>
        <w:spacing w:line="360" w:lineRule="auto"/>
        <w:ind w:firstLine="420" w:firstLineChars="200"/>
        <w:rPr>
          <w:rFonts w:ascii="宋体" w:hAnsi="宋体"/>
          <w:color w:val="auto"/>
          <w:szCs w:val="21"/>
        </w:rPr>
      </w:pPr>
      <w:r>
        <w:rPr>
          <w:rFonts w:hint="eastAsia" w:ascii="宋体" w:hAnsi="宋体"/>
          <w:color w:val="auto"/>
          <w:szCs w:val="21"/>
        </w:rPr>
        <w:t>发包人应按照工程总承包模式所适用的法律法规和专用合同条件约定，投保其他保险并保持保险有效，其投保费用发包人自行承担。承包人应按照工程总承包模式所适用法律法规和专用合同条件约定投保相应保险并保持保险有效，其投</w:t>
      </w:r>
      <w:bookmarkEnd w:id="1822"/>
      <w:r>
        <w:rPr>
          <w:rFonts w:hint="eastAsia" w:ascii="宋体" w:hAnsi="宋体"/>
          <w:color w:val="auto"/>
          <w:szCs w:val="21"/>
        </w:rPr>
        <w:t>保费用包含在合同价格中，但在合同执行过程中，新颁布适用的法律法规规定由承包人投保的强制保险，应根据本合同</w:t>
      </w:r>
      <w:bookmarkStart w:id="1833" w:name="_Toc351203617"/>
      <w:bookmarkStart w:id="1834" w:name="_Toc296503126"/>
      <w:bookmarkStart w:id="1835" w:name="_Toc337558832"/>
      <w:bookmarkStart w:id="1836" w:name="_Toc296346627"/>
      <w:r>
        <w:rPr>
          <w:rFonts w:hint="eastAsia" w:ascii="宋体" w:hAnsi="宋体"/>
          <w:color w:val="auto"/>
          <w:szCs w:val="21"/>
        </w:rPr>
        <w:t>第</w:t>
      </w:r>
      <w:r>
        <w:rPr>
          <w:rFonts w:ascii="宋体" w:hAnsi="宋体"/>
          <w:color w:val="auto"/>
          <w:szCs w:val="21"/>
        </w:rPr>
        <w:t>13条</w:t>
      </w:r>
      <w:r>
        <w:rPr>
          <w:rFonts w:hint="eastAsia" w:ascii="宋体" w:hAnsi="宋体"/>
          <w:color w:val="auto"/>
          <w:szCs w:val="21"/>
        </w:rPr>
        <w:t>[</w:t>
      </w:r>
      <w:r>
        <w:rPr>
          <w:rFonts w:ascii="宋体" w:hAnsi="宋体"/>
          <w:color w:val="auto"/>
          <w:szCs w:val="21"/>
        </w:rPr>
        <w:t>变更与调整</w:t>
      </w:r>
      <w:r>
        <w:rPr>
          <w:rFonts w:hint="eastAsia" w:ascii="宋体" w:hAnsi="宋体"/>
          <w:color w:val="auto"/>
          <w:szCs w:val="21"/>
        </w:rPr>
        <w:t>]的约定增加合同价款。</w:t>
      </w:r>
    </w:p>
    <w:p w14:paraId="01A5AF51">
      <w:pPr>
        <w:pStyle w:val="4"/>
        <w:spacing w:before="120" w:line="360" w:lineRule="auto"/>
        <w:rPr>
          <w:color w:val="auto"/>
        </w:rPr>
      </w:pPr>
      <w:bookmarkStart w:id="1837" w:name="_Toc54862319"/>
      <w:bookmarkStart w:id="1838" w:name="_Ref3840659"/>
      <w:bookmarkStart w:id="1839" w:name="_Toc154063635"/>
      <w:r>
        <w:rPr>
          <w:rFonts w:hint="eastAsia"/>
          <w:color w:val="auto"/>
        </w:rPr>
        <w:t>1</w:t>
      </w:r>
      <w:r>
        <w:rPr>
          <w:color w:val="auto"/>
        </w:rPr>
        <w:t xml:space="preserve">8.5 </w:t>
      </w:r>
      <w:r>
        <w:rPr>
          <w:rFonts w:hint="eastAsia"/>
          <w:color w:val="auto"/>
        </w:rPr>
        <w:t>对各项保险的一般要求</w:t>
      </w:r>
      <w:bookmarkEnd w:id="1837"/>
      <w:bookmarkEnd w:id="1838"/>
      <w:bookmarkEnd w:id="1839"/>
    </w:p>
    <w:p w14:paraId="0F729FD6">
      <w:pPr>
        <w:pStyle w:val="130"/>
        <w:numPr>
          <w:ilvl w:val="0"/>
          <w:numId w:val="0"/>
        </w:numPr>
        <w:ind w:firstLine="420" w:firstLineChars="200"/>
        <w:rPr>
          <w:color w:val="auto"/>
          <w:sz w:val="21"/>
        </w:rPr>
      </w:pPr>
      <w:r>
        <w:rPr>
          <w:rFonts w:hint="eastAsia"/>
          <w:color w:val="auto"/>
          <w:sz w:val="21"/>
        </w:rPr>
        <w:t>1</w:t>
      </w:r>
      <w:r>
        <w:rPr>
          <w:color w:val="auto"/>
          <w:sz w:val="21"/>
        </w:rPr>
        <w:t xml:space="preserve">8.5.1 </w:t>
      </w:r>
      <w:r>
        <w:rPr>
          <w:rFonts w:hint="eastAsia"/>
          <w:color w:val="auto"/>
          <w:sz w:val="21"/>
        </w:rPr>
        <w:t>持续保险</w:t>
      </w:r>
    </w:p>
    <w:p w14:paraId="1CA4AAA0">
      <w:pPr>
        <w:spacing w:line="360" w:lineRule="auto"/>
        <w:ind w:firstLine="420" w:firstLineChars="200"/>
        <w:rPr>
          <w:rFonts w:ascii="宋体" w:hAnsi="宋体"/>
          <w:color w:val="auto"/>
          <w:szCs w:val="21"/>
        </w:rPr>
      </w:pPr>
      <w:r>
        <w:rPr>
          <w:rFonts w:hint="eastAsia" w:ascii="宋体" w:hAnsi="宋体"/>
          <w:color w:val="auto"/>
          <w:szCs w:val="21"/>
        </w:rPr>
        <w:t>合同当事人应与保险人保持联系，使保险人能够随时了</w:t>
      </w:r>
      <w:bookmarkEnd w:id="1833"/>
      <w:r>
        <w:rPr>
          <w:rFonts w:hint="eastAsia" w:ascii="宋体" w:hAnsi="宋体"/>
          <w:color w:val="auto"/>
          <w:szCs w:val="21"/>
        </w:rPr>
        <w:t>解</w:t>
      </w:r>
      <w:bookmarkEnd w:id="1834"/>
      <w:bookmarkEnd w:id="1835"/>
      <w:bookmarkEnd w:id="1836"/>
      <w:r>
        <w:rPr>
          <w:rFonts w:hint="eastAsia" w:ascii="宋体" w:hAnsi="宋体"/>
          <w:color w:val="auto"/>
          <w:szCs w:val="21"/>
        </w:rPr>
        <w:t>工程实施中的变动，并确保按保险合同条款要求持续保险。</w:t>
      </w:r>
    </w:p>
    <w:p w14:paraId="0E49D7BF">
      <w:pPr>
        <w:pStyle w:val="130"/>
        <w:numPr>
          <w:ilvl w:val="0"/>
          <w:numId w:val="0"/>
        </w:numPr>
        <w:ind w:firstLine="420" w:firstLineChars="200"/>
        <w:rPr>
          <w:color w:val="auto"/>
          <w:sz w:val="21"/>
        </w:rPr>
      </w:pPr>
      <w:bookmarkStart w:id="1840" w:name="_Ref4777650"/>
      <w:r>
        <w:rPr>
          <w:rFonts w:hint="eastAsia"/>
          <w:color w:val="auto"/>
          <w:sz w:val="21"/>
        </w:rPr>
        <w:t>1</w:t>
      </w:r>
      <w:r>
        <w:rPr>
          <w:color w:val="auto"/>
          <w:sz w:val="21"/>
        </w:rPr>
        <w:t xml:space="preserve">8.5.2 </w:t>
      </w:r>
      <w:r>
        <w:rPr>
          <w:rFonts w:hint="eastAsia"/>
          <w:color w:val="auto"/>
          <w:sz w:val="21"/>
        </w:rPr>
        <w:t>保险凭证</w:t>
      </w:r>
      <w:bookmarkEnd w:id="1840"/>
    </w:p>
    <w:p w14:paraId="5F5CC249">
      <w:pPr>
        <w:spacing w:line="360" w:lineRule="auto"/>
        <w:ind w:firstLine="420" w:firstLineChars="200"/>
        <w:rPr>
          <w:rFonts w:ascii="宋体" w:hAnsi="宋体"/>
          <w:color w:val="auto"/>
          <w:szCs w:val="21"/>
        </w:rPr>
      </w:pPr>
      <w:r>
        <w:rPr>
          <w:rFonts w:hint="eastAsia" w:ascii="宋体" w:hAnsi="宋体"/>
          <w:color w:val="auto"/>
          <w:szCs w:val="21"/>
        </w:rPr>
        <w:t>合同当事人应及时向另一方当事人提交其已投保的各项保险的凭证和保险单复印件，保险单必须与专用合同条件约定的条件保持一致。</w:t>
      </w:r>
    </w:p>
    <w:p w14:paraId="10DA7ED6">
      <w:pPr>
        <w:pStyle w:val="130"/>
        <w:numPr>
          <w:ilvl w:val="0"/>
          <w:numId w:val="0"/>
        </w:numPr>
        <w:ind w:firstLine="420" w:firstLineChars="200"/>
        <w:rPr>
          <w:color w:val="auto"/>
          <w:sz w:val="21"/>
        </w:rPr>
      </w:pPr>
      <w:r>
        <w:rPr>
          <w:rFonts w:hint="eastAsia"/>
          <w:color w:val="auto"/>
          <w:sz w:val="21"/>
        </w:rPr>
        <w:t>1</w:t>
      </w:r>
      <w:r>
        <w:rPr>
          <w:color w:val="auto"/>
          <w:sz w:val="21"/>
        </w:rPr>
        <w:t xml:space="preserve">8.5.3 </w:t>
      </w:r>
      <w:r>
        <w:rPr>
          <w:rFonts w:hint="eastAsia"/>
          <w:color w:val="auto"/>
          <w:sz w:val="21"/>
        </w:rPr>
        <w:t>未按约定投保的补救</w:t>
      </w:r>
    </w:p>
    <w:p w14:paraId="196369BA">
      <w:pPr>
        <w:spacing w:line="360" w:lineRule="auto"/>
        <w:ind w:firstLine="420" w:firstLineChars="200"/>
        <w:rPr>
          <w:rFonts w:ascii="宋体" w:hAnsi="宋体"/>
          <w:color w:val="auto"/>
          <w:szCs w:val="21"/>
        </w:rPr>
      </w:pPr>
      <w:r>
        <w:rPr>
          <w:rFonts w:hint="eastAsia" w:ascii="宋体" w:hAnsi="宋体"/>
          <w:color w:val="auto"/>
          <w:szCs w:val="21"/>
        </w:rPr>
        <w:t>负有投保义务的一方当事人未按合同约定办理保险，或未能使保险持续有效的，则另一方当事人可代为办理，所需费用由负有投保义务的一方当事人承担。</w:t>
      </w:r>
    </w:p>
    <w:p w14:paraId="39F10376">
      <w:pPr>
        <w:spacing w:line="360" w:lineRule="auto"/>
        <w:ind w:firstLine="420" w:firstLineChars="200"/>
        <w:rPr>
          <w:rFonts w:ascii="宋体" w:hAnsi="宋体"/>
          <w:color w:val="auto"/>
          <w:szCs w:val="21"/>
        </w:rPr>
      </w:pPr>
      <w:r>
        <w:rPr>
          <w:rFonts w:hint="eastAsia" w:ascii="宋体" w:hAnsi="宋体"/>
          <w:color w:val="auto"/>
          <w:szCs w:val="21"/>
        </w:rPr>
        <w:t>负有投保</w:t>
      </w:r>
      <w:bookmarkStart w:id="1841" w:name="_Toc351203619"/>
      <w:bookmarkStart w:id="1842" w:name="_Toc337558834"/>
      <w:r>
        <w:rPr>
          <w:rFonts w:hint="eastAsia" w:ascii="宋体" w:hAnsi="宋体"/>
          <w:color w:val="auto"/>
          <w:szCs w:val="21"/>
        </w:rPr>
        <w:t>义务的一方当事人未</w:t>
      </w:r>
      <w:bookmarkEnd w:id="1841"/>
      <w:r>
        <w:rPr>
          <w:rFonts w:hint="eastAsia" w:ascii="宋体" w:hAnsi="宋体"/>
          <w:color w:val="auto"/>
          <w:szCs w:val="21"/>
        </w:rPr>
        <w:t>按</w:t>
      </w:r>
      <w:bookmarkEnd w:id="1842"/>
      <w:r>
        <w:rPr>
          <w:rFonts w:hint="eastAsia" w:ascii="宋体" w:hAnsi="宋体"/>
          <w:color w:val="auto"/>
          <w:szCs w:val="21"/>
        </w:rPr>
        <w:t>合同约定办理某项保险，导致受益人未能得到足额赔偿的，由负有投保义务的一方当事人负责按照原应从该项保险得到的保险金数额进行补足。</w:t>
      </w:r>
    </w:p>
    <w:p w14:paraId="09E2454B">
      <w:pPr>
        <w:pStyle w:val="130"/>
        <w:numPr>
          <w:ilvl w:val="0"/>
          <w:numId w:val="0"/>
        </w:numPr>
        <w:ind w:firstLine="420" w:firstLineChars="200"/>
        <w:rPr>
          <w:color w:val="auto"/>
          <w:sz w:val="21"/>
        </w:rPr>
      </w:pPr>
      <w:bookmarkStart w:id="1843" w:name="_Ref4692685"/>
      <w:r>
        <w:rPr>
          <w:rFonts w:hint="eastAsia"/>
          <w:color w:val="auto"/>
          <w:sz w:val="21"/>
        </w:rPr>
        <w:t>1</w:t>
      </w:r>
      <w:r>
        <w:rPr>
          <w:color w:val="auto"/>
          <w:sz w:val="21"/>
        </w:rPr>
        <w:t xml:space="preserve">8.5.4 </w:t>
      </w:r>
      <w:r>
        <w:rPr>
          <w:rFonts w:hint="eastAsia"/>
          <w:color w:val="auto"/>
          <w:sz w:val="21"/>
        </w:rPr>
        <w:t>通知义务</w:t>
      </w:r>
      <w:bookmarkEnd w:id="1843"/>
    </w:p>
    <w:p w14:paraId="53E61B49">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除专用合同条件另有约定外，任何一方当事人变更除工伤保险之外的保险合同时，应事先征得另一方当事人同意，并通知工程师。</w:t>
      </w:r>
    </w:p>
    <w:p w14:paraId="78B84D5F">
      <w:pPr>
        <w:spacing w:line="360" w:lineRule="auto"/>
        <w:ind w:firstLine="420" w:firstLineChars="200"/>
        <w:rPr>
          <w:rFonts w:ascii="宋体" w:hAnsi="宋体"/>
          <w:color w:val="auto"/>
          <w:szCs w:val="21"/>
        </w:rPr>
      </w:pPr>
      <w:r>
        <w:rPr>
          <w:rFonts w:hint="eastAsia" w:ascii="宋体" w:hAnsi="宋体"/>
          <w:color w:val="auto"/>
          <w:szCs w:val="21"/>
        </w:rPr>
        <w:t>保险事故发生时，投保人应按照保险合同规定的条件和期限及时向保险人报告。发包人和承包人应当在知道保险事故发生后及时通知对方。</w:t>
      </w:r>
    </w:p>
    <w:p w14:paraId="0256E0D4">
      <w:pPr>
        <w:spacing w:line="360" w:lineRule="auto"/>
        <w:ind w:firstLine="420" w:firstLineChars="200"/>
        <w:rPr>
          <w:rFonts w:ascii="宋体" w:hAnsi="宋体"/>
          <w:color w:val="auto"/>
          <w:szCs w:val="21"/>
        </w:rPr>
      </w:pPr>
      <w:r>
        <w:rPr>
          <w:rFonts w:hint="eastAsia" w:ascii="宋体" w:hAnsi="宋体"/>
          <w:color w:val="auto"/>
          <w:szCs w:val="21"/>
        </w:rPr>
        <w:t>双方按本条规定投保不减少双方在合同下的其他义务。</w:t>
      </w:r>
    </w:p>
    <w:p w14:paraId="005BEB9C">
      <w:pPr>
        <w:pStyle w:val="3"/>
        <w:spacing w:before="48" w:line="360" w:lineRule="auto"/>
        <w:rPr>
          <w:rFonts w:ascii="黑体" w:hAnsi="黑体"/>
          <w:bCs w:val="0"/>
          <w:color w:val="auto"/>
          <w:sz w:val="28"/>
        </w:rPr>
      </w:pPr>
      <w:bookmarkStart w:id="1844" w:name="_Toc54862320"/>
      <w:bookmarkStart w:id="1845" w:name="_Toc154063636"/>
      <w:bookmarkStart w:id="1846" w:name="_Ref11874997"/>
      <w:r>
        <w:rPr>
          <w:rFonts w:hint="eastAsia" w:ascii="黑体" w:hAnsi="黑体"/>
          <w:bCs w:val="0"/>
          <w:color w:val="auto"/>
          <w:sz w:val="28"/>
        </w:rPr>
        <w:t>第1</w:t>
      </w:r>
      <w:r>
        <w:rPr>
          <w:rFonts w:ascii="黑体" w:hAnsi="黑体"/>
          <w:bCs w:val="0"/>
          <w:color w:val="auto"/>
          <w:sz w:val="28"/>
        </w:rPr>
        <w:t>9</w:t>
      </w:r>
      <w:r>
        <w:rPr>
          <w:rFonts w:hint="eastAsia" w:ascii="黑体" w:hAnsi="黑体"/>
          <w:bCs w:val="0"/>
          <w:color w:val="auto"/>
          <w:sz w:val="28"/>
        </w:rPr>
        <w:t>条 索赔</w:t>
      </w:r>
      <w:bookmarkEnd w:id="1764"/>
      <w:bookmarkEnd w:id="1765"/>
      <w:bookmarkEnd w:id="1844"/>
      <w:bookmarkEnd w:id="1845"/>
      <w:bookmarkEnd w:id="1846"/>
      <w:r>
        <w:rPr>
          <w:rFonts w:hint="eastAsia" w:ascii="黑体" w:hAnsi="黑体"/>
          <w:bCs w:val="0"/>
          <w:color w:val="auto"/>
          <w:sz w:val="28"/>
        </w:rPr>
        <w:t xml:space="preserve"> </w:t>
      </w:r>
    </w:p>
    <w:p w14:paraId="2E405C39">
      <w:pPr>
        <w:pStyle w:val="4"/>
        <w:spacing w:before="120" w:line="360" w:lineRule="auto"/>
        <w:rPr>
          <w:color w:val="auto"/>
        </w:rPr>
      </w:pPr>
      <w:bookmarkStart w:id="1847" w:name="_Ref4798164"/>
      <w:bookmarkStart w:id="1848" w:name="_Ref4798173"/>
      <w:bookmarkStart w:id="1849" w:name="_Toc154063637"/>
      <w:bookmarkStart w:id="1850" w:name="_Toc54862321"/>
      <w:r>
        <w:rPr>
          <w:rFonts w:hint="eastAsia"/>
          <w:color w:val="auto"/>
        </w:rPr>
        <w:t>1</w:t>
      </w:r>
      <w:r>
        <w:rPr>
          <w:color w:val="auto"/>
        </w:rPr>
        <w:t xml:space="preserve">9.1 </w:t>
      </w:r>
      <w:r>
        <w:rPr>
          <w:rFonts w:hint="eastAsia"/>
          <w:color w:val="auto"/>
        </w:rPr>
        <w:t>索赔</w:t>
      </w:r>
      <w:bookmarkEnd w:id="1847"/>
      <w:bookmarkEnd w:id="1848"/>
      <w:r>
        <w:rPr>
          <w:rFonts w:hint="eastAsia"/>
          <w:color w:val="auto"/>
        </w:rPr>
        <w:t>的提出</w:t>
      </w:r>
      <w:bookmarkEnd w:id="1849"/>
      <w:bookmarkEnd w:id="1850"/>
    </w:p>
    <w:p w14:paraId="005F5D89">
      <w:pPr>
        <w:spacing w:line="360" w:lineRule="auto"/>
        <w:ind w:firstLine="420" w:firstLineChars="200"/>
        <w:rPr>
          <w:rFonts w:ascii="宋体" w:hAnsi="宋体"/>
          <w:color w:val="auto"/>
          <w:szCs w:val="21"/>
        </w:rPr>
      </w:pPr>
      <w:r>
        <w:rPr>
          <w:rFonts w:hint="eastAsia" w:ascii="宋体" w:hAnsi="宋体"/>
          <w:color w:val="auto"/>
          <w:szCs w:val="21"/>
        </w:rPr>
        <w:t>根据合同约定，任意一方认为有权得到追加/减少付款、延长缺陷责任期和（或）延长工期的，应按以下程序向对方提出索赔：</w:t>
      </w:r>
    </w:p>
    <w:p w14:paraId="3F671C3F">
      <w:pPr>
        <w:spacing w:line="360" w:lineRule="auto"/>
        <w:ind w:firstLine="420" w:firstLineChars="200"/>
        <w:rPr>
          <w:rFonts w:ascii="宋体" w:hAnsi="宋体"/>
          <w:color w:val="auto"/>
          <w:szCs w:val="21"/>
        </w:rPr>
      </w:pPr>
      <w:r>
        <w:rPr>
          <w:rFonts w:hint="eastAsia" w:ascii="宋体" w:hAnsi="宋体"/>
          <w:color w:val="auto"/>
          <w:szCs w:val="21"/>
        </w:rPr>
        <w:t>（1）索赔方应在知道或应当知道索赔事件发生后28天内，向对方递交索赔意向通知书，并说明发生索赔事件的事由；索赔方未在前述28天内发出索赔意向通知书的，丧失要求追加</w:t>
      </w:r>
      <w:r>
        <w:rPr>
          <w:rFonts w:ascii="宋体" w:hAnsi="宋体"/>
          <w:color w:val="auto"/>
          <w:szCs w:val="21"/>
        </w:rPr>
        <w:t>/减少付款、延长缺陷责任期和（或）延长工期</w:t>
      </w:r>
      <w:r>
        <w:rPr>
          <w:rFonts w:hint="eastAsia" w:ascii="宋体" w:hAnsi="宋体"/>
          <w:color w:val="auto"/>
          <w:szCs w:val="21"/>
        </w:rPr>
        <w:t>的权利；</w:t>
      </w:r>
    </w:p>
    <w:p w14:paraId="33DF0020">
      <w:pPr>
        <w:spacing w:line="360" w:lineRule="auto"/>
        <w:ind w:firstLine="420" w:firstLineChars="200"/>
        <w:rPr>
          <w:rFonts w:ascii="宋体" w:hAnsi="宋体"/>
          <w:color w:val="auto"/>
          <w:szCs w:val="21"/>
        </w:rPr>
      </w:pPr>
      <w:r>
        <w:rPr>
          <w:rFonts w:hint="eastAsia" w:ascii="宋体" w:hAnsi="宋体"/>
          <w:color w:val="auto"/>
          <w:szCs w:val="21"/>
        </w:rPr>
        <w:t>（2）索赔方应在发出索赔意向通知书后28天内，向对方正式递交索赔报告；索赔报告应详细说明索赔理由以及要求追加的付款金额、延长缺陷责任期和（或）延长的工期，并附必要的记录和证明材料；</w:t>
      </w:r>
    </w:p>
    <w:p w14:paraId="1D9F6A0A">
      <w:pPr>
        <w:spacing w:line="360" w:lineRule="auto"/>
        <w:ind w:firstLine="420" w:firstLineChars="200"/>
        <w:rPr>
          <w:rFonts w:ascii="宋体" w:hAnsi="宋体"/>
          <w:color w:val="auto"/>
          <w:szCs w:val="21"/>
        </w:rPr>
      </w:pPr>
      <w:r>
        <w:rPr>
          <w:rFonts w:hint="eastAsia" w:ascii="宋体" w:hAnsi="宋体"/>
          <w:color w:val="auto"/>
          <w:szCs w:val="21"/>
        </w:rPr>
        <w:t>（3）索赔事件具有持续影响的，索赔方应每月递交延续索赔通知，说明持续影响的实际情况和记录，列出累计的追加付款金额、延长缺陷责任期和（或）工期延长天数；</w:t>
      </w:r>
    </w:p>
    <w:p w14:paraId="176AEC20">
      <w:pPr>
        <w:spacing w:line="360" w:lineRule="auto"/>
        <w:ind w:firstLine="420" w:firstLineChars="200"/>
        <w:rPr>
          <w:rFonts w:ascii="宋体" w:hAnsi="宋体"/>
          <w:color w:val="auto"/>
          <w:szCs w:val="21"/>
        </w:rPr>
      </w:pPr>
      <w:bookmarkStart w:id="1851" w:name="_Ref4796178"/>
      <w:r>
        <w:rPr>
          <w:rFonts w:hint="eastAsia" w:ascii="宋体" w:hAnsi="宋体"/>
          <w:color w:val="auto"/>
          <w:szCs w:val="21"/>
        </w:rPr>
        <w:t>（4）在索赔事件影响结束后28天内，索赔方应向对方递交最终索赔报告，说明最终要求索赔的追加付款金额、延长缺陷责任期和（或）延长的工期，并附必要的记录和证明材料。</w:t>
      </w:r>
      <w:bookmarkEnd w:id="1851"/>
    </w:p>
    <w:p w14:paraId="1CCC8F91">
      <w:pPr>
        <w:spacing w:line="360" w:lineRule="auto"/>
        <w:ind w:firstLine="420" w:firstLineChars="200"/>
        <w:rPr>
          <w:rFonts w:ascii="宋体" w:hAnsi="宋体"/>
          <w:color w:val="auto"/>
          <w:szCs w:val="21"/>
        </w:rPr>
      </w:pPr>
      <w:r>
        <w:rPr>
          <w:rFonts w:hint="eastAsia" w:ascii="宋体" w:hAnsi="宋体"/>
          <w:color w:val="auto"/>
          <w:szCs w:val="21"/>
        </w:rPr>
        <w:t>（5）承包人作为索赔方时，其索赔意向通知书、索赔报告及相关索赔文件应向工程师提出；发包人作为索赔方时，其索赔意向通知书、索赔报告及相关索赔文件可自行向承包人提出或由工程师向承包人提出。</w:t>
      </w:r>
    </w:p>
    <w:p w14:paraId="40DE255C">
      <w:pPr>
        <w:pStyle w:val="4"/>
        <w:spacing w:before="120" w:line="360" w:lineRule="auto"/>
        <w:rPr>
          <w:color w:val="auto"/>
        </w:rPr>
      </w:pPr>
      <w:bookmarkStart w:id="1852" w:name="_Toc154063638"/>
      <w:bookmarkStart w:id="1853" w:name="_Ref4796262"/>
      <w:bookmarkStart w:id="1854" w:name="_Ref4796254"/>
      <w:bookmarkStart w:id="1855" w:name="_Toc54862322"/>
      <w:r>
        <w:rPr>
          <w:rFonts w:hint="eastAsia"/>
          <w:color w:val="auto"/>
        </w:rPr>
        <w:t>1</w:t>
      </w:r>
      <w:r>
        <w:rPr>
          <w:color w:val="auto"/>
        </w:rPr>
        <w:t>9.2 承包人索赔</w:t>
      </w:r>
      <w:r>
        <w:rPr>
          <w:rFonts w:hint="eastAsia"/>
          <w:color w:val="auto"/>
        </w:rPr>
        <w:t>的处理程序</w:t>
      </w:r>
      <w:bookmarkEnd w:id="1852"/>
      <w:bookmarkEnd w:id="1853"/>
      <w:bookmarkEnd w:id="1854"/>
      <w:bookmarkEnd w:id="1855"/>
    </w:p>
    <w:p w14:paraId="2FF91074">
      <w:pPr>
        <w:spacing w:line="360" w:lineRule="auto"/>
        <w:ind w:firstLine="420" w:firstLineChars="200"/>
        <w:rPr>
          <w:rFonts w:ascii="宋体" w:hAnsi="宋体"/>
          <w:color w:val="auto"/>
          <w:szCs w:val="21"/>
        </w:rPr>
      </w:pPr>
      <w:r>
        <w:rPr>
          <w:rFonts w:hint="eastAsia" w:ascii="宋体" w:hAnsi="宋体"/>
          <w:color w:val="auto"/>
          <w:szCs w:val="21"/>
        </w:rPr>
        <w:t>（1）工程师收到承包人提交的索赔报告后，应及时审查索赔报告的内容、查验承包人的记录和证明材料，必要时工程师可要求承包人提交全部原始记录副本。</w:t>
      </w:r>
    </w:p>
    <w:p w14:paraId="539C63E8">
      <w:pPr>
        <w:spacing w:line="360" w:lineRule="auto"/>
        <w:ind w:firstLine="420" w:firstLineChars="200"/>
        <w:rPr>
          <w:rFonts w:ascii="宋体" w:hAnsi="宋体"/>
          <w:color w:val="auto"/>
          <w:szCs w:val="21"/>
        </w:rPr>
      </w:pPr>
      <w:r>
        <w:rPr>
          <w:rFonts w:hint="eastAsia" w:ascii="宋体" w:hAnsi="宋体"/>
          <w:color w:val="auto"/>
          <w:szCs w:val="21"/>
        </w:rPr>
        <w:t>（2）工程师应按第</w:t>
      </w:r>
      <w:r>
        <w:rPr>
          <w:rFonts w:ascii="宋体" w:hAnsi="宋体"/>
          <w:color w:val="auto"/>
          <w:szCs w:val="21"/>
        </w:rPr>
        <w:t>3.6</w:t>
      </w:r>
      <w:r>
        <w:rPr>
          <w:rFonts w:hint="eastAsia" w:ascii="宋体" w:hAnsi="宋体"/>
          <w:color w:val="auto"/>
          <w:szCs w:val="21"/>
        </w:rPr>
        <w:t>款[商定或确定]商定或确定追加的付款和（或）延长的工期，并在收到上述索赔报告或有关索赔的进一步证明材料后及时书面告知发包人，并在42天内，将发包人书面认可的索赔处理结果答复承包人。工程师在收到索赔报告或有关索赔的进一步证明材料后的42天内不予答复的，视为认可索赔。</w:t>
      </w:r>
    </w:p>
    <w:p w14:paraId="7F20014B">
      <w:pPr>
        <w:spacing w:line="360" w:lineRule="auto"/>
        <w:ind w:firstLine="420" w:firstLineChars="200"/>
        <w:rPr>
          <w:rFonts w:ascii="宋体" w:hAnsi="宋体"/>
          <w:color w:val="auto"/>
          <w:szCs w:val="21"/>
        </w:rPr>
      </w:pPr>
      <w:r>
        <w:rPr>
          <w:rFonts w:hint="eastAsia" w:ascii="宋体" w:hAnsi="宋体"/>
          <w:color w:val="auto"/>
          <w:szCs w:val="21"/>
        </w:rPr>
        <w:t>（3）承包人接受索赔处理结果的，发包人应在作出索赔处理结果答复后28天内完成支付。承包人不接受索赔处理结果的，按照第</w:t>
      </w:r>
      <w:r>
        <w:rPr>
          <w:rFonts w:ascii="宋体" w:hAnsi="宋体"/>
          <w:color w:val="auto"/>
          <w:szCs w:val="21"/>
        </w:rPr>
        <w:t>20条</w:t>
      </w:r>
      <w:r>
        <w:rPr>
          <w:rFonts w:hint="eastAsia" w:ascii="宋体" w:hAnsi="宋体"/>
          <w:color w:val="auto"/>
          <w:szCs w:val="21"/>
        </w:rPr>
        <w:t>[争议解决]约定处理。</w:t>
      </w:r>
    </w:p>
    <w:p w14:paraId="1420E9C9">
      <w:pPr>
        <w:pStyle w:val="4"/>
        <w:spacing w:before="120" w:line="360" w:lineRule="auto"/>
        <w:rPr>
          <w:color w:val="auto"/>
        </w:rPr>
      </w:pPr>
      <w:bookmarkStart w:id="1856" w:name="_Toc54862323"/>
      <w:bookmarkStart w:id="1857" w:name="_Toc154063639"/>
      <w:r>
        <w:rPr>
          <w:rFonts w:hint="eastAsia"/>
          <w:color w:val="auto"/>
        </w:rPr>
        <w:t>1</w:t>
      </w:r>
      <w:r>
        <w:rPr>
          <w:color w:val="auto"/>
        </w:rPr>
        <w:t xml:space="preserve">9.3 </w:t>
      </w:r>
      <w:r>
        <w:rPr>
          <w:rFonts w:hint="eastAsia"/>
          <w:color w:val="auto"/>
        </w:rPr>
        <w:t>发包人索赔的处理程序</w:t>
      </w:r>
      <w:bookmarkEnd w:id="1856"/>
      <w:bookmarkEnd w:id="1857"/>
    </w:p>
    <w:p w14:paraId="6B0932CE">
      <w:pPr>
        <w:spacing w:line="360" w:lineRule="auto"/>
        <w:ind w:firstLine="420" w:firstLineChars="200"/>
        <w:rPr>
          <w:rFonts w:ascii="宋体" w:hAnsi="宋体"/>
          <w:color w:val="auto"/>
          <w:szCs w:val="21"/>
        </w:rPr>
      </w:pPr>
      <w:r>
        <w:rPr>
          <w:rFonts w:hint="eastAsia" w:ascii="宋体" w:hAnsi="宋体"/>
          <w:color w:val="auto"/>
          <w:szCs w:val="21"/>
        </w:rPr>
        <w:t>（1）承包人收到发包人提交的索赔报告后，应及时审查索赔报告的内容、查验发包人证明材料；</w:t>
      </w:r>
    </w:p>
    <w:p w14:paraId="42CE8CE9">
      <w:pPr>
        <w:spacing w:line="360" w:lineRule="auto"/>
        <w:ind w:firstLine="420" w:firstLineChars="200"/>
        <w:rPr>
          <w:rFonts w:ascii="宋体" w:hAnsi="宋体"/>
          <w:color w:val="auto"/>
          <w:szCs w:val="21"/>
        </w:rPr>
      </w:pPr>
      <w:r>
        <w:rPr>
          <w:rFonts w:hint="eastAsia" w:ascii="宋体" w:hAnsi="宋体"/>
          <w:color w:val="auto"/>
          <w:szCs w:val="21"/>
        </w:rPr>
        <w:t>（2）承包人应在收到上述索赔报告或有关索赔的进一步证明材料后42天内，将索赔处理结果答复发包人。承包人在收到索赔通知书或有关索赔的进一步证明材料后的42天内不予答复的，视为认可索赔。</w:t>
      </w:r>
    </w:p>
    <w:p w14:paraId="2B3D2EA6">
      <w:pPr>
        <w:spacing w:line="360" w:lineRule="auto"/>
        <w:ind w:firstLine="420" w:firstLineChars="200"/>
        <w:rPr>
          <w:rFonts w:ascii="宋体" w:hAnsi="宋体"/>
          <w:color w:val="auto"/>
          <w:szCs w:val="21"/>
        </w:rPr>
      </w:pPr>
      <w:r>
        <w:rPr>
          <w:rFonts w:hint="eastAsia" w:ascii="宋体" w:hAnsi="宋体"/>
          <w:color w:val="auto"/>
          <w:szCs w:val="21"/>
        </w:rPr>
        <w:t>（3）发包人接受索赔处理结果的，发包人可从应支付给承包人的合同价款中扣除赔付的金额或延长缺陷责任期；发包人不接受索赔处理结果的，按第</w:t>
      </w:r>
      <w:r>
        <w:rPr>
          <w:rFonts w:ascii="宋体" w:hAnsi="宋体"/>
          <w:color w:val="auto"/>
          <w:szCs w:val="21"/>
        </w:rPr>
        <w:t>20条</w:t>
      </w:r>
      <w:r>
        <w:rPr>
          <w:rFonts w:hint="eastAsia" w:ascii="宋体" w:hAnsi="宋体"/>
          <w:color w:val="auto"/>
          <w:szCs w:val="21"/>
        </w:rPr>
        <w:t>[争议解决]约定处理。</w:t>
      </w:r>
    </w:p>
    <w:p w14:paraId="243C3BB5">
      <w:pPr>
        <w:pStyle w:val="4"/>
        <w:spacing w:before="120" w:line="360" w:lineRule="auto"/>
        <w:rPr>
          <w:color w:val="auto"/>
        </w:rPr>
      </w:pPr>
      <w:bookmarkStart w:id="1858" w:name="_Toc54862324"/>
      <w:bookmarkStart w:id="1859" w:name="_Toc154063640"/>
      <w:r>
        <w:rPr>
          <w:rFonts w:hint="eastAsia"/>
          <w:color w:val="auto"/>
        </w:rPr>
        <w:t>1</w:t>
      </w:r>
      <w:r>
        <w:rPr>
          <w:color w:val="auto"/>
        </w:rPr>
        <w:t xml:space="preserve">9.4 </w:t>
      </w:r>
      <w:r>
        <w:rPr>
          <w:rFonts w:hint="eastAsia"/>
          <w:color w:val="auto"/>
        </w:rPr>
        <w:t>提出索赔的期限</w:t>
      </w:r>
      <w:bookmarkEnd w:id="1858"/>
      <w:bookmarkEnd w:id="1859"/>
    </w:p>
    <w:p w14:paraId="129EB2F5">
      <w:pPr>
        <w:spacing w:line="360" w:lineRule="auto"/>
        <w:ind w:firstLine="420" w:firstLineChars="200"/>
        <w:rPr>
          <w:rFonts w:ascii="宋体" w:hAnsi="宋体"/>
          <w:color w:val="auto"/>
          <w:szCs w:val="21"/>
        </w:rPr>
      </w:pPr>
      <w:r>
        <w:rPr>
          <w:rFonts w:hint="eastAsia" w:ascii="宋体" w:hAnsi="宋体"/>
          <w:color w:val="auto"/>
          <w:szCs w:val="21"/>
        </w:rPr>
        <w:t>（1）承包人按第</w:t>
      </w:r>
      <w:r>
        <w:rPr>
          <w:rFonts w:ascii="宋体" w:hAnsi="宋体"/>
          <w:color w:val="auto"/>
          <w:szCs w:val="21"/>
        </w:rPr>
        <w:t>14.5</w:t>
      </w:r>
      <w:r>
        <w:rPr>
          <w:rFonts w:hint="eastAsia" w:ascii="宋体" w:hAnsi="宋体"/>
          <w:color w:val="auto"/>
          <w:szCs w:val="21"/>
        </w:rPr>
        <w:t>款[竣工结算</w:t>
      </w:r>
      <w:bookmarkStart w:id="1860" w:name="_Ref3826634"/>
      <w:bookmarkStart w:id="1861" w:name="_Ref3826629"/>
      <w:r>
        <w:rPr>
          <w:rFonts w:hint="eastAsia" w:ascii="宋体" w:hAnsi="宋体"/>
          <w:color w:val="auto"/>
          <w:szCs w:val="21"/>
        </w:rPr>
        <w:t>]约定接收竣工付款证书后，应被认为已无权再提出在合同工程接收证书颁发前所发生的任何索赔。</w:t>
      </w:r>
    </w:p>
    <w:p w14:paraId="1B0016D9">
      <w:pPr>
        <w:spacing w:line="360" w:lineRule="auto"/>
        <w:ind w:firstLine="420" w:firstLineChars="200"/>
        <w:rPr>
          <w:rFonts w:ascii="宋体" w:hAnsi="宋体"/>
          <w:color w:val="auto"/>
          <w:szCs w:val="21"/>
        </w:rPr>
      </w:pPr>
      <w:r>
        <w:rPr>
          <w:rFonts w:hint="eastAsia" w:ascii="宋体" w:hAnsi="宋体"/>
          <w:color w:val="auto"/>
          <w:szCs w:val="21"/>
        </w:rPr>
        <w:t>（2）承包人按第</w:t>
      </w:r>
      <w:r>
        <w:rPr>
          <w:rFonts w:ascii="宋体" w:hAnsi="宋体"/>
          <w:color w:val="auto"/>
          <w:szCs w:val="21"/>
        </w:rPr>
        <w:t>14.7</w:t>
      </w:r>
      <w:r>
        <w:rPr>
          <w:rFonts w:hint="eastAsia" w:ascii="宋体" w:hAnsi="宋体"/>
          <w:color w:val="auto"/>
          <w:szCs w:val="21"/>
        </w:rPr>
        <w:t>款[</w:t>
      </w:r>
      <w:r>
        <w:rPr>
          <w:rFonts w:ascii="宋体" w:hAnsi="宋体"/>
          <w:color w:val="auto"/>
          <w:szCs w:val="21"/>
        </w:rPr>
        <w:t>最终结清</w:t>
      </w:r>
      <w:r>
        <w:rPr>
          <w:rFonts w:hint="eastAsia" w:ascii="宋体" w:hAnsi="宋体"/>
          <w:color w:val="auto"/>
          <w:szCs w:val="21"/>
        </w:rPr>
        <w:t>]提交的最终结清申请单中，只限于提出工程接收证书颁发后发生的索赔。提出索赔的期限均自接受最终结清证书时终止。</w:t>
      </w:r>
      <w:bookmarkEnd w:id="1860"/>
      <w:bookmarkEnd w:id="1861"/>
    </w:p>
    <w:p w14:paraId="09DD0DDA">
      <w:pPr>
        <w:pStyle w:val="3"/>
        <w:spacing w:before="48" w:line="360" w:lineRule="auto"/>
        <w:rPr>
          <w:rFonts w:ascii="黑体" w:hAnsi="黑体"/>
          <w:bCs w:val="0"/>
          <w:color w:val="auto"/>
          <w:sz w:val="28"/>
        </w:rPr>
      </w:pPr>
      <w:bookmarkStart w:id="1862" w:name="_Ref532142075"/>
      <w:bookmarkStart w:id="1863" w:name="_Ref532197861"/>
      <w:bookmarkStart w:id="1864" w:name="_Toc54862325"/>
      <w:bookmarkStart w:id="1865" w:name="_Toc154063641"/>
      <w:r>
        <w:rPr>
          <w:rFonts w:hint="eastAsia" w:ascii="黑体" w:hAnsi="黑体"/>
          <w:bCs w:val="0"/>
          <w:color w:val="auto"/>
          <w:sz w:val="28"/>
        </w:rPr>
        <w:t>第2</w:t>
      </w:r>
      <w:r>
        <w:rPr>
          <w:rFonts w:ascii="黑体" w:hAnsi="黑体"/>
          <w:bCs w:val="0"/>
          <w:color w:val="auto"/>
          <w:sz w:val="28"/>
        </w:rPr>
        <w:t>0</w:t>
      </w:r>
      <w:r>
        <w:rPr>
          <w:rFonts w:hint="eastAsia" w:ascii="黑体" w:hAnsi="黑体"/>
          <w:bCs w:val="0"/>
          <w:color w:val="auto"/>
          <w:sz w:val="28"/>
        </w:rPr>
        <w:t>条 争议解决</w:t>
      </w:r>
      <w:bookmarkEnd w:id="1862"/>
      <w:bookmarkEnd w:id="1863"/>
      <w:bookmarkEnd w:id="1864"/>
      <w:bookmarkEnd w:id="1865"/>
      <w:r>
        <w:rPr>
          <w:rFonts w:hint="eastAsia" w:ascii="黑体" w:hAnsi="黑体"/>
          <w:bCs w:val="0"/>
          <w:color w:val="auto"/>
          <w:sz w:val="28"/>
        </w:rPr>
        <w:t xml:space="preserve"> </w:t>
      </w:r>
    </w:p>
    <w:p w14:paraId="31B777C3">
      <w:pPr>
        <w:pStyle w:val="4"/>
        <w:spacing w:before="120" w:line="360" w:lineRule="auto"/>
        <w:rPr>
          <w:color w:val="auto"/>
        </w:rPr>
      </w:pPr>
      <w:bookmarkStart w:id="1866" w:name="_Toc154063642"/>
      <w:bookmarkStart w:id="1867" w:name="_Toc54862326"/>
      <w:bookmarkStart w:id="1868" w:name="_Ref415507198"/>
      <w:r>
        <w:rPr>
          <w:rFonts w:hint="eastAsia"/>
          <w:color w:val="auto"/>
        </w:rPr>
        <w:t>2</w:t>
      </w:r>
      <w:r>
        <w:rPr>
          <w:color w:val="auto"/>
        </w:rPr>
        <w:t xml:space="preserve">0.1 </w:t>
      </w:r>
      <w:r>
        <w:rPr>
          <w:rFonts w:hint="eastAsia"/>
          <w:color w:val="auto"/>
        </w:rPr>
        <w:t>和解</w:t>
      </w:r>
      <w:bookmarkEnd w:id="1866"/>
      <w:bookmarkEnd w:id="1867"/>
      <w:bookmarkEnd w:id="1868"/>
    </w:p>
    <w:p w14:paraId="65E2A7E6">
      <w:pPr>
        <w:spacing w:line="360" w:lineRule="auto"/>
        <w:ind w:firstLine="420" w:firstLineChars="200"/>
        <w:rPr>
          <w:rFonts w:ascii="宋体" w:hAnsi="宋体"/>
          <w:color w:val="auto"/>
          <w:szCs w:val="21"/>
        </w:rPr>
      </w:pPr>
      <w:r>
        <w:rPr>
          <w:rFonts w:hint="eastAsia" w:ascii="宋体" w:hAnsi="宋体"/>
          <w:color w:val="auto"/>
          <w:szCs w:val="21"/>
        </w:rPr>
        <w:t>合同当事人可以就争议自行和解，自行和解达成协议的经双方签字并盖章后作为合同补充文件，双方均应遵照执行。</w:t>
      </w:r>
    </w:p>
    <w:p w14:paraId="768B16D1">
      <w:pPr>
        <w:pStyle w:val="4"/>
        <w:spacing w:before="120" w:line="360" w:lineRule="auto"/>
        <w:rPr>
          <w:color w:val="auto"/>
        </w:rPr>
      </w:pPr>
      <w:bookmarkStart w:id="1869" w:name="_Toc54862327"/>
      <w:bookmarkStart w:id="1870" w:name="_Toc154063643"/>
      <w:r>
        <w:rPr>
          <w:rFonts w:hint="eastAsia"/>
          <w:color w:val="auto"/>
        </w:rPr>
        <w:t>2</w:t>
      </w:r>
      <w:r>
        <w:rPr>
          <w:color w:val="auto"/>
        </w:rPr>
        <w:t xml:space="preserve">0.2 </w:t>
      </w:r>
      <w:r>
        <w:rPr>
          <w:rFonts w:hint="eastAsia"/>
          <w:color w:val="auto"/>
        </w:rPr>
        <w:t>调解</w:t>
      </w:r>
      <w:bookmarkEnd w:id="1869"/>
      <w:bookmarkEnd w:id="1870"/>
      <w:r>
        <w:rPr>
          <w:rFonts w:hint="eastAsia"/>
          <w:color w:val="auto"/>
        </w:rPr>
        <w:t xml:space="preserve"> </w:t>
      </w:r>
    </w:p>
    <w:p w14:paraId="2F3F962B">
      <w:pPr>
        <w:spacing w:line="360" w:lineRule="auto"/>
        <w:ind w:firstLine="420" w:firstLineChars="200"/>
        <w:rPr>
          <w:rFonts w:ascii="宋体" w:hAnsi="宋体"/>
          <w:color w:val="auto"/>
          <w:szCs w:val="21"/>
        </w:rPr>
      </w:pPr>
      <w:r>
        <w:rPr>
          <w:rFonts w:hint="eastAsia" w:ascii="宋体" w:hAnsi="宋体"/>
          <w:color w:val="auto"/>
          <w:szCs w:val="21"/>
        </w:rPr>
        <w:t>合同当事人可以就争议请求建设行政主管部门、行业协会或其他第三方进行调解，调解达成协议的，经双方签字盖章后作为合同补充文件，双方均应遵照执行。</w:t>
      </w:r>
    </w:p>
    <w:p w14:paraId="6AF1F690">
      <w:pPr>
        <w:pStyle w:val="4"/>
        <w:spacing w:before="120" w:line="360" w:lineRule="auto"/>
        <w:rPr>
          <w:color w:val="auto"/>
        </w:rPr>
      </w:pPr>
      <w:bookmarkStart w:id="1871" w:name="_Ref532221527"/>
      <w:bookmarkStart w:id="1872" w:name="_Toc54862328"/>
      <w:bookmarkStart w:id="1873" w:name="_Toc154063644"/>
      <w:bookmarkStart w:id="1874" w:name="_Ref532221532"/>
      <w:r>
        <w:rPr>
          <w:rFonts w:hint="eastAsia"/>
          <w:color w:val="auto"/>
        </w:rPr>
        <w:t>2</w:t>
      </w:r>
      <w:r>
        <w:rPr>
          <w:color w:val="auto"/>
        </w:rPr>
        <w:t xml:space="preserve">0.3 </w:t>
      </w:r>
      <w:r>
        <w:rPr>
          <w:rFonts w:hint="eastAsia"/>
          <w:color w:val="auto"/>
        </w:rPr>
        <w:t>争议评审</w:t>
      </w:r>
      <w:bookmarkEnd w:id="1871"/>
      <w:bookmarkEnd w:id="1872"/>
      <w:bookmarkEnd w:id="1873"/>
      <w:bookmarkEnd w:id="1874"/>
    </w:p>
    <w:p w14:paraId="3D0648E7">
      <w:pPr>
        <w:spacing w:line="360" w:lineRule="auto"/>
        <w:ind w:firstLine="420" w:firstLineChars="200"/>
        <w:rPr>
          <w:rFonts w:ascii="宋体" w:hAnsi="宋体"/>
          <w:color w:val="auto"/>
          <w:szCs w:val="21"/>
        </w:rPr>
      </w:pPr>
      <w:r>
        <w:rPr>
          <w:rFonts w:hint="eastAsia" w:ascii="宋体" w:hAnsi="宋体"/>
          <w:color w:val="auto"/>
          <w:szCs w:val="21"/>
        </w:rPr>
        <w:t>合同当事人在专用合同条件中约定采取争议评审方式及评审规则解决争议的，按下列约定执行：</w:t>
      </w:r>
    </w:p>
    <w:p w14:paraId="057A2D97">
      <w:pPr>
        <w:pStyle w:val="130"/>
        <w:numPr>
          <w:ilvl w:val="0"/>
          <w:numId w:val="0"/>
        </w:numPr>
        <w:ind w:firstLine="420" w:firstLineChars="200"/>
        <w:rPr>
          <w:color w:val="auto"/>
          <w:sz w:val="21"/>
        </w:rPr>
      </w:pPr>
      <w:r>
        <w:rPr>
          <w:rFonts w:hint="eastAsia"/>
          <w:color w:val="auto"/>
          <w:sz w:val="21"/>
        </w:rPr>
        <w:t>2</w:t>
      </w:r>
      <w:r>
        <w:rPr>
          <w:color w:val="auto"/>
          <w:sz w:val="21"/>
        </w:rPr>
        <w:t xml:space="preserve">0.3.1 </w:t>
      </w:r>
      <w:r>
        <w:rPr>
          <w:rFonts w:hint="eastAsia"/>
          <w:color w:val="auto"/>
          <w:sz w:val="21"/>
        </w:rPr>
        <w:t>争议评审小组的确定</w:t>
      </w:r>
    </w:p>
    <w:p w14:paraId="43ECAD59">
      <w:pPr>
        <w:spacing w:line="360" w:lineRule="auto"/>
        <w:ind w:firstLine="420" w:firstLineChars="200"/>
        <w:rPr>
          <w:rFonts w:ascii="宋体" w:hAnsi="宋体"/>
          <w:color w:val="auto"/>
          <w:szCs w:val="21"/>
        </w:rPr>
      </w:pPr>
      <w:r>
        <w:rPr>
          <w:rFonts w:hint="eastAsia" w:ascii="宋体" w:hAnsi="宋体"/>
          <w:color w:val="auto"/>
          <w:szCs w:val="21"/>
        </w:rPr>
        <w:t>合同当事人可以共同选择一名或三名争议评审员，组成争议评审小组。如专用合同条件未对成员人数进行约定，则应由三名成员组成。除专用合同条件另有约定外，合同当事人应当自合同订立后28天内，或者争议发生后14天内，选定争议评审员。</w:t>
      </w:r>
    </w:p>
    <w:p w14:paraId="2EFFB72A">
      <w:pPr>
        <w:spacing w:line="360" w:lineRule="auto"/>
        <w:ind w:firstLine="420" w:firstLineChars="200"/>
        <w:rPr>
          <w:rFonts w:ascii="宋体" w:hAnsi="宋体"/>
          <w:color w:val="auto"/>
          <w:szCs w:val="21"/>
        </w:rPr>
      </w:pPr>
      <w:r>
        <w:rPr>
          <w:rFonts w:hint="eastAsia" w:ascii="宋体" w:hAnsi="宋体"/>
          <w:color w:val="auto"/>
          <w:szCs w:val="21"/>
        </w:rPr>
        <w:t>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p>
    <w:p w14:paraId="2C3C4972">
      <w:pPr>
        <w:spacing w:line="360" w:lineRule="auto"/>
        <w:ind w:firstLine="420" w:firstLineChars="200"/>
        <w:rPr>
          <w:rFonts w:ascii="宋体" w:hAnsi="宋体"/>
          <w:color w:val="auto"/>
          <w:szCs w:val="21"/>
        </w:rPr>
      </w:pPr>
      <w:r>
        <w:rPr>
          <w:rFonts w:hint="eastAsia" w:ascii="宋体" w:hAnsi="宋体"/>
          <w:color w:val="auto"/>
          <w:szCs w:val="21"/>
        </w:rPr>
        <w:t>除专用合同条件另有约定外，争议评审员报酬由发包人和承包人各承担一半。</w:t>
      </w:r>
    </w:p>
    <w:p w14:paraId="2D5B631F">
      <w:pPr>
        <w:pStyle w:val="130"/>
        <w:numPr>
          <w:ilvl w:val="0"/>
          <w:numId w:val="0"/>
        </w:numPr>
        <w:ind w:firstLine="420" w:firstLineChars="200"/>
        <w:rPr>
          <w:color w:val="auto"/>
          <w:sz w:val="21"/>
        </w:rPr>
      </w:pPr>
      <w:bookmarkStart w:id="1875" w:name="_Ref532287270"/>
      <w:r>
        <w:rPr>
          <w:rFonts w:hint="eastAsia"/>
          <w:color w:val="auto"/>
          <w:sz w:val="21"/>
        </w:rPr>
        <w:t>2</w:t>
      </w:r>
      <w:r>
        <w:rPr>
          <w:color w:val="auto"/>
          <w:sz w:val="21"/>
        </w:rPr>
        <w:t xml:space="preserve">0.3.2 </w:t>
      </w:r>
      <w:r>
        <w:rPr>
          <w:rFonts w:hint="eastAsia"/>
          <w:color w:val="auto"/>
          <w:sz w:val="21"/>
        </w:rPr>
        <w:t>争议的避免</w:t>
      </w:r>
      <w:bookmarkEnd w:id="1875"/>
    </w:p>
    <w:p w14:paraId="604F3862">
      <w:pPr>
        <w:spacing w:line="360" w:lineRule="auto"/>
        <w:ind w:firstLine="420" w:firstLineChars="200"/>
        <w:rPr>
          <w:rFonts w:ascii="宋体" w:hAnsi="宋体"/>
          <w:color w:val="auto"/>
          <w:szCs w:val="21"/>
        </w:rPr>
      </w:pPr>
      <w:r>
        <w:rPr>
          <w:rFonts w:hint="eastAsia" w:ascii="宋体" w:hAnsi="宋体"/>
          <w:color w:val="auto"/>
          <w:szCs w:val="21"/>
        </w:rPr>
        <w:t>合同当事人协商一致，可以共同书面请求争议评审小组，就合同履行过程中可能出现争议的情况提供协助或进行非正式讨论，争议评审小组应给出公正的意见或建议。</w:t>
      </w:r>
    </w:p>
    <w:p w14:paraId="217B50AD">
      <w:pPr>
        <w:spacing w:line="360" w:lineRule="auto"/>
        <w:ind w:firstLine="420" w:firstLineChars="200"/>
        <w:rPr>
          <w:rFonts w:ascii="宋体" w:hAnsi="宋体"/>
          <w:color w:val="auto"/>
          <w:szCs w:val="21"/>
        </w:rPr>
      </w:pPr>
      <w:r>
        <w:rPr>
          <w:rFonts w:hint="eastAsia" w:ascii="宋体" w:hAnsi="宋体"/>
          <w:color w:val="auto"/>
          <w:szCs w:val="21"/>
        </w:rPr>
        <w:t>此类协助或非正式讨论可在任何会议、施工现场视察或其他场合进行，并且除专用合同条件另有约定外，发包人和承包人均应出席。</w:t>
      </w:r>
    </w:p>
    <w:p w14:paraId="048888FC">
      <w:pPr>
        <w:spacing w:line="360" w:lineRule="auto"/>
        <w:ind w:firstLine="420" w:firstLineChars="200"/>
        <w:rPr>
          <w:rFonts w:ascii="宋体" w:hAnsi="宋体"/>
          <w:color w:val="auto"/>
          <w:szCs w:val="21"/>
        </w:rPr>
      </w:pPr>
      <w:r>
        <w:rPr>
          <w:rFonts w:hint="eastAsia" w:ascii="宋体" w:hAnsi="宋体"/>
          <w:color w:val="auto"/>
          <w:szCs w:val="21"/>
        </w:rPr>
        <w:t>争议评审小组在此类非正式讨论上给出的任何意见或建议，无论是口头还是书面的，对发包人和承包人不具有约束力，争议评审小组在之后的争议评审程序或决定中也不受此类意见或建议的约束。</w:t>
      </w:r>
    </w:p>
    <w:p w14:paraId="40BDD495">
      <w:pPr>
        <w:pStyle w:val="130"/>
        <w:numPr>
          <w:ilvl w:val="0"/>
          <w:numId w:val="0"/>
        </w:numPr>
        <w:ind w:firstLine="420" w:firstLineChars="200"/>
        <w:rPr>
          <w:color w:val="auto"/>
          <w:sz w:val="21"/>
        </w:rPr>
      </w:pPr>
      <w:bookmarkStart w:id="1876" w:name="_Ref4695594"/>
      <w:r>
        <w:rPr>
          <w:rFonts w:hint="eastAsia"/>
          <w:color w:val="auto"/>
          <w:sz w:val="21"/>
        </w:rPr>
        <w:t>2</w:t>
      </w:r>
      <w:r>
        <w:rPr>
          <w:color w:val="auto"/>
          <w:sz w:val="21"/>
        </w:rPr>
        <w:t xml:space="preserve">0.3.3 </w:t>
      </w:r>
      <w:r>
        <w:rPr>
          <w:rFonts w:hint="eastAsia"/>
          <w:color w:val="auto"/>
          <w:sz w:val="21"/>
        </w:rPr>
        <w:t>争议评审小组的决定</w:t>
      </w:r>
      <w:bookmarkEnd w:id="1876"/>
    </w:p>
    <w:p w14:paraId="270FDDD6">
      <w:pPr>
        <w:spacing w:line="360" w:lineRule="auto"/>
        <w:ind w:firstLine="420" w:firstLineChars="200"/>
        <w:rPr>
          <w:rFonts w:ascii="宋体" w:hAnsi="宋体"/>
          <w:color w:val="auto"/>
          <w:szCs w:val="21"/>
        </w:rPr>
      </w:pPr>
      <w:r>
        <w:rPr>
          <w:rFonts w:hint="eastAsia" w:ascii="宋体" w:hAnsi="宋体"/>
          <w:color w:val="auto"/>
          <w:szCs w:val="21"/>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作出书面决定，并说明理由。合同当事人可以在专用合同条件中对本项事项另行约定。</w:t>
      </w:r>
    </w:p>
    <w:p w14:paraId="667EC746">
      <w:pPr>
        <w:pStyle w:val="130"/>
        <w:numPr>
          <w:ilvl w:val="0"/>
          <w:numId w:val="0"/>
        </w:numPr>
        <w:ind w:firstLine="420" w:firstLineChars="200"/>
        <w:rPr>
          <w:color w:val="auto"/>
          <w:sz w:val="21"/>
        </w:rPr>
      </w:pPr>
      <w:r>
        <w:rPr>
          <w:rFonts w:hint="eastAsia"/>
          <w:color w:val="auto"/>
          <w:sz w:val="21"/>
        </w:rPr>
        <w:t>2</w:t>
      </w:r>
      <w:r>
        <w:rPr>
          <w:color w:val="auto"/>
          <w:sz w:val="21"/>
        </w:rPr>
        <w:t xml:space="preserve">0.3.4 </w:t>
      </w:r>
      <w:r>
        <w:rPr>
          <w:rFonts w:hint="eastAsia"/>
          <w:color w:val="auto"/>
          <w:sz w:val="21"/>
        </w:rPr>
        <w:t>争议评审小组决定的效力</w:t>
      </w:r>
    </w:p>
    <w:p w14:paraId="200714DC">
      <w:pPr>
        <w:spacing w:line="360" w:lineRule="auto"/>
        <w:ind w:firstLine="420" w:firstLineChars="200"/>
        <w:rPr>
          <w:rFonts w:ascii="宋体" w:hAnsi="宋体"/>
          <w:color w:val="auto"/>
          <w:szCs w:val="21"/>
        </w:rPr>
      </w:pPr>
      <w:r>
        <w:rPr>
          <w:rFonts w:hint="eastAsia" w:ascii="宋体" w:hAnsi="宋体"/>
          <w:color w:val="auto"/>
          <w:szCs w:val="21"/>
        </w:rPr>
        <w:t>争议评审小组作出的书面决定经合同当事人签字确认后，对双方具有约束力，双方应遵照执行。</w:t>
      </w:r>
    </w:p>
    <w:p w14:paraId="26C8FE3E">
      <w:pPr>
        <w:spacing w:line="360" w:lineRule="auto"/>
        <w:ind w:firstLine="420" w:firstLineChars="200"/>
        <w:rPr>
          <w:rFonts w:ascii="宋体" w:hAnsi="宋体"/>
          <w:color w:val="auto"/>
          <w:szCs w:val="21"/>
        </w:rPr>
      </w:pPr>
      <w:r>
        <w:rPr>
          <w:rFonts w:hint="eastAsia" w:ascii="宋体" w:hAnsi="宋体"/>
          <w:color w:val="auto"/>
          <w:szCs w:val="21"/>
        </w:rPr>
        <w:t>任何一方当事人不接受争议评审小组决定或不履行争议评审小组决定的，双方可选择采用其他争议解决方式。</w:t>
      </w:r>
    </w:p>
    <w:p w14:paraId="2FB4EE29">
      <w:pPr>
        <w:spacing w:line="360" w:lineRule="auto"/>
        <w:ind w:firstLine="420" w:firstLineChars="200"/>
        <w:rPr>
          <w:rFonts w:ascii="宋体" w:hAnsi="宋体"/>
          <w:color w:val="auto"/>
          <w:szCs w:val="21"/>
        </w:rPr>
      </w:pPr>
      <w:r>
        <w:rPr>
          <w:rFonts w:hint="eastAsia" w:ascii="宋体" w:hAnsi="宋体"/>
          <w:color w:val="auto"/>
          <w:szCs w:val="21"/>
        </w:rPr>
        <w:t>任何一方当事人不接受争议评审小组的决定，并不影响暂时执行争议评审小组的决定，直到在后续的采用其他争议解决方式中对争议评审小组的决定进行了改变。</w:t>
      </w:r>
    </w:p>
    <w:p w14:paraId="118F2D13">
      <w:pPr>
        <w:pStyle w:val="4"/>
        <w:spacing w:before="120" w:line="360" w:lineRule="auto"/>
        <w:rPr>
          <w:color w:val="auto"/>
        </w:rPr>
      </w:pPr>
      <w:bookmarkStart w:id="1877" w:name="_Toc154063645"/>
      <w:bookmarkStart w:id="1878" w:name="_Toc54862329"/>
      <w:bookmarkStart w:id="1879" w:name="_Ref532221752"/>
      <w:bookmarkStart w:id="1880" w:name="_Ref532221748"/>
      <w:r>
        <w:rPr>
          <w:rFonts w:hint="eastAsia"/>
          <w:color w:val="auto"/>
        </w:rPr>
        <w:t>2</w:t>
      </w:r>
      <w:r>
        <w:rPr>
          <w:color w:val="auto"/>
        </w:rPr>
        <w:t xml:space="preserve">0.4 </w:t>
      </w:r>
      <w:r>
        <w:rPr>
          <w:rFonts w:hint="eastAsia"/>
          <w:color w:val="auto"/>
        </w:rPr>
        <w:t>仲裁或诉讼</w:t>
      </w:r>
      <w:bookmarkEnd w:id="1877"/>
      <w:bookmarkEnd w:id="1878"/>
      <w:bookmarkEnd w:id="1879"/>
      <w:bookmarkEnd w:id="1880"/>
    </w:p>
    <w:p w14:paraId="3F71F880">
      <w:pPr>
        <w:spacing w:line="360" w:lineRule="auto"/>
        <w:ind w:firstLine="420" w:firstLineChars="200"/>
        <w:rPr>
          <w:rFonts w:ascii="宋体" w:hAnsi="宋体"/>
          <w:color w:val="auto"/>
          <w:szCs w:val="21"/>
        </w:rPr>
      </w:pPr>
      <w:r>
        <w:rPr>
          <w:rFonts w:hint="eastAsia" w:ascii="宋体" w:hAnsi="宋体"/>
          <w:color w:val="auto"/>
          <w:szCs w:val="21"/>
        </w:rPr>
        <w:t>因合同及合同有关事项产生的争议，合同当事人可以在专用合同条件中约定以下一种方式解决争议：</w:t>
      </w:r>
    </w:p>
    <w:p w14:paraId="6AF07296">
      <w:pPr>
        <w:pStyle w:val="147"/>
        <w:numPr>
          <w:ilvl w:val="0"/>
          <w:numId w:val="0"/>
        </w:numPr>
        <w:ind w:firstLine="420" w:firstLineChars="200"/>
        <w:rPr>
          <w:color w:val="auto"/>
          <w:sz w:val="21"/>
          <w:szCs w:val="21"/>
        </w:rPr>
      </w:pPr>
      <w:r>
        <w:rPr>
          <w:rFonts w:hint="eastAsia"/>
          <w:color w:val="auto"/>
          <w:sz w:val="21"/>
          <w:szCs w:val="21"/>
        </w:rPr>
        <w:t>（1）向约定的仲裁委员会申请仲裁；</w:t>
      </w:r>
    </w:p>
    <w:p w14:paraId="4501E828">
      <w:pPr>
        <w:pStyle w:val="147"/>
        <w:numPr>
          <w:ilvl w:val="0"/>
          <w:numId w:val="0"/>
        </w:numPr>
        <w:ind w:firstLine="420" w:firstLineChars="200"/>
        <w:rPr>
          <w:color w:val="auto"/>
          <w:sz w:val="21"/>
          <w:szCs w:val="21"/>
        </w:rPr>
      </w:pPr>
      <w:r>
        <w:rPr>
          <w:rFonts w:hint="eastAsia"/>
          <w:color w:val="auto"/>
          <w:sz w:val="21"/>
          <w:szCs w:val="21"/>
        </w:rPr>
        <w:t>（2）向有管辖权的人民法院起诉。</w:t>
      </w:r>
    </w:p>
    <w:p w14:paraId="6083D8F4">
      <w:pPr>
        <w:pStyle w:val="4"/>
        <w:spacing w:before="120" w:line="360" w:lineRule="auto"/>
        <w:rPr>
          <w:color w:val="auto"/>
        </w:rPr>
      </w:pPr>
      <w:bookmarkStart w:id="1881" w:name="_Toc54862330"/>
      <w:bookmarkStart w:id="1882" w:name="_Toc154063646"/>
      <w:r>
        <w:rPr>
          <w:rFonts w:hint="eastAsia"/>
          <w:color w:val="auto"/>
        </w:rPr>
        <w:t>2</w:t>
      </w:r>
      <w:r>
        <w:rPr>
          <w:color w:val="auto"/>
        </w:rPr>
        <w:t xml:space="preserve">0.5 </w:t>
      </w:r>
      <w:r>
        <w:rPr>
          <w:rFonts w:hint="eastAsia"/>
          <w:color w:val="auto"/>
        </w:rPr>
        <w:t>争议解决条款效力</w:t>
      </w:r>
      <w:bookmarkEnd w:id="1881"/>
      <w:bookmarkEnd w:id="1882"/>
    </w:p>
    <w:p w14:paraId="19675BC1">
      <w:pPr>
        <w:spacing w:line="360" w:lineRule="auto"/>
        <w:ind w:firstLine="420" w:firstLineChars="200"/>
        <w:rPr>
          <w:rFonts w:hint="eastAsia" w:ascii="宋体" w:hAnsi="宋体"/>
          <w:color w:val="auto"/>
          <w:szCs w:val="21"/>
        </w:rPr>
      </w:pPr>
      <w:r>
        <w:rPr>
          <w:rFonts w:hint="eastAsia" w:ascii="宋体" w:hAnsi="宋体"/>
          <w:color w:val="auto"/>
          <w:szCs w:val="21"/>
        </w:rPr>
        <w:t>合同有关争议解决的条款独立存在，合同的不生效、无效、被撤销或者终止的，不影响合同中有关争议解决条款的效力。</w:t>
      </w:r>
    </w:p>
    <w:p w14:paraId="64CF49E5">
      <w:pPr>
        <w:spacing w:line="360" w:lineRule="auto"/>
        <w:ind w:firstLine="420" w:firstLineChars="200"/>
        <w:rPr>
          <w:rFonts w:hint="eastAsia" w:ascii="宋体" w:hAnsi="宋体"/>
          <w:color w:val="auto"/>
          <w:szCs w:val="21"/>
        </w:rPr>
      </w:pPr>
    </w:p>
    <w:p w14:paraId="448D8784">
      <w:pPr>
        <w:spacing w:line="360" w:lineRule="auto"/>
        <w:ind w:firstLine="420" w:firstLineChars="200"/>
        <w:rPr>
          <w:rFonts w:hint="eastAsia" w:ascii="宋体" w:hAnsi="宋体"/>
          <w:color w:val="auto"/>
          <w:szCs w:val="21"/>
        </w:rPr>
      </w:pPr>
    </w:p>
    <w:p w14:paraId="3FB60DE5">
      <w:pPr>
        <w:spacing w:line="360" w:lineRule="auto"/>
        <w:ind w:firstLine="420" w:firstLineChars="200"/>
        <w:rPr>
          <w:rFonts w:hint="eastAsia" w:ascii="宋体" w:hAnsi="宋体"/>
          <w:color w:val="auto"/>
          <w:szCs w:val="21"/>
        </w:rPr>
      </w:pPr>
    </w:p>
    <w:p w14:paraId="3B420E72">
      <w:pPr>
        <w:spacing w:line="360" w:lineRule="auto"/>
        <w:ind w:firstLine="420" w:firstLineChars="200"/>
        <w:rPr>
          <w:rFonts w:hint="eastAsia" w:ascii="宋体" w:hAnsi="宋体"/>
          <w:color w:val="auto"/>
          <w:szCs w:val="21"/>
        </w:rPr>
      </w:pPr>
    </w:p>
    <w:p w14:paraId="3283FAA1">
      <w:pPr>
        <w:spacing w:line="360" w:lineRule="auto"/>
        <w:ind w:firstLine="420" w:firstLineChars="200"/>
        <w:rPr>
          <w:rFonts w:hint="eastAsia" w:ascii="宋体" w:hAnsi="宋体"/>
          <w:color w:val="auto"/>
          <w:szCs w:val="21"/>
        </w:rPr>
      </w:pPr>
    </w:p>
    <w:p w14:paraId="66F57EC6">
      <w:pPr>
        <w:spacing w:line="360" w:lineRule="auto"/>
        <w:ind w:firstLine="420" w:firstLineChars="200"/>
        <w:rPr>
          <w:rFonts w:hint="eastAsia" w:ascii="宋体" w:hAnsi="宋体"/>
          <w:color w:val="auto"/>
          <w:szCs w:val="21"/>
        </w:rPr>
      </w:pPr>
    </w:p>
    <w:p w14:paraId="7B76B3D0">
      <w:pPr>
        <w:pStyle w:val="49"/>
        <w:rPr>
          <w:rFonts w:hint="eastAsia"/>
          <w:color w:val="auto"/>
        </w:rPr>
      </w:pPr>
    </w:p>
    <w:p w14:paraId="2AEA5A36">
      <w:pPr>
        <w:spacing w:line="360" w:lineRule="auto"/>
        <w:ind w:firstLine="420" w:firstLineChars="200"/>
        <w:rPr>
          <w:rFonts w:hint="eastAsia" w:ascii="宋体" w:hAnsi="宋体"/>
          <w:color w:val="auto"/>
          <w:szCs w:val="21"/>
        </w:rPr>
      </w:pPr>
    </w:p>
    <w:p w14:paraId="692B0B0B">
      <w:pPr>
        <w:spacing w:line="360" w:lineRule="auto"/>
        <w:ind w:firstLine="420" w:firstLineChars="200"/>
        <w:rPr>
          <w:rFonts w:hint="eastAsia" w:ascii="宋体" w:hAnsi="宋体"/>
          <w:color w:val="auto"/>
          <w:szCs w:val="21"/>
        </w:rPr>
      </w:pPr>
    </w:p>
    <w:p w14:paraId="24979A2E">
      <w:pPr>
        <w:spacing w:line="360" w:lineRule="auto"/>
        <w:ind w:firstLine="420" w:firstLineChars="200"/>
        <w:rPr>
          <w:rFonts w:hint="eastAsia" w:ascii="宋体" w:hAnsi="宋体"/>
          <w:color w:val="auto"/>
          <w:szCs w:val="21"/>
        </w:rPr>
      </w:pPr>
    </w:p>
    <w:p w14:paraId="20D00C20">
      <w:pPr>
        <w:spacing w:line="360" w:lineRule="auto"/>
        <w:ind w:firstLine="420" w:firstLineChars="200"/>
        <w:rPr>
          <w:rFonts w:hint="eastAsia" w:ascii="宋体" w:hAnsi="宋体"/>
          <w:color w:val="auto"/>
          <w:szCs w:val="21"/>
        </w:rPr>
      </w:pPr>
    </w:p>
    <w:p w14:paraId="3F052FB2">
      <w:pPr>
        <w:pStyle w:val="49"/>
        <w:rPr>
          <w:rFonts w:hint="eastAsia"/>
          <w:color w:val="auto"/>
        </w:rPr>
      </w:pPr>
    </w:p>
    <w:p w14:paraId="3AAD9F54">
      <w:pPr>
        <w:pStyle w:val="83"/>
        <w:spacing w:before="48" w:line="360" w:lineRule="auto"/>
        <w:rPr>
          <w:rFonts w:hint="eastAsia"/>
          <w:color w:val="auto"/>
        </w:rPr>
      </w:pPr>
      <w:bookmarkStart w:id="1883" w:name="_Toc154063647"/>
      <w:bookmarkStart w:id="1884" w:name="_Toc54862331"/>
      <w:r>
        <w:rPr>
          <w:rFonts w:hint="eastAsia"/>
          <w:color w:val="auto"/>
          <w:sz w:val="28"/>
          <w:szCs w:val="28"/>
        </w:rPr>
        <w:t>第三节</w:t>
      </w:r>
      <w:r>
        <w:rPr>
          <w:color w:val="auto"/>
          <w:sz w:val="28"/>
          <w:szCs w:val="28"/>
        </w:rPr>
        <w:t xml:space="preserve"> </w:t>
      </w:r>
      <w:r>
        <w:rPr>
          <w:rFonts w:hint="eastAsia"/>
          <w:color w:val="auto"/>
          <w:sz w:val="28"/>
          <w:szCs w:val="28"/>
        </w:rPr>
        <w:t>专用合同条件</w:t>
      </w:r>
      <w:bookmarkEnd w:id="1883"/>
      <w:bookmarkEnd w:id="1884"/>
    </w:p>
    <w:p w14:paraId="09C77CFD">
      <w:pPr>
        <w:spacing w:line="360" w:lineRule="auto"/>
        <w:jc w:val="center"/>
        <w:rPr>
          <w:rFonts w:hint="eastAsia" w:ascii="黑体" w:eastAsia="黑体"/>
          <w:color w:val="auto"/>
          <w:sz w:val="28"/>
          <w:szCs w:val="28"/>
        </w:rPr>
      </w:pPr>
      <w:r>
        <w:rPr>
          <w:rFonts w:hint="eastAsia" w:ascii="黑体" w:eastAsia="黑体"/>
          <w:color w:val="auto"/>
          <w:sz w:val="28"/>
          <w:szCs w:val="28"/>
        </w:rPr>
        <w:t>专用合同条件</w:t>
      </w:r>
    </w:p>
    <w:p w14:paraId="5DFDB33E">
      <w:pPr>
        <w:pStyle w:val="3"/>
        <w:spacing w:before="48" w:line="360" w:lineRule="auto"/>
        <w:rPr>
          <w:rFonts w:ascii="黑体" w:hAnsi="黑体"/>
          <w:bCs w:val="0"/>
          <w:color w:val="auto"/>
          <w:sz w:val="28"/>
        </w:rPr>
      </w:pPr>
      <w:bookmarkStart w:id="1885" w:name="_Toc154063648"/>
      <w:bookmarkStart w:id="1886" w:name="_Toc54862332"/>
      <w:r>
        <w:rPr>
          <w:rFonts w:hint="eastAsia" w:ascii="黑体" w:hAnsi="黑体"/>
          <w:bCs w:val="0"/>
          <w:color w:val="auto"/>
          <w:sz w:val="28"/>
        </w:rPr>
        <w:t>第</w:t>
      </w:r>
      <w:r>
        <w:rPr>
          <w:rFonts w:ascii="黑体" w:hAnsi="黑体"/>
          <w:bCs w:val="0"/>
          <w:color w:val="auto"/>
          <w:sz w:val="28"/>
        </w:rPr>
        <w:t>1条</w:t>
      </w:r>
      <w:r>
        <w:rPr>
          <w:rFonts w:hint="eastAsia" w:ascii="黑体" w:hAnsi="黑体"/>
          <w:bCs w:val="0"/>
          <w:color w:val="auto"/>
          <w:sz w:val="28"/>
        </w:rPr>
        <w:t xml:space="preserve"> 一般约定</w:t>
      </w:r>
      <w:bookmarkEnd w:id="1885"/>
      <w:bookmarkEnd w:id="1886"/>
    </w:p>
    <w:p w14:paraId="28665FB2">
      <w:pPr>
        <w:pStyle w:val="4"/>
        <w:spacing w:before="120" w:line="360" w:lineRule="auto"/>
        <w:rPr>
          <w:color w:val="auto"/>
        </w:rPr>
      </w:pPr>
      <w:bookmarkStart w:id="1887" w:name="_Toc154063649"/>
      <w:r>
        <w:rPr>
          <w:color w:val="auto"/>
        </w:rPr>
        <w:t xml:space="preserve">1.1 </w:t>
      </w:r>
      <w:r>
        <w:rPr>
          <w:rFonts w:hint="eastAsia"/>
          <w:color w:val="auto"/>
        </w:rPr>
        <w:t>词语定义和解释</w:t>
      </w:r>
      <w:bookmarkEnd w:id="1887"/>
    </w:p>
    <w:p w14:paraId="1671C248">
      <w:pPr>
        <w:spacing w:line="360" w:lineRule="auto"/>
        <w:ind w:firstLine="420" w:firstLineChars="200"/>
        <w:rPr>
          <w:rFonts w:ascii="宋体" w:hAnsi="宋体"/>
          <w:color w:val="auto"/>
          <w:szCs w:val="21"/>
        </w:rPr>
      </w:pPr>
      <w:r>
        <w:rPr>
          <w:rFonts w:ascii="宋体" w:hAnsi="宋体"/>
          <w:color w:val="auto"/>
          <w:szCs w:val="21"/>
        </w:rPr>
        <w:t xml:space="preserve">1.1.1 </w:t>
      </w:r>
      <w:r>
        <w:rPr>
          <w:rFonts w:hint="eastAsia" w:ascii="宋体" w:hAnsi="宋体"/>
          <w:color w:val="auto"/>
          <w:szCs w:val="21"/>
        </w:rPr>
        <w:t>合同</w:t>
      </w:r>
    </w:p>
    <w:p w14:paraId="396AB2C4">
      <w:pPr>
        <w:spacing w:line="360" w:lineRule="auto"/>
        <w:ind w:firstLine="600"/>
        <w:rPr>
          <w:rFonts w:ascii="宋体" w:hAnsi="宋体"/>
          <w:color w:val="auto"/>
          <w:szCs w:val="21"/>
        </w:rPr>
      </w:pPr>
      <w:r>
        <w:rPr>
          <w:rFonts w:ascii="宋体" w:hAnsi="宋体"/>
          <w:color w:val="auto"/>
          <w:szCs w:val="21"/>
        </w:rPr>
        <w:t xml:space="preserve">1.1.1.10 </w:t>
      </w:r>
      <w:r>
        <w:rPr>
          <w:rFonts w:hint="eastAsia" w:ascii="宋体" w:hAnsi="宋体"/>
          <w:color w:val="auto"/>
          <w:szCs w:val="21"/>
        </w:rPr>
        <w:t>其他合同文件：</w:t>
      </w:r>
      <w:r>
        <w:rPr>
          <w:rFonts w:hint="eastAsia" w:ascii="宋体" w:hAnsi="宋体"/>
          <w:color w:val="auto"/>
          <w:szCs w:val="21"/>
          <w:u w:val="single"/>
        </w:rPr>
        <w:t>招投标文件、定标答辩记录，施工图预算及经合同双方当事人确认构成合同文件的补充协议，签证和洽商记录，会议纪要（包括但不限于图纸会审、监理例会纪要、专项会议纪要等），设计变更，签证和洽商记录，工程联系函及现场签证单，经批准的施工方案等</w:t>
      </w:r>
      <w:r>
        <w:rPr>
          <w:rFonts w:ascii="宋体" w:hAnsi="宋体"/>
          <w:color w:val="auto"/>
          <w:szCs w:val="21"/>
          <w:u w:val="single"/>
        </w:rPr>
        <w:t xml:space="preserve"> </w:t>
      </w:r>
      <w:r>
        <w:rPr>
          <w:rFonts w:hint="eastAsia" w:ascii="宋体" w:hAnsi="宋体"/>
          <w:color w:val="auto"/>
          <w:szCs w:val="21"/>
        </w:rPr>
        <w:t>。</w:t>
      </w:r>
    </w:p>
    <w:p w14:paraId="2C782C2B">
      <w:pPr>
        <w:spacing w:line="360" w:lineRule="auto"/>
        <w:ind w:firstLine="420" w:firstLineChars="200"/>
        <w:rPr>
          <w:rFonts w:ascii="宋体" w:hAnsi="宋体"/>
          <w:color w:val="auto"/>
          <w:szCs w:val="21"/>
        </w:rPr>
      </w:pPr>
      <w:r>
        <w:rPr>
          <w:rFonts w:ascii="宋体" w:hAnsi="宋体"/>
          <w:color w:val="auto"/>
          <w:szCs w:val="21"/>
        </w:rPr>
        <w:t xml:space="preserve">1.1.3 </w:t>
      </w:r>
      <w:r>
        <w:rPr>
          <w:rFonts w:hint="eastAsia" w:ascii="宋体" w:hAnsi="宋体"/>
          <w:color w:val="auto"/>
          <w:szCs w:val="21"/>
        </w:rPr>
        <w:t>工程和设备</w:t>
      </w:r>
    </w:p>
    <w:p w14:paraId="5E6D9C69">
      <w:pPr>
        <w:spacing w:line="360" w:lineRule="auto"/>
        <w:ind w:firstLine="600"/>
        <w:rPr>
          <w:rFonts w:ascii="宋体" w:hAnsi="宋体"/>
          <w:color w:val="auto"/>
          <w:szCs w:val="21"/>
        </w:rPr>
      </w:pPr>
      <w:r>
        <w:rPr>
          <w:rFonts w:ascii="宋体" w:hAnsi="宋体"/>
          <w:color w:val="auto"/>
          <w:szCs w:val="21"/>
        </w:rPr>
        <w:t xml:space="preserve">1.1.3.5 </w:t>
      </w:r>
      <w:r>
        <w:rPr>
          <w:rFonts w:hint="eastAsia" w:ascii="宋体" w:hAnsi="宋体"/>
          <w:color w:val="auto"/>
          <w:szCs w:val="21"/>
        </w:rPr>
        <w:t>单位/区段工程的范围：</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ascii="宋体" w:hAnsi="宋体"/>
          <w:color w:val="auto"/>
          <w:szCs w:val="21"/>
          <w:u w:val="single"/>
        </w:rPr>
        <w:t xml:space="preserve">  </w:t>
      </w:r>
      <w:r>
        <w:rPr>
          <w:rFonts w:hint="eastAsia" w:ascii="宋体" w:hAnsi="宋体"/>
          <w:color w:val="auto"/>
          <w:szCs w:val="21"/>
        </w:rPr>
        <w:t>。</w:t>
      </w:r>
    </w:p>
    <w:p w14:paraId="7550D1E7">
      <w:pPr>
        <w:spacing w:line="360" w:lineRule="auto"/>
        <w:ind w:firstLine="600"/>
        <w:rPr>
          <w:rFonts w:ascii="宋体" w:hAnsi="宋体"/>
          <w:color w:val="auto"/>
          <w:szCs w:val="21"/>
        </w:rPr>
      </w:pPr>
      <w:r>
        <w:rPr>
          <w:rFonts w:ascii="宋体" w:hAnsi="宋体"/>
          <w:color w:val="auto"/>
          <w:szCs w:val="21"/>
        </w:rPr>
        <w:t xml:space="preserve">1.1.3.9 </w:t>
      </w:r>
      <w:r>
        <w:rPr>
          <w:rFonts w:hint="eastAsia" w:ascii="宋体" w:hAnsi="宋体"/>
          <w:color w:val="auto"/>
          <w:szCs w:val="21"/>
        </w:rPr>
        <w:t>作为施工场所组成部分的其他场所包括：</w:t>
      </w:r>
      <w:r>
        <w:rPr>
          <w:rFonts w:ascii="宋体" w:hAnsi="宋体"/>
          <w:color w:val="auto"/>
          <w:szCs w:val="21"/>
          <w:u w:val="single"/>
        </w:rPr>
        <w:t xml:space="preserve">   </w:t>
      </w:r>
      <w:r>
        <w:rPr>
          <w:rFonts w:hint="eastAsia" w:ascii="宋体" w:hAnsi="宋体"/>
          <w:color w:val="auto"/>
          <w:szCs w:val="21"/>
          <w:u w:val="single"/>
          <w:lang w:val="en-US" w:eastAsia="zh-CN"/>
        </w:rPr>
        <w:t>/</w:t>
      </w:r>
      <w:r>
        <w:rPr>
          <w:rFonts w:ascii="宋体" w:hAnsi="宋体"/>
          <w:color w:val="auto"/>
          <w:szCs w:val="21"/>
          <w:u w:val="single"/>
        </w:rPr>
        <w:t xml:space="preserve">   </w:t>
      </w:r>
      <w:r>
        <w:rPr>
          <w:rFonts w:hint="eastAsia" w:ascii="宋体" w:hAnsi="宋体"/>
          <w:color w:val="auto"/>
          <w:szCs w:val="21"/>
        </w:rPr>
        <w:t>。</w:t>
      </w:r>
    </w:p>
    <w:p w14:paraId="36AF100A">
      <w:pPr>
        <w:spacing w:line="360" w:lineRule="auto"/>
        <w:ind w:firstLine="600"/>
        <w:rPr>
          <w:rFonts w:ascii="宋体" w:hAnsi="宋体"/>
          <w:color w:val="auto"/>
          <w:szCs w:val="21"/>
        </w:rPr>
      </w:pPr>
      <w:r>
        <w:rPr>
          <w:rFonts w:ascii="宋体" w:hAnsi="宋体"/>
          <w:color w:val="auto"/>
          <w:szCs w:val="21"/>
        </w:rPr>
        <w:t xml:space="preserve">1.1.3.10 </w:t>
      </w:r>
      <w:r>
        <w:rPr>
          <w:rFonts w:hint="eastAsia" w:ascii="宋体" w:hAnsi="宋体"/>
          <w:color w:val="auto"/>
          <w:szCs w:val="21"/>
        </w:rPr>
        <w:t>永久占地包括：</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lang w:val="en-US" w:eastAsia="zh-CN"/>
        </w:rPr>
        <w:t>/</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rPr>
        <w:t>。</w:t>
      </w:r>
    </w:p>
    <w:p w14:paraId="5914C891">
      <w:pPr>
        <w:spacing w:line="360" w:lineRule="auto"/>
        <w:ind w:firstLine="600"/>
        <w:rPr>
          <w:rFonts w:ascii="宋体" w:hAnsi="宋体"/>
          <w:color w:val="auto"/>
          <w:szCs w:val="21"/>
        </w:rPr>
      </w:pPr>
      <w:r>
        <w:rPr>
          <w:rFonts w:ascii="宋体" w:hAnsi="宋体"/>
          <w:color w:val="auto"/>
          <w:szCs w:val="21"/>
        </w:rPr>
        <w:t xml:space="preserve">1.1.3.11 </w:t>
      </w:r>
      <w:r>
        <w:rPr>
          <w:rFonts w:hint="eastAsia" w:ascii="宋体" w:hAnsi="宋体"/>
          <w:color w:val="auto"/>
          <w:szCs w:val="21"/>
        </w:rPr>
        <w:t>临时占地包括：</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lang w:val="en-US" w:eastAsia="zh-CN"/>
        </w:rPr>
        <w:t>/</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rPr>
        <w:t>。</w:t>
      </w:r>
    </w:p>
    <w:p w14:paraId="667DB5F0">
      <w:pPr>
        <w:pStyle w:val="4"/>
        <w:spacing w:before="120" w:line="360" w:lineRule="auto"/>
        <w:rPr>
          <w:color w:val="auto"/>
        </w:rPr>
      </w:pPr>
      <w:bookmarkStart w:id="1888" w:name="_Toc154063650"/>
      <w:r>
        <w:rPr>
          <w:color w:val="auto"/>
        </w:rPr>
        <w:t xml:space="preserve">1.2 </w:t>
      </w:r>
      <w:r>
        <w:rPr>
          <w:rFonts w:hint="eastAsia"/>
          <w:color w:val="auto"/>
        </w:rPr>
        <w:t>语言文字</w:t>
      </w:r>
      <w:bookmarkEnd w:id="1888"/>
    </w:p>
    <w:p w14:paraId="7F952C1F">
      <w:pPr>
        <w:spacing w:line="360" w:lineRule="auto"/>
        <w:ind w:firstLine="420" w:firstLineChars="200"/>
        <w:rPr>
          <w:rFonts w:ascii="宋体" w:hAnsi="宋体"/>
          <w:color w:val="auto"/>
          <w:szCs w:val="21"/>
        </w:rPr>
      </w:pPr>
      <w:r>
        <w:rPr>
          <w:rFonts w:hint="eastAsia" w:ascii="宋体" w:hAnsi="宋体"/>
          <w:color w:val="auto"/>
          <w:szCs w:val="21"/>
        </w:rPr>
        <w:t>本合同除使用汉语外，还使用</w:t>
      </w:r>
      <w:r>
        <w:rPr>
          <w:rFonts w:ascii="宋体" w:hAnsi="宋体"/>
          <w:color w:val="auto"/>
          <w:szCs w:val="21"/>
          <w:u w:val="single"/>
        </w:rPr>
        <w:t xml:space="preserve">    </w:t>
      </w:r>
      <w:r>
        <w:rPr>
          <w:rFonts w:hint="eastAsia" w:ascii="宋体" w:hAnsi="宋体"/>
          <w:color w:val="auto"/>
          <w:szCs w:val="21"/>
          <w:u w:val="single"/>
          <w:lang w:val="en-US" w:eastAsia="zh-CN"/>
        </w:rPr>
        <w:t>/</w:t>
      </w:r>
      <w:r>
        <w:rPr>
          <w:rFonts w:ascii="宋体" w:hAnsi="宋体"/>
          <w:color w:val="auto"/>
          <w:szCs w:val="21"/>
          <w:u w:val="single"/>
        </w:rPr>
        <w:t xml:space="preserve">   </w:t>
      </w:r>
      <w:r>
        <w:rPr>
          <w:rFonts w:hint="eastAsia" w:ascii="宋体" w:hAnsi="宋体"/>
          <w:color w:val="auto"/>
          <w:szCs w:val="21"/>
        </w:rPr>
        <w:t>语言。</w:t>
      </w:r>
    </w:p>
    <w:p w14:paraId="24B6DA44">
      <w:pPr>
        <w:pStyle w:val="4"/>
        <w:spacing w:before="120" w:line="360" w:lineRule="auto"/>
        <w:rPr>
          <w:color w:val="auto"/>
        </w:rPr>
      </w:pPr>
      <w:bookmarkStart w:id="1889" w:name="_Toc154063651"/>
      <w:r>
        <w:rPr>
          <w:color w:val="auto"/>
        </w:rPr>
        <w:t xml:space="preserve">1.3 </w:t>
      </w:r>
      <w:r>
        <w:rPr>
          <w:rFonts w:hint="eastAsia"/>
          <w:color w:val="auto"/>
        </w:rPr>
        <w:t>法律</w:t>
      </w:r>
      <w:bookmarkEnd w:id="1889"/>
    </w:p>
    <w:p w14:paraId="0334F738">
      <w:pPr>
        <w:spacing w:line="360" w:lineRule="auto"/>
        <w:ind w:firstLine="420" w:firstLineChars="200"/>
        <w:rPr>
          <w:rFonts w:ascii="宋体" w:hAnsi="宋体"/>
          <w:color w:val="auto"/>
          <w:szCs w:val="21"/>
        </w:rPr>
      </w:pPr>
      <w:r>
        <w:rPr>
          <w:rFonts w:hint="eastAsia" w:ascii="宋体" w:hAnsi="宋体"/>
          <w:color w:val="auto"/>
          <w:szCs w:val="21"/>
        </w:rPr>
        <w:t>适用于合同的其他规范性文件：</w:t>
      </w:r>
      <w:r>
        <w:rPr>
          <w:rFonts w:ascii="宋体" w:hAnsi="宋体"/>
          <w:color w:val="auto"/>
          <w:szCs w:val="21"/>
          <w:u w:val="single"/>
        </w:rPr>
        <w:t xml:space="preserve"> </w:t>
      </w:r>
      <w:r>
        <w:rPr>
          <w:rFonts w:hint="eastAsia" w:ascii="宋体" w:hAnsi="宋体"/>
          <w:color w:val="auto"/>
          <w:szCs w:val="21"/>
          <w:u w:val="single"/>
        </w:rPr>
        <w:t>国家、地方政府、行业主管部门发布的现行法律、法规，《中华人民共和国民法典》、《中华人民共和国建筑法》、《中华人民共和国招标投标法》、《建设工程质量管理条例》</w:t>
      </w:r>
      <w:r>
        <w:rPr>
          <w:rFonts w:ascii="宋体" w:hAnsi="宋体"/>
          <w:color w:val="auto"/>
          <w:szCs w:val="21"/>
          <w:u w:val="single"/>
        </w:rPr>
        <w:t xml:space="preserve"> </w:t>
      </w:r>
      <w:r>
        <w:rPr>
          <w:rFonts w:hint="eastAsia" w:ascii="宋体" w:hAnsi="宋体"/>
          <w:color w:val="auto"/>
          <w:szCs w:val="21"/>
        </w:rPr>
        <w:t>。</w:t>
      </w:r>
    </w:p>
    <w:p w14:paraId="7AD11851">
      <w:pPr>
        <w:pStyle w:val="4"/>
        <w:spacing w:before="120" w:line="360" w:lineRule="auto"/>
        <w:rPr>
          <w:color w:val="auto"/>
        </w:rPr>
      </w:pPr>
      <w:bookmarkStart w:id="1890" w:name="_Toc154063652"/>
      <w:r>
        <w:rPr>
          <w:color w:val="auto"/>
        </w:rPr>
        <w:t xml:space="preserve">1.4 </w:t>
      </w:r>
      <w:r>
        <w:rPr>
          <w:rFonts w:hint="eastAsia"/>
          <w:color w:val="auto"/>
        </w:rPr>
        <w:t>标准和规范</w:t>
      </w:r>
      <w:bookmarkEnd w:id="1890"/>
    </w:p>
    <w:p w14:paraId="32887A92">
      <w:pPr>
        <w:spacing w:line="360" w:lineRule="auto"/>
        <w:ind w:firstLine="420" w:firstLineChars="200"/>
        <w:rPr>
          <w:rFonts w:ascii="宋体" w:hAnsi="宋体"/>
          <w:color w:val="auto"/>
          <w:szCs w:val="21"/>
        </w:rPr>
      </w:pPr>
      <w:r>
        <w:rPr>
          <w:rFonts w:ascii="宋体" w:hAnsi="宋体"/>
          <w:color w:val="auto"/>
          <w:szCs w:val="21"/>
        </w:rPr>
        <w:t xml:space="preserve">1.4.1 </w:t>
      </w:r>
      <w:r>
        <w:rPr>
          <w:rFonts w:hint="eastAsia" w:ascii="宋体" w:hAnsi="宋体"/>
          <w:color w:val="auto"/>
          <w:szCs w:val="21"/>
        </w:rPr>
        <w:t>适用于本合同的标准、规范（名称）包括：</w:t>
      </w:r>
      <w:r>
        <w:rPr>
          <w:rFonts w:ascii="宋体" w:hAnsi="宋体"/>
          <w:color w:val="auto"/>
          <w:szCs w:val="21"/>
          <w:u w:val="single"/>
        </w:rPr>
        <w:t xml:space="preserve"> </w:t>
      </w:r>
      <w:r>
        <w:rPr>
          <w:rFonts w:hint="eastAsia" w:ascii="宋体" w:hAnsi="宋体"/>
          <w:color w:val="auto"/>
          <w:szCs w:val="21"/>
          <w:u w:val="single"/>
        </w:rPr>
        <w:t>国家、地方政府、行业主管部门发布的施工规范、质量验收规范、质量评定标准、地方技术标准和规程等</w:t>
      </w:r>
      <w:r>
        <w:rPr>
          <w:rFonts w:ascii="宋体" w:hAnsi="宋体"/>
          <w:color w:val="auto"/>
          <w:szCs w:val="21"/>
          <w:u w:val="single"/>
        </w:rPr>
        <w:t xml:space="preserve"> </w:t>
      </w:r>
      <w:r>
        <w:rPr>
          <w:rFonts w:hint="eastAsia" w:ascii="宋体" w:hAnsi="宋体"/>
          <w:color w:val="auto"/>
          <w:szCs w:val="21"/>
        </w:rPr>
        <w:t>。</w:t>
      </w:r>
    </w:p>
    <w:p w14:paraId="33E2CDA1">
      <w:pPr>
        <w:spacing w:line="360" w:lineRule="auto"/>
        <w:ind w:firstLine="420" w:firstLineChars="200"/>
        <w:rPr>
          <w:rFonts w:ascii="宋体" w:hAnsi="宋体"/>
          <w:color w:val="auto"/>
          <w:szCs w:val="21"/>
        </w:rPr>
      </w:pPr>
      <w:r>
        <w:rPr>
          <w:rFonts w:ascii="宋体" w:hAnsi="宋体"/>
          <w:color w:val="auto"/>
          <w:szCs w:val="21"/>
        </w:rPr>
        <w:t xml:space="preserve">1.4.2 </w:t>
      </w:r>
      <w:r>
        <w:rPr>
          <w:rFonts w:hint="eastAsia" w:ascii="宋体" w:hAnsi="宋体"/>
          <w:color w:val="auto"/>
          <w:szCs w:val="21"/>
        </w:rPr>
        <w:t>发包人提供的国外标准、规范的名称：</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lang w:val="en-US" w:eastAsia="zh-CN"/>
        </w:rPr>
        <w:t>/</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rPr>
        <w:t>；发包人提供的国外标准、规范的份数：</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lang w:val="en-US" w:eastAsia="zh-CN"/>
        </w:rPr>
        <w:t>/</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rPr>
        <w:t>；发包人提供的国外标准、规范的时间：</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ascii="宋体" w:hAnsi="宋体"/>
          <w:color w:val="auto"/>
          <w:szCs w:val="21"/>
          <w:u w:val="single"/>
        </w:rPr>
        <w:t xml:space="preserve"> </w:t>
      </w:r>
      <w:r>
        <w:rPr>
          <w:rFonts w:hint="eastAsia" w:ascii="宋体" w:hAnsi="宋体"/>
          <w:color w:val="auto"/>
          <w:szCs w:val="21"/>
          <w:u w:val="single"/>
          <w:lang w:val="en-US" w:eastAsia="zh-CN"/>
        </w:rPr>
        <w:t>/</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ascii="宋体" w:hAnsi="宋体"/>
          <w:color w:val="auto"/>
          <w:szCs w:val="21"/>
          <w:u w:val="single"/>
        </w:rPr>
        <w:t xml:space="preserve"> </w:t>
      </w:r>
      <w:r>
        <w:rPr>
          <w:rFonts w:hint="eastAsia" w:ascii="宋体" w:hAnsi="宋体"/>
          <w:color w:val="auto"/>
          <w:szCs w:val="21"/>
        </w:rPr>
        <w:t>。</w:t>
      </w:r>
    </w:p>
    <w:p w14:paraId="520FBDE5">
      <w:pPr>
        <w:spacing w:line="360" w:lineRule="auto"/>
        <w:ind w:firstLine="420" w:firstLineChars="200"/>
        <w:rPr>
          <w:rFonts w:ascii="宋体" w:hAnsi="宋体"/>
          <w:color w:val="auto"/>
          <w:szCs w:val="21"/>
        </w:rPr>
      </w:pPr>
      <w:r>
        <w:rPr>
          <w:rFonts w:ascii="宋体" w:hAnsi="宋体"/>
          <w:color w:val="auto"/>
          <w:szCs w:val="21"/>
        </w:rPr>
        <w:t xml:space="preserve">1.4.3 </w:t>
      </w:r>
      <w:r>
        <w:rPr>
          <w:rFonts w:hint="eastAsia" w:ascii="宋体" w:hAnsi="宋体"/>
          <w:color w:val="auto"/>
          <w:szCs w:val="21"/>
        </w:rPr>
        <w:t>没有成文规范、标准规定的约定：</w:t>
      </w:r>
      <w:r>
        <w:rPr>
          <w:rFonts w:ascii="宋体" w:hAnsi="宋体"/>
          <w:color w:val="auto"/>
          <w:szCs w:val="21"/>
          <w:u w:val="single"/>
        </w:rPr>
        <w:t xml:space="preserve"> </w:t>
      </w:r>
      <w:r>
        <w:rPr>
          <w:rFonts w:hint="eastAsia" w:ascii="宋体" w:hAnsi="宋体"/>
          <w:color w:val="auto"/>
          <w:szCs w:val="21"/>
          <w:u w:val="single"/>
        </w:rPr>
        <w:t>由发包人根据需要向承包人列明技术要求，承包人二周内向发包人提出，经发包人认可后执行；所产生的费用，承包人已在财评审定的工程量清单（费率）时综合考虑，发包人不再另行计取</w:t>
      </w:r>
      <w:r>
        <w:rPr>
          <w:rFonts w:ascii="宋体" w:hAnsi="宋体"/>
          <w:color w:val="auto"/>
          <w:szCs w:val="21"/>
          <w:u w:val="single"/>
        </w:rPr>
        <w:t xml:space="preserve"> </w:t>
      </w:r>
      <w:r>
        <w:rPr>
          <w:rFonts w:hint="eastAsia" w:ascii="宋体" w:hAnsi="宋体"/>
          <w:color w:val="auto"/>
          <w:szCs w:val="21"/>
        </w:rPr>
        <w:t>。</w:t>
      </w:r>
    </w:p>
    <w:p w14:paraId="0681B7E9">
      <w:pPr>
        <w:spacing w:line="360" w:lineRule="auto"/>
        <w:ind w:firstLine="420" w:firstLineChars="200"/>
        <w:rPr>
          <w:rFonts w:hint="eastAsia" w:ascii="宋体" w:hAnsi="宋体"/>
          <w:color w:val="auto"/>
          <w:szCs w:val="21"/>
        </w:rPr>
      </w:pPr>
      <w:r>
        <w:rPr>
          <w:rFonts w:ascii="宋体" w:hAnsi="宋体"/>
          <w:color w:val="auto"/>
          <w:szCs w:val="21"/>
        </w:rPr>
        <w:t xml:space="preserve">1.4.4 </w:t>
      </w:r>
      <w:r>
        <w:rPr>
          <w:rFonts w:hint="eastAsia" w:ascii="宋体" w:hAnsi="宋体"/>
          <w:color w:val="auto"/>
          <w:szCs w:val="21"/>
        </w:rPr>
        <w:t>发包人对于工程的技术标准、功能要求：</w:t>
      </w:r>
      <w:r>
        <w:rPr>
          <w:rFonts w:ascii="宋体" w:hAnsi="宋体"/>
          <w:color w:val="auto"/>
          <w:szCs w:val="21"/>
          <w:u w:val="single"/>
        </w:rPr>
        <w:t xml:space="preserve"> </w:t>
      </w:r>
      <w:r>
        <w:rPr>
          <w:rFonts w:hint="eastAsia" w:ascii="宋体" w:hAnsi="宋体"/>
          <w:color w:val="auto"/>
          <w:szCs w:val="21"/>
          <w:u w:val="single"/>
        </w:rPr>
        <w:t>由发包人根据需要进行安排，承包人充分理解并按发包人的要求执行；所产生的费用，承包人已在财评审定的工程量清单（费率）时综合考虑，发包人不再另行计取</w:t>
      </w:r>
      <w:r>
        <w:rPr>
          <w:rFonts w:ascii="宋体" w:hAnsi="宋体"/>
          <w:color w:val="auto"/>
          <w:szCs w:val="21"/>
          <w:u w:val="single"/>
        </w:rPr>
        <w:t xml:space="preserve"> </w:t>
      </w:r>
      <w:r>
        <w:rPr>
          <w:rFonts w:hint="eastAsia" w:ascii="宋体" w:hAnsi="宋体"/>
          <w:color w:val="auto"/>
          <w:szCs w:val="21"/>
        </w:rPr>
        <w:t>。</w:t>
      </w:r>
    </w:p>
    <w:p w14:paraId="18A4803F">
      <w:pPr>
        <w:pStyle w:val="4"/>
        <w:spacing w:before="120" w:line="360" w:lineRule="auto"/>
        <w:rPr>
          <w:color w:val="auto"/>
        </w:rPr>
      </w:pPr>
      <w:bookmarkStart w:id="1891" w:name="_Toc154063653"/>
      <w:r>
        <w:rPr>
          <w:color w:val="auto"/>
        </w:rPr>
        <w:t xml:space="preserve">1.5 </w:t>
      </w:r>
      <w:r>
        <w:rPr>
          <w:rFonts w:hint="eastAsia"/>
          <w:color w:val="auto"/>
        </w:rPr>
        <w:t>合同文件的优先顺序</w:t>
      </w:r>
      <w:bookmarkEnd w:id="1891"/>
    </w:p>
    <w:p w14:paraId="568113A8">
      <w:pPr>
        <w:spacing w:line="360" w:lineRule="auto"/>
        <w:ind w:firstLine="420" w:firstLineChars="200"/>
        <w:rPr>
          <w:rFonts w:ascii="宋体" w:hAnsi="宋体"/>
          <w:color w:val="auto"/>
          <w:szCs w:val="21"/>
        </w:rPr>
      </w:pPr>
      <w:r>
        <w:rPr>
          <w:rFonts w:hint="eastAsia" w:ascii="宋体" w:hAnsi="宋体"/>
          <w:color w:val="auto"/>
          <w:szCs w:val="21"/>
        </w:rPr>
        <w:t>合同文件组成及优先顺序为：</w:t>
      </w:r>
      <w:r>
        <w:rPr>
          <w:rFonts w:ascii="宋体" w:hAnsi="宋体"/>
          <w:color w:val="auto"/>
          <w:szCs w:val="21"/>
          <w:u w:val="single"/>
        </w:rPr>
        <w:t xml:space="preserve"> </w:t>
      </w:r>
      <w:r>
        <w:rPr>
          <w:rFonts w:hint="eastAsia" w:ascii="宋体" w:hAnsi="宋体"/>
          <w:color w:val="auto"/>
          <w:szCs w:val="21"/>
          <w:u w:val="single"/>
        </w:rPr>
        <w:t>合同协议书、中标通知书、投标函及其附录、专用合同条款及其附件、通用合同条款、技术标准和要求、图纸、财评报告、施工图预算书、已标价工程清单或预算书、其他合同文件</w:t>
      </w:r>
      <w:r>
        <w:rPr>
          <w:rFonts w:ascii="宋体" w:hAnsi="宋体"/>
          <w:color w:val="auto"/>
          <w:szCs w:val="21"/>
          <w:u w:val="single"/>
        </w:rPr>
        <w:t xml:space="preserve"> </w:t>
      </w:r>
      <w:r>
        <w:rPr>
          <w:rFonts w:hint="eastAsia" w:ascii="宋体" w:hAnsi="宋体"/>
          <w:color w:val="auto"/>
          <w:szCs w:val="21"/>
        </w:rPr>
        <w:t>。</w:t>
      </w:r>
    </w:p>
    <w:p w14:paraId="1B542935">
      <w:pPr>
        <w:pStyle w:val="4"/>
        <w:keepNext w:val="0"/>
        <w:keepLines/>
        <w:pageBreakBefore w:val="0"/>
        <w:widowControl w:val="0"/>
        <w:kinsoku/>
        <w:wordWrap/>
        <w:overflowPunct/>
        <w:topLinePunct w:val="0"/>
        <w:autoSpaceDE/>
        <w:autoSpaceDN/>
        <w:bidi w:val="0"/>
        <w:adjustRightInd/>
        <w:snapToGrid/>
        <w:spacing w:before="120" w:line="360" w:lineRule="auto"/>
        <w:textAlignment w:val="auto"/>
        <w:rPr>
          <w:color w:val="auto"/>
        </w:rPr>
      </w:pPr>
      <w:bookmarkStart w:id="1892" w:name="_Toc154063654"/>
      <w:r>
        <w:rPr>
          <w:color w:val="auto"/>
        </w:rPr>
        <w:t xml:space="preserve">1.6 </w:t>
      </w:r>
      <w:r>
        <w:rPr>
          <w:rFonts w:hint="eastAsia"/>
          <w:color w:val="auto"/>
        </w:rPr>
        <w:t>文件的提供和照管</w:t>
      </w:r>
      <w:bookmarkEnd w:id="1892"/>
    </w:p>
    <w:p w14:paraId="09613BF1">
      <w:pPr>
        <w:spacing w:line="360" w:lineRule="auto"/>
        <w:ind w:firstLine="420" w:firstLineChars="200"/>
        <w:rPr>
          <w:rFonts w:ascii="宋体" w:hAnsi="宋体"/>
          <w:color w:val="auto"/>
          <w:szCs w:val="21"/>
        </w:rPr>
      </w:pPr>
      <w:bookmarkStart w:id="1893" w:name="_Toc154063655"/>
      <w:r>
        <w:rPr>
          <w:rFonts w:ascii="宋体" w:hAnsi="宋体"/>
          <w:color w:val="auto"/>
          <w:szCs w:val="21"/>
        </w:rPr>
        <w:t xml:space="preserve">1.6.1 </w:t>
      </w:r>
      <w:r>
        <w:rPr>
          <w:rFonts w:hint="eastAsia" w:ascii="宋体" w:hAnsi="宋体"/>
          <w:color w:val="auto"/>
          <w:szCs w:val="21"/>
        </w:rPr>
        <w:t>发包人文件的提供</w:t>
      </w:r>
    </w:p>
    <w:p w14:paraId="37D29F23">
      <w:pPr>
        <w:spacing w:line="360" w:lineRule="auto"/>
        <w:ind w:firstLine="420" w:firstLineChars="200"/>
        <w:rPr>
          <w:rFonts w:ascii="宋体" w:hAnsi="宋体"/>
          <w:color w:val="auto"/>
          <w:szCs w:val="21"/>
        </w:rPr>
      </w:pPr>
      <w:r>
        <w:rPr>
          <w:rFonts w:hint="eastAsia" w:ascii="宋体" w:hAnsi="宋体"/>
          <w:color w:val="auto"/>
          <w:szCs w:val="21"/>
        </w:rPr>
        <w:t>发包人文件的提供期限、名称、数量和形式：</w:t>
      </w:r>
      <w:r>
        <w:rPr>
          <w:rFonts w:ascii="宋体" w:hAnsi="宋体"/>
          <w:color w:val="auto"/>
          <w:szCs w:val="21"/>
          <w:u w:val="single"/>
        </w:rPr>
        <w:t xml:space="preserve"> </w:t>
      </w:r>
      <w:r>
        <w:rPr>
          <w:rFonts w:hint="eastAsia" w:ascii="宋体" w:hAnsi="宋体"/>
          <w:color w:val="auto"/>
          <w:szCs w:val="21"/>
          <w:u w:val="single"/>
        </w:rPr>
        <w:t>根据本工程的推进情况提供</w:t>
      </w:r>
      <w:r>
        <w:rPr>
          <w:rFonts w:ascii="宋体" w:hAnsi="宋体"/>
          <w:color w:val="auto"/>
          <w:szCs w:val="21"/>
          <w:u w:val="single"/>
        </w:rPr>
        <w:t xml:space="preserve"> </w:t>
      </w:r>
      <w:r>
        <w:rPr>
          <w:rFonts w:hint="eastAsia" w:ascii="宋体" w:hAnsi="宋体"/>
          <w:color w:val="auto"/>
          <w:szCs w:val="21"/>
        </w:rPr>
        <w:t>。</w:t>
      </w:r>
    </w:p>
    <w:p w14:paraId="67011B30">
      <w:pPr>
        <w:spacing w:line="360" w:lineRule="auto"/>
        <w:ind w:firstLine="420" w:firstLineChars="200"/>
        <w:rPr>
          <w:rFonts w:ascii="宋体" w:hAnsi="宋体"/>
          <w:color w:val="auto"/>
          <w:szCs w:val="21"/>
        </w:rPr>
      </w:pPr>
      <w:r>
        <w:rPr>
          <w:rFonts w:ascii="宋体" w:hAnsi="宋体"/>
          <w:color w:val="auto"/>
          <w:szCs w:val="21"/>
        </w:rPr>
        <w:t xml:space="preserve">1.6.2 </w:t>
      </w:r>
      <w:r>
        <w:rPr>
          <w:rFonts w:hint="eastAsia" w:ascii="宋体" w:hAnsi="宋体"/>
          <w:color w:val="auto"/>
          <w:szCs w:val="21"/>
        </w:rPr>
        <w:t>承包人文件的提供</w:t>
      </w:r>
    </w:p>
    <w:p w14:paraId="0125D679">
      <w:pPr>
        <w:spacing w:line="360" w:lineRule="auto"/>
        <w:ind w:firstLine="420" w:firstLineChars="200"/>
        <w:rPr>
          <w:rFonts w:ascii="宋体" w:hAnsi="宋体"/>
          <w:color w:val="auto"/>
          <w:szCs w:val="21"/>
        </w:rPr>
      </w:pPr>
      <w:r>
        <w:rPr>
          <w:rFonts w:hint="eastAsia" w:ascii="宋体" w:hAnsi="宋体"/>
          <w:color w:val="auto"/>
          <w:szCs w:val="21"/>
        </w:rPr>
        <w:t>承包人文件的内容、提供期限、名称、数量和形式</w:t>
      </w:r>
      <w:r>
        <w:rPr>
          <w:rFonts w:hint="eastAsia" w:ascii="宋体" w:hAnsi="宋体"/>
          <w:color w:val="auto"/>
          <w:szCs w:val="21"/>
          <w:lang w:eastAsia="zh-CN"/>
        </w:rPr>
        <w:t>：</w:t>
      </w:r>
      <w:r>
        <w:rPr>
          <w:rFonts w:hint="eastAsia" w:ascii="宋体" w:hAnsi="宋体"/>
          <w:color w:val="auto"/>
          <w:sz w:val="21"/>
          <w:szCs w:val="21"/>
          <w:u w:val="single"/>
        </w:rPr>
        <w:t>（1）承包人向发包人提供文件的期限：开工日期前30日内（其中月进度计划为每月25号前报送）；（2）承包人向发包人提供施工蓝图的数量：</w:t>
      </w:r>
      <w:r>
        <w:rPr>
          <w:rFonts w:hint="eastAsia" w:ascii="宋体" w:hAnsi="宋体"/>
          <w:color w:val="auto"/>
          <w:sz w:val="21"/>
          <w:szCs w:val="21"/>
          <w:u w:val="single"/>
          <w:lang w:val="en-US" w:eastAsia="zh-CN"/>
        </w:rPr>
        <w:t>八</w:t>
      </w:r>
      <w:r>
        <w:rPr>
          <w:rFonts w:hint="eastAsia" w:ascii="宋体" w:hAnsi="宋体"/>
          <w:color w:val="auto"/>
          <w:sz w:val="21"/>
          <w:szCs w:val="21"/>
          <w:u w:val="single"/>
        </w:rPr>
        <w:t>套；发包人需要增加图纸套数的，由承包人提供，所需费用由承包人承担；（3）需要由承包人提供的文件，包括：施工组织设计、工程进度计划、专项施工方案及其它在施工过程中需要承包人向发包人提供的文件；（4）承包人提供文件的数量为：按发包人要求提供；（5）承包人提供文件的形式为：采用书面形式（纸质版及电子版）</w:t>
      </w:r>
      <w:r>
        <w:rPr>
          <w:rFonts w:ascii="宋体" w:hAnsi="宋体"/>
          <w:color w:val="auto"/>
          <w:szCs w:val="21"/>
          <w:u w:val="single"/>
        </w:rPr>
        <w:t xml:space="preserve"> </w:t>
      </w:r>
      <w:r>
        <w:rPr>
          <w:rFonts w:hint="eastAsia" w:ascii="宋体" w:hAnsi="宋体"/>
          <w:color w:val="auto"/>
          <w:szCs w:val="21"/>
        </w:rPr>
        <w:t>。</w:t>
      </w:r>
    </w:p>
    <w:p w14:paraId="5EFE180A">
      <w:pPr>
        <w:spacing w:line="360" w:lineRule="auto"/>
        <w:ind w:firstLine="420" w:firstLineChars="200"/>
        <w:rPr>
          <w:rFonts w:ascii="宋体" w:hAnsi="宋体"/>
          <w:color w:val="auto"/>
          <w:szCs w:val="21"/>
        </w:rPr>
      </w:pPr>
      <w:r>
        <w:rPr>
          <w:rFonts w:ascii="宋体" w:hAnsi="宋体"/>
          <w:color w:val="auto"/>
          <w:szCs w:val="21"/>
        </w:rPr>
        <w:t xml:space="preserve">1.6.4 </w:t>
      </w:r>
      <w:r>
        <w:rPr>
          <w:rFonts w:hint="eastAsia" w:ascii="宋体" w:hAnsi="宋体"/>
          <w:color w:val="auto"/>
          <w:szCs w:val="21"/>
        </w:rPr>
        <w:t>文件的照管</w:t>
      </w:r>
    </w:p>
    <w:p w14:paraId="2F5AC65A">
      <w:pPr>
        <w:spacing w:line="360" w:lineRule="auto"/>
        <w:ind w:firstLine="420" w:firstLineChars="200"/>
        <w:rPr>
          <w:rFonts w:ascii="宋体" w:hAnsi="宋体"/>
          <w:color w:val="auto"/>
          <w:szCs w:val="21"/>
        </w:rPr>
      </w:pPr>
      <w:r>
        <w:rPr>
          <w:rFonts w:hint="eastAsia" w:ascii="宋体" w:hAnsi="宋体"/>
          <w:color w:val="auto"/>
          <w:szCs w:val="21"/>
        </w:rPr>
        <w:t>关于现场文件准备的约定：</w:t>
      </w:r>
      <w:r>
        <w:rPr>
          <w:rFonts w:ascii="宋体" w:hAnsi="宋体"/>
          <w:color w:val="auto"/>
          <w:szCs w:val="21"/>
          <w:u w:val="single"/>
        </w:rPr>
        <w:t xml:space="preserve"> </w:t>
      </w:r>
      <w:r>
        <w:rPr>
          <w:rFonts w:hint="eastAsia" w:ascii="宋体" w:hAnsi="宋体"/>
          <w:color w:val="auto"/>
          <w:sz w:val="21"/>
          <w:szCs w:val="21"/>
          <w:u w:val="single"/>
        </w:rPr>
        <w:t>按合同通用条款执行</w:t>
      </w:r>
      <w:r>
        <w:rPr>
          <w:rFonts w:ascii="宋体" w:hAnsi="宋体"/>
          <w:color w:val="auto"/>
          <w:szCs w:val="21"/>
          <w:u w:val="single"/>
        </w:rPr>
        <w:t xml:space="preserve"> </w:t>
      </w:r>
      <w:r>
        <w:rPr>
          <w:rFonts w:hint="eastAsia" w:ascii="宋体" w:hAnsi="宋体"/>
          <w:color w:val="auto"/>
          <w:szCs w:val="21"/>
        </w:rPr>
        <w:t>。</w:t>
      </w:r>
    </w:p>
    <w:p w14:paraId="6035663B">
      <w:pPr>
        <w:pStyle w:val="4"/>
        <w:spacing w:before="120" w:line="360" w:lineRule="auto"/>
        <w:rPr>
          <w:color w:val="auto"/>
        </w:rPr>
      </w:pPr>
      <w:r>
        <w:rPr>
          <w:color w:val="auto"/>
        </w:rPr>
        <w:t xml:space="preserve">1.7 </w:t>
      </w:r>
      <w:r>
        <w:rPr>
          <w:rFonts w:hint="eastAsia"/>
          <w:color w:val="auto"/>
        </w:rPr>
        <w:t>联络</w:t>
      </w:r>
      <w:bookmarkEnd w:id="1893"/>
    </w:p>
    <w:p w14:paraId="7965325C">
      <w:pPr>
        <w:spacing w:line="360" w:lineRule="auto"/>
        <w:ind w:firstLine="420" w:firstLineChars="200"/>
        <w:rPr>
          <w:rFonts w:ascii="宋体" w:hAnsi="宋体"/>
          <w:color w:val="auto"/>
          <w:szCs w:val="21"/>
        </w:rPr>
      </w:pPr>
      <w:r>
        <w:rPr>
          <w:rFonts w:ascii="宋体" w:hAnsi="宋体"/>
          <w:color w:val="auto"/>
          <w:szCs w:val="21"/>
        </w:rPr>
        <w:t xml:space="preserve">1.7.2 </w:t>
      </w:r>
      <w:r>
        <w:rPr>
          <w:rFonts w:hint="eastAsia" w:ascii="宋体" w:hAnsi="宋体"/>
          <w:color w:val="auto"/>
          <w:szCs w:val="21"/>
        </w:rPr>
        <w:t>发包人指定的送达方式（包括电子传输方式）：</w:t>
      </w:r>
      <w:r>
        <w:rPr>
          <w:rFonts w:ascii="宋体" w:hAnsi="宋体"/>
          <w:color w:val="auto"/>
          <w:szCs w:val="21"/>
          <w:u w:val="single"/>
        </w:rPr>
        <w:t xml:space="preserve">   </w:t>
      </w:r>
      <w:r>
        <w:rPr>
          <w:rFonts w:hint="eastAsia" w:ascii="宋体" w:hAnsi="宋体"/>
          <w:color w:val="auto"/>
          <w:szCs w:val="21"/>
          <w:u w:val="single"/>
          <w:lang w:val="en-US" w:eastAsia="zh-CN"/>
        </w:rPr>
        <w:t>/</w:t>
      </w:r>
      <w:r>
        <w:rPr>
          <w:rFonts w:ascii="宋体" w:hAnsi="宋体"/>
          <w:color w:val="auto"/>
          <w:szCs w:val="21"/>
          <w:u w:val="single"/>
        </w:rPr>
        <w:t xml:space="preserve">   </w:t>
      </w:r>
      <w:r>
        <w:rPr>
          <w:rFonts w:hint="eastAsia" w:ascii="宋体" w:hAnsi="宋体"/>
          <w:color w:val="auto"/>
          <w:szCs w:val="21"/>
        </w:rPr>
        <w:t>。</w:t>
      </w:r>
    </w:p>
    <w:p w14:paraId="0D01ECBC">
      <w:pPr>
        <w:spacing w:line="360" w:lineRule="auto"/>
        <w:ind w:firstLine="420" w:firstLineChars="200"/>
        <w:rPr>
          <w:rFonts w:ascii="宋体" w:hAnsi="宋体"/>
          <w:color w:val="auto"/>
          <w:szCs w:val="21"/>
        </w:rPr>
      </w:pPr>
      <w:r>
        <w:rPr>
          <w:rFonts w:hint="eastAsia" w:ascii="宋体" w:hAnsi="宋体"/>
          <w:color w:val="auto"/>
          <w:szCs w:val="21"/>
        </w:rPr>
        <w:t>发包人的送达地址：</w:t>
      </w:r>
      <w:r>
        <w:rPr>
          <w:rFonts w:ascii="宋体" w:hAnsi="宋体"/>
          <w:color w:val="auto"/>
          <w:szCs w:val="21"/>
          <w:u w:val="single"/>
        </w:rPr>
        <w:t xml:space="preserve">   </w:t>
      </w:r>
      <w:r>
        <w:rPr>
          <w:rFonts w:hint="eastAsia" w:ascii="宋体" w:hAnsi="宋体"/>
          <w:color w:val="auto"/>
          <w:szCs w:val="21"/>
          <w:u w:val="single"/>
          <w:lang w:val="en-US" w:eastAsia="zh-CN"/>
        </w:rPr>
        <w:t>/</w:t>
      </w:r>
      <w:r>
        <w:rPr>
          <w:rFonts w:ascii="宋体" w:hAnsi="宋体"/>
          <w:color w:val="auto"/>
          <w:szCs w:val="21"/>
          <w:u w:val="single"/>
        </w:rPr>
        <w:t xml:space="preserve">   </w:t>
      </w:r>
      <w:r>
        <w:rPr>
          <w:rFonts w:hint="eastAsia" w:ascii="宋体" w:hAnsi="宋体"/>
          <w:color w:val="auto"/>
          <w:szCs w:val="21"/>
        </w:rPr>
        <w:t>。</w:t>
      </w:r>
    </w:p>
    <w:p w14:paraId="43D3CC87">
      <w:pPr>
        <w:spacing w:line="360" w:lineRule="auto"/>
        <w:ind w:firstLine="420" w:firstLineChars="200"/>
        <w:rPr>
          <w:rFonts w:ascii="宋体" w:hAnsi="宋体"/>
          <w:color w:val="auto"/>
          <w:szCs w:val="21"/>
        </w:rPr>
      </w:pPr>
      <w:r>
        <w:rPr>
          <w:rFonts w:hint="eastAsia" w:ascii="宋体" w:hAnsi="宋体"/>
          <w:color w:val="auto"/>
          <w:szCs w:val="21"/>
        </w:rPr>
        <w:t>承包人指定的送达方式（包括电子传输方式）：</w:t>
      </w:r>
      <w:r>
        <w:rPr>
          <w:rFonts w:ascii="宋体" w:hAnsi="宋体"/>
          <w:color w:val="auto"/>
          <w:szCs w:val="21"/>
          <w:u w:val="single"/>
        </w:rPr>
        <w:t xml:space="preserve">   </w:t>
      </w:r>
      <w:r>
        <w:rPr>
          <w:rFonts w:hint="eastAsia" w:ascii="宋体" w:hAnsi="宋体"/>
          <w:color w:val="auto"/>
          <w:szCs w:val="21"/>
          <w:u w:val="single"/>
          <w:lang w:val="en-US" w:eastAsia="zh-CN"/>
        </w:rPr>
        <w:t>/</w:t>
      </w:r>
      <w:r>
        <w:rPr>
          <w:rFonts w:ascii="宋体" w:hAnsi="宋体"/>
          <w:color w:val="auto"/>
          <w:szCs w:val="21"/>
          <w:u w:val="single"/>
        </w:rPr>
        <w:t xml:space="preserve">   </w:t>
      </w:r>
      <w:r>
        <w:rPr>
          <w:rFonts w:hint="eastAsia" w:ascii="宋体" w:hAnsi="宋体"/>
          <w:color w:val="auto"/>
          <w:szCs w:val="21"/>
        </w:rPr>
        <w:t>。</w:t>
      </w:r>
    </w:p>
    <w:p w14:paraId="6217C10D">
      <w:pPr>
        <w:spacing w:line="360" w:lineRule="auto"/>
        <w:ind w:firstLine="420" w:firstLineChars="200"/>
        <w:rPr>
          <w:rFonts w:ascii="宋体" w:hAnsi="宋体"/>
          <w:color w:val="auto"/>
          <w:szCs w:val="21"/>
        </w:rPr>
      </w:pPr>
      <w:r>
        <w:rPr>
          <w:rFonts w:hint="eastAsia" w:ascii="宋体" w:hAnsi="宋体"/>
          <w:color w:val="auto"/>
          <w:szCs w:val="21"/>
        </w:rPr>
        <w:t>承包人的送达地址：</w:t>
      </w:r>
      <w:r>
        <w:rPr>
          <w:rFonts w:ascii="宋体" w:hAnsi="宋体"/>
          <w:color w:val="auto"/>
          <w:szCs w:val="21"/>
          <w:u w:val="single"/>
        </w:rPr>
        <w:t xml:space="preserve">   </w:t>
      </w:r>
      <w:r>
        <w:rPr>
          <w:rFonts w:hint="eastAsia" w:ascii="宋体" w:hAnsi="宋体"/>
          <w:color w:val="auto"/>
          <w:szCs w:val="21"/>
          <w:u w:val="single"/>
          <w:lang w:val="en-US" w:eastAsia="zh-CN"/>
        </w:rPr>
        <w:t>/</w:t>
      </w:r>
      <w:r>
        <w:rPr>
          <w:rFonts w:ascii="宋体" w:hAnsi="宋体"/>
          <w:color w:val="auto"/>
          <w:szCs w:val="21"/>
          <w:u w:val="single"/>
        </w:rPr>
        <w:t xml:space="preserve">   </w:t>
      </w:r>
      <w:r>
        <w:rPr>
          <w:rFonts w:hint="eastAsia" w:ascii="宋体" w:hAnsi="宋体"/>
          <w:color w:val="auto"/>
          <w:szCs w:val="21"/>
        </w:rPr>
        <w:t>。</w:t>
      </w:r>
    </w:p>
    <w:p w14:paraId="1E4D61E2">
      <w:pPr>
        <w:pStyle w:val="4"/>
        <w:spacing w:before="120" w:line="360" w:lineRule="auto"/>
        <w:rPr>
          <w:color w:val="auto"/>
        </w:rPr>
      </w:pPr>
      <w:bookmarkStart w:id="1894" w:name="_Toc154063656"/>
      <w:r>
        <w:rPr>
          <w:color w:val="auto"/>
        </w:rPr>
        <w:t xml:space="preserve">1.10 </w:t>
      </w:r>
      <w:r>
        <w:rPr>
          <w:rFonts w:hint="eastAsia"/>
          <w:color w:val="auto"/>
        </w:rPr>
        <w:t>知识产权</w:t>
      </w:r>
      <w:bookmarkEnd w:id="1894"/>
    </w:p>
    <w:p w14:paraId="1A467077">
      <w:pPr>
        <w:spacing w:line="360" w:lineRule="auto"/>
        <w:ind w:firstLine="420" w:firstLineChars="200"/>
        <w:rPr>
          <w:rFonts w:ascii="宋体" w:hAnsi="宋体"/>
          <w:color w:val="auto"/>
          <w:szCs w:val="21"/>
        </w:rPr>
      </w:pPr>
      <w:bookmarkStart w:id="1895" w:name="_Toc154063657"/>
      <w:r>
        <w:rPr>
          <w:rFonts w:ascii="宋体" w:hAnsi="宋体"/>
          <w:color w:val="auto"/>
          <w:szCs w:val="21"/>
        </w:rPr>
        <w:t xml:space="preserve">1.10.1 </w:t>
      </w:r>
      <w:r>
        <w:rPr>
          <w:rFonts w:hint="eastAsia" w:ascii="宋体" w:hAnsi="宋体"/>
          <w:color w:val="auto"/>
          <w:szCs w:val="21"/>
        </w:rPr>
        <w:t>由发包人（或以发包人名义）编制的《发包人要求》和其他文件的著作权归属：</w:t>
      </w:r>
      <w:r>
        <w:rPr>
          <w:rFonts w:ascii="宋体" w:hAnsi="宋体"/>
          <w:color w:val="auto"/>
          <w:szCs w:val="21"/>
          <w:u w:val="single"/>
        </w:rPr>
        <w:t xml:space="preserve"> </w:t>
      </w:r>
      <w:r>
        <w:rPr>
          <w:rFonts w:hint="eastAsia" w:ascii="宋体" w:hAnsi="宋体"/>
          <w:color w:val="auto"/>
          <w:szCs w:val="21"/>
          <w:u w:val="single"/>
        </w:rPr>
        <w:t>归属发包人</w:t>
      </w:r>
      <w:r>
        <w:rPr>
          <w:rFonts w:ascii="宋体" w:hAnsi="宋体"/>
          <w:color w:val="auto"/>
          <w:szCs w:val="21"/>
          <w:u w:val="single"/>
        </w:rPr>
        <w:t xml:space="preserve"> </w:t>
      </w:r>
      <w:r>
        <w:rPr>
          <w:rFonts w:hint="eastAsia" w:ascii="宋体" w:hAnsi="宋体"/>
          <w:color w:val="auto"/>
          <w:szCs w:val="21"/>
        </w:rPr>
        <w:t>。</w:t>
      </w:r>
    </w:p>
    <w:p w14:paraId="64A5EEC6">
      <w:pPr>
        <w:spacing w:line="360" w:lineRule="auto"/>
        <w:ind w:firstLine="420" w:firstLineChars="200"/>
        <w:rPr>
          <w:rFonts w:ascii="宋体" w:hAnsi="宋体"/>
          <w:color w:val="auto"/>
          <w:szCs w:val="21"/>
        </w:rPr>
      </w:pPr>
      <w:r>
        <w:rPr>
          <w:rFonts w:ascii="宋体" w:hAnsi="宋体"/>
          <w:color w:val="auto"/>
          <w:szCs w:val="21"/>
        </w:rPr>
        <w:t xml:space="preserve">1.10.2 </w:t>
      </w:r>
      <w:r>
        <w:rPr>
          <w:rFonts w:hint="eastAsia" w:ascii="宋体" w:hAnsi="宋体"/>
          <w:color w:val="auto"/>
          <w:szCs w:val="21"/>
        </w:rPr>
        <w:t>由承包人（或以承包人名义）为实施工程所编制的文件、承包人完成的设计工作成果和建造完成的建筑物的知识产权归属：</w:t>
      </w:r>
      <w:r>
        <w:rPr>
          <w:rFonts w:ascii="宋体" w:hAnsi="宋体"/>
          <w:color w:val="auto"/>
          <w:szCs w:val="21"/>
          <w:u w:val="single"/>
        </w:rPr>
        <w:t xml:space="preserve"> </w:t>
      </w:r>
      <w:r>
        <w:rPr>
          <w:rFonts w:hint="eastAsia" w:ascii="宋体" w:hAnsi="宋体"/>
          <w:color w:val="auto"/>
          <w:szCs w:val="21"/>
          <w:u w:val="single"/>
        </w:rPr>
        <w:t>除署名权以外的著作权归属于发包人</w:t>
      </w:r>
      <w:r>
        <w:rPr>
          <w:rFonts w:ascii="宋体" w:hAnsi="宋体"/>
          <w:color w:val="auto"/>
          <w:szCs w:val="21"/>
          <w:u w:val="single"/>
        </w:rPr>
        <w:t xml:space="preserve"> </w:t>
      </w:r>
      <w:r>
        <w:rPr>
          <w:rFonts w:hint="eastAsia" w:ascii="宋体" w:hAnsi="宋体"/>
          <w:color w:val="auto"/>
          <w:szCs w:val="21"/>
        </w:rPr>
        <w:t>。</w:t>
      </w:r>
    </w:p>
    <w:p w14:paraId="5D93C8FE">
      <w:pPr>
        <w:spacing w:line="360" w:lineRule="auto"/>
        <w:ind w:firstLine="420" w:firstLineChars="200"/>
        <w:rPr>
          <w:rFonts w:ascii="宋体" w:hAnsi="宋体"/>
          <w:color w:val="auto"/>
          <w:szCs w:val="21"/>
        </w:rPr>
      </w:pPr>
      <w:r>
        <w:rPr>
          <w:rFonts w:ascii="宋体" w:hAnsi="宋体"/>
          <w:color w:val="auto"/>
          <w:szCs w:val="21"/>
        </w:rPr>
        <w:t xml:space="preserve">1.10.4 </w:t>
      </w:r>
      <w:r>
        <w:rPr>
          <w:rFonts w:hint="eastAsia" w:ascii="宋体" w:hAnsi="宋体"/>
          <w:color w:val="auto"/>
          <w:szCs w:val="21"/>
        </w:rPr>
        <w:t>承包人在投标文件中采用的专利、专有技术、技术秘密的使用费的承担方式</w:t>
      </w:r>
      <w:r>
        <w:rPr>
          <w:rFonts w:ascii="宋体" w:hAnsi="宋体"/>
          <w:color w:val="auto"/>
          <w:szCs w:val="21"/>
          <w:u w:val="single"/>
        </w:rPr>
        <w:t xml:space="preserve"> </w:t>
      </w:r>
      <w:r>
        <w:rPr>
          <w:rFonts w:hint="eastAsia" w:ascii="宋体" w:hAnsi="宋体"/>
          <w:color w:val="auto"/>
          <w:szCs w:val="21"/>
          <w:u w:val="single"/>
        </w:rPr>
        <w:t>另行协商</w:t>
      </w:r>
      <w:r>
        <w:rPr>
          <w:rFonts w:ascii="宋体" w:hAnsi="宋体"/>
          <w:color w:val="auto"/>
          <w:szCs w:val="21"/>
          <w:u w:val="single"/>
        </w:rPr>
        <w:t xml:space="preserve"> </w:t>
      </w:r>
      <w:r>
        <w:rPr>
          <w:rFonts w:hint="eastAsia" w:ascii="宋体" w:hAnsi="宋体"/>
          <w:color w:val="auto"/>
          <w:szCs w:val="21"/>
        </w:rPr>
        <w:t>。</w:t>
      </w:r>
    </w:p>
    <w:p w14:paraId="431630C7">
      <w:pPr>
        <w:pStyle w:val="4"/>
        <w:spacing w:before="120" w:line="360" w:lineRule="auto"/>
        <w:rPr>
          <w:color w:val="auto"/>
        </w:rPr>
      </w:pPr>
      <w:r>
        <w:rPr>
          <w:color w:val="auto"/>
        </w:rPr>
        <w:t xml:space="preserve">1.11 </w:t>
      </w:r>
      <w:r>
        <w:rPr>
          <w:rFonts w:hint="eastAsia"/>
          <w:color w:val="auto"/>
        </w:rPr>
        <w:t>保密</w:t>
      </w:r>
      <w:bookmarkEnd w:id="1895"/>
    </w:p>
    <w:p w14:paraId="1062EA10">
      <w:pPr>
        <w:spacing w:line="360" w:lineRule="auto"/>
        <w:ind w:firstLine="420" w:firstLineChars="200"/>
        <w:rPr>
          <w:rFonts w:ascii="宋体" w:hAnsi="宋体"/>
          <w:color w:val="auto"/>
          <w:szCs w:val="21"/>
        </w:rPr>
      </w:pPr>
      <w:bookmarkStart w:id="1896" w:name="_Toc154063658"/>
      <w:r>
        <w:rPr>
          <w:rFonts w:hint="eastAsia" w:ascii="宋体" w:hAnsi="宋体"/>
          <w:color w:val="auto"/>
          <w:szCs w:val="21"/>
        </w:rPr>
        <w:t>双方订立的商业保密协议（名称）：</w:t>
      </w:r>
      <w:r>
        <w:rPr>
          <w:rFonts w:ascii="宋体" w:hAnsi="宋体"/>
          <w:color w:val="auto"/>
          <w:szCs w:val="21"/>
          <w:u w:val="single"/>
        </w:rPr>
        <w:t xml:space="preserve"> </w:t>
      </w:r>
      <w:r>
        <w:rPr>
          <w:rFonts w:hint="eastAsia" w:ascii="宋体" w:hAnsi="宋体"/>
          <w:color w:val="auto"/>
          <w:szCs w:val="21"/>
          <w:u w:val="single"/>
        </w:rPr>
        <w:t>如有必要，合同当事人另行签订补充协议</w:t>
      </w:r>
      <w:r>
        <w:rPr>
          <w:rFonts w:ascii="宋体" w:hAnsi="宋体"/>
          <w:color w:val="auto"/>
          <w:szCs w:val="21"/>
          <w:u w:val="single"/>
        </w:rPr>
        <w:t xml:space="preserve"> </w:t>
      </w:r>
      <w:r>
        <w:rPr>
          <w:rFonts w:hint="eastAsia" w:ascii="宋体" w:hAnsi="宋体"/>
          <w:color w:val="auto"/>
          <w:szCs w:val="21"/>
        </w:rPr>
        <w:t>，作为本合同附件。</w:t>
      </w:r>
    </w:p>
    <w:p w14:paraId="52C4755D">
      <w:pPr>
        <w:spacing w:line="360" w:lineRule="auto"/>
        <w:ind w:firstLine="420" w:firstLineChars="200"/>
        <w:rPr>
          <w:rFonts w:ascii="宋体" w:hAnsi="宋体"/>
          <w:color w:val="auto"/>
          <w:szCs w:val="21"/>
        </w:rPr>
      </w:pPr>
      <w:r>
        <w:rPr>
          <w:rFonts w:hint="eastAsia" w:ascii="宋体" w:hAnsi="宋体"/>
          <w:color w:val="auto"/>
          <w:szCs w:val="21"/>
        </w:rPr>
        <w:t>双方订立的技术保密协议（名称）：</w:t>
      </w:r>
      <w:r>
        <w:rPr>
          <w:rFonts w:ascii="宋体" w:hAnsi="宋体"/>
          <w:color w:val="auto"/>
          <w:szCs w:val="21"/>
          <w:u w:val="single"/>
        </w:rPr>
        <w:t xml:space="preserve"> </w:t>
      </w:r>
      <w:r>
        <w:rPr>
          <w:rFonts w:hint="eastAsia" w:ascii="宋体" w:hAnsi="宋体"/>
          <w:color w:val="auto"/>
          <w:szCs w:val="21"/>
          <w:u w:val="single"/>
        </w:rPr>
        <w:t>如有必要，合同当事人另行签订补充协议</w:t>
      </w:r>
      <w:r>
        <w:rPr>
          <w:rFonts w:ascii="宋体" w:hAnsi="宋体"/>
          <w:color w:val="auto"/>
          <w:szCs w:val="21"/>
          <w:u w:val="single"/>
        </w:rPr>
        <w:t xml:space="preserve"> </w:t>
      </w:r>
      <w:r>
        <w:rPr>
          <w:rFonts w:hint="eastAsia" w:ascii="宋体" w:hAnsi="宋体"/>
          <w:color w:val="auto"/>
          <w:szCs w:val="21"/>
        </w:rPr>
        <w:t>，作为本合同附件。</w:t>
      </w:r>
    </w:p>
    <w:p w14:paraId="7D82EC8A">
      <w:pPr>
        <w:pStyle w:val="4"/>
        <w:spacing w:before="120" w:line="360" w:lineRule="auto"/>
        <w:rPr>
          <w:color w:val="auto"/>
        </w:rPr>
      </w:pPr>
      <w:r>
        <w:rPr>
          <w:color w:val="auto"/>
        </w:rPr>
        <w:t xml:space="preserve">1.13 </w:t>
      </w:r>
      <w:r>
        <w:rPr>
          <w:rFonts w:hint="eastAsia"/>
          <w:color w:val="auto"/>
        </w:rPr>
        <w:t>责任限制</w:t>
      </w:r>
      <w:bookmarkEnd w:id="1896"/>
    </w:p>
    <w:p w14:paraId="2590FC87">
      <w:pPr>
        <w:spacing w:line="360" w:lineRule="auto"/>
        <w:ind w:firstLine="420" w:firstLineChars="200"/>
        <w:rPr>
          <w:rFonts w:ascii="宋体" w:hAnsi="宋体"/>
          <w:color w:val="auto"/>
          <w:szCs w:val="21"/>
        </w:rPr>
      </w:pPr>
      <w:bookmarkStart w:id="1897" w:name="_Toc154063659"/>
      <w:r>
        <w:rPr>
          <w:rFonts w:hint="eastAsia" w:ascii="宋体" w:hAnsi="宋体"/>
          <w:color w:val="auto"/>
          <w:szCs w:val="21"/>
        </w:rPr>
        <w:t>承包人对发包人赔偿责任的最高限额为</w:t>
      </w:r>
      <w:r>
        <w:rPr>
          <w:rFonts w:ascii="宋体" w:hAnsi="宋体"/>
          <w:color w:val="auto"/>
          <w:szCs w:val="21"/>
          <w:u w:val="single"/>
        </w:rPr>
        <w:t xml:space="preserve"> </w:t>
      </w:r>
      <w:r>
        <w:rPr>
          <w:rFonts w:hint="eastAsia" w:ascii="宋体" w:hAnsi="宋体"/>
          <w:color w:val="auto"/>
          <w:szCs w:val="21"/>
          <w:u w:val="single"/>
        </w:rPr>
        <w:t>按合同通用条款执行</w:t>
      </w:r>
      <w:r>
        <w:rPr>
          <w:rFonts w:ascii="宋体" w:hAnsi="宋体"/>
          <w:color w:val="auto"/>
          <w:szCs w:val="21"/>
          <w:u w:val="single"/>
        </w:rPr>
        <w:t xml:space="preserve"> </w:t>
      </w:r>
      <w:r>
        <w:rPr>
          <w:rFonts w:hint="eastAsia" w:ascii="宋体" w:hAnsi="宋体"/>
          <w:color w:val="auto"/>
          <w:szCs w:val="21"/>
        </w:rPr>
        <w:t>。</w:t>
      </w:r>
    </w:p>
    <w:p w14:paraId="0D8744EF">
      <w:pPr>
        <w:pStyle w:val="4"/>
        <w:spacing w:before="120" w:line="360" w:lineRule="auto"/>
        <w:rPr>
          <w:color w:val="auto"/>
        </w:rPr>
      </w:pPr>
      <w:r>
        <w:rPr>
          <w:color w:val="auto"/>
        </w:rPr>
        <w:t xml:space="preserve">1.14 </w:t>
      </w:r>
      <w:r>
        <w:rPr>
          <w:rFonts w:hint="eastAsia"/>
          <w:color w:val="auto"/>
        </w:rPr>
        <w:t>建筑信息模型技术的应用</w:t>
      </w:r>
      <w:bookmarkEnd w:id="1897"/>
    </w:p>
    <w:p w14:paraId="07DA246E">
      <w:pPr>
        <w:spacing w:line="360" w:lineRule="auto"/>
        <w:ind w:firstLine="420" w:firstLineChars="200"/>
        <w:rPr>
          <w:rFonts w:ascii="宋体" w:hAnsi="宋体"/>
          <w:color w:val="auto"/>
          <w:szCs w:val="21"/>
        </w:rPr>
      </w:pPr>
      <w:r>
        <w:rPr>
          <w:rFonts w:hint="eastAsia" w:ascii="宋体" w:hAnsi="宋体"/>
          <w:color w:val="auto"/>
          <w:szCs w:val="21"/>
        </w:rPr>
        <w:t>关于建筑信息模型技术的开发、使用、存储、传输、交付及费用约定如下：</w:t>
      </w:r>
      <w:r>
        <w:rPr>
          <w:rFonts w:ascii="宋体" w:hAnsi="宋体"/>
          <w:color w:val="auto"/>
          <w:szCs w:val="21"/>
          <w:u w:val="single"/>
        </w:rPr>
        <w:t xml:space="preserve"> </w:t>
      </w:r>
      <w:r>
        <w:rPr>
          <w:rFonts w:hint="eastAsia" w:ascii="宋体" w:hAnsi="宋体"/>
          <w:color w:val="auto"/>
          <w:szCs w:val="21"/>
          <w:u w:val="single"/>
        </w:rPr>
        <w:t>另行协商</w:t>
      </w:r>
      <w:r>
        <w:rPr>
          <w:rFonts w:ascii="宋体" w:hAnsi="宋体"/>
          <w:color w:val="auto"/>
          <w:szCs w:val="21"/>
          <w:u w:val="single"/>
        </w:rPr>
        <w:t xml:space="preserve"> </w:t>
      </w:r>
      <w:r>
        <w:rPr>
          <w:rFonts w:hint="eastAsia" w:ascii="宋体" w:hAnsi="宋体"/>
          <w:color w:val="auto"/>
          <w:szCs w:val="21"/>
        </w:rPr>
        <w:t>。</w:t>
      </w:r>
    </w:p>
    <w:p w14:paraId="3B5780EA">
      <w:pPr>
        <w:pStyle w:val="3"/>
        <w:spacing w:before="48" w:line="360" w:lineRule="auto"/>
        <w:rPr>
          <w:rFonts w:ascii="黑体" w:hAnsi="黑体"/>
          <w:bCs w:val="0"/>
          <w:color w:val="auto"/>
          <w:sz w:val="28"/>
        </w:rPr>
      </w:pPr>
      <w:bookmarkStart w:id="1898" w:name="_Toc54862333"/>
      <w:bookmarkStart w:id="1899" w:name="_Toc154063660"/>
      <w:r>
        <w:rPr>
          <w:rFonts w:hint="eastAsia" w:ascii="黑体" w:hAnsi="黑体"/>
          <w:bCs w:val="0"/>
          <w:color w:val="auto"/>
          <w:sz w:val="28"/>
        </w:rPr>
        <w:t>第</w:t>
      </w:r>
      <w:r>
        <w:rPr>
          <w:rFonts w:ascii="黑体" w:hAnsi="黑体"/>
          <w:bCs w:val="0"/>
          <w:color w:val="auto"/>
          <w:sz w:val="28"/>
        </w:rPr>
        <w:t>2条</w:t>
      </w:r>
      <w:r>
        <w:rPr>
          <w:rFonts w:hint="eastAsia" w:ascii="黑体" w:hAnsi="黑体"/>
          <w:bCs w:val="0"/>
          <w:color w:val="auto"/>
          <w:sz w:val="28"/>
        </w:rPr>
        <w:t xml:space="preserve"> 发包人</w:t>
      </w:r>
      <w:bookmarkEnd w:id="1898"/>
      <w:bookmarkEnd w:id="1899"/>
    </w:p>
    <w:p w14:paraId="38CD0FD9">
      <w:pPr>
        <w:pStyle w:val="4"/>
        <w:spacing w:before="120" w:line="360" w:lineRule="auto"/>
        <w:rPr>
          <w:color w:val="auto"/>
        </w:rPr>
      </w:pPr>
      <w:bookmarkStart w:id="1900" w:name="_Toc154063661"/>
      <w:r>
        <w:rPr>
          <w:color w:val="auto"/>
        </w:rPr>
        <w:t xml:space="preserve">2.2 </w:t>
      </w:r>
      <w:r>
        <w:rPr>
          <w:rFonts w:hint="eastAsia"/>
          <w:color w:val="auto"/>
        </w:rPr>
        <w:t>提供施工现场和工作条件</w:t>
      </w:r>
      <w:bookmarkEnd w:id="1900"/>
    </w:p>
    <w:p w14:paraId="2138760F">
      <w:pPr>
        <w:spacing w:line="360" w:lineRule="auto"/>
        <w:ind w:firstLine="420" w:firstLineChars="200"/>
        <w:rPr>
          <w:rFonts w:ascii="宋体" w:hAnsi="宋体"/>
          <w:color w:val="auto"/>
          <w:szCs w:val="21"/>
        </w:rPr>
      </w:pPr>
      <w:r>
        <w:rPr>
          <w:rFonts w:ascii="宋体" w:hAnsi="宋体"/>
          <w:color w:val="auto"/>
          <w:szCs w:val="21"/>
        </w:rPr>
        <w:t xml:space="preserve">2.2.1 </w:t>
      </w:r>
      <w:r>
        <w:rPr>
          <w:rFonts w:hint="eastAsia" w:ascii="宋体" w:hAnsi="宋体"/>
          <w:color w:val="auto"/>
          <w:szCs w:val="21"/>
        </w:rPr>
        <w:t>提供施工现场</w:t>
      </w:r>
    </w:p>
    <w:p w14:paraId="508B1DF4">
      <w:pPr>
        <w:spacing w:line="360" w:lineRule="auto"/>
        <w:ind w:firstLine="420" w:firstLineChars="200"/>
        <w:rPr>
          <w:rFonts w:ascii="宋体" w:hAnsi="宋体"/>
          <w:color w:val="auto"/>
          <w:szCs w:val="21"/>
        </w:rPr>
      </w:pPr>
      <w:r>
        <w:rPr>
          <w:rFonts w:hint="eastAsia" w:ascii="宋体" w:hAnsi="宋体"/>
          <w:color w:val="auto"/>
          <w:szCs w:val="21"/>
        </w:rPr>
        <w:t>关于发包人提供施工现场的范围和期限：</w:t>
      </w:r>
      <w:r>
        <w:rPr>
          <w:rFonts w:ascii="宋体" w:hAnsi="宋体"/>
          <w:color w:val="auto"/>
          <w:szCs w:val="21"/>
          <w:u w:val="single"/>
        </w:rPr>
        <w:t xml:space="preserve"> </w:t>
      </w:r>
      <w:r>
        <w:rPr>
          <w:rFonts w:hint="eastAsia" w:ascii="宋体" w:hAnsi="宋体"/>
          <w:color w:val="auto"/>
          <w:szCs w:val="21"/>
          <w:u w:val="single"/>
        </w:rPr>
        <w:t>工程开工前</w:t>
      </w:r>
      <w:r>
        <w:rPr>
          <w:rFonts w:ascii="宋体" w:hAnsi="宋体"/>
          <w:color w:val="auto"/>
          <w:szCs w:val="21"/>
          <w:u w:val="single"/>
        </w:rPr>
        <w:t xml:space="preserve"> </w:t>
      </w:r>
      <w:r>
        <w:rPr>
          <w:rFonts w:hint="eastAsia" w:ascii="宋体" w:hAnsi="宋体"/>
          <w:color w:val="auto"/>
          <w:szCs w:val="21"/>
        </w:rPr>
        <w:t>。</w:t>
      </w:r>
    </w:p>
    <w:p w14:paraId="51AE6115">
      <w:pPr>
        <w:spacing w:line="360" w:lineRule="auto"/>
        <w:ind w:firstLine="420" w:firstLineChars="200"/>
        <w:rPr>
          <w:rFonts w:ascii="宋体" w:hAnsi="宋体"/>
          <w:color w:val="auto"/>
          <w:szCs w:val="21"/>
        </w:rPr>
      </w:pPr>
      <w:r>
        <w:rPr>
          <w:rFonts w:ascii="宋体" w:hAnsi="宋体"/>
          <w:color w:val="auto"/>
          <w:szCs w:val="21"/>
        </w:rPr>
        <w:t xml:space="preserve">2.2.2 </w:t>
      </w:r>
      <w:r>
        <w:rPr>
          <w:rFonts w:hint="eastAsia" w:ascii="宋体" w:hAnsi="宋体"/>
          <w:color w:val="auto"/>
          <w:szCs w:val="21"/>
        </w:rPr>
        <w:t>提供工作条件</w:t>
      </w:r>
    </w:p>
    <w:p w14:paraId="4673584C">
      <w:pPr>
        <w:spacing w:line="360" w:lineRule="auto"/>
        <w:ind w:firstLine="420" w:firstLineChars="200"/>
        <w:rPr>
          <w:rFonts w:hint="eastAsia" w:ascii="宋体" w:hAnsi="宋体"/>
          <w:color w:val="auto"/>
          <w:szCs w:val="21"/>
        </w:rPr>
      </w:pPr>
      <w:r>
        <w:rPr>
          <w:rFonts w:hint="eastAsia" w:ascii="宋体" w:hAnsi="宋体"/>
          <w:color w:val="auto"/>
          <w:szCs w:val="21"/>
        </w:rPr>
        <w:t>关于发包人应负责提供的工作条件包括：</w:t>
      </w:r>
      <w:r>
        <w:rPr>
          <w:rFonts w:ascii="宋体" w:hAnsi="宋体"/>
          <w:color w:val="auto"/>
          <w:szCs w:val="21"/>
          <w:u w:val="single"/>
        </w:rPr>
        <w:t xml:space="preserve"> </w:t>
      </w:r>
      <w:r>
        <w:rPr>
          <w:rFonts w:hint="eastAsia" w:ascii="宋体" w:hAnsi="宋体"/>
          <w:color w:val="auto"/>
          <w:szCs w:val="21"/>
          <w:u w:val="single"/>
        </w:rPr>
        <w:t>（1）配合政府职能部门完成施工场地的征地拆迁工作；（2）承包人进场后必须对场地进行标高复核，并经发包人、承包人、监理单位、造价监管单位共同核定场地标高；（3）发包人协助承包人协调处理周边邻里关系；（4）其他内容详见本合同其他条款</w:t>
      </w:r>
      <w:r>
        <w:rPr>
          <w:rFonts w:ascii="宋体" w:hAnsi="宋体"/>
          <w:color w:val="auto"/>
          <w:szCs w:val="21"/>
          <w:u w:val="single"/>
        </w:rPr>
        <w:t xml:space="preserve"> </w:t>
      </w:r>
      <w:r>
        <w:rPr>
          <w:rFonts w:hint="eastAsia" w:ascii="宋体" w:hAnsi="宋体"/>
          <w:color w:val="auto"/>
          <w:szCs w:val="21"/>
        </w:rPr>
        <w:t>。</w:t>
      </w:r>
    </w:p>
    <w:p w14:paraId="760B7ECF">
      <w:pPr>
        <w:pStyle w:val="4"/>
        <w:spacing w:before="120" w:line="360" w:lineRule="auto"/>
        <w:rPr>
          <w:color w:val="auto"/>
        </w:rPr>
      </w:pPr>
      <w:bookmarkStart w:id="1901" w:name="_Toc154063662"/>
      <w:r>
        <w:rPr>
          <w:color w:val="auto"/>
        </w:rPr>
        <w:t xml:space="preserve">2.3 </w:t>
      </w:r>
      <w:r>
        <w:rPr>
          <w:rFonts w:hint="eastAsia"/>
          <w:color w:val="auto"/>
        </w:rPr>
        <w:t>提供基础资料</w:t>
      </w:r>
      <w:bookmarkEnd w:id="1901"/>
    </w:p>
    <w:p w14:paraId="7ECC4C4B">
      <w:pPr>
        <w:spacing w:line="360" w:lineRule="auto"/>
        <w:ind w:firstLine="420" w:firstLineChars="200"/>
        <w:rPr>
          <w:rFonts w:ascii="宋体" w:hAnsi="宋体"/>
          <w:color w:val="auto"/>
          <w:szCs w:val="21"/>
        </w:rPr>
      </w:pPr>
      <w:r>
        <w:rPr>
          <w:rFonts w:hint="eastAsia" w:ascii="宋体" w:hAnsi="宋体"/>
          <w:color w:val="auto"/>
          <w:szCs w:val="21"/>
        </w:rPr>
        <w:t>关于发包人应提供的基础资料的范围和期限：</w:t>
      </w:r>
      <w:r>
        <w:rPr>
          <w:rFonts w:ascii="宋体" w:hAnsi="宋体"/>
          <w:color w:val="auto"/>
          <w:szCs w:val="21"/>
          <w:u w:val="single"/>
        </w:rPr>
        <w:t xml:space="preserve"> </w:t>
      </w:r>
      <w:r>
        <w:rPr>
          <w:rFonts w:hint="eastAsia" w:ascii="宋体" w:hAnsi="宋体"/>
          <w:color w:val="auto"/>
          <w:szCs w:val="21"/>
          <w:u w:val="single"/>
        </w:rPr>
        <w:t>（1）开工前提供地下管线资料；（2）发包人将施工现场施测的水准点高程与平面控制点坐标提交给承包人</w:t>
      </w:r>
      <w:r>
        <w:rPr>
          <w:rFonts w:ascii="宋体" w:hAnsi="宋体"/>
          <w:color w:val="auto"/>
          <w:szCs w:val="21"/>
          <w:u w:val="single"/>
        </w:rPr>
        <w:t xml:space="preserve"> </w:t>
      </w:r>
      <w:r>
        <w:rPr>
          <w:rFonts w:hint="eastAsia" w:ascii="宋体" w:hAnsi="宋体"/>
          <w:color w:val="auto"/>
          <w:szCs w:val="21"/>
        </w:rPr>
        <w:t>。</w:t>
      </w:r>
    </w:p>
    <w:p w14:paraId="0D1C9F8F">
      <w:pPr>
        <w:pStyle w:val="4"/>
        <w:spacing w:before="120" w:line="360" w:lineRule="auto"/>
        <w:rPr>
          <w:color w:val="auto"/>
        </w:rPr>
      </w:pPr>
      <w:bookmarkStart w:id="1902" w:name="_Toc154063663"/>
      <w:r>
        <w:rPr>
          <w:color w:val="auto"/>
        </w:rPr>
        <w:t xml:space="preserve">2.5 </w:t>
      </w:r>
      <w:r>
        <w:rPr>
          <w:rFonts w:hint="eastAsia"/>
          <w:color w:val="auto"/>
        </w:rPr>
        <w:t>支付合同价款</w:t>
      </w:r>
      <w:bookmarkEnd w:id="1902"/>
    </w:p>
    <w:p w14:paraId="74ECB343">
      <w:pPr>
        <w:spacing w:line="360" w:lineRule="auto"/>
        <w:ind w:firstLine="420" w:firstLineChars="200"/>
        <w:rPr>
          <w:rFonts w:ascii="宋体" w:hAnsi="宋体"/>
          <w:color w:val="auto"/>
          <w:szCs w:val="21"/>
        </w:rPr>
      </w:pPr>
      <w:r>
        <w:rPr>
          <w:rFonts w:ascii="宋体" w:hAnsi="宋体"/>
          <w:color w:val="auto"/>
          <w:szCs w:val="21"/>
        </w:rPr>
        <w:t xml:space="preserve">2.5.2 </w:t>
      </w:r>
      <w:r>
        <w:rPr>
          <w:rFonts w:hint="eastAsia" w:ascii="宋体" w:hAnsi="宋体"/>
          <w:color w:val="auto"/>
          <w:szCs w:val="21"/>
        </w:rPr>
        <w:t>发包人提供资金来源证明及资金安排的期限要求：</w:t>
      </w:r>
      <w:r>
        <w:rPr>
          <w:rFonts w:ascii="宋体" w:hAnsi="宋体"/>
          <w:color w:val="auto"/>
          <w:szCs w:val="21"/>
          <w:u w:val="single"/>
        </w:rPr>
        <w:t xml:space="preserve"> </w:t>
      </w:r>
      <w:r>
        <w:rPr>
          <w:rFonts w:hint="eastAsia" w:ascii="宋体" w:hAnsi="宋体"/>
          <w:color w:val="auto"/>
          <w:szCs w:val="21"/>
          <w:u w:val="single"/>
        </w:rPr>
        <w:t>此条不适用</w:t>
      </w:r>
      <w:r>
        <w:rPr>
          <w:rFonts w:ascii="宋体" w:hAnsi="宋体"/>
          <w:color w:val="auto"/>
          <w:szCs w:val="21"/>
          <w:u w:val="single"/>
        </w:rPr>
        <w:t xml:space="preserve"> </w:t>
      </w:r>
      <w:r>
        <w:rPr>
          <w:rFonts w:hint="eastAsia" w:ascii="宋体" w:hAnsi="宋体"/>
          <w:color w:val="auto"/>
          <w:szCs w:val="21"/>
        </w:rPr>
        <w:t>。</w:t>
      </w:r>
    </w:p>
    <w:p w14:paraId="392111EC">
      <w:pPr>
        <w:spacing w:line="360" w:lineRule="auto"/>
        <w:ind w:firstLine="420" w:firstLineChars="200"/>
        <w:rPr>
          <w:rFonts w:ascii="宋体" w:hAnsi="宋体"/>
          <w:color w:val="auto"/>
          <w:szCs w:val="21"/>
        </w:rPr>
      </w:pPr>
      <w:r>
        <w:rPr>
          <w:rFonts w:ascii="宋体" w:hAnsi="宋体"/>
          <w:color w:val="auto"/>
          <w:szCs w:val="21"/>
        </w:rPr>
        <w:t xml:space="preserve">2.5.3 </w:t>
      </w:r>
      <w:r>
        <w:rPr>
          <w:rFonts w:hint="eastAsia" w:ascii="宋体" w:hAnsi="宋体"/>
          <w:color w:val="auto"/>
          <w:szCs w:val="21"/>
        </w:rPr>
        <w:t>发包人提供支付担保的形式、期限、金额（或比例）：</w:t>
      </w:r>
      <w:r>
        <w:rPr>
          <w:rFonts w:ascii="宋体" w:hAnsi="宋体"/>
          <w:color w:val="auto"/>
          <w:szCs w:val="21"/>
          <w:u w:val="single"/>
        </w:rPr>
        <w:t xml:space="preserve"> </w:t>
      </w:r>
      <w:r>
        <w:rPr>
          <w:rFonts w:hint="eastAsia" w:ascii="宋体" w:hAnsi="宋体"/>
          <w:color w:val="auto"/>
          <w:szCs w:val="21"/>
          <w:u w:val="single"/>
        </w:rPr>
        <w:t>此条不适用</w:t>
      </w:r>
      <w:r>
        <w:rPr>
          <w:rFonts w:ascii="宋体" w:hAnsi="宋体"/>
          <w:color w:val="auto"/>
          <w:szCs w:val="21"/>
          <w:u w:val="single"/>
        </w:rPr>
        <w:t xml:space="preserve"> </w:t>
      </w:r>
      <w:r>
        <w:rPr>
          <w:rFonts w:hint="eastAsia" w:ascii="宋体" w:hAnsi="宋体"/>
          <w:color w:val="auto"/>
          <w:szCs w:val="21"/>
        </w:rPr>
        <w:t>。</w:t>
      </w:r>
    </w:p>
    <w:p w14:paraId="167B8C2A">
      <w:pPr>
        <w:pStyle w:val="4"/>
        <w:spacing w:before="120" w:line="360" w:lineRule="auto"/>
        <w:rPr>
          <w:color w:val="auto"/>
        </w:rPr>
      </w:pPr>
      <w:bookmarkStart w:id="1903" w:name="_Toc154063664"/>
      <w:r>
        <w:rPr>
          <w:color w:val="auto"/>
        </w:rPr>
        <w:t xml:space="preserve">2.7 </w:t>
      </w:r>
      <w:r>
        <w:rPr>
          <w:rFonts w:hint="eastAsia"/>
          <w:color w:val="auto"/>
        </w:rPr>
        <w:t>其他义务</w:t>
      </w:r>
      <w:bookmarkEnd w:id="1903"/>
    </w:p>
    <w:p w14:paraId="21E5EBD7">
      <w:pPr>
        <w:spacing w:line="360" w:lineRule="auto"/>
        <w:ind w:firstLine="420" w:firstLineChars="200"/>
        <w:rPr>
          <w:rFonts w:ascii="宋体" w:hAnsi="宋体"/>
          <w:color w:val="auto"/>
          <w:szCs w:val="21"/>
        </w:rPr>
      </w:pPr>
      <w:r>
        <w:rPr>
          <w:rFonts w:hint="eastAsia" w:ascii="宋体" w:hAnsi="宋体"/>
          <w:color w:val="auto"/>
          <w:szCs w:val="21"/>
        </w:rPr>
        <w:t>发包人应履行的其他义务：</w:t>
      </w:r>
      <w:r>
        <w:rPr>
          <w:rFonts w:ascii="宋体" w:hAnsi="宋体"/>
          <w:color w:val="auto"/>
          <w:szCs w:val="21"/>
          <w:u w:val="single"/>
        </w:rPr>
        <w:t xml:space="preserve"> </w:t>
      </w:r>
      <w:r>
        <w:rPr>
          <w:rFonts w:hint="eastAsia" w:ascii="宋体" w:hAnsi="宋体"/>
          <w:color w:val="auto"/>
          <w:szCs w:val="21"/>
          <w:u w:val="single"/>
          <w:lang w:val="en-US" w:eastAsia="zh-CN"/>
        </w:rPr>
        <w:t>无</w:t>
      </w:r>
      <w:r>
        <w:rPr>
          <w:rFonts w:ascii="宋体" w:hAnsi="宋体"/>
          <w:color w:val="auto"/>
          <w:szCs w:val="21"/>
          <w:u w:val="single"/>
        </w:rPr>
        <w:t xml:space="preserve"> </w:t>
      </w:r>
      <w:r>
        <w:rPr>
          <w:rFonts w:hint="eastAsia" w:ascii="宋体" w:hAnsi="宋体"/>
          <w:color w:val="auto"/>
          <w:szCs w:val="21"/>
        </w:rPr>
        <w:t>。</w:t>
      </w:r>
    </w:p>
    <w:p w14:paraId="4F282C5C">
      <w:pPr>
        <w:pStyle w:val="3"/>
        <w:spacing w:before="48" w:line="360" w:lineRule="auto"/>
        <w:rPr>
          <w:rFonts w:ascii="黑体" w:hAnsi="黑体"/>
          <w:bCs w:val="0"/>
          <w:color w:val="auto"/>
          <w:sz w:val="28"/>
        </w:rPr>
      </w:pPr>
      <w:bookmarkStart w:id="1904" w:name="_Toc54862334"/>
      <w:bookmarkStart w:id="1905" w:name="_Toc154063665"/>
      <w:r>
        <w:rPr>
          <w:rFonts w:hint="eastAsia" w:ascii="黑体" w:hAnsi="黑体"/>
          <w:bCs w:val="0"/>
          <w:color w:val="auto"/>
          <w:sz w:val="28"/>
        </w:rPr>
        <w:t>第</w:t>
      </w:r>
      <w:r>
        <w:rPr>
          <w:rFonts w:ascii="黑体" w:hAnsi="黑体"/>
          <w:bCs w:val="0"/>
          <w:color w:val="auto"/>
          <w:sz w:val="28"/>
        </w:rPr>
        <w:t>3条</w:t>
      </w:r>
      <w:r>
        <w:rPr>
          <w:rFonts w:hint="eastAsia" w:ascii="黑体" w:hAnsi="黑体"/>
          <w:bCs w:val="0"/>
          <w:color w:val="auto"/>
          <w:sz w:val="28"/>
        </w:rPr>
        <w:t xml:space="preserve"> 发包人的管理</w:t>
      </w:r>
      <w:bookmarkEnd w:id="1904"/>
      <w:bookmarkEnd w:id="1905"/>
    </w:p>
    <w:p w14:paraId="740BB2EA">
      <w:pPr>
        <w:pStyle w:val="4"/>
        <w:spacing w:before="120" w:line="360" w:lineRule="auto"/>
        <w:rPr>
          <w:color w:val="auto"/>
        </w:rPr>
      </w:pPr>
      <w:bookmarkStart w:id="1906" w:name="_Toc154063666"/>
      <w:r>
        <w:rPr>
          <w:color w:val="auto"/>
        </w:rPr>
        <w:t xml:space="preserve">3.1 </w:t>
      </w:r>
      <w:r>
        <w:rPr>
          <w:rFonts w:hint="eastAsia"/>
          <w:color w:val="auto"/>
        </w:rPr>
        <w:t>发包人代表</w:t>
      </w:r>
      <w:bookmarkEnd w:id="1906"/>
    </w:p>
    <w:p w14:paraId="2178A661">
      <w:pPr>
        <w:spacing w:line="360" w:lineRule="auto"/>
        <w:ind w:firstLine="420" w:firstLineChars="200"/>
        <w:rPr>
          <w:rFonts w:ascii="宋体" w:hAnsi="宋体"/>
          <w:color w:val="auto"/>
          <w:szCs w:val="21"/>
        </w:rPr>
      </w:pPr>
      <w:r>
        <w:rPr>
          <w:rFonts w:hint="eastAsia" w:ascii="宋体" w:hAnsi="宋体"/>
          <w:color w:val="auto"/>
          <w:szCs w:val="21"/>
        </w:rPr>
        <w:t>发包人代表的姓名：</w:t>
      </w:r>
      <w:r>
        <w:rPr>
          <w:rFonts w:ascii="宋体" w:hAnsi="宋体"/>
          <w:color w:val="auto"/>
          <w:szCs w:val="21"/>
          <w:u w:val="single"/>
        </w:rPr>
        <w:t xml:space="preserve">                                 </w:t>
      </w:r>
      <w:r>
        <w:rPr>
          <w:rFonts w:hint="eastAsia" w:ascii="宋体" w:hAnsi="宋体"/>
          <w:color w:val="auto"/>
          <w:szCs w:val="21"/>
        </w:rPr>
        <w:t>；</w:t>
      </w:r>
    </w:p>
    <w:p w14:paraId="19EC99FD">
      <w:pPr>
        <w:spacing w:line="360" w:lineRule="auto"/>
        <w:ind w:firstLine="420" w:firstLineChars="200"/>
        <w:rPr>
          <w:rFonts w:ascii="宋体" w:hAnsi="宋体"/>
          <w:color w:val="auto"/>
          <w:szCs w:val="21"/>
        </w:rPr>
      </w:pPr>
      <w:r>
        <w:rPr>
          <w:rFonts w:hint="eastAsia" w:ascii="宋体" w:hAnsi="宋体"/>
          <w:color w:val="auto"/>
          <w:szCs w:val="21"/>
        </w:rPr>
        <w:t>发包人代表的身份证号：</w:t>
      </w:r>
      <w:r>
        <w:rPr>
          <w:rFonts w:ascii="宋体" w:hAnsi="宋体"/>
          <w:color w:val="auto"/>
          <w:szCs w:val="21"/>
          <w:u w:val="single"/>
        </w:rPr>
        <w:t xml:space="preserve">                             </w:t>
      </w:r>
      <w:r>
        <w:rPr>
          <w:rFonts w:hint="eastAsia" w:ascii="宋体" w:hAnsi="宋体"/>
          <w:color w:val="auto"/>
          <w:szCs w:val="21"/>
        </w:rPr>
        <w:t>；</w:t>
      </w:r>
    </w:p>
    <w:p w14:paraId="486D05EC">
      <w:pPr>
        <w:spacing w:line="360" w:lineRule="auto"/>
        <w:ind w:firstLine="420" w:firstLineChars="200"/>
        <w:rPr>
          <w:rFonts w:ascii="宋体" w:hAnsi="宋体"/>
          <w:color w:val="auto"/>
          <w:szCs w:val="21"/>
        </w:rPr>
      </w:pPr>
      <w:r>
        <w:rPr>
          <w:rFonts w:hint="eastAsia" w:ascii="宋体" w:hAnsi="宋体"/>
          <w:color w:val="auto"/>
          <w:szCs w:val="21"/>
        </w:rPr>
        <w:t>发包人代表的职务：</w:t>
      </w:r>
      <w:r>
        <w:rPr>
          <w:rFonts w:ascii="宋体" w:hAnsi="宋体"/>
          <w:color w:val="auto"/>
          <w:szCs w:val="21"/>
          <w:u w:val="single"/>
        </w:rPr>
        <w:t xml:space="preserve">                                 </w:t>
      </w:r>
      <w:r>
        <w:rPr>
          <w:rFonts w:hint="eastAsia" w:ascii="宋体" w:hAnsi="宋体"/>
          <w:color w:val="auto"/>
          <w:szCs w:val="21"/>
        </w:rPr>
        <w:t>；</w:t>
      </w:r>
    </w:p>
    <w:p w14:paraId="1F08E21A">
      <w:pPr>
        <w:spacing w:line="360" w:lineRule="auto"/>
        <w:ind w:firstLine="420" w:firstLineChars="200"/>
        <w:rPr>
          <w:rFonts w:ascii="宋体" w:hAnsi="宋体"/>
          <w:color w:val="auto"/>
          <w:szCs w:val="21"/>
        </w:rPr>
      </w:pPr>
      <w:r>
        <w:rPr>
          <w:rFonts w:hint="eastAsia" w:ascii="宋体" w:hAnsi="宋体"/>
          <w:color w:val="auto"/>
          <w:szCs w:val="21"/>
        </w:rPr>
        <w:t>发包人代表的联系电话：</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w:t>
      </w:r>
    </w:p>
    <w:p w14:paraId="5BD5DA76">
      <w:pPr>
        <w:spacing w:line="360" w:lineRule="auto"/>
        <w:ind w:firstLine="420" w:firstLineChars="200"/>
        <w:rPr>
          <w:rFonts w:ascii="宋体" w:hAnsi="宋体"/>
          <w:color w:val="auto"/>
          <w:szCs w:val="21"/>
        </w:rPr>
      </w:pPr>
      <w:r>
        <w:rPr>
          <w:rFonts w:hint="eastAsia" w:ascii="宋体" w:hAnsi="宋体"/>
          <w:color w:val="auto"/>
          <w:szCs w:val="21"/>
        </w:rPr>
        <w:t>发包人代表的电子邮箱：</w:t>
      </w:r>
      <w:r>
        <w:rPr>
          <w:rFonts w:ascii="宋体" w:hAnsi="宋体"/>
          <w:color w:val="auto"/>
          <w:szCs w:val="21"/>
          <w:u w:val="single"/>
        </w:rPr>
        <w:t xml:space="preserve">                             </w:t>
      </w:r>
      <w:r>
        <w:rPr>
          <w:rFonts w:hint="eastAsia" w:ascii="宋体" w:hAnsi="宋体"/>
          <w:color w:val="auto"/>
          <w:szCs w:val="21"/>
        </w:rPr>
        <w:t>；</w:t>
      </w:r>
    </w:p>
    <w:p w14:paraId="1BA9C694">
      <w:pPr>
        <w:spacing w:line="360" w:lineRule="auto"/>
        <w:ind w:firstLine="420" w:firstLineChars="200"/>
        <w:rPr>
          <w:rFonts w:ascii="宋体" w:hAnsi="宋体"/>
          <w:color w:val="auto"/>
          <w:szCs w:val="21"/>
        </w:rPr>
      </w:pPr>
      <w:r>
        <w:rPr>
          <w:rFonts w:hint="eastAsia" w:ascii="宋体" w:hAnsi="宋体"/>
          <w:color w:val="auto"/>
          <w:szCs w:val="21"/>
        </w:rPr>
        <w:t>发包人代表的通信地址：</w:t>
      </w:r>
      <w:r>
        <w:rPr>
          <w:rFonts w:ascii="宋体" w:hAnsi="宋体"/>
          <w:color w:val="auto"/>
          <w:szCs w:val="21"/>
          <w:u w:val="single"/>
        </w:rPr>
        <w:t xml:space="preserve">                             </w:t>
      </w:r>
      <w:r>
        <w:rPr>
          <w:rFonts w:hint="eastAsia" w:ascii="宋体" w:hAnsi="宋体"/>
          <w:color w:val="auto"/>
          <w:szCs w:val="21"/>
        </w:rPr>
        <w:t>；</w:t>
      </w:r>
    </w:p>
    <w:p w14:paraId="7F371161">
      <w:pPr>
        <w:spacing w:line="360" w:lineRule="auto"/>
        <w:ind w:firstLine="420" w:firstLineChars="200"/>
        <w:rPr>
          <w:rFonts w:ascii="宋体" w:hAnsi="宋体"/>
          <w:color w:val="auto"/>
          <w:szCs w:val="21"/>
        </w:rPr>
      </w:pPr>
      <w:r>
        <w:rPr>
          <w:rFonts w:hint="eastAsia" w:ascii="宋体" w:hAnsi="宋体"/>
          <w:color w:val="auto"/>
          <w:szCs w:val="21"/>
        </w:rPr>
        <w:t>发包人对发包人代表的授权范围如下：</w:t>
      </w:r>
      <w:r>
        <w:rPr>
          <w:rFonts w:hint="eastAsia" w:ascii="宋体" w:hAnsi="宋体"/>
          <w:color w:val="auto"/>
          <w:szCs w:val="21"/>
          <w:u w:val="single"/>
          <w:lang w:val="en-US" w:eastAsia="zh-CN"/>
        </w:rPr>
        <w:t xml:space="preserve"> </w:t>
      </w:r>
      <w:r>
        <w:rPr>
          <w:rFonts w:hint="eastAsia" w:ascii="宋体" w:hAnsi="宋体"/>
          <w:color w:val="auto"/>
          <w:szCs w:val="21"/>
          <w:u w:val="single"/>
        </w:rPr>
        <w:t>依据本合同约定的范围和事项履行职责</w:t>
      </w:r>
      <w:r>
        <w:rPr>
          <w:rFonts w:ascii="宋体" w:hAnsi="宋体"/>
          <w:color w:val="auto"/>
          <w:szCs w:val="21"/>
          <w:u w:val="single"/>
        </w:rPr>
        <w:t xml:space="preserve"> </w:t>
      </w:r>
      <w:r>
        <w:rPr>
          <w:rFonts w:hint="eastAsia" w:ascii="宋体" w:hAnsi="宋体"/>
          <w:color w:val="auto"/>
          <w:szCs w:val="21"/>
        </w:rPr>
        <w:t>；</w:t>
      </w:r>
    </w:p>
    <w:p w14:paraId="2744DD35">
      <w:pPr>
        <w:spacing w:line="360" w:lineRule="auto"/>
        <w:ind w:firstLine="420" w:firstLineChars="200"/>
        <w:rPr>
          <w:rFonts w:ascii="宋体" w:hAnsi="宋体"/>
          <w:color w:val="auto"/>
          <w:szCs w:val="21"/>
        </w:rPr>
      </w:pPr>
      <w:r>
        <w:rPr>
          <w:rFonts w:hint="eastAsia" w:ascii="宋体" w:hAnsi="宋体"/>
          <w:color w:val="auto"/>
          <w:szCs w:val="21"/>
        </w:rPr>
        <w:t>发包人代表的职责：</w:t>
      </w:r>
      <w:r>
        <w:rPr>
          <w:rFonts w:hint="eastAsia" w:ascii="宋体" w:hAnsi="宋体"/>
          <w:color w:val="auto"/>
          <w:szCs w:val="21"/>
          <w:u w:val="single"/>
          <w:lang w:val="en-US" w:eastAsia="zh-CN"/>
        </w:rPr>
        <w:t xml:space="preserve"> </w:t>
      </w:r>
      <w:r>
        <w:rPr>
          <w:rFonts w:hint="eastAsia" w:ascii="宋体" w:hAnsi="宋体"/>
          <w:color w:val="auto"/>
          <w:szCs w:val="21"/>
          <w:u w:val="single"/>
        </w:rPr>
        <w:t>工程实施全过程中，对监理单位、造价监管单位、承包人等在工程勘察、设计、质量、进度及安全文明施工等方面行使发包人控制、监督与管理职责</w:t>
      </w:r>
      <w:r>
        <w:rPr>
          <w:rFonts w:ascii="宋体" w:hAnsi="宋体"/>
          <w:color w:val="auto"/>
          <w:szCs w:val="21"/>
          <w:u w:val="single"/>
        </w:rPr>
        <w:t xml:space="preserve"> </w:t>
      </w:r>
      <w:r>
        <w:rPr>
          <w:rFonts w:hint="eastAsia" w:ascii="宋体" w:hAnsi="宋体"/>
          <w:color w:val="auto"/>
          <w:szCs w:val="21"/>
        </w:rPr>
        <w:t>。</w:t>
      </w:r>
    </w:p>
    <w:p w14:paraId="2BE6C6E1">
      <w:pPr>
        <w:pStyle w:val="4"/>
        <w:keepNext w:val="0"/>
        <w:keepLines/>
        <w:pageBreakBefore w:val="0"/>
        <w:widowControl w:val="0"/>
        <w:kinsoku/>
        <w:wordWrap/>
        <w:overflowPunct/>
        <w:topLinePunct w:val="0"/>
        <w:autoSpaceDE/>
        <w:autoSpaceDN/>
        <w:bidi w:val="0"/>
        <w:adjustRightInd/>
        <w:snapToGrid/>
        <w:spacing w:before="120" w:line="360" w:lineRule="auto"/>
        <w:textAlignment w:val="auto"/>
        <w:rPr>
          <w:color w:val="auto"/>
        </w:rPr>
      </w:pPr>
      <w:bookmarkStart w:id="1907" w:name="_Toc154063667"/>
      <w:r>
        <w:rPr>
          <w:color w:val="auto"/>
        </w:rPr>
        <w:t xml:space="preserve">3.2 </w:t>
      </w:r>
      <w:r>
        <w:rPr>
          <w:rFonts w:hint="eastAsia"/>
          <w:color w:val="auto"/>
        </w:rPr>
        <w:t>发包人人员</w:t>
      </w:r>
      <w:bookmarkEnd w:id="1907"/>
    </w:p>
    <w:p w14:paraId="11CA19FB">
      <w:pPr>
        <w:spacing w:line="360" w:lineRule="auto"/>
        <w:ind w:firstLine="420" w:firstLineChars="200"/>
        <w:rPr>
          <w:rFonts w:ascii="宋体" w:hAnsi="宋体"/>
          <w:color w:val="auto"/>
          <w:szCs w:val="21"/>
        </w:rPr>
      </w:pPr>
      <w:r>
        <w:rPr>
          <w:rFonts w:ascii="宋体" w:hAnsi="宋体"/>
          <w:color w:val="auto"/>
          <w:szCs w:val="21"/>
        </w:rPr>
        <w:t>发包人人员姓名：</w:t>
      </w:r>
      <w:r>
        <w:rPr>
          <w:rFonts w:ascii="宋体" w:hAnsi="宋体"/>
          <w:color w:val="auto"/>
          <w:szCs w:val="21"/>
          <w:u w:val="single"/>
        </w:rPr>
        <w:t xml:space="preserve">                                   </w:t>
      </w:r>
      <w:r>
        <w:rPr>
          <w:rFonts w:ascii="宋体" w:hAnsi="宋体"/>
          <w:color w:val="auto"/>
          <w:szCs w:val="21"/>
        </w:rPr>
        <w:t>；</w:t>
      </w:r>
    </w:p>
    <w:p w14:paraId="2831EA00">
      <w:pPr>
        <w:spacing w:line="360" w:lineRule="auto"/>
        <w:ind w:firstLine="420" w:firstLineChars="200"/>
        <w:rPr>
          <w:rFonts w:ascii="宋体" w:hAnsi="宋体"/>
          <w:color w:val="auto"/>
          <w:szCs w:val="21"/>
        </w:rPr>
      </w:pPr>
      <w:r>
        <w:rPr>
          <w:rFonts w:ascii="宋体" w:hAnsi="宋体"/>
          <w:color w:val="auto"/>
          <w:szCs w:val="21"/>
        </w:rPr>
        <w:t>发包人人员职务：</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w:t>
      </w:r>
    </w:p>
    <w:p w14:paraId="685E5963">
      <w:pPr>
        <w:spacing w:line="360" w:lineRule="auto"/>
        <w:ind w:firstLine="420" w:firstLineChars="200"/>
        <w:rPr>
          <w:rFonts w:ascii="宋体" w:hAnsi="宋体"/>
          <w:color w:val="auto"/>
          <w:szCs w:val="21"/>
        </w:rPr>
      </w:pPr>
      <w:r>
        <w:rPr>
          <w:rFonts w:ascii="宋体" w:hAnsi="宋体"/>
          <w:color w:val="auto"/>
          <w:szCs w:val="21"/>
        </w:rPr>
        <w:t>发包人人员职责：</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w:t>
      </w:r>
    </w:p>
    <w:p w14:paraId="281F6C67">
      <w:pPr>
        <w:pStyle w:val="4"/>
        <w:spacing w:before="120" w:line="360" w:lineRule="auto"/>
        <w:rPr>
          <w:color w:val="auto"/>
        </w:rPr>
      </w:pPr>
      <w:bookmarkStart w:id="1908" w:name="_Toc154063668"/>
      <w:r>
        <w:rPr>
          <w:color w:val="auto"/>
        </w:rPr>
        <w:t xml:space="preserve">3.3 </w:t>
      </w:r>
      <w:r>
        <w:rPr>
          <w:rFonts w:hint="eastAsia"/>
          <w:color w:val="auto"/>
        </w:rPr>
        <w:t>工程师</w:t>
      </w:r>
      <w:bookmarkEnd w:id="1908"/>
    </w:p>
    <w:p w14:paraId="71AE1E3C">
      <w:pPr>
        <w:spacing w:line="360" w:lineRule="auto"/>
        <w:ind w:firstLine="420" w:firstLineChars="200"/>
        <w:rPr>
          <w:rFonts w:ascii="宋体" w:hAnsi="宋体"/>
          <w:color w:val="auto"/>
          <w:szCs w:val="21"/>
        </w:rPr>
      </w:pPr>
      <w:r>
        <w:rPr>
          <w:rFonts w:hint="eastAsia" w:ascii="宋体" w:hAnsi="宋体"/>
          <w:color w:val="auto"/>
          <w:szCs w:val="21"/>
        </w:rPr>
        <w:t>3</w:t>
      </w:r>
      <w:r>
        <w:rPr>
          <w:rFonts w:ascii="宋体" w:hAnsi="宋体"/>
          <w:color w:val="auto"/>
          <w:szCs w:val="21"/>
        </w:rPr>
        <w:t xml:space="preserve">.3.1 </w:t>
      </w:r>
      <w:r>
        <w:rPr>
          <w:rFonts w:hint="eastAsia" w:ascii="宋体" w:hAnsi="宋体"/>
          <w:color w:val="auto"/>
          <w:szCs w:val="21"/>
        </w:rPr>
        <w:t>工程师名称</w:t>
      </w:r>
      <w:r>
        <w:rPr>
          <w:rFonts w:ascii="宋体" w:hAnsi="宋体"/>
          <w:color w:val="auto"/>
          <w:szCs w:val="21"/>
        </w:rPr>
        <w:t>：</w:t>
      </w:r>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工程师监督管理</w:t>
      </w:r>
      <w:r>
        <w:rPr>
          <w:rFonts w:ascii="宋体" w:hAnsi="宋体"/>
          <w:color w:val="auto"/>
          <w:szCs w:val="21"/>
        </w:rPr>
        <w:t>范围</w:t>
      </w:r>
      <w:r>
        <w:rPr>
          <w:rFonts w:hint="eastAsia" w:ascii="宋体" w:hAnsi="宋体"/>
          <w:color w:val="auto"/>
          <w:szCs w:val="21"/>
        </w:rPr>
        <w:t>、内容</w:t>
      </w:r>
      <w:r>
        <w:rPr>
          <w:rFonts w:ascii="宋体" w:hAnsi="宋体"/>
          <w:color w:val="auto"/>
          <w:szCs w:val="21"/>
        </w:rPr>
        <w:t>：</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；工程师</w:t>
      </w:r>
      <w:r>
        <w:rPr>
          <w:rFonts w:ascii="宋体" w:hAnsi="宋体"/>
          <w:color w:val="auto"/>
          <w:szCs w:val="21"/>
        </w:rPr>
        <w:t>权限：</w:t>
      </w:r>
      <w:r>
        <w:rPr>
          <w:rFonts w:ascii="宋体" w:hAnsi="宋体"/>
          <w:color w:val="auto"/>
          <w:szCs w:val="21"/>
          <w:u w:val="single"/>
        </w:rPr>
        <w:t xml:space="preserve">                     </w:t>
      </w:r>
      <w:r>
        <w:rPr>
          <w:rFonts w:hint="eastAsia" w:ascii="宋体" w:hAnsi="宋体"/>
          <w:color w:val="auto"/>
          <w:szCs w:val="21"/>
        </w:rPr>
        <w:t>。</w:t>
      </w:r>
    </w:p>
    <w:p w14:paraId="45615D62">
      <w:pPr>
        <w:pStyle w:val="4"/>
        <w:spacing w:before="120" w:line="360" w:lineRule="auto"/>
        <w:rPr>
          <w:color w:val="auto"/>
        </w:rPr>
      </w:pPr>
      <w:bookmarkStart w:id="1909" w:name="_Toc154063669"/>
      <w:r>
        <w:rPr>
          <w:color w:val="auto"/>
        </w:rPr>
        <w:t xml:space="preserve">3.6 </w:t>
      </w:r>
      <w:r>
        <w:rPr>
          <w:rFonts w:hint="eastAsia"/>
          <w:color w:val="auto"/>
        </w:rPr>
        <w:t>商定或确定</w:t>
      </w:r>
      <w:bookmarkEnd w:id="1909"/>
    </w:p>
    <w:p w14:paraId="46FF13A6">
      <w:pPr>
        <w:spacing w:line="360" w:lineRule="auto"/>
        <w:ind w:firstLine="420" w:firstLineChars="200"/>
        <w:rPr>
          <w:rFonts w:ascii="宋体" w:hAnsi="宋体"/>
          <w:color w:val="auto"/>
          <w:szCs w:val="21"/>
        </w:rPr>
      </w:pPr>
      <w:r>
        <w:rPr>
          <w:rFonts w:hint="eastAsia" w:ascii="宋体" w:hAnsi="宋体"/>
          <w:color w:val="auto"/>
          <w:szCs w:val="21"/>
        </w:rPr>
        <w:t>3</w:t>
      </w:r>
      <w:r>
        <w:rPr>
          <w:rFonts w:ascii="宋体" w:hAnsi="宋体"/>
          <w:color w:val="auto"/>
          <w:szCs w:val="21"/>
        </w:rPr>
        <w:t>.6.2 关于</w:t>
      </w:r>
      <w:r>
        <w:rPr>
          <w:rFonts w:hint="eastAsia" w:ascii="宋体" w:hAnsi="宋体"/>
          <w:color w:val="auto"/>
          <w:szCs w:val="21"/>
        </w:rPr>
        <w:t>商定</w:t>
      </w:r>
      <w:r>
        <w:rPr>
          <w:rFonts w:ascii="宋体" w:hAnsi="宋体"/>
          <w:color w:val="auto"/>
          <w:szCs w:val="21"/>
        </w:rPr>
        <w:t>时间限制的具体约定：</w:t>
      </w:r>
      <w:r>
        <w:rPr>
          <w:rFonts w:hint="eastAsia" w:ascii="宋体" w:hAnsi="宋体"/>
          <w:color w:val="auto"/>
          <w:szCs w:val="21"/>
          <w:u w:val="single"/>
        </w:rPr>
        <w:t>按合同通用条款执行</w:t>
      </w:r>
      <w:r>
        <w:rPr>
          <w:rFonts w:ascii="宋体" w:hAnsi="宋体"/>
          <w:color w:val="auto"/>
          <w:szCs w:val="21"/>
          <w:u w:val="single"/>
        </w:rPr>
        <w:t xml:space="preserve"> </w:t>
      </w:r>
      <w:r>
        <w:rPr>
          <w:rFonts w:hint="eastAsia" w:ascii="宋体" w:hAnsi="宋体"/>
          <w:color w:val="auto"/>
          <w:szCs w:val="21"/>
        </w:rPr>
        <w:t>。</w:t>
      </w:r>
    </w:p>
    <w:p w14:paraId="46C10FC8">
      <w:pPr>
        <w:spacing w:line="360" w:lineRule="auto"/>
        <w:ind w:firstLine="420" w:firstLineChars="200"/>
        <w:rPr>
          <w:rFonts w:ascii="宋体" w:hAnsi="宋体"/>
          <w:color w:val="auto"/>
          <w:szCs w:val="21"/>
        </w:rPr>
      </w:pPr>
      <w:r>
        <w:rPr>
          <w:rFonts w:ascii="宋体" w:hAnsi="宋体"/>
          <w:color w:val="auto"/>
          <w:szCs w:val="21"/>
        </w:rPr>
        <w:t>3.6.3 关于</w:t>
      </w:r>
      <w:r>
        <w:rPr>
          <w:rFonts w:hint="eastAsia" w:ascii="宋体" w:hAnsi="宋体"/>
          <w:color w:val="auto"/>
          <w:szCs w:val="21"/>
        </w:rPr>
        <w:t>商定或确定</w:t>
      </w:r>
      <w:r>
        <w:rPr>
          <w:rFonts w:ascii="宋体" w:hAnsi="宋体"/>
          <w:color w:val="auto"/>
          <w:szCs w:val="21"/>
        </w:rPr>
        <w:t>效力的具体约定：</w:t>
      </w:r>
      <w:r>
        <w:rPr>
          <w:rFonts w:hint="eastAsia" w:ascii="宋体" w:hAnsi="宋体"/>
          <w:color w:val="auto"/>
          <w:szCs w:val="21"/>
          <w:u w:val="single"/>
        </w:rPr>
        <w:t>按合同通用条款执行</w:t>
      </w:r>
      <w:r>
        <w:rPr>
          <w:rFonts w:ascii="宋体" w:hAnsi="宋体"/>
          <w:color w:val="auto"/>
          <w:szCs w:val="21"/>
          <w:u w:val="single"/>
        </w:rPr>
        <w:t xml:space="preserve"> </w:t>
      </w:r>
      <w:r>
        <w:rPr>
          <w:rFonts w:hint="eastAsia" w:ascii="宋体" w:hAnsi="宋体"/>
          <w:color w:val="auto"/>
          <w:szCs w:val="21"/>
        </w:rPr>
        <w:t>；</w:t>
      </w:r>
      <w:r>
        <w:rPr>
          <w:rFonts w:ascii="宋体" w:hAnsi="宋体"/>
          <w:color w:val="auto"/>
          <w:szCs w:val="21"/>
        </w:rPr>
        <w:t>关于对</w:t>
      </w:r>
      <w:r>
        <w:rPr>
          <w:rFonts w:hint="eastAsia" w:ascii="宋体" w:hAnsi="宋体"/>
          <w:color w:val="auto"/>
          <w:szCs w:val="21"/>
        </w:rPr>
        <w:t>工程师的确定提出异议</w:t>
      </w:r>
      <w:r>
        <w:rPr>
          <w:rFonts w:ascii="宋体" w:hAnsi="宋体"/>
          <w:color w:val="auto"/>
          <w:szCs w:val="21"/>
        </w:rPr>
        <w:t>的具体约定：</w:t>
      </w:r>
      <w:r>
        <w:rPr>
          <w:rFonts w:hint="eastAsia" w:ascii="宋体" w:hAnsi="宋体"/>
          <w:color w:val="auto"/>
          <w:szCs w:val="21"/>
          <w:u w:val="single"/>
        </w:rPr>
        <w:t>按合同通用条款执行</w:t>
      </w:r>
      <w:r>
        <w:rPr>
          <w:rFonts w:ascii="宋体" w:hAnsi="宋体"/>
          <w:color w:val="auto"/>
          <w:szCs w:val="21"/>
          <w:u w:val="single"/>
        </w:rPr>
        <w:t xml:space="preserve"> </w:t>
      </w:r>
      <w:r>
        <w:rPr>
          <w:rFonts w:hint="eastAsia" w:ascii="宋体" w:hAnsi="宋体"/>
          <w:color w:val="auto"/>
          <w:szCs w:val="21"/>
        </w:rPr>
        <w:t>。</w:t>
      </w:r>
    </w:p>
    <w:p w14:paraId="02C32B72">
      <w:pPr>
        <w:pStyle w:val="4"/>
        <w:spacing w:before="120" w:line="360" w:lineRule="auto"/>
        <w:rPr>
          <w:color w:val="auto"/>
        </w:rPr>
      </w:pPr>
      <w:bookmarkStart w:id="1910" w:name="_Toc154063670"/>
      <w:r>
        <w:rPr>
          <w:color w:val="auto"/>
        </w:rPr>
        <w:t xml:space="preserve">3.7 </w:t>
      </w:r>
      <w:r>
        <w:rPr>
          <w:rFonts w:hint="eastAsia"/>
          <w:color w:val="auto"/>
        </w:rPr>
        <w:t>会议</w:t>
      </w:r>
      <w:bookmarkEnd w:id="1910"/>
    </w:p>
    <w:p w14:paraId="615EC15D">
      <w:pPr>
        <w:spacing w:line="360" w:lineRule="auto"/>
        <w:ind w:firstLine="420" w:firstLineChars="200"/>
        <w:rPr>
          <w:rFonts w:ascii="宋体" w:hAnsi="宋体"/>
          <w:color w:val="auto"/>
          <w:szCs w:val="21"/>
        </w:rPr>
      </w:pPr>
      <w:r>
        <w:rPr>
          <w:rFonts w:hint="eastAsia" w:ascii="宋体" w:hAnsi="宋体"/>
          <w:color w:val="auto"/>
          <w:szCs w:val="21"/>
        </w:rPr>
        <w:t>3</w:t>
      </w:r>
      <w:r>
        <w:rPr>
          <w:rFonts w:ascii="宋体" w:hAnsi="宋体"/>
          <w:color w:val="auto"/>
          <w:szCs w:val="21"/>
        </w:rPr>
        <w:t>.7.1 关于召开会议</w:t>
      </w:r>
      <w:r>
        <w:rPr>
          <w:rFonts w:hint="eastAsia" w:ascii="宋体" w:hAnsi="宋体"/>
          <w:color w:val="auto"/>
          <w:szCs w:val="21"/>
        </w:rPr>
        <w:t>的具体约定：</w:t>
      </w:r>
      <w:r>
        <w:rPr>
          <w:rFonts w:hint="eastAsia" w:ascii="宋体" w:hAnsi="宋体"/>
          <w:color w:val="auto"/>
          <w:szCs w:val="21"/>
          <w:u w:val="single"/>
        </w:rPr>
        <w:t>按合同通用条款执行</w:t>
      </w:r>
      <w:r>
        <w:rPr>
          <w:rFonts w:ascii="宋体" w:hAnsi="宋体"/>
          <w:color w:val="auto"/>
          <w:szCs w:val="21"/>
          <w:u w:val="single"/>
        </w:rPr>
        <w:t xml:space="preserve"> </w:t>
      </w:r>
      <w:r>
        <w:rPr>
          <w:rFonts w:hint="eastAsia" w:ascii="宋体" w:hAnsi="宋体"/>
          <w:color w:val="auto"/>
          <w:szCs w:val="21"/>
        </w:rPr>
        <w:t>。</w:t>
      </w:r>
    </w:p>
    <w:p w14:paraId="011E29D7">
      <w:pPr>
        <w:spacing w:line="360" w:lineRule="auto"/>
        <w:ind w:firstLine="420" w:firstLineChars="200"/>
        <w:rPr>
          <w:rFonts w:ascii="宋体" w:hAnsi="宋体"/>
          <w:color w:val="auto"/>
          <w:szCs w:val="21"/>
        </w:rPr>
      </w:pPr>
      <w:r>
        <w:rPr>
          <w:rFonts w:hint="eastAsia" w:ascii="宋体" w:hAnsi="宋体"/>
          <w:color w:val="auto"/>
          <w:szCs w:val="21"/>
        </w:rPr>
        <w:t>3</w:t>
      </w:r>
      <w:r>
        <w:rPr>
          <w:rFonts w:ascii="宋体" w:hAnsi="宋体"/>
          <w:color w:val="auto"/>
          <w:szCs w:val="21"/>
        </w:rPr>
        <w:t xml:space="preserve">.7.2 </w:t>
      </w:r>
      <w:r>
        <w:rPr>
          <w:rFonts w:hint="eastAsia" w:ascii="宋体" w:hAnsi="宋体"/>
          <w:color w:val="auto"/>
          <w:szCs w:val="21"/>
        </w:rPr>
        <w:t>关于保存和提供会议纪要</w:t>
      </w:r>
      <w:r>
        <w:rPr>
          <w:rFonts w:ascii="宋体" w:hAnsi="宋体"/>
          <w:color w:val="auto"/>
          <w:szCs w:val="21"/>
        </w:rPr>
        <w:t>的具体约定：</w:t>
      </w:r>
      <w:r>
        <w:rPr>
          <w:rFonts w:hint="eastAsia" w:ascii="宋体" w:hAnsi="宋体"/>
          <w:color w:val="auto"/>
          <w:szCs w:val="21"/>
          <w:u w:val="single"/>
        </w:rPr>
        <w:t>按合同通用条款执行</w:t>
      </w:r>
      <w:r>
        <w:rPr>
          <w:rFonts w:ascii="宋体" w:hAnsi="宋体"/>
          <w:color w:val="auto"/>
          <w:szCs w:val="21"/>
          <w:u w:val="single"/>
        </w:rPr>
        <w:t xml:space="preserve"> </w:t>
      </w:r>
      <w:r>
        <w:rPr>
          <w:rFonts w:hint="eastAsia" w:ascii="宋体" w:hAnsi="宋体"/>
          <w:color w:val="auto"/>
          <w:szCs w:val="21"/>
        </w:rPr>
        <w:t>。</w:t>
      </w:r>
    </w:p>
    <w:p w14:paraId="278217A9">
      <w:pPr>
        <w:pStyle w:val="3"/>
        <w:spacing w:before="48" w:line="360" w:lineRule="auto"/>
        <w:rPr>
          <w:rFonts w:ascii="黑体" w:hAnsi="黑体"/>
          <w:bCs w:val="0"/>
          <w:color w:val="auto"/>
          <w:sz w:val="28"/>
        </w:rPr>
      </w:pPr>
      <w:bookmarkStart w:id="1911" w:name="_Toc54862335"/>
      <w:bookmarkStart w:id="1912" w:name="_Toc154063671"/>
      <w:r>
        <w:rPr>
          <w:rFonts w:hint="eastAsia" w:ascii="黑体" w:hAnsi="黑体"/>
          <w:bCs w:val="0"/>
          <w:color w:val="auto"/>
          <w:sz w:val="28"/>
        </w:rPr>
        <w:t>第</w:t>
      </w:r>
      <w:r>
        <w:rPr>
          <w:rFonts w:ascii="黑体" w:hAnsi="黑体"/>
          <w:bCs w:val="0"/>
          <w:color w:val="auto"/>
          <w:sz w:val="28"/>
        </w:rPr>
        <w:t>4条</w:t>
      </w:r>
      <w:r>
        <w:rPr>
          <w:rFonts w:hint="eastAsia" w:ascii="黑体" w:hAnsi="黑体"/>
          <w:bCs w:val="0"/>
          <w:color w:val="auto"/>
          <w:sz w:val="28"/>
        </w:rPr>
        <w:t xml:space="preserve"> 承包人</w:t>
      </w:r>
      <w:bookmarkEnd w:id="1911"/>
      <w:bookmarkEnd w:id="1912"/>
    </w:p>
    <w:p w14:paraId="3FE90378">
      <w:pPr>
        <w:pStyle w:val="4"/>
        <w:spacing w:before="120" w:line="360" w:lineRule="auto"/>
        <w:rPr>
          <w:color w:val="auto"/>
        </w:rPr>
      </w:pPr>
      <w:bookmarkStart w:id="1913" w:name="_Toc154063672"/>
      <w:r>
        <w:rPr>
          <w:color w:val="auto"/>
        </w:rPr>
        <w:t xml:space="preserve">4.1 </w:t>
      </w:r>
      <w:r>
        <w:rPr>
          <w:rFonts w:hint="eastAsia"/>
          <w:color w:val="auto"/>
        </w:rPr>
        <w:t>承包人的一般义务</w:t>
      </w:r>
      <w:bookmarkEnd w:id="1913"/>
    </w:p>
    <w:p w14:paraId="19EFA907">
      <w:pPr>
        <w:spacing w:line="360" w:lineRule="auto"/>
        <w:ind w:firstLine="420" w:firstLineChars="200"/>
        <w:rPr>
          <w:rFonts w:ascii="宋体" w:hAnsi="宋体"/>
          <w:color w:val="auto"/>
          <w:szCs w:val="21"/>
        </w:rPr>
      </w:pPr>
      <w:r>
        <w:rPr>
          <w:rFonts w:hint="eastAsia" w:ascii="宋体" w:hAnsi="宋体"/>
          <w:color w:val="auto"/>
          <w:szCs w:val="21"/>
        </w:rPr>
        <w:t>承包人应履行的其他义务：</w:t>
      </w:r>
      <w:r>
        <w:rPr>
          <w:rFonts w:hint="eastAsia" w:ascii="宋体" w:hAnsi="宋体"/>
          <w:color w:val="auto"/>
          <w:szCs w:val="21"/>
          <w:u w:val="single"/>
        </w:rPr>
        <w:t>（1）按投标文件标准组建项目管理部，落实主要专业责任人员的配备，实行人脸识别打卡制度；（2）负责项目的设计、采购、施工、交付等项目全过程管理及承担全部责任，严格控制投资、质量和工期，对项目的安全、文明施工及后续质量缺陷内维修管理工作负责；（3）编制和报批相关文件，包括施工图设计和其它相关资料等，其中设计文件需经发包单位确认；（4）组建项目管理部，落实主要专业责任人员的配备，定期向发包单位汇报总承包项目的实施情况；（5）如有专业分包，按招标文件要求执行；且按程序选择、管理和监督分包单位的职责履行，按期报送分包合同、材料设备供应合同等至发包人备案；（6）承包人为发包人、监理单位、质监单位等进行工程检查时免费提供安全保护用具和各种设施；（7）承包人应事先踏勘，充分了解项目情况，包括但不限于位置、道路、 储存空间、装卸限制、场地现状、周边环境、临时施工道路、当地的公安、市政、市容、交通、治安、环保、排污排水、环卫、城管、绿化、卫生、当地村民及任何其它足以影响承包价的情况，费用均由承包人承担；（8）负责项目竣工验收前项目调试工作，负责编制竣工文件、工程结（决）算，竣工验收时提交项目使用说明书和完整的建设项目档案；（9）承包人应在行人通道及车辆进出道口设置醒目的施工安全警示标志（不含交管设施）；做好安全防护工作，承担上述工作的相关费用。（10）施工期间，若城区内有重大活动，在需要的时间段内，发包人可能对施工做出某些限制性要求，承包人应予服从，并按照要求作出配合，发包人不为此类要求承担费用。承包人应协助交管部门维护工地周边交通秩序（不含交管协警），做好安全防护工作；（11）承包人须配合做好与周边在建工地和设施的协调工作，由此导致的工期延误和协调费用由承包人承担；（12）与工程有关的配合各职能管理部门接口协调工作，承包人必须无条件配合发包人进行协调，相关接口协调费用由承包人承担。如果承包人不支持发包人协调工作，发包人将保留从工程款中扣留该部份协调费的权利；(13)承包人在任何情况下不得以任何理由拖欠农民工工资，因农民工工资问题产生的一切纠纷和风险由承包人承担责任；（14）为有利于发包人代表、监理人和审计人开展现场工作、加快施工  进度、及时配合检查和验收、及时处理相关协调问题，承包人向发包人、监理人和审计人提供现场办公场所（基础生活设施、安保措施齐全），相关费用由承包人承担。（15）工程未办理移交付前，成品保护由承包人负责，如果保护期间发生损坏，承包人须自费予以修复。（16）承包人对分包工程进行质量、进度、安全、资料收集和归档负全责，并按约定支付分包工程价款。（17）工程中涉及结构安全、功能完整、材料质量等在建设过程中常规核检项目质量的检测费用，已在财评审定的工程量清单中综合考虑，由承包人自行承担</w:t>
      </w:r>
      <w:r>
        <w:rPr>
          <w:rFonts w:ascii="宋体" w:hAnsi="宋体"/>
          <w:color w:val="auto"/>
          <w:szCs w:val="21"/>
          <w:u w:val="single"/>
        </w:rPr>
        <w:t xml:space="preserve"> </w:t>
      </w:r>
      <w:r>
        <w:rPr>
          <w:rFonts w:hint="eastAsia" w:ascii="宋体" w:hAnsi="宋体"/>
          <w:color w:val="auto"/>
          <w:szCs w:val="21"/>
        </w:rPr>
        <w:t>。</w:t>
      </w:r>
    </w:p>
    <w:p w14:paraId="7AB1F765">
      <w:pPr>
        <w:pStyle w:val="4"/>
        <w:spacing w:before="120" w:line="360" w:lineRule="auto"/>
        <w:rPr>
          <w:color w:val="auto"/>
        </w:rPr>
      </w:pPr>
      <w:bookmarkStart w:id="1914" w:name="_Toc154063673"/>
      <w:r>
        <w:rPr>
          <w:color w:val="auto"/>
        </w:rPr>
        <w:t xml:space="preserve">4.2 </w:t>
      </w:r>
      <w:r>
        <w:rPr>
          <w:rFonts w:hint="eastAsia"/>
          <w:color w:val="auto"/>
        </w:rPr>
        <w:t>履约担保</w:t>
      </w:r>
      <w:bookmarkEnd w:id="1914"/>
    </w:p>
    <w:p w14:paraId="0CF4EA25">
      <w:pPr>
        <w:spacing w:line="360" w:lineRule="auto"/>
        <w:ind w:firstLine="420" w:firstLineChars="200"/>
        <w:rPr>
          <w:rFonts w:ascii="宋体" w:hAnsi="宋体"/>
          <w:color w:val="auto"/>
          <w:szCs w:val="21"/>
        </w:rPr>
      </w:pPr>
      <w:bookmarkStart w:id="1915" w:name="_Toc154063674"/>
      <w:r>
        <w:rPr>
          <w:rFonts w:hint="eastAsia" w:ascii="宋体" w:hAnsi="宋体"/>
          <w:color w:val="auto"/>
          <w:szCs w:val="21"/>
        </w:rPr>
        <w:t>承包人是否提供履约担保：</w:t>
      </w:r>
      <w:r>
        <w:rPr>
          <w:rFonts w:ascii="宋体" w:hAnsi="宋体"/>
          <w:color w:val="auto"/>
          <w:szCs w:val="21"/>
          <w:u w:val="single"/>
        </w:rPr>
        <w:t xml:space="preserve"> </w:t>
      </w:r>
      <w:r>
        <w:rPr>
          <w:rFonts w:hint="eastAsia" w:ascii="宋体" w:hAnsi="宋体"/>
          <w:color w:val="auto"/>
          <w:szCs w:val="21"/>
          <w:u w:val="single"/>
        </w:rPr>
        <w:t>本项目不提供履约担保</w:t>
      </w:r>
      <w:r>
        <w:rPr>
          <w:rFonts w:ascii="宋体" w:hAnsi="宋体"/>
          <w:color w:val="auto"/>
          <w:szCs w:val="21"/>
          <w:u w:val="single"/>
        </w:rPr>
        <w:t xml:space="preserve"> </w:t>
      </w:r>
      <w:r>
        <w:rPr>
          <w:rFonts w:hint="eastAsia" w:ascii="宋体" w:hAnsi="宋体"/>
          <w:color w:val="auto"/>
          <w:szCs w:val="21"/>
        </w:rPr>
        <w:t>。</w:t>
      </w:r>
    </w:p>
    <w:p w14:paraId="7C725639">
      <w:pPr>
        <w:spacing w:line="360" w:lineRule="auto"/>
        <w:ind w:firstLine="420" w:firstLineChars="200"/>
        <w:rPr>
          <w:rFonts w:ascii="宋体" w:hAnsi="宋体"/>
          <w:color w:val="auto"/>
          <w:szCs w:val="21"/>
        </w:rPr>
      </w:pPr>
      <w:r>
        <w:rPr>
          <w:rFonts w:hint="eastAsia" w:ascii="宋体" w:hAnsi="宋体"/>
          <w:color w:val="auto"/>
          <w:szCs w:val="21"/>
        </w:rPr>
        <w:t>履约担保的方式、金额及期限:</w:t>
      </w:r>
      <w:r>
        <w:rPr>
          <w:rFonts w:ascii="宋体" w:hAnsi="宋体"/>
          <w:color w:val="auto"/>
          <w:szCs w:val="21"/>
          <w:u w:val="single"/>
        </w:rPr>
        <w:t xml:space="preserve"> </w:t>
      </w:r>
      <w:r>
        <w:rPr>
          <w:rFonts w:hint="eastAsia" w:ascii="宋体" w:hAnsi="宋体"/>
          <w:color w:val="auto"/>
          <w:szCs w:val="21"/>
          <w:u w:val="single"/>
        </w:rPr>
        <w:t>本项目不提供履约担保</w:t>
      </w:r>
      <w:r>
        <w:rPr>
          <w:rFonts w:ascii="宋体" w:hAnsi="宋体"/>
          <w:color w:val="auto"/>
          <w:szCs w:val="21"/>
          <w:u w:val="single"/>
        </w:rPr>
        <w:t xml:space="preserve"> </w:t>
      </w:r>
      <w:r>
        <w:rPr>
          <w:rFonts w:hint="eastAsia" w:ascii="宋体" w:hAnsi="宋体"/>
          <w:color w:val="auto"/>
          <w:szCs w:val="21"/>
        </w:rPr>
        <w:t>。</w:t>
      </w:r>
    </w:p>
    <w:p w14:paraId="774DF180">
      <w:pPr>
        <w:pStyle w:val="4"/>
        <w:spacing w:before="120" w:line="360" w:lineRule="auto"/>
        <w:rPr>
          <w:color w:val="auto"/>
        </w:rPr>
      </w:pPr>
      <w:r>
        <w:rPr>
          <w:color w:val="auto"/>
        </w:rPr>
        <w:t xml:space="preserve">4.3 </w:t>
      </w:r>
      <w:r>
        <w:rPr>
          <w:rFonts w:hint="eastAsia"/>
          <w:color w:val="auto"/>
        </w:rPr>
        <w:t>工程总承包项目经理</w:t>
      </w:r>
      <w:bookmarkEnd w:id="1915"/>
    </w:p>
    <w:p w14:paraId="0BC7CD49">
      <w:pPr>
        <w:spacing w:line="360" w:lineRule="auto"/>
        <w:ind w:firstLine="420" w:firstLineChars="200"/>
        <w:rPr>
          <w:rFonts w:ascii="宋体" w:hAnsi="宋体"/>
          <w:color w:val="auto"/>
          <w:szCs w:val="21"/>
        </w:rPr>
      </w:pPr>
      <w:r>
        <w:rPr>
          <w:rFonts w:ascii="宋体" w:hAnsi="宋体"/>
          <w:color w:val="auto"/>
          <w:szCs w:val="21"/>
        </w:rPr>
        <w:t xml:space="preserve">4.3.1 </w:t>
      </w:r>
      <w:r>
        <w:rPr>
          <w:rFonts w:hint="eastAsia" w:ascii="宋体" w:hAnsi="宋体"/>
          <w:color w:val="auto"/>
          <w:szCs w:val="21"/>
        </w:rPr>
        <w:t>工程总承包项目经理姓名：</w:t>
      </w:r>
      <w:r>
        <w:rPr>
          <w:rFonts w:ascii="宋体" w:hAnsi="宋体"/>
          <w:color w:val="auto"/>
          <w:szCs w:val="21"/>
          <w:u w:val="single"/>
        </w:rPr>
        <w:t xml:space="preserve">                     </w:t>
      </w:r>
      <w:r>
        <w:rPr>
          <w:rFonts w:hint="eastAsia" w:ascii="宋体" w:hAnsi="宋体"/>
          <w:color w:val="auto"/>
          <w:szCs w:val="21"/>
        </w:rPr>
        <w:t>；</w:t>
      </w:r>
    </w:p>
    <w:p w14:paraId="4FA602C8">
      <w:pPr>
        <w:spacing w:line="360" w:lineRule="auto"/>
        <w:ind w:firstLine="420" w:firstLineChars="200"/>
        <w:rPr>
          <w:rFonts w:ascii="宋体" w:hAnsi="宋体"/>
          <w:color w:val="auto"/>
          <w:szCs w:val="21"/>
        </w:rPr>
      </w:pPr>
      <w:r>
        <w:rPr>
          <w:rFonts w:hint="eastAsia" w:ascii="宋体" w:hAnsi="宋体"/>
          <w:color w:val="auto"/>
          <w:szCs w:val="21"/>
        </w:rPr>
        <w:t>执业资格或职称类型：</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w:t>
      </w:r>
    </w:p>
    <w:p w14:paraId="32080264">
      <w:pPr>
        <w:spacing w:line="360" w:lineRule="auto"/>
        <w:ind w:firstLine="420" w:firstLineChars="200"/>
        <w:rPr>
          <w:rFonts w:ascii="宋体" w:hAnsi="宋体"/>
          <w:color w:val="auto"/>
          <w:szCs w:val="21"/>
        </w:rPr>
      </w:pPr>
      <w:r>
        <w:rPr>
          <w:rFonts w:hint="eastAsia" w:ascii="宋体" w:hAnsi="宋体"/>
          <w:color w:val="auto"/>
          <w:szCs w:val="21"/>
        </w:rPr>
        <w:t>执业资格证或职称证号码：</w:t>
      </w:r>
      <w:r>
        <w:rPr>
          <w:rFonts w:ascii="宋体" w:hAnsi="宋体"/>
          <w:color w:val="auto"/>
          <w:szCs w:val="21"/>
          <w:u w:val="single"/>
        </w:rPr>
        <w:t xml:space="preserve">                          </w:t>
      </w:r>
      <w:r>
        <w:rPr>
          <w:rFonts w:hint="eastAsia" w:ascii="宋体" w:hAnsi="宋体"/>
          <w:color w:val="auto"/>
          <w:szCs w:val="21"/>
        </w:rPr>
        <w:t>；</w:t>
      </w:r>
    </w:p>
    <w:p w14:paraId="7204CCDC">
      <w:pPr>
        <w:spacing w:line="360" w:lineRule="auto"/>
        <w:ind w:firstLine="420" w:firstLineChars="200"/>
        <w:rPr>
          <w:rFonts w:ascii="宋体" w:hAnsi="宋体"/>
          <w:color w:val="auto"/>
          <w:szCs w:val="21"/>
        </w:rPr>
      </w:pPr>
      <w:r>
        <w:rPr>
          <w:rFonts w:hint="eastAsia" w:ascii="宋体" w:hAnsi="宋体"/>
          <w:color w:val="auto"/>
          <w:szCs w:val="21"/>
        </w:rPr>
        <w:t>联系电话：</w:t>
      </w:r>
      <w:r>
        <w:rPr>
          <w:rFonts w:ascii="宋体" w:hAnsi="宋体"/>
          <w:color w:val="auto"/>
          <w:szCs w:val="21"/>
          <w:u w:val="single"/>
        </w:rPr>
        <w:t xml:space="preserve">                                        </w:t>
      </w:r>
      <w:r>
        <w:rPr>
          <w:rFonts w:hint="eastAsia" w:ascii="宋体" w:hAnsi="宋体"/>
          <w:color w:val="auto"/>
          <w:szCs w:val="21"/>
        </w:rPr>
        <w:t>；</w:t>
      </w:r>
    </w:p>
    <w:p w14:paraId="17CBF31E">
      <w:pPr>
        <w:spacing w:line="360" w:lineRule="auto"/>
        <w:ind w:firstLine="420" w:firstLineChars="200"/>
        <w:rPr>
          <w:rFonts w:ascii="宋体" w:hAnsi="宋体"/>
          <w:color w:val="auto"/>
          <w:szCs w:val="21"/>
        </w:rPr>
      </w:pPr>
      <w:r>
        <w:rPr>
          <w:rFonts w:hint="eastAsia" w:ascii="宋体" w:hAnsi="宋体"/>
          <w:color w:val="auto"/>
          <w:szCs w:val="21"/>
        </w:rPr>
        <w:t>电子邮箱：</w:t>
      </w:r>
      <w:r>
        <w:rPr>
          <w:rFonts w:ascii="宋体" w:hAnsi="宋体"/>
          <w:color w:val="auto"/>
          <w:szCs w:val="21"/>
          <w:u w:val="single"/>
        </w:rPr>
        <w:t xml:space="preserve">                                         </w:t>
      </w:r>
      <w:r>
        <w:rPr>
          <w:rFonts w:hint="eastAsia" w:ascii="宋体" w:hAnsi="宋体"/>
          <w:color w:val="auto"/>
          <w:szCs w:val="21"/>
        </w:rPr>
        <w:t>；</w:t>
      </w:r>
    </w:p>
    <w:p w14:paraId="19D8ED6F">
      <w:pPr>
        <w:spacing w:line="360" w:lineRule="auto"/>
        <w:ind w:firstLine="420" w:firstLineChars="200"/>
        <w:rPr>
          <w:rFonts w:ascii="宋体" w:hAnsi="宋体"/>
          <w:color w:val="auto"/>
          <w:szCs w:val="21"/>
        </w:rPr>
      </w:pPr>
      <w:r>
        <w:rPr>
          <w:rFonts w:hint="eastAsia" w:ascii="宋体" w:hAnsi="宋体"/>
          <w:color w:val="auto"/>
          <w:szCs w:val="21"/>
        </w:rPr>
        <w:t>通信地址：</w:t>
      </w:r>
      <w:r>
        <w:rPr>
          <w:rFonts w:ascii="宋体" w:hAnsi="宋体"/>
          <w:color w:val="auto"/>
          <w:szCs w:val="21"/>
          <w:u w:val="single"/>
        </w:rPr>
        <w:t xml:space="preserve">                                        </w:t>
      </w:r>
      <w:r>
        <w:rPr>
          <w:rFonts w:hint="eastAsia" w:ascii="宋体" w:hAnsi="宋体"/>
          <w:color w:val="auto"/>
          <w:szCs w:val="21"/>
        </w:rPr>
        <w:t>。</w:t>
      </w:r>
    </w:p>
    <w:p w14:paraId="4A9FC81D">
      <w:pPr>
        <w:spacing w:line="360" w:lineRule="auto"/>
        <w:ind w:firstLine="420" w:firstLineChars="200"/>
        <w:rPr>
          <w:rFonts w:ascii="宋体" w:hAnsi="宋体"/>
          <w:color w:val="auto"/>
          <w:szCs w:val="21"/>
        </w:rPr>
      </w:pPr>
      <w:bookmarkStart w:id="1916" w:name="_Toc154063675"/>
      <w:r>
        <w:rPr>
          <w:rFonts w:ascii="宋体" w:hAnsi="宋体"/>
          <w:color w:val="auto"/>
          <w:szCs w:val="21"/>
        </w:rPr>
        <w:t>承包人未提交劳动合同，以及没有为工程总承包项目经理缴纳社会保险证明的违约责任：</w:t>
      </w:r>
      <w:r>
        <w:rPr>
          <w:rFonts w:ascii="宋体" w:hAnsi="宋体"/>
          <w:color w:val="auto"/>
          <w:szCs w:val="21"/>
          <w:u w:val="single"/>
        </w:rPr>
        <w:t xml:space="preserve"> </w:t>
      </w:r>
      <w:r>
        <w:rPr>
          <w:rFonts w:hint="eastAsia" w:ascii="宋体" w:hAnsi="宋体"/>
          <w:color w:val="auto"/>
          <w:szCs w:val="21"/>
          <w:u w:val="single"/>
        </w:rPr>
        <w:t>按合同通用条款执行</w:t>
      </w:r>
      <w:r>
        <w:rPr>
          <w:rFonts w:ascii="宋体" w:hAnsi="宋体"/>
          <w:color w:val="auto"/>
          <w:szCs w:val="21"/>
          <w:u w:val="single"/>
        </w:rPr>
        <w:t xml:space="preserve"> </w:t>
      </w:r>
      <w:r>
        <w:rPr>
          <w:rFonts w:hint="eastAsia" w:ascii="宋体" w:hAnsi="宋体"/>
          <w:color w:val="auto"/>
          <w:szCs w:val="21"/>
        </w:rPr>
        <w:t>。</w:t>
      </w:r>
    </w:p>
    <w:p w14:paraId="4C8284B1">
      <w:pPr>
        <w:spacing w:line="360" w:lineRule="auto"/>
        <w:ind w:firstLine="420" w:firstLineChars="200"/>
        <w:rPr>
          <w:rFonts w:ascii="宋体" w:hAnsi="宋体"/>
          <w:color w:val="auto"/>
          <w:szCs w:val="21"/>
          <w:u w:val="single"/>
        </w:rPr>
      </w:pPr>
      <w:r>
        <w:rPr>
          <w:rFonts w:ascii="宋体" w:hAnsi="宋体"/>
          <w:color w:val="auto"/>
          <w:szCs w:val="21"/>
        </w:rPr>
        <w:t xml:space="preserve">4.3.2 </w:t>
      </w:r>
      <w:r>
        <w:rPr>
          <w:rFonts w:hint="eastAsia" w:ascii="宋体" w:hAnsi="宋体"/>
          <w:color w:val="auto"/>
          <w:szCs w:val="21"/>
        </w:rPr>
        <w:t>工程总承包项目经理每月在现场的时间要求：</w:t>
      </w:r>
      <w:r>
        <w:rPr>
          <w:rFonts w:ascii="宋体" w:hAnsi="宋体"/>
          <w:color w:val="auto"/>
          <w:szCs w:val="21"/>
          <w:u w:val="single"/>
        </w:rPr>
        <w:t xml:space="preserve"> </w:t>
      </w:r>
    </w:p>
    <w:p w14:paraId="0358115A">
      <w:pPr>
        <w:spacing w:line="360" w:lineRule="auto"/>
        <w:ind w:firstLine="420" w:firstLineChars="200"/>
        <w:rPr>
          <w:rFonts w:hint="eastAsia" w:ascii="宋体" w:hAnsi="宋体"/>
          <w:color w:val="auto"/>
          <w:szCs w:val="21"/>
        </w:rPr>
      </w:pPr>
      <w:r>
        <w:rPr>
          <w:rFonts w:hint="eastAsia" w:ascii="宋体" w:hAnsi="宋体"/>
          <w:color w:val="auto"/>
          <w:szCs w:val="21"/>
          <w:u w:val="single"/>
        </w:rPr>
        <w:t>在工程实施期间，每月出勤率不低于22天，并</w:t>
      </w:r>
      <w:r>
        <w:rPr>
          <w:rFonts w:hint="eastAsia" w:ascii="宋体" w:hAnsi="宋体"/>
          <w:color w:val="auto"/>
          <w:szCs w:val="21"/>
          <w:u w:val="single"/>
          <w:lang w:val="en-US" w:eastAsia="zh-CN"/>
        </w:rPr>
        <w:t>且</w:t>
      </w:r>
      <w:r>
        <w:rPr>
          <w:rFonts w:hint="eastAsia" w:ascii="宋体" w:hAnsi="宋体"/>
          <w:color w:val="auto"/>
          <w:szCs w:val="21"/>
          <w:u w:val="single"/>
        </w:rPr>
        <w:t>按照监管部门从业人员配备管理办法要求在岗到位</w:t>
      </w:r>
      <w:r>
        <w:rPr>
          <w:rFonts w:ascii="宋体" w:hAnsi="宋体"/>
          <w:color w:val="auto"/>
          <w:szCs w:val="21"/>
          <w:u w:val="single"/>
        </w:rPr>
        <w:t xml:space="preserve"> </w:t>
      </w:r>
      <w:r>
        <w:rPr>
          <w:rFonts w:hint="eastAsia" w:ascii="宋体" w:hAnsi="宋体"/>
          <w:color w:val="auto"/>
          <w:szCs w:val="21"/>
        </w:rPr>
        <w:t>。</w:t>
      </w:r>
    </w:p>
    <w:p w14:paraId="62664A65">
      <w:pPr>
        <w:spacing w:line="360" w:lineRule="auto"/>
        <w:ind w:firstLine="420" w:firstLineChars="200"/>
        <w:rPr>
          <w:rFonts w:ascii="宋体" w:hAnsi="宋体"/>
          <w:color w:val="auto"/>
          <w:szCs w:val="21"/>
        </w:rPr>
      </w:pPr>
      <w:r>
        <w:rPr>
          <w:rFonts w:hint="eastAsia" w:ascii="宋体" w:hAnsi="宋体"/>
          <w:color w:val="auto"/>
          <w:szCs w:val="21"/>
        </w:rPr>
        <w:t>工程总承包项目经理未经批准擅自离开施工现场的违约责任：</w:t>
      </w:r>
      <w:r>
        <w:rPr>
          <w:rFonts w:ascii="宋体" w:hAnsi="宋体"/>
          <w:color w:val="auto"/>
          <w:szCs w:val="21"/>
          <w:u w:val="single"/>
        </w:rPr>
        <w:t xml:space="preserve"> </w:t>
      </w:r>
      <w:r>
        <w:rPr>
          <w:rFonts w:hint="eastAsia" w:ascii="宋体" w:hAnsi="宋体"/>
          <w:color w:val="auto"/>
          <w:szCs w:val="21"/>
          <w:u w:val="single"/>
        </w:rPr>
        <w:t>由承包人承担违约责任并接受市场监督部门的处罚</w:t>
      </w:r>
      <w:r>
        <w:rPr>
          <w:rFonts w:ascii="宋体" w:hAnsi="宋体"/>
          <w:color w:val="auto"/>
          <w:szCs w:val="21"/>
          <w:u w:val="single"/>
        </w:rPr>
        <w:t xml:space="preserve"> </w:t>
      </w:r>
      <w:r>
        <w:rPr>
          <w:rFonts w:hint="eastAsia" w:ascii="宋体" w:hAnsi="宋体"/>
          <w:color w:val="auto"/>
          <w:szCs w:val="21"/>
        </w:rPr>
        <w:t>。</w:t>
      </w:r>
    </w:p>
    <w:p w14:paraId="6C14875C">
      <w:pPr>
        <w:spacing w:line="360" w:lineRule="auto"/>
        <w:ind w:firstLine="420" w:firstLineChars="200"/>
        <w:rPr>
          <w:rFonts w:ascii="宋体" w:hAnsi="宋体"/>
          <w:color w:val="auto"/>
          <w:szCs w:val="21"/>
        </w:rPr>
      </w:pPr>
      <w:r>
        <w:rPr>
          <w:rFonts w:ascii="宋体" w:hAnsi="宋体"/>
          <w:color w:val="auto"/>
          <w:szCs w:val="21"/>
        </w:rPr>
        <w:t xml:space="preserve">4.3.3 </w:t>
      </w:r>
      <w:r>
        <w:rPr>
          <w:rFonts w:hint="eastAsia" w:ascii="宋体" w:hAnsi="宋体"/>
          <w:color w:val="auto"/>
          <w:szCs w:val="21"/>
        </w:rPr>
        <w:t>承包人对工程总承包项目经理的授权范围</w:t>
      </w:r>
      <w:r>
        <w:rPr>
          <w:rFonts w:hint="eastAsia" w:ascii="宋体" w:hAnsi="宋体"/>
          <w:color w:val="auto"/>
          <w:szCs w:val="21"/>
          <w:lang w:eastAsia="zh-CN"/>
        </w:rPr>
        <w:t>：</w:t>
      </w:r>
      <w:r>
        <w:rPr>
          <w:rFonts w:ascii="宋体" w:hAnsi="宋体"/>
          <w:color w:val="auto"/>
          <w:szCs w:val="21"/>
          <w:u w:val="single"/>
        </w:rPr>
        <w:t xml:space="preserve"> </w:t>
      </w:r>
      <w:r>
        <w:rPr>
          <w:rFonts w:hint="eastAsia" w:ascii="宋体" w:hAnsi="宋体"/>
          <w:color w:val="auto"/>
          <w:szCs w:val="21"/>
          <w:u w:val="single"/>
        </w:rPr>
        <w:t>全面负责本工程实施期间有关技术、工程进度、安全文明、现场管理、质量检验、结算与支付等方面的的工作</w:t>
      </w:r>
      <w:r>
        <w:rPr>
          <w:rFonts w:ascii="宋体" w:hAnsi="宋体"/>
          <w:color w:val="auto"/>
          <w:szCs w:val="21"/>
          <w:u w:val="single"/>
        </w:rPr>
        <w:t xml:space="preserve"> </w:t>
      </w:r>
      <w:r>
        <w:rPr>
          <w:rFonts w:hint="eastAsia" w:ascii="宋体" w:hAnsi="宋体"/>
          <w:color w:val="auto"/>
          <w:szCs w:val="21"/>
        </w:rPr>
        <w:t>。</w:t>
      </w:r>
    </w:p>
    <w:p w14:paraId="73BB6CDC">
      <w:pPr>
        <w:spacing w:line="360" w:lineRule="auto"/>
        <w:ind w:firstLine="420" w:firstLineChars="200"/>
        <w:rPr>
          <w:rFonts w:ascii="宋体" w:hAnsi="宋体"/>
          <w:color w:val="auto"/>
          <w:szCs w:val="21"/>
        </w:rPr>
      </w:pPr>
      <w:r>
        <w:rPr>
          <w:rFonts w:ascii="宋体" w:hAnsi="宋体"/>
          <w:color w:val="auto"/>
          <w:szCs w:val="21"/>
        </w:rPr>
        <w:t xml:space="preserve">4.3.4 </w:t>
      </w:r>
      <w:r>
        <w:rPr>
          <w:rFonts w:hint="eastAsia" w:ascii="宋体" w:hAnsi="宋体"/>
          <w:color w:val="auto"/>
          <w:szCs w:val="21"/>
        </w:rPr>
        <w:t>承包人</w:t>
      </w:r>
      <w:r>
        <w:rPr>
          <w:rFonts w:ascii="宋体" w:hAnsi="宋体"/>
          <w:color w:val="auto"/>
          <w:szCs w:val="21"/>
        </w:rPr>
        <w:t>擅自更换工程总承包项目经理的违约</w:t>
      </w:r>
      <w:r>
        <w:rPr>
          <w:rFonts w:hint="eastAsia" w:ascii="宋体" w:hAnsi="宋体"/>
          <w:color w:val="auto"/>
          <w:szCs w:val="21"/>
        </w:rPr>
        <w:t>责任：</w:t>
      </w:r>
      <w:r>
        <w:rPr>
          <w:rFonts w:ascii="宋体" w:hAnsi="宋体"/>
          <w:color w:val="auto"/>
          <w:szCs w:val="21"/>
          <w:u w:val="single"/>
        </w:rPr>
        <w:t xml:space="preserve"> </w:t>
      </w:r>
      <w:r>
        <w:rPr>
          <w:rFonts w:hint="eastAsia" w:ascii="宋体" w:hAnsi="宋体"/>
          <w:color w:val="auto"/>
          <w:szCs w:val="21"/>
          <w:u w:val="single"/>
        </w:rPr>
        <w:t>发包人有权解除合同或责令擅自更换的项目经理退场，由承包人承担违约责任</w:t>
      </w:r>
      <w:r>
        <w:rPr>
          <w:rFonts w:ascii="宋体" w:hAnsi="宋体"/>
          <w:color w:val="auto"/>
          <w:szCs w:val="21"/>
          <w:u w:val="single"/>
        </w:rPr>
        <w:t xml:space="preserve"> </w:t>
      </w:r>
      <w:r>
        <w:rPr>
          <w:rFonts w:hint="eastAsia" w:ascii="宋体" w:hAnsi="宋体"/>
          <w:color w:val="auto"/>
          <w:szCs w:val="21"/>
        </w:rPr>
        <w:t>。</w:t>
      </w:r>
    </w:p>
    <w:p w14:paraId="223E2160">
      <w:pPr>
        <w:spacing w:line="360" w:lineRule="auto"/>
        <w:ind w:firstLine="420" w:firstLineChars="200"/>
        <w:rPr>
          <w:rFonts w:ascii="宋体" w:hAnsi="宋体"/>
          <w:color w:val="auto"/>
          <w:szCs w:val="21"/>
        </w:rPr>
      </w:pPr>
      <w:r>
        <w:rPr>
          <w:rFonts w:ascii="宋体" w:hAnsi="宋体"/>
          <w:color w:val="auto"/>
          <w:szCs w:val="21"/>
        </w:rPr>
        <w:t>4.3.5 承包人无正当理由拒绝更换工程总承包项目经理的违约责任</w:t>
      </w:r>
      <w:r>
        <w:rPr>
          <w:rFonts w:hint="eastAsia" w:ascii="宋体" w:hAnsi="宋体"/>
          <w:color w:val="auto"/>
          <w:szCs w:val="21"/>
          <w:lang w:eastAsia="zh-CN"/>
        </w:rPr>
        <w:t>：</w:t>
      </w:r>
      <w:r>
        <w:rPr>
          <w:rFonts w:ascii="宋体" w:hAnsi="宋体"/>
          <w:color w:val="auto"/>
          <w:szCs w:val="21"/>
          <w:u w:val="single"/>
        </w:rPr>
        <w:t xml:space="preserve"> </w:t>
      </w:r>
      <w:r>
        <w:rPr>
          <w:rFonts w:hint="eastAsia" w:ascii="宋体" w:hAnsi="宋体"/>
          <w:color w:val="auto"/>
          <w:szCs w:val="21"/>
          <w:u w:val="single"/>
        </w:rPr>
        <w:t>由承包人承担违约责任</w:t>
      </w:r>
      <w:r>
        <w:rPr>
          <w:rFonts w:ascii="宋体" w:hAnsi="宋体"/>
          <w:color w:val="auto"/>
          <w:szCs w:val="21"/>
          <w:u w:val="single"/>
        </w:rPr>
        <w:t xml:space="preserve"> </w:t>
      </w:r>
      <w:r>
        <w:rPr>
          <w:rFonts w:ascii="宋体" w:hAnsi="宋体"/>
          <w:color w:val="auto"/>
          <w:szCs w:val="21"/>
        </w:rPr>
        <w:t>。</w:t>
      </w:r>
    </w:p>
    <w:p w14:paraId="029646E7">
      <w:pPr>
        <w:pStyle w:val="4"/>
        <w:spacing w:before="120" w:line="360" w:lineRule="auto"/>
        <w:rPr>
          <w:color w:val="auto"/>
        </w:rPr>
      </w:pPr>
      <w:r>
        <w:rPr>
          <w:color w:val="auto"/>
        </w:rPr>
        <w:t xml:space="preserve">4.4 </w:t>
      </w:r>
      <w:r>
        <w:rPr>
          <w:rFonts w:hint="eastAsia"/>
          <w:color w:val="auto"/>
        </w:rPr>
        <w:t>承包人人员</w:t>
      </w:r>
      <w:bookmarkEnd w:id="1916"/>
    </w:p>
    <w:p w14:paraId="5E1E2DA3">
      <w:pPr>
        <w:spacing w:line="360" w:lineRule="auto"/>
        <w:ind w:firstLine="420" w:firstLineChars="200"/>
        <w:rPr>
          <w:rFonts w:ascii="宋体" w:hAnsi="宋体"/>
          <w:color w:val="auto"/>
          <w:szCs w:val="21"/>
        </w:rPr>
      </w:pPr>
      <w:r>
        <w:rPr>
          <w:rFonts w:ascii="宋体" w:hAnsi="宋体"/>
          <w:color w:val="auto"/>
          <w:szCs w:val="21"/>
        </w:rPr>
        <w:t xml:space="preserve">4.4.1 </w:t>
      </w:r>
      <w:r>
        <w:rPr>
          <w:rFonts w:hint="eastAsia" w:ascii="宋体" w:hAnsi="宋体"/>
          <w:color w:val="auto"/>
          <w:szCs w:val="21"/>
        </w:rPr>
        <w:t>人员安排</w:t>
      </w:r>
    </w:p>
    <w:p w14:paraId="46B4140A">
      <w:pPr>
        <w:spacing w:line="360" w:lineRule="auto"/>
        <w:ind w:firstLine="420" w:firstLineChars="200"/>
        <w:rPr>
          <w:rFonts w:ascii="宋体" w:hAnsi="宋体"/>
          <w:color w:val="auto"/>
          <w:szCs w:val="21"/>
        </w:rPr>
      </w:pPr>
      <w:r>
        <w:rPr>
          <w:rFonts w:ascii="宋体" w:hAnsi="宋体"/>
          <w:color w:val="auto"/>
          <w:szCs w:val="21"/>
        </w:rPr>
        <w:t>承包人</w:t>
      </w:r>
      <w:r>
        <w:rPr>
          <w:rFonts w:hint="eastAsia" w:ascii="宋体" w:hAnsi="宋体"/>
          <w:color w:val="auto"/>
          <w:szCs w:val="21"/>
        </w:rPr>
        <w:t>提交</w:t>
      </w:r>
      <w:r>
        <w:rPr>
          <w:rFonts w:ascii="宋体" w:hAnsi="宋体"/>
          <w:color w:val="auto"/>
          <w:szCs w:val="21"/>
        </w:rPr>
        <w:t>项目管理机构及施工现场人员安排的报告</w:t>
      </w:r>
      <w:r>
        <w:rPr>
          <w:rFonts w:hint="eastAsia" w:ascii="宋体" w:hAnsi="宋体"/>
          <w:color w:val="auto"/>
          <w:szCs w:val="21"/>
        </w:rPr>
        <w:t>的期限：</w:t>
      </w:r>
      <w:r>
        <w:rPr>
          <w:rFonts w:hint="eastAsia" w:ascii="宋体" w:hAnsi="宋体"/>
          <w:color w:val="auto"/>
          <w:szCs w:val="21"/>
          <w:u w:val="single"/>
        </w:rPr>
        <w:t>合同签订后两周内</w:t>
      </w:r>
      <w:r>
        <w:rPr>
          <w:rFonts w:ascii="宋体" w:hAnsi="宋体"/>
          <w:color w:val="auto"/>
          <w:szCs w:val="21"/>
          <w:u w:val="single"/>
        </w:rPr>
        <w:t xml:space="preserve"> </w:t>
      </w:r>
      <w:r>
        <w:rPr>
          <w:rFonts w:hint="eastAsia" w:ascii="宋体" w:hAnsi="宋体"/>
          <w:color w:val="auto"/>
          <w:szCs w:val="21"/>
        </w:rPr>
        <w:t>。</w:t>
      </w:r>
    </w:p>
    <w:p w14:paraId="445FA3E2">
      <w:pPr>
        <w:spacing w:line="360" w:lineRule="auto"/>
        <w:ind w:firstLine="420" w:firstLineChars="200"/>
        <w:rPr>
          <w:rFonts w:ascii="宋体" w:hAnsi="宋体"/>
          <w:color w:val="auto"/>
          <w:szCs w:val="21"/>
        </w:rPr>
      </w:pPr>
      <w:r>
        <w:rPr>
          <w:rFonts w:hint="eastAsia" w:ascii="宋体" w:hAnsi="宋体"/>
          <w:color w:val="auto"/>
          <w:szCs w:val="21"/>
        </w:rPr>
        <w:t>承包人提交关键人员信息及注册执业资格等证明其具备担任关键人员能力的相关文件的期限：</w:t>
      </w:r>
      <w:r>
        <w:rPr>
          <w:rFonts w:hint="eastAsia" w:ascii="宋体" w:hAnsi="宋体"/>
          <w:color w:val="auto"/>
          <w:szCs w:val="21"/>
          <w:u w:val="single"/>
        </w:rPr>
        <w:t>合同签订后两周内</w:t>
      </w:r>
      <w:r>
        <w:rPr>
          <w:rFonts w:ascii="宋体" w:hAnsi="宋体"/>
          <w:color w:val="auto"/>
          <w:szCs w:val="21"/>
          <w:u w:val="single"/>
        </w:rPr>
        <w:t xml:space="preserve"> </w:t>
      </w:r>
      <w:r>
        <w:rPr>
          <w:rFonts w:hint="eastAsia" w:ascii="宋体" w:hAnsi="宋体"/>
          <w:color w:val="auto"/>
          <w:szCs w:val="21"/>
        </w:rPr>
        <w:t>。</w:t>
      </w:r>
    </w:p>
    <w:p w14:paraId="127857A7">
      <w:pPr>
        <w:spacing w:line="360" w:lineRule="auto"/>
        <w:ind w:firstLine="420" w:firstLineChars="200"/>
        <w:rPr>
          <w:rFonts w:ascii="宋体" w:hAnsi="宋体"/>
          <w:color w:val="auto"/>
          <w:szCs w:val="21"/>
        </w:rPr>
      </w:pPr>
      <w:r>
        <w:rPr>
          <w:rFonts w:ascii="宋体" w:hAnsi="宋体"/>
          <w:color w:val="auto"/>
          <w:szCs w:val="21"/>
        </w:rPr>
        <w:t xml:space="preserve">4.4.2 </w:t>
      </w:r>
      <w:r>
        <w:rPr>
          <w:rFonts w:hint="eastAsia" w:ascii="宋体" w:hAnsi="宋体"/>
          <w:color w:val="auto"/>
          <w:szCs w:val="21"/>
        </w:rPr>
        <w:t>关键人员更换</w:t>
      </w:r>
    </w:p>
    <w:p w14:paraId="49B629F7">
      <w:pPr>
        <w:spacing w:line="360" w:lineRule="auto"/>
        <w:ind w:firstLine="420" w:firstLineChars="200"/>
        <w:rPr>
          <w:rFonts w:ascii="宋体" w:hAnsi="宋体"/>
          <w:color w:val="auto"/>
          <w:szCs w:val="21"/>
        </w:rPr>
      </w:pPr>
      <w:r>
        <w:rPr>
          <w:rFonts w:ascii="宋体" w:hAnsi="宋体"/>
          <w:color w:val="auto"/>
          <w:szCs w:val="21"/>
        </w:rPr>
        <w:t>承包人擅自更换</w:t>
      </w:r>
      <w:r>
        <w:rPr>
          <w:rFonts w:hint="eastAsia" w:ascii="宋体" w:hAnsi="宋体"/>
          <w:color w:val="auto"/>
          <w:szCs w:val="21"/>
        </w:rPr>
        <w:t>关键人员</w:t>
      </w:r>
      <w:r>
        <w:rPr>
          <w:rFonts w:ascii="宋体" w:hAnsi="宋体"/>
          <w:color w:val="auto"/>
          <w:szCs w:val="21"/>
        </w:rPr>
        <w:t>的违约责任：</w:t>
      </w:r>
      <w:r>
        <w:rPr>
          <w:rFonts w:hint="eastAsia" w:ascii="宋体" w:hAnsi="宋体"/>
          <w:color w:val="auto"/>
          <w:szCs w:val="21"/>
          <w:u w:val="single"/>
        </w:rPr>
        <w:t>由承包人承担违约责任</w:t>
      </w:r>
      <w:r>
        <w:rPr>
          <w:rFonts w:ascii="宋体" w:hAnsi="宋体"/>
          <w:color w:val="auto"/>
          <w:szCs w:val="21"/>
          <w:u w:val="single"/>
        </w:rPr>
        <w:t xml:space="preserve"> </w:t>
      </w:r>
      <w:r>
        <w:rPr>
          <w:rFonts w:hint="eastAsia" w:ascii="宋体" w:hAnsi="宋体"/>
          <w:color w:val="auto"/>
          <w:szCs w:val="21"/>
        </w:rPr>
        <w:t>。</w:t>
      </w:r>
    </w:p>
    <w:p w14:paraId="34A20437">
      <w:pPr>
        <w:spacing w:line="360" w:lineRule="auto"/>
        <w:ind w:firstLine="420" w:firstLineChars="200"/>
        <w:rPr>
          <w:rFonts w:ascii="宋体" w:hAnsi="宋体"/>
          <w:color w:val="auto"/>
          <w:szCs w:val="21"/>
        </w:rPr>
      </w:pPr>
      <w:r>
        <w:rPr>
          <w:rFonts w:ascii="宋体" w:hAnsi="宋体"/>
          <w:color w:val="auto"/>
          <w:szCs w:val="21"/>
        </w:rPr>
        <w:t>承包人无正当理由拒绝撤换</w:t>
      </w:r>
      <w:r>
        <w:rPr>
          <w:rFonts w:hint="eastAsia" w:ascii="宋体" w:hAnsi="宋体"/>
          <w:color w:val="auto"/>
          <w:szCs w:val="21"/>
        </w:rPr>
        <w:t>关键人员</w:t>
      </w:r>
      <w:r>
        <w:rPr>
          <w:rFonts w:ascii="宋体" w:hAnsi="宋体"/>
          <w:color w:val="auto"/>
          <w:szCs w:val="21"/>
        </w:rPr>
        <w:t>的违约责任：</w:t>
      </w:r>
      <w:r>
        <w:rPr>
          <w:rFonts w:hint="eastAsia" w:ascii="宋体" w:hAnsi="宋体"/>
          <w:color w:val="auto"/>
          <w:szCs w:val="21"/>
          <w:u w:val="single"/>
        </w:rPr>
        <w:t>由承包人承担违约责任</w:t>
      </w:r>
      <w:r>
        <w:rPr>
          <w:rFonts w:ascii="宋体" w:hAnsi="宋体"/>
          <w:color w:val="auto"/>
          <w:szCs w:val="21"/>
          <w:u w:val="single"/>
        </w:rPr>
        <w:t xml:space="preserve"> </w:t>
      </w:r>
      <w:r>
        <w:rPr>
          <w:rFonts w:hint="eastAsia" w:ascii="宋体" w:hAnsi="宋体"/>
          <w:color w:val="auto"/>
          <w:szCs w:val="21"/>
        </w:rPr>
        <w:t>。</w:t>
      </w:r>
    </w:p>
    <w:p w14:paraId="6A148C0B">
      <w:pPr>
        <w:spacing w:line="360" w:lineRule="auto"/>
        <w:ind w:firstLine="420" w:firstLineChars="200"/>
        <w:rPr>
          <w:rFonts w:ascii="宋体" w:hAnsi="宋体"/>
          <w:color w:val="auto"/>
          <w:szCs w:val="21"/>
        </w:rPr>
      </w:pPr>
      <w:r>
        <w:rPr>
          <w:rFonts w:ascii="宋体" w:hAnsi="宋体"/>
          <w:color w:val="auto"/>
          <w:szCs w:val="21"/>
        </w:rPr>
        <w:t xml:space="preserve">4.4.3 </w:t>
      </w:r>
      <w:r>
        <w:rPr>
          <w:rFonts w:hint="eastAsia" w:ascii="宋体" w:hAnsi="宋体"/>
          <w:color w:val="auto"/>
          <w:szCs w:val="21"/>
        </w:rPr>
        <w:t>现场管理关键人员在岗要求</w:t>
      </w:r>
    </w:p>
    <w:p w14:paraId="193CC906">
      <w:pPr>
        <w:spacing w:line="360" w:lineRule="auto"/>
        <w:ind w:firstLine="420" w:firstLineChars="200"/>
        <w:rPr>
          <w:rFonts w:ascii="宋体" w:hAnsi="宋体"/>
          <w:color w:val="auto"/>
          <w:szCs w:val="21"/>
        </w:rPr>
      </w:pPr>
      <w:r>
        <w:rPr>
          <w:rFonts w:ascii="宋体" w:hAnsi="宋体"/>
          <w:color w:val="auto"/>
          <w:szCs w:val="21"/>
        </w:rPr>
        <w:t>承包人</w:t>
      </w:r>
      <w:r>
        <w:rPr>
          <w:rFonts w:hint="eastAsia" w:ascii="宋体" w:hAnsi="宋体"/>
          <w:color w:val="auto"/>
          <w:szCs w:val="21"/>
        </w:rPr>
        <w:t>现场管理关键</w:t>
      </w:r>
      <w:r>
        <w:rPr>
          <w:rFonts w:ascii="宋体" w:hAnsi="宋体"/>
          <w:color w:val="auto"/>
          <w:szCs w:val="21"/>
        </w:rPr>
        <w:t>人员离开施工现场的批准要求</w:t>
      </w:r>
      <w:r>
        <w:rPr>
          <w:rFonts w:hint="eastAsia" w:ascii="宋体" w:hAnsi="宋体"/>
          <w:color w:val="auto"/>
          <w:szCs w:val="21"/>
        </w:rPr>
        <w:t>：</w:t>
      </w:r>
      <w:r>
        <w:rPr>
          <w:rFonts w:hint="eastAsia" w:ascii="宋体" w:hAnsi="宋体"/>
          <w:color w:val="auto"/>
          <w:szCs w:val="21"/>
          <w:u w:val="single"/>
        </w:rPr>
        <w:t>承包人的现场管理关键人员离开施工现场每月累计不超过5天且连续不超过3天的，应报监理人；离开施工现场每月累计超过5天或连续超过3天的，应通知监理人，并征得发包人书面同意。现场管理关键人员离开施工现场前应指定一名有经验的人员临时代行其职责，该人员应具备履行相应职责的资格和能力，且应征得监理人及发包人的书面同意。如上述条件与监管部门的规章制度不一致，以监管部门从业人员配备管理办法为准</w:t>
      </w:r>
      <w:r>
        <w:rPr>
          <w:rFonts w:ascii="宋体" w:hAnsi="宋体"/>
          <w:color w:val="auto"/>
          <w:szCs w:val="21"/>
          <w:u w:val="single"/>
        </w:rPr>
        <w:t xml:space="preserve"> </w:t>
      </w:r>
      <w:r>
        <w:rPr>
          <w:rFonts w:hint="eastAsia" w:ascii="宋体" w:hAnsi="宋体"/>
          <w:color w:val="auto"/>
          <w:szCs w:val="21"/>
        </w:rPr>
        <w:t>。</w:t>
      </w:r>
    </w:p>
    <w:p w14:paraId="1C508D4F">
      <w:pPr>
        <w:spacing w:line="360" w:lineRule="auto"/>
        <w:ind w:firstLine="420" w:firstLineChars="200"/>
        <w:rPr>
          <w:rFonts w:ascii="宋体" w:hAnsi="宋体"/>
          <w:color w:val="auto"/>
          <w:szCs w:val="21"/>
        </w:rPr>
      </w:pPr>
      <w:r>
        <w:rPr>
          <w:rFonts w:hint="eastAsia" w:ascii="宋体" w:hAnsi="宋体"/>
          <w:color w:val="auto"/>
          <w:szCs w:val="21"/>
        </w:rPr>
        <w:t>承包人现场管理关键人员擅自离开施工现场的违约责任：</w:t>
      </w:r>
      <w:r>
        <w:rPr>
          <w:rFonts w:hint="eastAsia" w:ascii="宋体" w:hAnsi="宋体"/>
          <w:color w:val="auto"/>
          <w:szCs w:val="21"/>
          <w:u w:val="single"/>
        </w:rPr>
        <w:t>由承包人承担违约责任</w:t>
      </w:r>
      <w:r>
        <w:rPr>
          <w:rFonts w:ascii="宋体" w:hAnsi="宋体"/>
          <w:color w:val="auto"/>
          <w:szCs w:val="21"/>
          <w:u w:val="single"/>
        </w:rPr>
        <w:t xml:space="preserve"> </w:t>
      </w:r>
      <w:r>
        <w:rPr>
          <w:rFonts w:hint="eastAsia" w:ascii="宋体" w:hAnsi="宋体"/>
          <w:color w:val="auto"/>
          <w:szCs w:val="21"/>
        </w:rPr>
        <w:t>。</w:t>
      </w:r>
    </w:p>
    <w:p w14:paraId="08CB33B1">
      <w:pPr>
        <w:pStyle w:val="4"/>
        <w:spacing w:before="120" w:line="360" w:lineRule="auto"/>
        <w:rPr>
          <w:color w:val="auto"/>
        </w:rPr>
      </w:pPr>
      <w:bookmarkStart w:id="1917" w:name="_Toc154063676"/>
      <w:r>
        <w:rPr>
          <w:color w:val="auto"/>
        </w:rPr>
        <w:t xml:space="preserve">4.5 </w:t>
      </w:r>
      <w:r>
        <w:rPr>
          <w:rFonts w:hint="eastAsia"/>
          <w:color w:val="auto"/>
        </w:rPr>
        <w:t>分包</w:t>
      </w:r>
      <w:bookmarkEnd w:id="1917"/>
    </w:p>
    <w:p w14:paraId="5B49F77C">
      <w:pPr>
        <w:spacing w:line="360" w:lineRule="auto"/>
        <w:ind w:firstLine="420" w:firstLineChars="200"/>
        <w:rPr>
          <w:rFonts w:ascii="宋体" w:hAnsi="宋体"/>
          <w:color w:val="auto"/>
          <w:szCs w:val="21"/>
        </w:rPr>
      </w:pPr>
      <w:r>
        <w:rPr>
          <w:rFonts w:ascii="宋体" w:hAnsi="宋体"/>
          <w:color w:val="auto"/>
          <w:szCs w:val="21"/>
        </w:rPr>
        <w:t xml:space="preserve">4.5.1 </w:t>
      </w:r>
      <w:r>
        <w:rPr>
          <w:rFonts w:hint="eastAsia" w:ascii="宋体" w:hAnsi="宋体"/>
          <w:color w:val="auto"/>
          <w:szCs w:val="21"/>
        </w:rPr>
        <w:t>一般约定</w:t>
      </w:r>
    </w:p>
    <w:p w14:paraId="08208656">
      <w:pPr>
        <w:spacing w:line="360" w:lineRule="auto"/>
        <w:ind w:firstLine="420" w:firstLineChars="200"/>
        <w:rPr>
          <w:rFonts w:ascii="宋体" w:hAnsi="宋体"/>
          <w:color w:val="auto"/>
          <w:szCs w:val="21"/>
        </w:rPr>
      </w:pPr>
      <w:r>
        <w:rPr>
          <w:rFonts w:ascii="宋体" w:hAnsi="宋体"/>
          <w:color w:val="auto"/>
          <w:szCs w:val="21"/>
        </w:rPr>
        <w:t>禁止分包的工程包括：</w:t>
      </w:r>
      <w:r>
        <w:rPr>
          <w:rFonts w:hint="eastAsia" w:ascii="宋体" w:hAnsi="宋体"/>
          <w:color w:val="auto"/>
          <w:szCs w:val="21"/>
          <w:u w:val="single"/>
        </w:rPr>
        <w:t>主体工程</w:t>
      </w:r>
      <w:r>
        <w:rPr>
          <w:rFonts w:ascii="宋体" w:hAnsi="宋体"/>
          <w:color w:val="auto"/>
          <w:szCs w:val="21"/>
          <w:u w:val="single"/>
        </w:rPr>
        <w:t xml:space="preserve"> </w:t>
      </w:r>
      <w:r>
        <w:rPr>
          <w:rFonts w:ascii="宋体" w:hAnsi="宋体"/>
          <w:color w:val="auto"/>
          <w:szCs w:val="21"/>
        </w:rPr>
        <w:t>。</w:t>
      </w:r>
    </w:p>
    <w:p w14:paraId="003F260F">
      <w:pPr>
        <w:spacing w:line="360" w:lineRule="auto"/>
        <w:ind w:firstLine="420" w:firstLineChars="200"/>
        <w:rPr>
          <w:rFonts w:ascii="宋体" w:hAnsi="宋体"/>
          <w:color w:val="auto"/>
          <w:szCs w:val="21"/>
        </w:rPr>
      </w:pPr>
      <w:r>
        <w:rPr>
          <w:rFonts w:ascii="宋体" w:hAnsi="宋体"/>
          <w:color w:val="auto"/>
          <w:szCs w:val="21"/>
        </w:rPr>
        <w:t xml:space="preserve">4.5.2 </w:t>
      </w:r>
      <w:r>
        <w:rPr>
          <w:rFonts w:hint="eastAsia" w:ascii="宋体" w:hAnsi="宋体"/>
          <w:color w:val="auto"/>
          <w:szCs w:val="21"/>
        </w:rPr>
        <w:t>分包的确定</w:t>
      </w:r>
    </w:p>
    <w:p w14:paraId="4240BC74">
      <w:pPr>
        <w:spacing w:line="360" w:lineRule="auto"/>
        <w:ind w:firstLine="420" w:firstLineChars="200"/>
        <w:rPr>
          <w:rFonts w:ascii="宋体" w:hAnsi="宋体"/>
          <w:color w:val="auto"/>
          <w:szCs w:val="21"/>
        </w:rPr>
      </w:pPr>
      <w:r>
        <w:rPr>
          <w:rFonts w:ascii="宋体" w:hAnsi="宋体"/>
          <w:color w:val="auto"/>
          <w:szCs w:val="21"/>
        </w:rPr>
        <w:t>允许分包的工程包括：</w:t>
      </w:r>
      <w:r>
        <w:rPr>
          <w:rFonts w:hint="eastAsia" w:ascii="宋体" w:hAnsi="宋体"/>
          <w:color w:val="auto"/>
          <w:szCs w:val="21"/>
          <w:u w:val="single"/>
        </w:rPr>
        <w:t>（1）本工程允许分包，允许分包的工程范围仅限于承包人不具备相应资质及专业的关键部位等，且必须经发包人同意和批准。（2）承包人根据以上要求进行合法分包，承包人须在分包工作开始前提供拟分包单位资质、营业执照、业绩、派驻现场人员、施工方案等资料报监理人审核，经发包人批准后，才能签订分包合同。分包合同需明确当事人的权利义务和分包内容、分包工程量，同时承包人须向发包人提交分包合同一份和分包单位相关资质业绩、主要管理人员等备案资料。（3）承包人擅自分包或者转包工程的，承包人除向发包人支付10万元的违约金外，发包人可单方解除合同，且因此造成的一切损失由承包人承担。（4）专业分包单位应在工地现场设立项目管理部，安排专职管理人员，进行有效组织管理，承包人应对专业分包单位施工各环节全面控制，对分包工程质量、安全文明施工负总责。专业分包单位出现质量隐患不整改的，由承包人负责返工。专业分包单位安全文明施工出现问题，承包人负连带责任，发包人将依据相关约定对承包人进行处罚。（5）承包人承诺收到工程款后，优先足额支付分包工程款、劳务分包款及农民工工资等款项，并完全承担未按期支付上述款项的相关法律责任</w:t>
      </w:r>
      <w:r>
        <w:rPr>
          <w:rFonts w:ascii="宋体" w:hAnsi="宋体"/>
          <w:color w:val="auto"/>
          <w:szCs w:val="21"/>
          <w:u w:val="single"/>
        </w:rPr>
        <w:t xml:space="preserve"> </w:t>
      </w:r>
      <w:r>
        <w:rPr>
          <w:rFonts w:ascii="宋体" w:hAnsi="宋体"/>
          <w:color w:val="auto"/>
          <w:szCs w:val="21"/>
        </w:rPr>
        <w:t>。</w:t>
      </w:r>
    </w:p>
    <w:p w14:paraId="15BDFFF4">
      <w:pPr>
        <w:spacing w:line="360" w:lineRule="auto"/>
        <w:ind w:firstLine="420" w:firstLineChars="200"/>
        <w:rPr>
          <w:rFonts w:ascii="宋体" w:hAnsi="宋体"/>
          <w:color w:val="auto"/>
          <w:szCs w:val="21"/>
        </w:rPr>
      </w:pPr>
      <w:r>
        <w:rPr>
          <w:rFonts w:ascii="宋体" w:hAnsi="宋体"/>
          <w:color w:val="auto"/>
          <w:szCs w:val="21"/>
        </w:rPr>
        <w:t>其他关于分包的约定：</w:t>
      </w:r>
      <w:r>
        <w:rPr>
          <w:rFonts w:hint="eastAsia" w:ascii="宋体" w:hAnsi="宋体"/>
          <w:color w:val="auto"/>
          <w:szCs w:val="21"/>
          <w:u w:val="single"/>
        </w:rPr>
        <w:t>按相关规定执行</w:t>
      </w:r>
      <w:r>
        <w:rPr>
          <w:rFonts w:ascii="宋体" w:hAnsi="宋体"/>
          <w:color w:val="auto"/>
          <w:szCs w:val="21"/>
          <w:u w:val="single"/>
        </w:rPr>
        <w:t xml:space="preserve"> </w:t>
      </w:r>
      <w:r>
        <w:rPr>
          <w:rFonts w:ascii="宋体" w:hAnsi="宋体"/>
          <w:color w:val="auto"/>
          <w:szCs w:val="21"/>
        </w:rPr>
        <w:t>。</w:t>
      </w:r>
    </w:p>
    <w:p w14:paraId="4F6365EE">
      <w:pPr>
        <w:spacing w:line="360" w:lineRule="auto"/>
        <w:ind w:firstLine="420" w:firstLineChars="200"/>
        <w:rPr>
          <w:rFonts w:ascii="宋体" w:hAnsi="宋体"/>
          <w:color w:val="auto"/>
          <w:szCs w:val="21"/>
        </w:rPr>
      </w:pPr>
      <w:r>
        <w:rPr>
          <w:rFonts w:ascii="宋体" w:hAnsi="宋体"/>
          <w:color w:val="auto"/>
          <w:szCs w:val="21"/>
        </w:rPr>
        <w:t xml:space="preserve">4.5.5 </w:t>
      </w:r>
      <w:r>
        <w:rPr>
          <w:rFonts w:hint="eastAsia" w:ascii="宋体" w:hAnsi="宋体"/>
          <w:color w:val="auto"/>
          <w:szCs w:val="21"/>
        </w:rPr>
        <w:t>分包合同价款支付</w:t>
      </w:r>
    </w:p>
    <w:p w14:paraId="7E417CA4">
      <w:pPr>
        <w:spacing w:line="360" w:lineRule="auto"/>
        <w:ind w:firstLine="420" w:firstLineChars="200"/>
        <w:rPr>
          <w:rFonts w:ascii="宋体" w:hAnsi="宋体"/>
          <w:color w:val="auto"/>
          <w:szCs w:val="21"/>
        </w:rPr>
      </w:pPr>
      <w:r>
        <w:rPr>
          <w:rFonts w:hint="eastAsia" w:ascii="宋体" w:hAnsi="宋体"/>
          <w:color w:val="auto"/>
          <w:szCs w:val="21"/>
        </w:rPr>
        <w:t>关于分包合同价款支付的约定：</w:t>
      </w:r>
      <w:r>
        <w:rPr>
          <w:rFonts w:hint="eastAsia" w:ascii="宋体" w:hAnsi="宋体"/>
          <w:color w:val="auto"/>
          <w:szCs w:val="21"/>
          <w:u w:val="single"/>
        </w:rPr>
        <w:t>由承包人按分包合同约定支付</w:t>
      </w:r>
      <w:r>
        <w:rPr>
          <w:rFonts w:ascii="宋体" w:hAnsi="宋体"/>
          <w:color w:val="auto"/>
          <w:szCs w:val="21"/>
          <w:u w:val="single"/>
        </w:rPr>
        <w:t xml:space="preserve"> </w:t>
      </w:r>
      <w:r>
        <w:rPr>
          <w:rFonts w:ascii="宋体" w:hAnsi="宋体"/>
          <w:color w:val="auto"/>
          <w:szCs w:val="21"/>
        </w:rPr>
        <w:t>。</w:t>
      </w:r>
    </w:p>
    <w:p w14:paraId="57760575">
      <w:pPr>
        <w:pStyle w:val="4"/>
        <w:spacing w:before="120" w:line="360" w:lineRule="auto"/>
        <w:rPr>
          <w:color w:val="auto"/>
        </w:rPr>
      </w:pPr>
      <w:bookmarkStart w:id="1918" w:name="_Toc154063677"/>
      <w:r>
        <w:rPr>
          <w:color w:val="auto"/>
        </w:rPr>
        <w:t xml:space="preserve">4.6 </w:t>
      </w:r>
      <w:r>
        <w:rPr>
          <w:rFonts w:hint="eastAsia"/>
          <w:color w:val="auto"/>
        </w:rPr>
        <w:t>联合体</w:t>
      </w:r>
      <w:bookmarkEnd w:id="1918"/>
    </w:p>
    <w:p w14:paraId="6F263BE2">
      <w:pPr>
        <w:spacing w:line="360" w:lineRule="auto"/>
        <w:ind w:firstLine="420" w:firstLineChars="200"/>
        <w:rPr>
          <w:rFonts w:ascii="宋体" w:hAnsi="宋体"/>
          <w:color w:val="auto"/>
          <w:szCs w:val="21"/>
        </w:rPr>
      </w:pPr>
      <w:r>
        <w:rPr>
          <w:rFonts w:hint="eastAsia" w:ascii="宋体" w:hAnsi="宋体"/>
          <w:color w:val="auto"/>
          <w:szCs w:val="21"/>
        </w:rPr>
        <w:t>4</w:t>
      </w:r>
      <w:r>
        <w:rPr>
          <w:rFonts w:ascii="宋体" w:hAnsi="宋体"/>
          <w:color w:val="auto"/>
          <w:szCs w:val="21"/>
        </w:rPr>
        <w:t xml:space="preserve">.6.2 </w:t>
      </w:r>
      <w:r>
        <w:rPr>
          <w:rFonts w:hint="eastAsia" w:ascii="宋体" w:hAnsi="宋体"/>
          <w:color w:val="auto"/>
          <w:szCs w:val="21"/>
        </w:rPr>
        <w:t>联合体各成员的分工、费用收取、发票开具等事项：</w:t>
      </w:r>
      <w:r>
        <w:rPr>
          <w:rFonts w:hint="eastAsia" w:ascii="宋体" w:hAnsi="宋体"/>
          <w:color w:val="auto"/>
          <w:szCs w:val="21"/>
          <w:highlight w:val="none"/>
          <w:u w:val="single"/>
        </w:rPr>
        <w:t>本项目设计方，负责项目图纸设计、变更等相关设计事项；本项目施工单位</w:t>
      </w:r>
      <w:r>
        <w:rPr>
          <w:rFonts w:hint="eastAsia" w:ascii="宋体" w:hAnsi="宋体"/>
          <w:color w:val="auto"/>
          <w:szCs w:val="21"/>
          <w:highlight w:val="none"/>
          <w:u w:val="single"/>
          <w:lang w:eastAsia="zh-CN"/>
        </w:rPr>
        <w:t>（</w:t>
      </w:r>
      <w:r>
        <w:rPr>
          <w:rFonts w:hint="eastAsia" w:ascii="宋体" w:hAnsi="宋体"/>
          <w:color w:val="auto"/>
          <w:szCs w:val="21"/>
          <w:highlight w:val="none"/>
          <w:u w:val="single"/>
          <w:lang w:val="en-US" w:eastAsia="zh-CN"/>
        </w:rPr>
        <w:t>如有联合体成员单位，需联合体协议内明确分工及比例</w:t>
      </w:r>
      <w:r>
        <w:rPr>
          <w:rFonts w:hint="eastAsia" w:ascii="宋体" w:hAnsi="宋体"/>
          <w:color w:val="auto"/>
          <w:szCs w:val="21"/>
          <w:highlight w:val="none"/>
          <w:u w:val="single"/>
          <w:lang w:eastAsia="zh-CN"/>
        </w:rPr>
        <w:t>）</w:t>
      </w:r>
      <w:r>
        <w:rPr>
          <w:rFonts w:hint="eastAsia" w:ascii="宋体" w:hAnsi="宋体"/>
          <w:color w:val="auto"/>
          <w:szCs w:val="21"/>
          <w:highlight w:val="none"/>
          <w:u w:val="single"/>
        </w:rPr>
        <w:t>负责项目</w:t>
      </w:r>
      <w:r>
        <w:rPr>
          <w:rFonts w:hint="eastAsia" w:ascii="宋体" w:hAnsi="宋体"/>
          <w:color w:val="auto"/>
          <w:szCs w:val="21"/>
          <w:highlight w:val="none"/>
          <w:u w:val="single"/>
          <w:lang w:val="en-US" w:eastAsia="zh-CN"/>
        </w:rPr>
        <w:t>主要的</w:t>
      </w:r>
      <w:r>
        <w:rPr>
          <w:rFonts w:hint="eastAsia" w:ascii="宋体" w:hAnsi="宋体"/>
          <w:color w:val="auto"/>
          <w:szCs w:val="21"/>
          <w:highlight w:val="none"/>
          <w:u w:val="single"/>
        </w:rPr>
        <w:t>建设任务</w:t>
      </w:r>
      <w:r>
        <w:rPr>
          <w:rFonts w:hint="eastAsia" w:ascii="宋体" w:hAnsi="宋体"/>
          <w:color w:val="auto"/>
          <w:szCs w:val="21"/>
          <w:highlight w:val="none"/>
          <w:u w:val="single"/>
          <w:lang w:eastAsia="zh-CN"/>
        </w:rPr>
        <w:t>。</w:t>
      </w:r>
      <w:r>
        <w:rPr>
          <w:rFonts w:hint="eastAsia" w:ascii="宋体" w:hAnsi="宋体"/>
          <w:color w:val="auto"/>
          <w:szCs w:val="21"/>
          <w:highlight w:val="none"/>
          <w:u w:val="single"/>
        </w:rPr>
        <w:t>联合体牵头单位作为总承包人就建设及设计任务向发包人开具发票，联合体</w:t>
      </w:r>
      <w:r>
        <w:rPr>
          <w:rFonts w:hint="eastAsia" w:ascii="宋体" w:hAnsi="宋体"/>
          <w:color w:val="auto"/>
          <w:szCs w:val="21"/>
          <w:highlight w:val="none"/>
          <w:u w:val="single"/>
          <w:lang w:val="en-US" w:eastAsia="zh-CN"/>
        </w:rPr>
        <w:t>成员单位（如有）及</w:t>
      </w:r>
      <w:r>
        <w:rPr>
          <w:rFonts w:hint="eastAsia" w:ascii="宋体" w:hAnsi="宋体"/>
          <w:color w:val="auto"/>
          <w:szCs w:val="21"/>
          <w:highlight w:val="none"/>
          <w:u w:val="single"/>
        </w:rPr>
        <w:t>设计单位向牵头单位开具发票</w:t>
      </w:r>
      <w:r>
        <w:rPr>
          <w:rFonts w:hint="eastAsia" w:ascii="宋体" w:hAnsi="宋体"/>
          <w:color w:val="auto"/>
          <w:szCs w:val="21"/>
          <w:highlight w:val="none"/>
          <w:u w:val="single"/>
          <w:lang w:eastAsia="zh-CN"/>
        </w:rPr>
        <w:t>，</w:t>
      </w:r>
      <w:r>
        <w:rPr>
          <w:rFonts w:hint="eastAsia" w:ascii="宋体" w:hAnsi="宋体"/>
          <w:color w:val="auto"/>
          <w:szCs w:val="21"/>
          <w:highlight w:val="none"/>
          <w:u w:val="single"/>
          <w:lang w:val="en-US" w:eastAsia="zh-CN"/>
        </w:rPr>
        <w:t>如有税差，由联合体牵头单位自行解决</w:t>
      </w:r>
      <w:r>
        <w:rPr>
          <w:rFonts w:hint="eastAsia" w:ascii="宋体" w:hAnsi="宋体"/>
          <w:color w:val="auto"/>
          <w:szCs w:val="21"/>
        </w:rPr>
        <w:t>。</w:t>
      </w:r>
    </w:p>
    <w:p w14:paraId="74694924">
      <w:pPr>
        <w:pStyle w:val="4"/>
        <w:spacing w:before="120" w:line="360" w:lineRule="auto"/>
        <w:rPr>
          <w:color w:val="auto"/>
        </w:rPr>
      </w:pPr>
      <w:bookmarkStart w:id="1919" w:name="_Toc154063678"/>
      <w:r>
        <w:rPr>
          <w:color w:val="auto"/>
        </w:rPr>
        <w:t xml:space="preserve">4.7 </w:t>
      </w:r>
      <w:r>
        <w:rPr>
          <w:rFonts w:hint="eastAsia"/>
          <w:color w:val="auto"/>
        </w:rPr>
        <w:t>承包人现场查勘</w:t>
      </w:r>
      <w:bookmarkEnd w:id="1919"/>
    </w:p>
    <w:p w14:paraId="7D76431F">
      <w:pPr>
        <w:spacing w:line="360" w:lineRule="auto"/>
        <w:ind w:firstLine="420" w:firstLineChars="200"/>
        <w:rPr>
          <w:rFonts w:ascii="宋体" w:hAnsi="宋体"/>
          <w:color w:val="auto"/>
          <w:szCs w:val="21"/>
        </w:rPr>
      </w:pPr>
      <w:r>
        <w:rPr>
          <w:rFonts w:hint="eastAsia" w:ascii="宋体" w:hAnsi="宋体"/>
          <w:color w:val="auto"/>
          <w:szCs w:val="21"/>
        </w:rPr>
        <w:t>4</w:t>
      </w:r>
      <w:r>
        <w:rPr>
          <w:rFonts w:ascii="宋体" w:hAnsi="宋体"/>
          <w:color w:val="auto"/>
          <w:szCs w:val="21"/>
        </w:rPr>
        <w:t xml:space="preserve">.7.1 </w:t>
      </w:r>
      <w:r>
        <w:rPr>
          <w:rFonts w:hint="eastAsia" w:ascii="宋体" w:hAnsi="宋体"/>
          <w:color w:val="auto"/>
          <w:szCs w:val="21"/>
        </w:rPr>
        <w:t>双方当事人对现场查勘的责任承担的约定：</w:t>
      </w:r>
      <w:r>
        <w:rPr>
          <w:rFonts w:hint="eastAsia" w:ascii="宋体" w:hAnsi="宋体"/>
          <w:color w:val="auto"/>
          <w:szCs w:val="21"/>
          <w:u w:val="single"/>
        </w:rPr>
        <w:t>承包人应对施工现场和施工条件进行查勘，并充分了解工程所在地的气象条件、交通条件、风俗习惯以及其他与完成合同工作有关的其他资料</w:t>
      </w:r>
      <w:r>
        <w:rPr>
          <w:rFonts w:ascii="宋体" w:hAnsi="宋体"/>
          <w:color w:val="auto"/>
          <w:szCs w:val="21"/>
          <w:u w:val="single"/>
        </w:rPr>
        <w:t xml:space="preserve"> </w:t>
      </w:r>
      <w:r>
        <w:rPr>
          <w:rFonts w:hint="eastAsia" w:ascii="宋体" w:hAnsi="宋体"/>
          <w:color w:val="auto"/>
          <w:szCs w:val="21"/>
        </w:rPr>
        <w:t>。</w:t>
      </w:r>
    </w:p>
    <w:p w14:paraId="4B325690">
      <w:pPr>
        <w:pStyle w:val="4"/>
        <w:spacing w:before="120" w:line="360" w:lineRule="auto"/>
        <w:rPr>
          <w:color w:val="auto"/>
        </w:rPr>
      </w:pPr>
      <w:bookmarkStart w:id="1920" w:name="_Toc154063679"/>
      <w:r>
        <w:rPr>
          <w:color w:val="auto"/>
        </w:rPr>
        <w:t xml:space="preserve">4.8 </w:t>
      </w:r>
      <w:r>
        <w:rPr>
          <w:rFonts w:hint="eastAsia"/>
          <w:color w:val="auto"/>
        </w:rPr>
        <w:t>不可预见的困难</w:t>
      </w:r>
      <w:bookmarkEnd w:id="1920"/>
    </w:p>
    <w:p w14:paraId="77ABEBAD">
      <w:pPr>
        <w:spacing w:line="360" w:lineRule="auto"/>
        <w:ind w:firstLine="420" w:firstLineChars="200"/>
        <w:rPr>
          <w:rFonts w:ascii="宋体" w:hAnsi="宋体"/>
          <w:color w:val="auto"/>
          <w:szCs w:val="21"/>
        </w:rPr>
      </w:pPr>
      <w:r>
        <w:rPr>
          <w:rFonts w:hint="eastAsia" w:ascii="宋体" w:hAnsi="宋体"/>
          <w:color w:val="auto"/>
          <w:szCs w:val="21"/>
        </w:rPr>
        <w:t>不可预见的困难包括：</w:t>
      </w:r>
      <w:r>
        <w:rPr>
          <w:rFonts w:hint="eastAsia" w:ascii="宋体" w:hAnsi="宋体"/>
          <w:color w:val="auto"/>
          <w:szCs w:val="21"/>
          <w:u w:val="single"/>
        </w:rPr>
        <w:t>在施工过程中遇到的，有经验的承包人在签订合同时不可预见的，对合同履行造成实质性影响的，但尚未构成不可抗力事件的恶劣气候</w:t>
      </w:r>
      <w:r>
        <w:rPr>
          <w:rFonts w:ascii="宋体" w:hAnsi="宋体"/>
          <w:color w:val="auto"/>
          <w:szCs w:val="21"/>
          <w:u w:val="single"/>
        </w:rPr>
        <w:t xml:space="preserve"> </w:t>
      </w:r>
      <w:r>
        <w:rPr>
          <w:rFonts w:ascii="宋体" w:hAnsi="宋体"/>
          <w:color w:val="auto"/>
          <w:szCs w:val="21"/>
        </w:rPr>
        <w:t>。</w:t>
      </w:r>
    </w:p>
    <w:p w14:paraId="415DD13C">
      <w:pPr>
        <w:pStyle w:val="3"/>
        <w:spacing w:before="48" w:line="360" w:lineRule="auto"/>
        <w:rPr>
          <w:rFonts w:ascii="黑体" w:hAnsi="黑体"/>
          <w:bCs w:val="0"/>
          <w:color w:val="auto"/>
          <w:sz w:val="28"/>
        </w:rPr>
      </w:pPr>
      <w:bookmarkStart w:id="1921" w:name="_Toc54862336"/>
      <w:bookmarkStart w:id="1922" w:name="_Toc154063680"/>
      <w:r>
        <w:rPr>
          <w:rFonts w:hint="eastAsia" w:ascii="黑体" w:hAnsi="黑体"/>
          <w:bCs w:val="0"/>
          <w:color w:val="auto"/>
          <w:sz w:val="28"/>
        </w:rPr>
        <w:t>第</w:t>
      </w:r>
      <w:r>
        <w:rPr>
          <w:rFonts w:ascii="黑体" w:hAnsi="黑体"/>
          <w:bCs w:val="0"/>
          <w:color w:val="auto"/>
          <w:sz w:val="28"/>
        </w:rPr>
        <w:t>5条</w:t>
      </w:r>
      <w:r>
        <w:rPr>
          <w:rFonts w:hint="eastAsia" w:ascii="黑体" w:hAnsi="黑体"/>
          <w:bCs w:val="0"/>
          <w:color w:val="auto"/>
          <w:sz w:val="28"/>
        </w:rPr>
        <w:t xml:space="preserve"> 设计</w:t>
      </w:r>
      <w:bookmarkEnd w:id="1921"/>
      <w:bookmarkEnd w:id="1922"/>
    </w:p>
    <w:p w14:paraId="511A5236">
      <w:pPr>
        <w:pStyle w:val="4"/>
        <w:spacing w:before="120" w:line="360" w:lineRule="auto"/>
        <w:rPr>
          <w:color w:val="auto"/>
        </w:rPr>
      </w:pPr>
      <w:bookmarkStart w:id="1923" w:name="_Toc154063681"/>
      <w:r>
        <w:rPr>
          <w:color w:val="auto"/>
        </w:rPr>
        <w:t xml:space="preserve">5.2 </w:t>
      </w:r>
      <w:r>
        <w:rPr>
          <w:rFonts w:hint="eastAsia"/>
          <w:color w:val="auto"/>
        </w:rPr>
        <w:t>承包人文件审查</w:t>
      </w:r>
      <w:bookmarkEnd w:id="1923"/>
    </w:p>
    <w:p w14:paraId="7882AD7F">
      <w:pPr>
        <w:spacing w:line="360" w:lineRule="auto"/>
        <w:ind w:firstLine="420" w:firstLineChars="200"/>
        <w:rPr>
          <w:rFonts w:ascii="宋体" w:hAnsi="宋体"/>
          <w:color w:val="auto"/>
          <w:szCs w:val="21"/>
        </w:rPr>
      </w:pPr>
      <w:bookmarkStart w:id="1924" w:name="_Toc154063682"/>
      <w:r>
        <w:rPr>
          <w:rFonts w:hint="eastAsia" w:ascii="宋体" w:hAnsi="宋体"/>
          <w:color w:val="auto"/>
          <w:szCs w:val="21"/>
        </w:rPr>
        <w:t>5</w:t>
      </w:r>
      <w:r>
        <w:rPr>
          <w:rFonts w:ascii="宋体" w:hAnsi="宋体"/>
          <w:color w:val="auto"/>
          <w:szCs w:val="21"/>
        </w:rPr>
        <w:t xml:space="preserve">.2.1 </w:t>
      </w:r>
      <w:r>
        <w:rPr>
          <w:rFonts w:hint="eastAsia" w:ascii="宋体" w:hAnsi="宋体"/>
          <w:color w:val="auto"/>
          <w:szCs w:val="21"/>
        </w:rPr>
        <w:t>承包人文件审查的期限：</w:t>
      </w:r>
      <w:r>
        <w:rPr>
          <w:rFonts w:ascii="宋体" w:hAnsi="宋体"/>
          <w:color w:val="auto"/>
          <w:szCs w:val="21"/>
          <w:u w:val="single"/>
        </w:rPr>
        <w:t xml:space="preserve"> </w:t>
      </w:r>
      <w:r>
        <w:rPr>
          <w:rFonts w:hint="eastAsia" w:ascii="宋体" w:hAnsi="宋体"/>
          <w:color w:val="auto"/>
          <w:szCs w:val="21"/>
          <w:u w:val="single"/>
        </w:rPr>
        <w:t>由发包人确定</w:t>
      </w:r>
      <w:r>
        <w:rPr>
          <w:rFonts w:ascii="宋体" w:hAnsi="宋体"/>
          <w:color w:val="auto"/>
          <w:szCs w:val="21"/>
          <w:u w:val="single"/>
        </w:rPr>
        <w:t xml:space="preserve"> </w:t>
      </w:r>
      <w:r>
        <w:rPr>
          <w:rFonts w:hint="eastAsia" w:ascii="宋体" w:hAnsi="宋体"/>
          <w:color w:val="auto"/>
          <w:szCs w:val="21"/>
        </w:rPr>
        <w:t>。</w:t>
      </w:r>
    </w:p>
    <w:p w14:paraId="7205DA13">
      <w:pPr>
        <w:spacing w:line="360" w:lineRule="auto"/>
        <w:ind w:firstLine="420" w:firstLineChars="200"/>
        <w:rPr>
          <w:rFonts w:ascii="宋体" w:hAnsi="宋体"/>
          <w:color w:val="auto"/>
          <w:szCs w:val="21"/>
        </w:rPr>
      </w:pPr>
      <w:r>
        <w:rPr>
          <w:rFonts w:ascii="宋体" w:hAnsi="宋体"/>
          <w:color w:val="auto"/>
          <w:szCs w:val="21"/>
        </w:rPr>
        <w:t xml:space="preserve">5.2.2 </w:t>
      </w:r>
      <w:r>
        <w:rPr>
          <w:rFonts w:hint="eastAsia" w:ascii="宋体" w:hAnsi="宋体"/>
          <w:color w:val="auto"/>
          <w:szCs w:val="21"/>
        </w:rPr>
        <w:t>审查会议的审查形式和时间安排为：</w:t>
      </w:r>
      <w:r>
        <w:rPr>
          <w:rFonts w:ascii="宋体" w:hAnsi="宋体"/>
          <w:color w:val="auto"/>
          <w:szCs w:val="21"/>
          <w:u w:val="single"/>
        </w:rPr>
        <w:t xml:space="preserve"> </w:t>
      </w:r>
      <w:r>
        <w:rPr>
          <w:rFonts w:hint="eastAsia" w:ascii="宋体" w:hAnsi="宋体"/>
          <w:color w:val="auto"/>
          <w:szCs w:val="21"/>
          <w:u w:val="single"/>
        </w:rPr>
        <w:t>由发包人确定</w:t>
      </w:r>
      <w:r>
        <w:rPr>
          <w:rFonts w:ascii="宋体" w:hAnsi="宋体"/>
          <w:color w:val="auto"/>
          <w:szCs w:val="21"/>
          <w:u w:val="single"/>
        </w:rPr>
        <w:t xml:space="preserve"> </w:t>
      </w:r>
      <w:r>
        <w:rPr>
          <w:rFonts w:hint="eastAsia" w:ascii="宋体" w:hAnsi="宋体"/>
          <w:color w:val="auto"/>
          <w:szCs w:val="21"/>
        </w:rPr>
        <w:t>，审查会议的相关费用由</w:t>
      </w:r>
      <w:r>
        <w:rPr>
          <w:rFonts w:ascii="宋体" w:hAnsi="宋体"/>
          <w:color w:val="auto"/>
          <w:szCs w:val="21"/>
          <w:u w:val="single"/>
        </w:rPr>
        <w:t xml:space="preserve"> </w:t>
      </w:r>
      <w:r>
        <w:rPr>
          <w:rFonts w:hint="eastAsia" w:ascii="宋体" w:hAnsi="宋体"/>
          <w:color w:val="auto"/>
          <w:szCs w:val="21"/>
          <w:u w:val="single"/>
          <w:lang w:val="en-US" w:eastAsia="zh-CN"/>
        </w:rPr>
        <w:t>承包人</w:t>
      </w:r>
      <w:r>
        <w:rPr>
          <w:rFonts w:ascii="宋体" w:hAnsi="宋体"/>
          <w:color w:val="auto"/>
          <w:szCs w:val="21"/>
          <w:u w:val="single"/>
        </w:rPr>
        <w:t xml:space="preserve"> </w:t>
      </w:r>
      <w:r>
        <w:rPr>
          <w:rFonts w:hint="eastAsia" w:ascii="宋体" w:hAnsi="宋体"/>
          <w:color w:val="auto"/>
          <w:szCs w:val="21"/>
        </w:rPr>
        <w:t>承担。</w:t>
      </w:r>
    </w:p>
    <w:p w14:paraId="1481C7F2">
      <w:pPr>
        <w:spacing w:line="360" w:lineRule="auto"/>
        <w:ind w:firstLine="420" w:firstLineChars="200"/>
        <w:rPr>
          <w:rFonts w:ascii="宋体" w:hAnsi="宋体"/>
          <w:color w:val="auto"/>
          <w:szCs w:val="21"/>
        </w:rPr>
      </w:pPr>
      <w:r>
        <w:rPr>
          <w:rFonts w:hint="eastAsia" w:ascii="宋体" w:hAnsi="宋体"/>
          <w:color w:val="auto"/>
          <w:szCs w:val="21"/>
        </w:rPr>
        <w:t>5</w:t>
      </w:r>
      <w:r>
        <w:rPr>
          <w:rFonts w:ascii="宋体" w:hAnsi="宋体"/>
          <w:color w:val="auto"/>
          <w:szCs w:val="21"/>
        </w:rPr>
        <w:t xml:space="preserve">.2.3 </w:t>
      </w:r>
      <w:r>
        <w:rPr>
          <w:rFonts w:hint="eastAsia" w:ascii="宋体" w:hAnsi="宋体"/>
          <w:color w:val="auto"/>
          <w:szCs w:val="21"/>
        </w:rPr>
        <w:t>关于第三方审查单位的约定：</w:t>
      </w:r>
      <w:r>
        <w:rPr>
          <w:rFonts w:ascii="宋体" w:hAnsi="宋体"/>
          <w:color w:val="auto"/>
          <w:szCs w:val="21"/>
          <w:u w:val="single"/>
        </w:rPr>
        <w:t xml:space="preserve"> </w:t>
      </w:r>
      <w:r>
        <w:rPr>
          <w:rFonts w:hint="eastAsia" w:ascii="宋体" w:hAnsi="宋体"/>
          <w:color w:val="auto"/>
          <w:szCs w:val="21"/>
          <w:u w:val="single"/>
        </w:rPr>
        <w:t>由发包人确定</w:t>
      </w:r>
      <w:r>
        <w:rPr>
          <w:rFonts w:ascii="宋体" w:hAnsi="宋体"/>
          <w:color w:val="auto"/>
          <w:szCs w:val="21"/>
          <w:u w:val="single"/>
        </w:rPr>
        <w:t xml:space="preserve"> </w:t>
      </w:r>
      <w:r>
        <w:rPr>
          <w:rFonts w:hint="eastAsia" w:ascii="宋体" w:hAnsi="宋体"/>
          <w:color w:val="auto"/>
          <w:szCs w:val="21"/>
        </w:rPr>
        <w:t>。</w:t>
      </w:r>
    </w:p>
    <w:p w14:paraId="784906F7">
      <w:pPr>
        <w:pStyle w:val="4"/>
        <w:spacing w:before="120" w:line="360" w:lineRule="auto"/>
        <w:rPr>
          <w:color w:val="auto"/>
        </w:rPr>
      </w:pPr>
      <w:r>
        <w:rPr>
          <w:color w:val="auto"/>
        </w:rPr>
        <w:t xml:space="preserve">5.3 </w:t>
      </w:r>
      <w:r>
        <w:rPr>
          <w:rFonts w:hint="eastAsia"/>
          <w:color w:val="auto"/>
        </w:rPr>
        <w:t>培训</w:t>
      </w:r>
      <w:bookmarkEnd w:id="1924"/>
    </w:p>
    <w:p w14:paraId="27730512">
      <w:pPr>
        <w:spacing w:line="360" w:lineRule="auto"/>
        <w:ind w:firstLine="420" w:firstLineChars="200"/>
        <w:rPr>
          <w:rFonts w:ascii="宋体" w:hAnsi="宋体"/>
          <w:color w:val="auto"/>
          <w:szCs w:val="21"/>
        </w:rPr>
      </w:pPr>
      <w:r>
        <w:rPr>
          <w:rFonts w:hint="eastAsia" w:ascii="宋体" w:hAnsi="宋体"/>
          <w:color w:val="auto"/>
          <w:szCs w:val="21"/>
        </w:rPr>
        <w:t>培训的时长为</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eastAsia="宋体" w:cs="宋体"/>
          <w:color w:val="auto"/>
          <w:sz w:val="21"/>
          <w:szCs w:val="21"/>
          <w:highlight w:val="none"/>
          <w:u w:val="single"/>
          <w:lang w:val="en-US" w:eastAsia="zh-CN"/>
        </w:rPr>
        <w:t>/</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rPr>
        <w:t>，承包人应为培训提供的人员、设施和其它必要条件为</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highlight w:val="none"/>
          <w:u w:val="single"/>
          <w:lang w:val="en-US" w:eastAsia="zh-CN"/>
        </w:rPr>
        <w:t>/</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rPr>
        <w:t>。</w:t>
      </w:r>
    </w:p>
    <w:p w14:paraId="13EDB4A5">
      <w:pPr>
        <w:pStyle w:val="4"/>
        <w:spacing w:before="120" w:line="360" w:lineRule="auto"/>
        <w:rPr>
          <w:color w:val="auto"/>
        </w:rPr>
      </w:pPr>
      <w:bookmarkStart w:id="1925" w:name="_Toc154063683"/>
      <w:r>
        <w:rPr>
          <w:color w:val="auto"/>
        </w:rPr>
        <w:t xml:space="preserve">5.4 </w:t>
      </w:r>
      <w:r>
        <w:rPr>
          <w:rFonts w:hint="eastAsia"/>
          <w:color w:val="auto"/>
        </w:rPr>
        <w:t>竣工文件</w:t>
      </w:r>
      <w:bookmarkEnd w:id="1925"/>
    </w:p>
    <w:p w14:paraId="518B4B81">
      <w:pPr>
        <w:spacing w:line="360" w:lineRule="auto"/>
        <w:ind w:firstLine="420" w:firstLineChars="200"/>
        <w:rPr>
          <w:rFonts w:ascii="宋体" w:hAnsi="宋体"/>
          <w:color w:val="auto"/>
          <w:szCs w:val="21"/>
        </w:rPr>
      </w:pPr>
      <w:r>
        <w:rPr>
          <w:rFonts w:ascii="宋体" w:hAnsi="宋体"/>
          <w:color w:val="auto"/>
          <w:szCs w:val="21"/>
        </w:rPr>
        <w:t xml:space="preserve">5.4.1 </w:t>
      </w:r>
      <w:r>
        <w:rPr>
          <w:rFonts w:hint="eastAsia" w:ascii="宋体" w:hAnsi="宋体"/>
          <w:color w:val="auto"/>
          <w:szCs w:val="21"/>
        </w:rPr>
        <w:t>竣工文件的形式、提供的份数、技术标准以及其它相关要求：</w:t>
      </w:r>
      <w:r>
        <w:rPr>
          <w:rFonts w:ascii="宋体" w:hAnsi="宋体"/>
          <w:color w:val="auto"/>
          <w:szCs w:val="21"/>
          <w:u w:val="single"/>
        </w:rPr>
        <w:t xml:space="preserve"> </w:t>
      </w:r>
      <w:r>
        <w:rPr>
          <w:rFonts w:hint="eastAsia" w:ascii="宋体" w:hAnsi="宋体"/>
          <w:color w:val="auto"/>
          <w:szCs w:val="21"/>
          <w:u w:val="single"/>
        </w:rPr>
        <w:t>详见补充条款</w:t>
      </w:r>
      <w:r>
        <w:rPr>
          <w:rFonts w:ascii="宋体" w:hAnsi="宋体"/>
          <w:color w:val="auto"/>
          <w:szCs w:val="21"/>
          <w:u w:val="single"/>
        </w:rPr>
        <w:t xml:space="preserve"> </w:t>
      </w:r>
      <w:r>
        <w:rPr>
          <w:rFonts w:hint="eastAsia" w:ascii="宋体" w:hAnsi="宋体"/>
          <w:color w:val="auto"/>
          <w:szCs w:val="21"/>
        </w:rPr>
        <w:t>。</w:t>
      </w:r>
    </w:p>
    <w:p w14:paraId="4BA76C53">
      <w:pPr>
        <w:spacing w:line="360" w:lineRule="auto"/>
        <w:ind w:firstLine="420" w:firstLineChars="200"/>
        <w:rPr>
          <w:rFonts w:ascii="宋体" w:hAnsi="宋体"/>
          <w:color w:val="auto"/>
          <w:szCs w:val="21"/>
        </w:rPr>
      </w:pPr>
      <w:r>
        <w:rPr>
          <w:rFonts w:hint="eastAsia" w:ascii="宋体" w:hAnsi="宋体"/>
          <w:color w:val="auto"/>
          <w:szCs w:val="21"/>
        </w:rPr>
        <w:t>5</w:t>
      </w:r>
      <w:r>
        <w:rPr>
          <w:rFonts w:ascii="宋体" w:hAnsi="宋体"/>
          <w:color w:val="auto"/>
          <w:szCs w:val="21"/>
        </w:rPr>
        <w:t xml:space="preserve">.4.3 </w:t>
      </w:r>
      <w:r>
        <w:rPr>
          <w:rFonts w:hint="eastAsia" w:ascii="宋体" w:hAnsi="宋体"/>
          <w:color w:val="auto"/>
          <w:szCs w:val="21"/>
        </w:rPr>
        <w:t>关于竣工文件的其他约定：</w:t>
      </w:r>
      <w:r>
        <w:rPr>
          <w:rFonts w:ascii="宋体" w:hAnsi="宋体"/>
          <w:color w:val="auto"/>
          <w:szCs w:val="21"/>
          <w:u w:val="single"/>
        </w:rPr>
        <w:t xml:space="preserve"> </w:t>
      </w:r>
      <w:r>
        <w:rPr>
          <w:rFonts w:hint="eastAsia" w:ascii="宋体" w:hAnsi="宋体"/>
          <w:color w:val="auto"/>
          <w:szCs w:val="21"/>
          <w:u w:val="single"/>
        </w:rPr>
        <w:t>由发包人确定</w:t>
      </w:r>
      <w:r>
        <w:rPr>
          <w:rFonts w:ascii="宋体" w:hAnsi="宋体"/>
          <w:color w:val="auto"/>
          <w:szCs w:val="21"/>
          <w:u w:val="single"/>
        </w:rPr>
        <w:t xml:space="preserve"> </w:t>
      </w:r>
      <w:r>
        <w:rPr>
          <w:rFonts w:hint="eastAsia" w:ascii="宋体" w:hAnsi="宋体"/>
          <w:color w:val="auto"/>
          <w:szCs w:val="21"/>
        </w:rPr>
        <w:t>。</w:t>
      </w:r>
    </w:p>
    <w:p w14:paraId="7788E648">
      <w:pPr>
        <w:pStyle w:val="4"/>
        <w:spacing w:before="120" w:line="360" w:lineRule="auto"/>
        <w:rPr>
          <w:color w:val="auto"/>
        </w:rPr>
      </w:pPr>
      <w:bookmarkStart w:id="1926" w:name="_Toc154063684"/>
      <w:r>
        <w:rPr>
          <w:color w:val="auto"/>
        </w:rPr>
        <w:t xml:space="preserve">5.5 </w:t>
      </w:r>
      <w:r>
        <w:rPr>
          <w:rFonts w:hint="eastAsia"/>
          <w:color w:val="auto"/>
        </w:rPr>
        <w:t>操作和维修手册</w:t>
      </w:r>
      <w:bookmarkEnd w:id="1926"/>
    </w:p>
    <w:p w14:paraId="3739E50E">
      <w:pPr>
        <w:spacing w:line="360" w:lineRule="auto"/>
        <w:ind w:firstLine="420" w:firstLineChars="200"/>
        <w:rPr>
          <w:rFonts w:ascii="宋体" w:hAnsi="宋体"/>
          <w:color w:val="auto"/>
          <w:szCs w:val="21"/>
        </w:rPr>
      </w:pPr>
      <w:r>
        <w:rPr>
          <w:rFonts w:ascii="宋体" w:hAnsi="宋体"/>
          <w:color w:val="auto"/>
          <w:szCs w:val="21"/>
        </w:rPr>
        <w:t xml:space="preserve">5.5.3 </w:t>
      </w:r>
      <w:r>
        <w:rPr>
          <w:rFonts w:hint="eastAsia" w:ascii="宋体" w:hAnsi="宋体"/>
          <w:color w:val="auto"/>
          <w:szCs w:val="21"/>
        </w:rPr>
        <w:t>对最终操作和维修手册的约定：</w:t>
      </w:r>
      <w:r>
        <w:rPr>
          <w:rFonts w:ascii="宋体" w:hAnsi="宋体"/>
          <w:color w:val="auto"/>
          <w:szCs w:val="21"/>
          <w:u w:val="single"/>
        </w:rPr>
        <w:t xml:space="preserve"> </w:t>
      </w:r>
      <w:r>
        <w:rPr>
          <w:rFonts w:hint="eastAsia" w:ascii="宋体" w:hAnsi="宋体"/>
          <w:color w:val="auto"/>
          <w:szCs w:val="21"/>
          <w:u w:val="single"/>
        </w:rPr>
        <w:t>由发包人确定</w:t>
      </w:r>
      <w:r>
        <w:rPr>
          <w:rFonts w:ascii="宋体" w:hAnsi="宋体"/>
          <w:color w:val="auto"/>
          <w:szCs w:val="21"/>
          <w:u w:val="single"/>
        </w:rPr>
        <w:t xml:space="preserve"> </w:t>
      </w:r>
      <w:r>
        <w:rPr>
          <w:rFonts w:hint="eastAsia" w:ascii="宋体" w:hAnsi="宋体"/>
          <w:color w:val="auto"/>
          <w:szCs w:val="21"/>
        </w:rPr>
        <w:t>。</w:t>
      </w:r>
    </w:p>
    <w:p w14:paraId="1E712B7E">
      <w:pPr>
        <w:pStyle w:val="3"/>
        <w:spacing w:before="48" w:line="360" w:lineRule="auto"/>
        <w:rPr>
          <w:rFonts w:ascii="黑体" w:hAnsi="黑体"/>
          <w:bCs w:val="0"/>
          <w:color w:val="auto"/>
          <w:sz w:val="28"/>
        </w:rPr>
      </w:pPr>
      <w:bookmarkStart w:id="1927" w:name="_Toc154063685"/>
      <w:bookmarkStart w:id="1928" w:name="_Toc54862337"/>
      <w:r>
        <w:rPr>
          <w:rFonts w:hint="eastAsia" w:ascii="黑体" w:hAnsi="黑体"/>
          <w:bCs w:val="0"/>
          <w:color w:val="auto"/>
          <w:sz w:val="28"/>
        </w:rPr>
        <w:t>第</w:t>
      </w:r>
      <w:r>
        <w:rPr>
          <w:rFonts w:ascii="黑体" w:hAnsi="黑体"/>
          <w:bCs w:val="0"/>
          <w:color w:val="auto"/>
          <w:sz w:val="28"/>
        </w:rPr>
        <w:t>6条</w:t>
      </w:r>
      <w:r>
        <w:rPr>
          <w:rFonts w:hint="eastAsia" w:ascii="黑体" w:hAnsi="黑体"/>
          <w:bCs w:val="0"/>
          <w:color w:val="auto"/>
          <w:sz w:val="28"/>
        </w:rPr>
        <w:t xml:space="preserve"> 材料、工程设备</w:t>
      </w:r>
      <w:bookmarkEnd w:id="1927"/>
      <w:bookmarkEnd w:id="1928"/>
    </w:p>
    <w:p w14:paraId="39533051">
      <w:pPr>
        <w:pStyle w:val="4"/>
        <w:spacing w:before="120" w:line="360" w:lineRule="auto"/>
        <w:rPr>
          <w:color w:val="auto"/>
        </w:rPr>
      </w:pPr>
      <w:bookmarkStart w:id="1929" w:name="_Toc154063686"/>
      <w:r>
        <w:rPr>
          <w:color w:val="auto"/>
        </w:rPr>
        <w:t xml:space="preserve">6.1 </w:t>
      </w:r>
      <w:r>
        <w:rPr>
          <w:rFonts w:hint="eastAsia"/>
          <w:color w:val="auto"/>
        </w:rPr>
        <w:t>实施方法</w:t>
      </w:r>
      <w:bookmarkEnd w:id="1929"/>
    </w:p>
    <w:p w14:paraId="2D047762">
      <w:pPr>
        <w:spacing w:line="360" w:lineRule="auto"/>
        <w:ind w:firstLine="420" w:firstLineChars="200"/>
        <w:rPr>
          <w:rFonts w:ascii="宋体" w:hAnsi="宋体"/>
          <w:color w:val="auto"/>
          <w:szCs w:val="21"/>
        </w:rPr>
      </w:pPr>
      <w:r>
        <w:rPr>
          <w:rFonts w:hint="eastAsia" w:ascii="宋体" w:hAnsi="宋体"/>
          <w:color w:val="auto"/>
          <w:szCs w:val="21"/>
        </w:rPr>
        <w:t>双方当事人约定的实施方法、设备、设施和材料：</w:t>
      </w:r>
      <w:r>
        <w:rPr>
          <w:rFonts w:ascii="宋体" w:hAnsi="宋体"/>
          <w:color w:val="auto"/>
          <w:szCs w:val="21"/>
          <w:u w:val="single"/>
        </w:rPr>
        <w:t xml:space="preserve">     </w:t>
      </w:r>
      <w:r>
        <w:rPr>
          <w:rFonts w:hint="eastAsia" w:ascii="宋体" w:hAnsi="宋体"/>
          <w:color w:val="auto"/>
          <w:szCs w:val="21"/>
          <w:u w:val="single"/>
          <w:lang w:val="en-US" w:eastAsia="zh-CN"/>
        </w:rPr>
        <w:t>/</w:t>
      </w:r>
      <w:r>
        <w:rPr>
          <w:rFonts w:ascii="宋体" w:hAnsi="宋体"/>
          <w:color w:val="auto"/>
          <w:szCs w:val="21"/>
          <w:u w:val="single"/>
        </w:rPr>
        <w:t xml:space="preserve">     </w:t>
      </w:r>
      <w:r>
        <w:rPr>
          <w:rFonts w:hint="eastAsia" w:ascii="宋体" w:hAnsi="宋体"/>
          <w:color w:val="auto"/>
          <w:szCs w:val="21"/>
        </w:rPr>
        <w:t>。</w:t>
      </w:r>
    </w:p>
    <w:p w14:paraId="3B94632E">
      <w:pPr>
        <w:pStyle w:val="4"/>
        <w:spacing w:before="120" w:line="360" w:lineRule="auto"/>
        <w:rPr>
          <w:color w:val="auto"/>
        </w:rPr>
      </w:pPr>
      <w:bookmarkStart w:id="1930" w:name="_Toc154063687"/>
      <w:r>
        <w:rPr>
          <w:color w:val="auto"/>
        </w:rPr>
        <w:t xml:space="preserve">6.2 </w:t>
      </w:r>
      <w:r>
        <w:rPr>
          <w:rFonts w:hint="eastAsia"/>
          <w:color w:val="auto"/>
        </w:rPr>
        <w:t>材料和工程设备</w:t>
      </w:r>
      <w:bookmarkEnd w:id="1930"/>
    </w:p>
    <w:p w14:paraId="07C045A1">
      <w:pPr>
        <w:spacing w:line="360" w:lineRule="auto"/>
        <w:ind w:firstLine="420" w:firstLineChars="200"/>
        <w:rPr>
          <w:rFonts w:ascii="宋体" w:hAnsi="宋体"/>
          <w:color w:val="auto"/>
          <w:szCs w:val="21"/>
        </w:rPr>
      </w:pPr>
      <w:r>
        <w:rPr>
          <w:rFonts w:ascii="宋体" w:hAnsi="宋体"/>
          <w:color w:val="auto"/>
          <w:szCs w:val="21"/>
        </w:rPr>
        <w:t xml:space="preserve">6.2.1 </w:t>
      </w:r>
      <w:r>
        <w:rPr>
          <w:rFonts w:hint="eastAsia" w:ascii="宋体" w:hAnsi="宋体"/>
          <w:color w:val="auto"/>
          <w:szCs w:val="21"/>
        </w:rPr>
        <w:t>发包人提供的材料和工程设备</w:t>
      </w:r>
    </w:p>
    <w:p w14:paraId="3094DC14">
      <w:pPr>
        <w:spacing w:line="360" w:lineRule="auto"/>
        <w:ind w:firstLine="420" w:firstLineChars="200"/>
        <w:rPr>
          <w:rFonts w:ascii="宋体" w:hAnsi="宋体"/>
          <w:color w:val="auto"/>
          <w:szCs w:val="21"/>
        </w:rPr>
      </w:pPr>
      <w:r>
        <w:rPr>
          <w:rFonts w:hint="eastAsia" w:ascii="宋体" w:hAnsi="宋体"/>
          <w:color w:val="auto"/>
          <w:szCs w:val="21"/>
        </w:rPr>
        <w:t>发包人提供的材料和工程设备验收后，由</w:t>
      </w:r>
      <w:r>
        <w:rPr>
          <w:rFonts w:ascii="宋体" w:hAnsi="宋体"/>
          <w:color w:val="auto"/>
          <w:szCs w:val="21"/>
          <w:u w:val="single"/>
        </w:rPr>
        <w:t xml:space="preserve"> </w:t>
      </w:r>
      <w:r>
        <w:rPr>
          <w:rFonts w:hint="eastAsia" w:ascii="宋体" w:hAnsi="宋体"/>
          <w:color w:val="auto"/>
          <w:szCs w:val="21"/>
          <w:u w:val="single"/>
        </w:rPr>
        <w:t>承包人</w:t>
      </w:r>
      <w:r>
        <w:rPr>
          <w:rFonts w:ascii="宋体" w:hAnsi="宋体"/>
          <w:color w:val="auto"/>
          <w:szCs w:val="21"/>
          <w:u w:val="single"/>
        </w:rPr>
        <w:t xml:space="preserve"> </w:t>
      </w:r>
      <w:r>
        <w:rPr>
          <w:rFonts w:hint="eastAsia" w:ascii="宋体" w:hAnsi="宋体"/>
          <w:color w:val="auto"/>
          <w:szCs w:val="21"/>
        </w:rPr>
        <w:t>负责接收、运输和保管。</w:t>
      </w:r>
    </w:p>
    <w:p w14:paraId="3E937D5F">
      <w:pPr>
        <w:spacing w:line="360" w:lineRule="auto"/>
        <w:ind w:firstLine="420" w:firstLineChars="200"/>
        <w:rPr>
          <w:rFonts w:ascii="宋体" w:hAnsi="宋体"/>
          <w:color w:val="auto"/>
          <w:szCs w:val="21"/>
        </w:rPr>
      </w:pPr>
      <w:r>
        <w:rPr>
          <w:rFonts w:ascii="宋体" w:hAnsi="宋体"/>
          <w:color w:val="auto"/>
          <w:szCs w:val="21"/>
        </w:rPr>
        <w:t xml:space="preserve">6.2.2 </w:t>
      </w:r>
      <w:r>
        <w:rPr>
          <w:rFonts w:hint="eastAsia" w:ascii="宋体" w:hAnsi="宋体"/>
          <w:color w:val="auto"/>
          <w:szCs w:val="21"/>
        </w:rPr>
        <w:t>承包人提供的材料和工程设备</w:t>
      </w:r>
    </w:p>
    <w:p w14:paraId="3C64CE4A">
      <w:pPr>
        <w:spacing w:line="360" w:lineRule="auto"/>
        <w:ind w:firstLine="420" w:firstLineChars="200"/>
        <w:rPr>
          <w:rFonts w:ascii="宋体" w:hAnsi="宋体"/>
          <w:color w:val="auto"/>
          <w:szCs w:val="21"/>
        </w:rPr>
      </w:pPr>
      <w:r>
        <w:rPr>
          <w:rFonts w:hint="eastAsia" w:ascii="宋体" w:hAnsi="宋体"/>
          <w:color w:val="auto"/>
          <w:szCs w:val="21"/>
        </w:rPr>
        <w:t>材料和工程设备的类别、估算数量：</w:t>
      </w:r>
      <w:r>
        <w:rPr>
          <w:rFonts w:hint="eastAsia" w:ascii="宋体" w:hAnsi="宋体"/>
          <w:color w:val="auto"/>
          <w:szCs w:val="21"/>
          <w:u w:val="single"/>
          <w:lang w:val="en-US" w:eastAsia="zh-CN"/>
        </w:rPr>
        <w:t xml:space="preserve"> </w:t>
      </w:r>
      <w:r>
        <w:rPr>
          <w:rFonts w:hint="eastAsia" w:ascii="宋体" w:hAnsi="宋体"/>
          <w:color w:val="auto"/>
          <w:szCs w:val="21"/>
          <w:u w:val="single"/>
        </w:rPr>
        <w:t>按照工程进度和合同要求提供</w:t>
      </w:r>
      <w:r>
        <w:rPr>
          <w:rFonts w:ascii="宋体" w:hAnsi="宋体"/>
          <w:color w:val="auto"/>
          <w:szCs w:val="21"/>
          <w:u w:val="single"/>
        </w:rPr>
        <w:t xml:space="preserve"> </w:t>
      </w:r>
      <w:r>
        <w:rPr>
          <w:rFonts w:hint="eastAsia" w:ascii="宋体" w:hAnsi="宋体"/>
          <w:color w:val="auto"/>
          <w:szCs w:val="21"/>
        </w:rPr>
        <w:t>。</w:t>
      </w:r>
    </w:p>
    <w:p w14:paraId="7ABB5307">
      <w:pPr>
        <w:spacing w:line="360" w:lineRule="auto"/>
        <w:ind w:firstLine="420" w:firstLineChars="200"/>
        <w:rPr>
          <w:rFonts w:ascii="宋体" w:hAnsi="宋体"/>
          <w:color w:val="auto"/>
          <w:szCs w:val="21"/>
        </w:rPr>
      </w:pPr>
      <w:r>
        <w:rPr>
          <w:rFonts w:hint="eastAsia" w:ascii="宋体" w:hAnsi="宋体"/>
          <w:color w:val="auto"/>
          <w:szCs w:val="21"/>
        </w:rPr>
        <w:t>竣工后试验的生产性材料的类别或（和）清单：</w:t>
      </w:r>
      <w:r>
        <w:rPr>
          <w:rFonts w:hint="eastAsia" w:ascii="宋体" w:hAnsi="宋体"/>
          <w:color w:val="auto"/>
          <w:szCs w:val="21"/>
          <w:u w:val="single"/>
          <w:lang w:val="en-US" w:eastAsia="zh-CN"/>
        </w:rPr>
        <w:t xml:space="preserve"> </w:t>
      </w:r>
      <w:r>
        <w:rPr>
          <w:rFonts w:hint="eastAsia" w:ascii="宋体" w:hAnsi="宋体"/>
          <w:color w:val="auto"/>
          <w:szCs w:val="21"/>
          <w:u w:val="single"/>
        </w:rPr>
        <w:t>如有必要，合同当事人另行签订补充协议</w:t>
      </w:r>
      <w:r>
        <w:rPr>
          <w:rFonts w:ascii="宋体" w:hAnsi="宋体"/>
          <w:color w:val="auto"/>
          <w:szCs w:val="21"/>
          <w:u w:val="single"/>
        </w:rPr>
        <w:t xml:space="preserve"> </w:t>
      </w:r>
      <w:r>
        <w:rPr>
          <w:rFonts w:hint="eastAsia" w:ascii="宋体" w:hAnsi="宋体"/>
          <w:color w:val="auto"/>
          <w:szCs w:val="21"/>
        </w:rPr>
        <w:t>。</w:t>
      </w:r>
    </w:p>
    <w:p w14:paraId="77527500">
      <w:pPr>
        <w:spacing w:line="360" w:lineRule="auto"/>
        <w:ind w:firstLine="420" w:firstLineChars="200"/>
        <w:rPr>
          <w:rFonts w:ascii="宋体" w:hAnsi="宋体"/>
          <w:color w:val="auto"/>
          <w:szCs w:val="21"/>
        </w:rPr>
      </w:pPr>
      <w:r>
        <w:rPr>
          <w:rFonts w:ascii="宋体" w:hAnsi="宋体"/>
          <w:color w:val="auto"/>
          <w:szCs w:val="21"/>
        </w:rPr>
        <w:t xml:space="preserve">6.2.3 </w:t>
      </w:r>
      <w:r>
        <w:rPr>
          <w:rFonts w:hint="eastAsia" w:ascii="宋体" w:hAnsi="宋体"/>
          <w:color w:val="auto"/>
          <w:szCs w:val="21"/>
        </w:rPr>
        <w:t>材料和工程设备的保管</w:t>
      </w:r>
    </w:p>
    <w:p w14:paraId="67D83A8F">
      <w:pPr>
        <w:spacing w:line="360" w:lineRule="auto"/>
        <w:ind w:firstLine="420" w:firstLineChars="200"/>
        <w:rPr>
          <w:rFonts w:ascii="宋体" w:hAnsi="宋体"/>
          <w:color w:val="auto"/>
          <w:szCs w:val="21"/>
        </w:rPr>
      </w:pPr>
      <w:r>
        <w:rPr>
          <w:rFonts w:hint="eastAsia" w:ascii="宋体" w:hAnsi="宋体"/>
          <w:color w:val="auto"/>
          <w:szCs w:val="21"/>
        </w:rPr>
        <w:t>发包人供应的材料和工程设备的保管费用由</w:t>
      </w:r>
      <w:r>
        <w:rPr>
          <w:rFonts w:ascii="宋体" w:hAnsi="宋体"/>
          <w:color w:val="auto"/>
          <w:szCs w:val="21"/>
          <w:u w:val="single"/>
        </w:rPr>
        <w:t xml:space="preserve"> </w:t>
      </w:r>
      <w:r>
        <w:rPr>
          <w:rFonts w:hint="eastAsia" w:ascii="宋体" w:hAnsi="宋体"/>
          <w:color w:val="auto"/>
          <w:szCs w:val="21"/>
          <w:u w:val="single"/>
          <w:lang w:val="en-US" w:eastAsia="zh-CN"/>
        </w:rPr>
        <w:t>承包人</w:t>
      </w:r>
      <w:r>
        <w:rPr>
          <w:rFonts w:ascii="宋体" w:hAnsi="宋体"/>
          <w:color w:val="auto"/>
          <w:szCs w:val="21"/>
          <w:u w:val="single"/>
        </w:rPr>
        <w:t xml:space="preserve"> </w:t>
      </w:r>
      <w:r>
        <w:rPr>
          <w:rFonts w:hint="eastAsia" w:ascii="宋体" w:hAnsi="宋体"/>
          <w:color w:val="auto"/>
          <w:szCs w:val="21"/>
        </w:rPr>
        <w:t>承担。</w:t>
      </w:r>
    </w:p>
    <w:p w14:paraId="38C6073C">
      <w:pPr>
        <w:spacing w:line="360" w:lineRule="auto"/>
        <w:ind w:firstLine="420" w:firstLineChars="200"/>
        <w:rPr>
          <w:rFonts w:ascii="宋体" w:hAnsi="宋体"/>
          <w:color w:val="auto"/>
          <w:szCs w:val="21"/>
        </w:rPr>
      </w:pPr>
      <w:r>
        <w:rPr>
          <w:rFonts w:hint="eastAsia" w:ascii="宋体" w:hAnsi="宋体"/>
          <w:color w:val="auto"/>
          <w:szCs w:val="21"/>
        </w:rPr>
        <w:t>承包人提交保管、维护方案的时间：</w:t>
      </w:r>
      <w:r>
        <w:rPr>
          <w:rFonts w:ascii="宋体" w:hAnsi="宋体"/>
          <w:color w:val="auto"/>
          <w:szCs w:val="21"/>
          <w:u w:val="single"/>
        </w:rPr>
        <w:t xml:space="preserve"> </w:t>
      </w:r>
      <w:r>
        <w:rPr>
          <w:rFonts w:hint="eastAsia" w:ascii="宋体" w:hAnsi="宋体"/>
          <w:color w:val="auto"/>
          <w:szCs w:val="21"/>
          <w:u w:val="single"/>
        </w:rPr>
        <w:t>由发包人确定，满足工程建设需要</w:t>
      </w:r>
      <w:r>
        <w:rPr>
          <w:rFonts w:ascii="宋体" w:hAnsi="宋体"/>
          <w:color w:val="auto"/>
          <w:szCs w:val="21"/>
          <w:u w:val="single"/>
        </w:rPr>
        <w:t xml:space="preserve"> </w:t>
      </w:r>
      <w:r>
        <w:rPr>
          <w:rFonts w:hint="eastAsia" w:ascii="宋体" w:hAnsi="宋体"/>
          <w:color w:val="auto"/>
          <w:szCs w:val="21"/>
        </w:rPr>
        <w:t>。</w:t>
      </w:r>
    </w:p>
    <w:p w14:paraId="62A86CEE">
      <w:pPr>
        <w:spacing w:line="360" w:lineRule="auto"/>
        <w:ind w:firstLine="420" w:firstLineChars="200"/>
        <w:rPr>
          <w:rFonts w:ascii="宋体" w:hAnsi="宋体"/>
          <w:color w:val="auto"/>
          <w:szCs w:val="21"/>
        </w:rPr>
      </w:pPr>
      <w:r>
        <w:rPr>
          <w:rFonts w:hint="eastAsia" w:ascii="宋体" w:hAnsi="宋体"/>
          <w:color w:val="auto"/>
          <w:szCs w:val="21"/>
        </w:rPr>
        <w:t>发包人提供的库房、堆场、设施和设备：</w:t>
      </w:r>
      <w:r>
        <w:rPr>
          <w:rFonts w:ascii="宋体" w:hAnsi="宋体"/>
          <w:color w:val="auto"/>
          <w:szCs w:val="21"/>
          <w:u w:val="single"/>
        </w:rPr>
        <w:t xml:space="preserve">   </w:t>
      </w:r>
      <w:r>
        <w:rPr>
          <w:rFonts w:hint="eastAsia" w:ascii="宋体" w:hAnsi="宋体"/>
          <w:color w:val="auto"/>
          <w:szCs w:val="21"/>
          <w:u w:val="single"/>
          <w:lang w:val="en-US" w:eastAsia="zh-CN"/>
        </w:rPr>
        <w:t>无</w:t>
      </w:r>
      <w:r>
        <w:rPr>
          <w:rFonts w:ascii="宋体" w:hAnsi="宋体"/>
          <w:color w:val="auto"/>
          <w:szCs w:val="21"/>
          <w:u w:val="single"/>
        </w:rPr>
        <w:t xml:space="preserve">   </w:t>
      </w:r>
      <w:r>
        <w:rPr>
          <w:rFonts w:hint="eastAsia" w:ascii="宋体" w:hAnsi="宋体"/>
          <w:color w:val="auto"/>
          <w:szCs w:val="21"/>
        </w:rPr>
        <w:t>。</w:t>
      </w:r>
    </w:p>
    <w:p w14:paraId="08864B7C">
      <w:pPr>
        <w:pStyle w:val="4"/>
        <w:spacing w:before="120" w:line="360" w:lineRule="auto"/>
        <w:rPr>
          <w:color w:val="auto"/>
        </w:rPr>
      </w:pPr>
      <w:bookmarkStart w:id="1931" w:name="_Toc154063688"/>
      <w:r>
        <w:rPr>
          <w:color w:val="auto"/>
        </w:rPr>
        <w:t xml:space="preserve">6.3 </w:t>
      </w:r>
      <w:r>
        <w:rPr>
          <w:rFonts w:hint="eastAsia"/>
          <w:color w:val="auto"/>
        </w:rPr>
        <w:t>样品</w:t>
      </w:r>
      <w:bookmarkEnd w:id="1931"/>
    </w:p>
    <w:p w14:paraId="4E0B5AC0">
      <w:pPr>
        <w:spacing w:line="360" w:lineRule="auto"/>
        <w:ind w:firstLine="420" w:firstLineChars="200"/>
        <w:rPr>
          <w:rFonts w:ascii="宋体" w:hAnsi="宋体"/>
          <w:color w:val="auto"/>
          <w:szCs w:val="21"/>
        </w:rPr>
      </w:pPr>
      <w:r>
        <w:rPr>
          <w:rFonts w:hint="eastAsia" w:ascii="宋体" w:hAnsi="宋体"/>
          <w:color w:val="auto"/>
          <w:szCs w:val="21"/>
        </w:rPr>
        <w:t>6</w:t>
      </w:r>
      <w:r>
        <w:rPr>
          <w:rFonts w:ascii="宋体" w:hAnsi="宋体"/>
          <w:color w:val="auto"/>
          <w:szCs w:val="21"/>
        </w:rPr>
        <w:t xml:space="preserve">.3.1 </w:t>
      </w:r>
      <w:r>
        <w:rPr>
          <w:rFonts w:hint="eastAsia" w:ascii="宋体" w:hAnsi="宋体"/>
          <w:color w:val="auto"/>
          <w:szCs w:val="21"/>
        </w:rPr>
        <w:t>样品的报送与封存</w:t>
      </w:r>
    </w:p>
    <w:p w14:paraId="55192A2A">
      <w:pPr>
        <w:spacing w:line="360" w:lineRule="auto"/>
        <w:ind w:firstLine="420" w:firstLineChars="200"/>
        <w:rPr>
          <w:rFonts w:ascii="宋体" w:hAnsi="宋体"/>
          <w:color w:val="auto"/>
          <w:szCs w:val="21"/>
        </w:rPr>
      </w:pPr>
      <w:bookmarkStart w:id="1932" w:name="_Toc154063689"/>
      <w:r>
        <w:rPr>
          <w:rFonts w:ascii="宋体" w:hAnsi="宋体"/>
          <w:color w:val="auto"/>
          <w:szCs w:val="21"/>
        </w:rPr>
        <w:t>需要承包人报送样品的材料或工程设备</w:t>
      </w:r>
      <w:r>
        <w:rPr>
          <w:rFonts w:hint="eastAsia" w:ascii="宋体" w:hAnsi="宋体"/>
          <w:color w:val="auto"/>
          <w:szCs w:val="21"/>
        </w:rPr>
        <w:t>，样品种类、名称、规格、数量：</w:t>
      </w:r>
      <w:r>
        <w:rPr>
          <w:rFonts w:ascii="宋体" w:hAnsi="宋体"/>
          <w:color w:val="auto"/>
          <w:szCs w:val="21"/>
          <w:u w:val="single"/>
        </w:rPr>
        <w:t xml:space="preserve"> </w:t>
      </w:r>
      <w:r>
        <w:rPr>
          <w:rFonts w:hint="eastAsia" w:ascii="宋体" w:hAnsi="宋体"/>
          <w:color w:val="auto"/>
          <w:szCs w:val="21"/>
          <w:u w:val="single"/>
        </w:rPr>
        <w:t>涉及影响工程质量及效果的材料（具体以发包人通知为准），承包人必须先送样，经发包人认可后方可采购</w:t>
      </w:r>
      <w:r>
        <w:rPr>
          <w:rFonts w:ascii="宋体" w:hAnsi="宋体"/>
          <w:color w:val="auto"/>
          <w:szCs w:val="21"/>
          <w:u w:val="single"/>
        </w:rPr>
        <w:t xml:space="preserve"> </w:t>
      </w:r>
      <w:r>
        <w:rPr>
          <w:rFonts w:hint="eastAsia" w:ascii="宋体" w:hAnsi="宋体"/>
          <w:color w:val="auto"/>
          <w:szCs w:val="21"/>
        </w:rPr>
        <w:t>。</w:t>
      </w:r>
    </w:p>
    <w:p w14:paraId="7D50ECC7">
      <w:pPr>
        <w:pStyle w:val="4"/>
        <w:spacing w:before="120" w:line="360" w:lineRule="auto"/>
        <w:rPr>
          <w:color w:val="auto"/>
        </w:rPr>
      </w:pPr>
      <w:r>
        <w:rPr>
          <w:color w:val="auto"/>
        </w:rPr>
        <w:t xml:space="preserve">6.4 </w:t>
      </w:r>
      <w:r>
        <w:rPr>
          <w:rFonts w:hint="eastAsia"/>
          <w:color w:val="auto"/>
        </w:rPr>
        <w:t>质量检查</w:t>
      </w:r>
      <w:bookmarkEnd w:id="1932"/>
    </w:p>
    <w:p w14:paraId="05325015">
      <w:pPr>
        <w:spacing w:line="360" w:lineRule="auto"/>
        <w:ind w:firstLine="420" w:firstLineChars="200"/>
        <w:rPr>
          <w:rFonts w:ascii="宋体" w:hAnsi="宋体"/>
          <w:color w:val="auto"/>
          <w:szCs w:val="21"/>
        </w:rPr>
      </w:pPr>
      <w:r>
        <w:rPr>
          <w:rFonts w:ascii="宋体" w:hAnsi="宋体"/>
          <w:color w:val="auto"/>
          <w:szCs w:val="21"/>
        </w:rPr>
        <w:t xml:space="preserve">6.4.1 </w:t>
      </w:r>
      <w:r>
        <w:rPr>
          <w:rFonts w:hint="eastAsia" w:ascii="宋体" w:hAnsi="宋体"/>
          <w:color w:val="auto"/>
          <w:szCs w:val="21"/>
        </w:rPr>
        <w:t>工程质量要求</w:t>
      </w:r>
    </w:p>
    <w:p w14:paraId="2B07027C">
      <w:pPr>
        <w:spacing w:line="360" w:lineRule="auto"/>
        <w:ind w:firstLine="420" w:firstLineChars="200"/>
        <w:rPr>
          <w:rFonts w:ascii="宋体" w:hAnsi="宋体"/>
          <w:color w:val="auto"/>
          <w:szCs w:val="21"/>
        </w:rPr>
      </w:pPr>
      <w:r>
        <w:rPr>
          <w:rFonts w:hint="eastAsia" w:ascii="宋体" w:hAnsi="宋体"/>
          <w:color w:val="auto"/>
          <w:szCs w:val="21"/>
        </w:rPr>
        <w:t>工程质量的特殊标准或要求：</w:t>
      </w:r>
      <w:r>
        <w:rPr>
          <w:rFonts w:ascii="宋体" w:hAnsi="宋体"/>
          <w:color w:val="auto"/>
          <w:szCs w:val="21"/>
          <w:u w:val="single"/>
        </w:rPr>
        <w:t xml:space="preserve"> </w:t>
      </w:r>
      <w:r>
        <w:rPr>
          <w:rFonts w:hint="eastAsia" w:ascii="宋体" w:hAnsi="宋体"/>
          <w:color w:val="auto"/>
          <w:szCs w:val="21"/>
          <w:u w:val="single"/>
        </w:rPr>
        <w:t>满足工程建设和竣工验收的需要</w:t>
      </w:r>
      <w:r>
        <w:rPr>
          <w:rFonts w:ascii="宋体" w:hAnsi="宋体"/>
          <w:color w:val="auto"/>
          <w:szCs w:val="21"/>
          <w:u w:val="single"/>
        </w:rPr>
        <w:t xml:space="preserve"> </w:t>
      </w:r>
      <w:r>
        <w:rPr>
          <w:rFonts w:hint="eastAsia" w:ascii="宋体" w:hAnsi="宋体"/>
          <w:color w:val="auto"/>
          <w:szCs w:val="21"/>
        </w:rPr>
        <w:t>。</w:t>
      </w:r>
    </w:p>
    <w:p w14:paraId="62CA01FB">
      <w:pPr>
        <w:spacing w:line="360" w:lineRule="auto"/>
        <w:ind w:firstLine="420" w:firstLineChars="200"/>
        <w:rPr>
          <w:rFonts w:ascii="宋体" w:hAnsi="宋体"/>
          <w:color w:val="auto"/>
          <w:szCs w:val="21"/>
        </w:rPr>
      </w:pPr>
      <w:r>
        <w:rPr>
          <w:rFonts w:ascii="宋体" w:hAnsi="宋体"/>
          <w:color w:val="auto"/>
          <w:szCs w:val="21"/>
        </w:rPr>
        <w:t xml:space="preserve">6.4.2 </w:t>
      </w:r>
      <w:r>
        <w:rPr>
          <w:rFonts w:hint="eastAsia" w:ascii="宋体" w:hAnsi="宋体"/>
          <w:color w:val="auto"/>
          <w:szCs w:val="21"/>
        </w:rPr>
        <w:t>质量检查</w:t>
      </w:r>
    </w:p>
    <w:p w14:paraId="61C8A50B">
      <w:pPr>
        <w:spacing w:line="360" w:lineRule="auto"/>
        <w:ind w:firstLine="420" w:firstLineChars="200"/>
        <w:rPr>
          <w:rFonts w:ascii="宋体" w:hAnsi="宋体"/>
          <w:color w:val="auto"/>
          <w:szCs w:val="21"/>
        </w:rPr>
      </w:pPr>
      <w:r>
        <w:rPr>
          <w:rFonts w:hint="eastAsia" w:ascii="宋体" w:hAnsi="宋体"/>
          <w:color w:val="auto"/>
          <w:szCs w:val="21"/>
        </w:rPr>
        <w:t>除通用合同条件已列明的质量检查的地点外，发包人有权进行质量检查的其他地点：</w:t>
      </w:r>
      <w:r>
        <w:rPr>
          <w:rFonts w:ascii="宋体" w:hAnsi="宋体"/>
          <w:color w:val="auto"/>
          <w:szCs w:val="21"/>
          <w:u w:val="single"/>
        </w:rPr>
        <w:t xml:space="preserve"> </w:t>
      </w:r>
      <w:r>
        <w:rPr>
          <w:rFonts w:hint="eastAsia" w:ascii="宋体" w:hAnsi="宋体"/>
          <w:color w:val="auto"/>
          <w:szCs w:val="21"/>
          <w:u w:val="single"/>
        </w:rPr>
        <w:t>由发包人确定</w:t>
      </w:r>
      <w:r>
        <w:rPr>
          <w:rFonts w:ascii="宋体" w:hAnsi="宋体"/>
          <w:color w:val="auto"/>
          <w:szCs w:val="21"/>
          <w:u w:val="single"/>
        </w:rPr>
        <w:t xml:space="preserve"> </w:t>
      </w:r>
      <w:r>
        <w:rPr>
          <w:rFonts w:hint="eastAsia" w:ascii="宋体" w:hAnsi="宋体"/>
          <w:color w:val="auto"/>
          <w:szCs w:val="21"/>
        </w:rPr>
        <w:t>。</w:t>
      </w:r>
    </w:p>
    <w:p w14:paraId="6E8FFA8B">
      <w:pPr>
        <w:spacing w:line="360" w:lineRule="auto"/>
        <w:ind w:firstLine="420" w:firstLineChars="200"/>
        <w:rPr>
          <w:rFonts w:ascii="宋体" w:hAnsi="宋体"/>
          <w:color w:val="auto"/>
          <w:szCs w:val="21"/>
        </w:rPr>
      </w:pPr>
      <w:r>
        <w:rPr>
          <w:rFonts w:ascii="宋体" w:hAnsi="宋体"/>
          <w:color w:val="auto"/>
          <w:szCs w:val="21"/>
        </w:rPr>
        <w:t xml:space="preserve">6.4.3 </w:t>
      </w:r>
      <w:r>
        <w:rPr>
          <w:rFonts w:hint="eastAsia" w:ascii="宋体" w:hAnsi="宋体"/>
          <w:color w:val="auto"/>
          <w:szCs w:val="21"/>
        </w:rPr>
        <w:t>隐蔽工程检查</w:t>
      </w:r>
    </w:p>
    <w:p w14:paraId="3761B29A">
      <w:pPr>
        <w:spacing w:line="360" w:lineRule="auto"/>
        <w:ind w:firstLine="420" w:firstLineChars="200"/>
        <w:rPr>
          <w:rFonts w:ascii="宋体" w:hAnsi="宋体"/>
          <w:color w:val="auto"/>
          <w:szCs w:val="21"/>
          <w:u w:val="single"/>
        </w:rPr>
      </w:pPr>
      <w:bookmarkStart w:id="1933" w:name="_Toc154063690"/>
      <w:r>
        <w:rPr>
          <w:rFonts w:hint="eastAsia" w:ascii="宋体" w:hAnsi="宋体"/>
          <w:color w:val="auto"/>
          <w:szCs w:val="21"/>
        </w:rPr>
        <w:t>关于隐蔽工程和中间验收的特别约定：</w:t>
      </w:r>
      <w:r>
        <w:rPr>
          <w:rFonts w:ascii="宋体" w:hAnsi="宋体"/>
          <w:color w:val="auto"/>
          <w:szCs w:val="21"/>
          <w:u w:val="single"/>
        </w:rPr>
        <w:t xml:space="preserve"> </w:t>
      </w:r>
    </w:p>
    <w:p w14:paraId="4FC23B3E">
      <w:pPr>
        <w:keepNext w:val="0"/>
        <w:keepLines w:val="0"/>
        <w:pageBreakBefore w:val="0"/>
        <w:widowControl w:val="0"/>
        <w:numPr>
          <w:ilvl w:val="0"/>
          <w:numId w:val="0"/>
        </w:numPr>
        <w:kinsoku/>
        <w:wordWrap/>
        <w:overflowPunct/>
        <w:topLinePunct/>
        <w:autoSpaceDE/>
        <w:autoSpaceDN/>
        <w:bidi w:val="0"/>
        <w:adjustRightInd/>
        <w:snapToGrid/>
        <w:spacing w:line="360" w:lineRule="auto"/>
        <w:ind w:firstLine="420" w:firstLineChars="200"/>
        <w:textAlignment w:val="auto"/>
        <w:rPr>
          <w:rFonts w:hint="eastAsia" w:ascii="宋体" w:hAnsi="宋体"/>
          <w:color w:val="auto"/>
          <w:szCs w:val="21"/>
          <w:u w:val="single"/>
        </w:rPr>
      </w:pPr>
      <w:r>
        <w:rPr>
          <w:rFonts w:hint="eastAsia" w:ascii="宋体" w:hAnsi="宋体" w:eastAsia="宋体" w:cs="Times New Roman"/>
          <w:color w:val="auto"/>
          <w:kern w:val="2"/>
          <w:sz w:val="21"/>
          <w:szCs w:val="21"/>
          <w:lang w:val="en-US" w:eastAsia="zh-CN" w:bidi="ar-SA"/>
        </w:rPr>
        <w:t>（1）</w:t>
      </w:r>
      <w:r>
        <w:rPr>
          <w:rFonts w:hint="eastAsia" w:ascii="宋体" w:hAnsi="宋体"/>
          <w:color w:val="auto"/>
          <w:szCs w:val="21"/>
          <w:u w:val="single"/>
        </w:rPr>
        <w:t>承包人自检：承包人应当对工程隐蔽部位进行自检，并经自检确认是否具备覆盖条件。</w:t>
      </w:r>
    </w:p>
    <w:p w14:paraId="3B7BEA0A">
      <w:pPr>
        <w:keepNext w:val="0"/>
        <w:keepLines w:val="0"/>
        <w:pageBreakBefore w:val="0"/>
        <w:widowControl w:val="0"/>
        <w:kinsoku/>
        <w:wordWrap/>
        <w:overflowPunct/>
        <w:topLinePunct/>
        <w:autoSpaceDE/>
        <w:autoSpaceDN/>
        <w:bidi w:val="0"/>
        <w:adjustRightInd/>
        <w:snapToGrid/>
        <w:spacing w:line="360" w:lineRule="auto"/>
        <w:ind w:firstLine="420" w:firstLineChars="200"/>
        <w:textAlignment w:val="auto"/>
        <w:rPr>
          <w:rFonts w:hint="eastAsia" w:ascii="宋体" w:hAnsi="宋体"/>
          <w:color w:val="auto"/>
          <w:szCs w:val="21"/>
          <w:u w:val="single"/>
        </w:rPr>
      </w:pPr>
      <w:r>
        <w:rPr>
          <w:rFonts w:hint="eastAsia" w:ascii="宋体" w:hAnsi="宋体"/>
          <w:color w:val="auto"/>
          <w:szCs w:val="21"/>
          <w:u w:val="single"/>
        </w:rPr>
        <w:t>（2）检查程序：工程隐蔽部位经承包人自检确认具备覆盖条件的，承包人应在共同检查前48小时书面通知发包人和监理人检查，通知中应载明隐蔽检查的内容、时间和地点，并应附有自检记录和必要的检查资料。</w:t>
      </w:r>
    </w:p>
    <w:p w14:paraId="641DF949">
      <w:pPr>
        <w:keepNext w:val="0"/>
        <w:keepLines w:val="0"/>
        <w:pageBreakBefore w:val="0"/>
        <w:widowControl w:val="0"/>
        <w:kinsoku/>
        <w:wordWrap/>
        <w:overflowPunct/>
        <w:topLinePunct/>
        <w:autoSpaceDE/>
        <w:autoSpaceDN/>
        <w:bidi w:val="0"/>
        <w:adjustRightInd/>
        <w:snapToGrid/>
        <w:spacing w:line="360" w:lineRule="auto"/>
        <w:ind w:firstLine="420" w:firstLineChars="200"/>
        <w:textAlignment w:val="auto"/>
        <w:rPr>
          <w:rFonts w:hint="eastAsia" w:ascii="宋体" w:hAnsi="宋体"/>
          <w:color w:val="auto"/>
          <w:szCs w:val="21"/>
          <w:u w:val="single"/>
        </w:rPr>
      </w:pPr>
      <w:r>
        <w:rPr>
          <w:rFonts w:hint="eastAsia" w:ascii="宋体" w:hAnsi="宋体"/>
          <w:color w:val="auto"/>
          <w:szCs w:val="21"/>
          <w:u w:val="single"/>
        </w:rPr>
        <w:t>发包人和监理人应按时到场并对隐蔽工程及其施工工艺、材料和工程设备进行检查。经发包人和监理人检查确认质量符合隐蔽要求，并在验收记录上签字后，承包人才能进行覆盖。经发包人和监理人检查质量不合格的，承包人应在发包人和监理人指示的时间内完成修复，并由发包人和监理人重新检查，由此增加的费用和（或）延误的工期由承包人承担。</w:t>
      </w:r>
    </w:p>
    <w:p w14:paraId="1673BCFE">
      <w:pPr>
        <w:keepNext w:val="0"/>
        <w:keepLines w:val="0"/>
        <w:pageBreakBefore w:val="0"/>
        <w:widowControl w:val="0"/>
        <w:kinsoku/>
        <w:wordWrap/>
        <w:overflowPunct/>
        <w:topLinePunct/>
        <w:autoSpaceDE/>
        <w:autoSpaceDN/>
        <w:bidi w:val="0"/>
        <w:adjustRightInd/>
        <w:snapToGrid/>
        <w:spacing w:line="360" w:lineRule="auto"/>
        <w:ind w:firstLine="420" w:firstLineChars="200"/>
        <w:textAlignment w:val="auto"/>
        <w:rPr>
          <w:rFonts w:hint="eastAsia" w:ascii="宋体" w:hAnsi="宋体"/>
          <w:color w:val="auto"/>
          <w:szCs w:val="21"/>
          <w:u w:val="single"/>
        </w:rPr>
      </w:pPr>
      <w:r>
        <w:rPr>
          <w:rFonts w:hint="eastAsia" w:ascii="宋体" w:hAnsi="宋体"/>
          <w:color w:val="auto"/>
          <w:szCs w:val="21"/>
          <w:u w:val="single"/>
        </w:rPr>
        <w:t>（3）重新检查：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关键线路工期；经检查证明工程质量不符合合同要求的，由此增加的费用和（或）延误的工期由承包人承担。</w:t>
      </w:r>
    </w:p>
    <w:p w14:paraId="6C6B6A07">
      <w:pPr>
        <w:keepNext w:val="0"/>
        <w:keepLines w:val="0"/>
        <w:pageBreakBefore w:val="0"/>
        <w:widowControl w:val="0"/>
        <w:kinsoku/>
        <w:wordWrap/>
        <w:overflowPunct/>
        <w:topLinePunct/>
        <w:autoSpaceDE/>
        <w:autoSpaceDN/>
        <w:bidi w:val="0"/>
        <w:adjustRightInd/>
        <w:snapToGrid/>
        <w:spacing w:line="360" w:lineRule="auto"/>
        <w:ind w:firstLine="420" w:firstLineChars="200"/>
        <w:textAlignment w:val="auto"/>
        <w:rPr>
          <w:rFonts w:hint="eastAsia" w:ascii="宋体" w:hAnsi="宋体"/>
          <w:color w:val="auto"/>
          <w:szCs w:val="21"/>
          <w:u w:val="single"/>
        </w:rPr>
      </w:pPr>
      <w:r>
        <w:rPr>
          <w:rFonts w:hint="eastAsia" w:ascii="宋体" w:hAnsi="宋体"/>
          <w:color w:val="auto"/>
          <w:szCs w:val="21"/>
          <w:u w:val="single"/>
        </w:rPr>
        <w:t>（4）承包人私自覆盖：承包人未通知监理人和发包人到场检查，私自将工程隐蔽部位覆盖的，监理人或发包人有权指示承包人钻孔探测或揭开检查，无论工程隐蔽部位质量是否合格，由此增加的费用和（或）延误的工期均由承包人承担。</w:t>
      </w:r>
    </w:p>
    <w:p w14:paraId="5970E809">
      <w:pPr>
        <w:keepNext w:val="0"/>
        <w:keepLines w:val="0"/>
        <w:pageBreakBefore w:val="0"/>
        <w:widowControl w:val="0"/>
        <w:kinsoku/>
        <w:wordWrap/>
        <w:overflowPunct/>
        <w:topLinePunct/>
        <w:autoSpaceDE/>
        <w:autoSpaceDN/>
        <w:bidi w:val="0"/>
        <w:adjustRightInd/>
        <w:snapToGrid/>
        <w:spacing w:line="360" w:lineRule="auto"/>
        <w:ind w:firstLine="420" w:firstLineChars="200"/>
        <w:textAlignment w:val="auto"/>
        <w:rPr>
          <w:rFonts w:hint="eastAsia" w:ascii="宋体" w:hAnsi="宋体"/>
          <w:color w:val="auto"/>
          <w:szCs w:val="21"/>
        </w:rPr>
      </w:pPr>
      <w:r>
        <w:rPr>
          <w:rFonts w:hint="eastAsia" w:ascii="宋体" w:hAnsi="宋体"/>
          <w:color w:val="auto"/>
          <w:szCs w:val="21"/>
          <w:u w:val="single"/>
        </w:rPr>
        <w:t>（5）不合格工程的处理：因承包人原因造成工程不合格的，发包人有权随时要求承包人采取补救措施，直至达到合同要求的质量标准，由此增加的费用和（或）延误的工期由承包人承担。无法补救的，则发包人可以拒绝接收不合格工程，因不合格工程导致其他工程不能正常使用的，承包人应采取措施确保相关工程的正常使用，由此增加的费用和（或）延误的工期由承包人承担</w:t>
      </w:r>
      <w:r>
        <w:rPr>
          <w:rFonts w:ascii="宋体" w:hAnsi="宋体"/>
          <w:color w:val="auto"/>
          <w:szCs w:val="21"/>
          <w:u w:val="single"/>
        </w:rPr>
        <w:t xml:space="preserve"> </w:t>
      </w:r>
      <w:r>
        <w:rPr>
          <w:rFonts w:hint="eastAsia" w:ascii="宋体" w:hAnsi="宋体"/>
          <w:color w:val="auto"/>
          <w:szCs w:val="21"/>
        </w:rPr>
        <w:t>。</w:t>
      </w:r>
    </w:p>
    <w:p w14:paraId="7AC9848F">
      <w:pPr>
        <w:pStyle w:val="4"/>
        <w:spacing w:before="120" w:line="360" w:lineRule="auto"/>
        <w:rPr>
          <w:color w:val="auto"/>
        </w:rPr>
      </w:pPr>
      <w:r>
        <w:rPr>
          <w:color w:val="auto"/>
        </w:rPr>
        <w:t xml:space="preserve">6.5 </w:t>
      </w:r>
      <w:r>
        <w:rPr>
          <w:rFonts w:hint="eastAsia"/>
          <w:color w:val="auto"/>
        </w:rPr>
        <w:t>由承包人试验和检验</w:t>
      </w:r>
      <w:bookmarkEnd w:id="1933"/>
    </w:p>
    <w:p w14:paraId="79294496">
      <w:pPr>
        <w:spacing w:line="360" w:lineRule="auto"/>
        <w:ind w:firstLine="420" w:firstLineChars="200"/>
        <w:rPr>
          <w:rFonts w:ascii="宋体" w:hAnsi="宋体"/>
          <w:color w:val="auto"/>
          <w:szCs w:val="21"/>
        </w:rPr>
      </w:pPr>
      <w:r>
        <w:rPr>
          <w:rFonts w:hint="eastAsia" w:ascii="宋体" w:hAnsi="宋体"/>
          <w:color w:val="auto"/>
          <w:szCs w:val="21"/>
        </w:rPr>
        <w:t>6</w:t>
      </w:r>
      <w:r>
        <w:rPr>
          <w:rFonts w:ascii="宋体" w:hAnsi="宋体"/>
          <w:color w:val="auto"/>
          <w:szCs w:val="21"/>
        </w:rPr>
        <w:t xml:space="preserve">.5.1 </w:t>
      </w:r>
      <w:r>
        <w:rPr>
          <w:rFonts w:hint="eastAsia" w:ascii="宋体" w:hAnsi="宋体"/>
          <w:color w:val="auto"/>
          <w:szCs w:val="21"/>
        </w:rPr>
        <w:t>试验设备与试验人员</w:t>
      </w:r>
    </w:p>
    <w:p w14:paraId="3484BC9F">
      <w:pPr>
        <w:spacing w:line="360" w:lineRule="auto"/>
        <w:ind w:firstLine="420" w:firstLineChars="200"/>
        <w:rPr>
          <w:rFonts w:ascii="宋体" w:hAnsi="宋体"/>
          <w:color w:val="auto"/>
          <w:szCs w:val="21"/>
        </w:rPr>
      </w:pPr>
      <w:r>
        <w:rPr>
          <w:rFonts w:hint="eastAsia" w:ascii="宋体" w:hAnsi="宋体"/>
          <w:color w:val="auto"/>
          <w:szCs w:val="21"/>
        </w:rPr>
        <w:t>试验的内容、时间和地点：</w:t>
      </w:r>
      <w:r>
        <w:rPr>
          <w:rFonts w:ascii="宋体" w:hAnsi="宋体"/>
          <w:color w:val="auto"/>
          <w:szCs w:val="21"/>
          <w:u w:val="single"/>
        </w:rPr>
        <w:t xml:space="preserve"> </w:t>
      </w:r>
      <w:r>
        <w:rPr>
          <w:rFonts w:hint="eastAsia" w:ascii="宋体" w:hAnsi="宋体"/>
          <w:color w:val="auto"/>
          <w:szCs w:val="21"/>
          <w:u w:val="single"/>
        </w:rPr>
        <w:t>由发包人确定且经承包人同意，满足工程建设和竣工验收的需要</w:t>
      </w:r>
      <w:r>
        <w:rPr>
          <w:rFonts w:ascii="宋体" w:hAnsi="宋体"/>
          <w:color w:val="auto"/>
          <w:szCs w:val="21"/>
          <w:u w:val="single"/>
        </w:rPr>
        <w:t xml:space="preserve"> </w:t>
      </w:r>
      <w:r>
        <w:rPr>
          <w:rFonts w:hint="eastAsia" w:ascii="宋体" w:hAnsi="宋体"/>
          <w:color w:val="auto"/>
          <w:szCs w:val="21"/>
        </w:rPr>
        <w:t>。</w:t>
      </w:r>
    </w:p>
    <w:p w14:paraId="464D90A1">
      <w:pPr>
        <w:spacing w:line="360" w:lineRule="auto"/>
        <w:ind w:firstLine="420" w:firstLineChars="200"/>
        <w:rPr>
          <w:rFonts w:ascii="宋体" w:hAnsi="宋体"/>
          <w:color w:val="auto"/>
          <w:szCs w:val="21"/>
        </w:rPr>
      </w:pPr>
      <w:r>
        <w:rPr>
          <w:rFonts w:hint="eastAsia" w:ascii="宋体" w:hAnsi="宋体"/>
          <w:color w:val="auto"/>
          <w:szCs w:val="21"/>
        </w:rPr>
        <w:t>试验所需要的试验设备、取样装置、试验场所和试验条件：</w:t>
      </w:r>
      <w:r>
        <w:rPr>
          <w:rFonts w:ascii="宋体" w:hAnsi="宋体"/>
          <w:color w:val="auto"/>
          <w:szCs w:val="21"/>
          <w:u w:val="single"/>
        </w:rPr>
        <w:t xml:space="preserve"> </w:t>
      </w:r>
      <w:r>
        <w:rPr>
          <w:rFonts w:hint="eastAsia" w:ascii="宋体" w:hAnsi="宋体"/>
          <w:color w:val="auto"/>
          <w:szCs w:val="21"/>
          <w:u w:val="single"/>
        </w:rPr>
        <w:t>由发包人确定且经承包人同意，满足工程建设和竣工验收的需要</w:t>
      </w:r>
      <w:r>
        <w:rPr>
          <w:rFonts w:ascii="宋体" w:hAnsi="宋体"/>
          <w:color w:val="auto"/>
          <w:szCs w:val="21"/>
          <w:u w:val="single"/>
        </w:rPr>
        <w:t xml:space="preserve"> </w:t>
      </w:r>
      <w:r>
        <w:rPr>
          <w:rFonts w:hint="eastAsia" w:ascii="宋体" w:hAnsi="宋体"/>
          <w:color w:val="auto"/>
          <w:szCs w:val="21"/>
        </w:rPr>
        <w:t>。</w:t>
      </w:r>
    </w:p>
    <w:p w14:paraId="0E22CF1E">
      <w:pPr>
        <w:spacing w:line="360" w:lineRule="auto"/>
        <w:ind w:firstLine="420" w:firstLineChars="200"/>
        <w:rPr>
          <w:rFonts w:ascii="宋体" w:hAnsi="宋体"/>
          <w:color w:val="auto"/>
          <w:szCs w:val="21"/>
          <w:u w:val="single"/>
        </w:rPr>
      </w:pPr>
      <w:r>
        <w:rPr>
          <w:rFonts w:hint="eastAsia" w:ascii="宋体" w:hAnsi="宋体"/>
          <w:color w:val="auto"/>
          <w:szCs w:val="21"/>
        </w:rPr>
        <w:t>试验和检验费用的计价原则：</w:t>
      </w:r>
      <w:r>
        <w:rPr>
          <w:rFonts w:hint="eastAsia" w:ascii="宋体" w:hAnsi="宋体"/>
          <w:color w:val="auto"/>
          <w:szCs w:val="21"/>
          <w:u w:val="single"/>
        </w:rPr>
        <w:t xml:space="preserve"> </w:t>
      </w:r>
      <w:r>
        <w:rPr>
          <w:rFonts w:hint="eastAsia" w:ascii="宋体" w:hAnsi="宋体"/>
          <w:color w:val="auto"/>
          <w:szCs w:val="21"/>
          <w:u w:val="single"/>
        </w:rPr>
        <w:t>所发生的费用承包人在财评审定的工程量清单（费率）中已考虑，由承包人自行承担，发包人不另行计量支付</w:t>
      </w:r>
      <w:r>
        <w:rPr>
          <w:rFonts w:ascii="宋体" w:hAnsi="宋体"/>
          <w:color w:val="auto"/>
          <w:szCs w:val="21"/>
          <w:u w:val="single"/>
        </w:rPr>
        <w:t xml:space="preserve"> </w:t>
      </w:r>
      <w:r>
        <w:rPr>
          <w:rFonts w:hint="eastAsia" w:ascii="宋体" w:hAnsi="宋体"/>
          <w:color w:val="auto"/>
          <w:szCs w:val="21"/>
        </w:rPr>
        <w:t>。</w:t>
      </w:r>
    </w:p>
    <w:p w14:paraId="1EB01860">
      <w:pPr>
        <w:pStyle w:val="3"/>
        <w:spacing w:before="48" w:line="360" w:lineRule="auto"/>
        <w:rPr>
          <w:rFonts w:ascii="黑体" w:hAnsi="黑体"/>
          <w:bCs w:val="0"/>
          <w:color w:val="auto"/>
          <w:sz w:val="28"/>
        </w:rPr>
      </w:pPr>
      <w:bookmarkStart w:id="1934" w:name="_Toc54862338"/>
      <w:bookmarkStart w:id="1935" w:name="_Toc154063691"/>
      <w:r>
        <w:rPr>
          <w:rFonts w:hint="eastAsia" w:ascii="黑体" w:hAnsi="黑体"/>
          <w:bCs w:val="0"/>
          <w:color w:val="auto"/>
          <w:sz w:val="28"/>
        </w:rPr>
        <w:t>第</w:t>
      </w:r>
      <w:r>
        <w:rPr>
          <w:rFonts w:ascii="黑体" w:hAnsi="黑体"/>
          <w:bCs w:val="0"/>
          <w:color w:val="auto"/>
          <w:sz w:val="28"/>
        </w:rPr>
        <w:t>7条</w:t>
      </w:r>
      <w:r>
        <w:rPr>
          <w:rFonts w:hint="eastAsia" w:ascii="黑体" w:hAnsi="黑体"/>
          <w:bCs w:val="0"/>
          <w:color w:val="auto"/>
          <w:sz w:val="28"/>
        </w:rPr>
        <w:t xml:space="preserve"> 施工</w:t>
      </w:r>
      <w:bookmarkEnd w:id="1934"/>
      <w:bookmarkEnd w:id="1935"/>
    </w:p>
    <w:p w14:paraId="0B125396">
      <w:pPr>
        <w:pStyle w:val="4"/>
        <w:spacing w:before="120" w:line="360" w:lineRule="auto"/>
        <w:rPr>
          <w:color w:val="auto"/>
        </w:rPr>
      </w:pPr>
      <w:bookmarkStart w:id="1936" w:name="_Toc154063692"/>
      <w:r>
        <w:rPr>
          <w:color w:val="auto"/>
        </w:rPr>
        <w:t xml:space="preserve">7.1 </w:t>
      </w:r>
      <w:r>
        <w:rPr>
          <w:rFonts w:hint="eastAsia"/>
          <w:color w:val="auto"/>
        </w:rPr>
        <w:t>交通运输</w:t>
      </w:r>
      <w:bookmarkEnd w:id="1936"/>
    </w:p>
    <w:p w14:paraId="133987E9">
      <w:pPr>
        <w:spacing w:line="360" w:lineRule="auto"/>
        <w:ind w:firstLine="420" w:firstLineChars="200"/>
        <w:rPr>
          <w:rFonts w:ascii="宋体" w:hAnsi="宋体"/>
          <w:color w:val="auto"/>
          <w:szCs w:val="21"/>
        </w:rPr>
      </w:pPr>
      <w:r>
        <w:rPr>
          <w:rFonts w:ascii="宋体" w:hAnsi="宋体"/>
          <w:color w:val="auto"/>
          <w:szCs w:val="21"/>
        </w:rPr>
        <w:t xml:space="preserve">7.1.1 </w:t>
      </w:r>
      <w:r>
        <w:rPr>
          <w:rFonts w:hint="eastAsia" w:ascii="宋体" w:hAnsi="宋体"/>
          <w:color w:val="auto"/>
          <w:szCs w:val="21"/>
        </w:rPr>
        <w:t>出入现场的权利</w:t>
      </w:r>
    </w:p>
    <w:p w14:paraId="2E8B5F89">
      <w:pPr>
        <w:spacing w:line="360" w:lineRule="auto"/>
        <w:ind w:firstLine="420" w:firstLineChars="200"/>
        <w:rPr>
          <w:rFonts w:ascii="宋体" w:hAnsi="宋体"/>
          <w:color w:val="auto"/>
          <w:szCs w:val="21"/>
        </w:rPr>
      </w:pPr>
      <w:r>
        <w:rPr>
          <w:rFonts w:hint="eastAsia" w:ascii="宋体" w:hAnsi="宋体"/>
          <w:color w:val="auto"/>
          <w:szCs w:val="21"/>
        </w:rPr>
        <w:t>关于出入现场的权利的约定：</w:t>
      </w:r>
      <w:r>
        <w:rPr>
          <w:rFonts w:ascii="宋体" w:hAnsi="宋体"/>
          <w:color w:val="auto"/>
          <w:szCs w:val="21"/>
          <w:u w:val="single"/>
        </w:rPr>
        <w:t xml:space="preserve"> </w:t>
      </w:r>
      <w:r>
        <w:rPr>
          <w:rFonts w:hint="eastAsia" w:ascii="宋体" w:hAnsi="宋体"/>
          <w:color w:val="auto"/>
          <w:szCs w:val="21"/>
          <w:u w:val="single"/>
        </w:rPr>
        <w:t>施工场地与城市公共道路之间道路已开通，按相关法律法规通行</w:t>
      </w:r>
      <w:r>
        <w:rPr>
          <w:rFonts w:ascii="宋体" w:hAnsi="宋体"/>
          <w:color w:val="auto"/>
          <w:szCs w:val="21"/>
          <w:u w:val="single"/>
        </w:rPr>
        <w:t xml:space="preserve"> </w:t>
      </w:r>
      <w:r>
        <w:rPr>
          <w:rFonts w:ascii="宋体" w:hAnsi="宋体"/>
          <w:color w:val="auto"/>
          <w:szCs w:val="21"/>
        </w:rPr>
        <w:t>。</w:t>
      </w:r>
    </w:p>
    <w:p w14:paraId="791B4379">
      <w:pPr>
        <w:spacing w:line="360" w:lineRule="auto"/>
        <w:ind w:firstLine="420" w:firstLineChars="200"/>
        <w:rPr>
          <w:rFonts w:ascii="宋体" w:hAnsi="宋体"/>
          <w:color w:val="auto"/>
          <w:szCs w:val="21"/>
        </w:rPr>
      </w:pPr>
      <w:r>
        <w:rPr>
          <w:rFonts w:ascii="宋体" w:hAnsi="宋体"/>
          <w:color w:val="auto"/>
          <w:szCs w:val="21"/>
        </w:rPr>
        <w:t xml:space="preserve">7.1.2 </w:t>
      </w:r>
      <w:r>
        <w:rPr>
          <w:rFonts w:hint="eastAsia" w:ascii="宋体" w:hAnsi="宋体"/>
          <w:color w:val="auto"/>
          <w:szCs w:val="21"/>
        </w:rPr>
        <w:t>场外交通</w:t>
      </w:r>
    </w:p>
    <w:p w14:paraId="5D638BC5">
      <w:pPr>
        <w:spacing w:line="360" w:lineRule="auto"/>
        <w:ind w:firstLine="420" w:firstLineChars="200"/>
        <w:rPr>
          <w:rFonts w:ascii="宋体" w:hAnsi="宋体"/>
          <w:color w:val="auto"/>
          <w:szCs w:val="21"/>
        </w:rPr>
      </w:pPr>
      <w:r>
        <w:rPr>
          <w:rFonts w:hint="eastAsia" w:ascii="宋体" w:hAnsi="宋体"/>
          <w:color w:val="auto"/>
          <w:szCs w:val="21"/>
        </w:rPr>
        <w:t>关于场外交通的特别约定：</w:t>
      </w:r>
      <w:r>
        <w:rPr>
          <w:rFonts w:hint="eastAsia" w:ascii="宋体" w:hAnsi="宋体"/>
          <w:color w:val="auto"/>
          <w:szCs w:val="21"/>
          <w:u w:val="single"/>
          <w:lang w:val="en-US" w:eastAsia="zh-CN"/>
        </w:rPr>
        <w:t xml:space="preserve"> </w:t>
      </w:r>
      <w:r>
        <w:rPr>
          <w:rFonts w:hint="eastAsia" w:ascii="宋体" w:hAnsi="宋体"/>
          <w:color w:val="auto"/>
          <w:szCs w:val="21"/>
          <w:u w:val="single"/>
        </w:rPr>
        <w:t>红线范围内施工场地道路由承包人负责施工、保养维护和管理，红线外场地、道路因承包人原因造成损坏的，承包人负责修复并承担相应费用</w:t>
      </w:r>
      <w:r>
        <w:rPr>
          <w:rFonts w:ascii="宋体" w:hAnsi="宋体"/>
          <w:color w:val="auto"/>
          <w:szCs w:val="21"/>
          <w:u w:val="single"/>
        </w:rPr>
        <w:t xml:space="preserve"> </w:t>
      </w:r>
      <w:r>
        <w:rPr>
          <w:rFonts w:hint="eastAsia" w:ascii="宋体" w:hAnsi="宋体"/>
          <w:color w:val="auto"/>
          <w:szCs w:val="21"/>
        </w:rPr>
        <w:t>。</w:t>
      </w:r>
    </w:p>
    <w:p w14:paraId="745612C1">
      <w:pPr>
        <w:spacing w:line="360" w:lineRule="auto"/>
        <w:ind w:firstLine="420" w:firstLineChars="200"/>
        <w:rPr>
          <w:rFonts w:ascii="宋体" w:hAnsi="宋体"/>
          <w:color w:val="auto"/>
          <w:szCs w:val="21"/>
        </w:rPr>
      </w:pPr>
      <w:r>
        <w:rPr>
          <w:rFonts w:ascii="宋体" w:hAnsi="宋体"/>
          <w:color w:val="auto"/>
          <w:szCs w:val="21"/>
        </w:rPr>
        <w:t xml:space="preserve">7.1.3 </w:t>
      </w:r>
      <w:r>
        <w:rPr>
          <w:rFonts w:hint="eastAsia" w:ascii="宋体" w:hAnsi="宋体"/>
          <w:color w:val="auto"/>
          <w:szCs w:val="21"/>
        </w:rPr>
        <w:t>场内交通</w:t>
      </w:r>
    </w:p>
    <w:p w14:paraId="5F151068">
      <w:pPr>
        <w:spacing w:line="360" w:lineRule="auto"/>
        <w:ind w:firstLine="420" w:firstLineChars="200"/>
        <w:rPr>
          <w:rFonts w:ascii="宋体" w:hAnsi="宋体"/>
          <w:color w:val="auto"/>
          <w:szCs w:val="21"/>
        </w:rPr>
      </w:pPr>
      <w:r>
        <w:rPr>
          <w:rFonts w:hint="eastAsia" w:ascii="宋体" w:hAnsi="宋体"/>
          <w:color w:val="auto"/>
          <w:szCs w:val="21"/>
        </w:rPr>
        <w:t>关于场内交通的特别约定：</w:t>
      </w:r>
      <w:r>
        <w:rPr>
          <w:rFonts w:ascii="宋体" w:hAnsi="宋体"/>
          <w:color w:val="auto"/>
          <w:szCs w:val="21"/>
          <w:u w:val="single"/>
        </w:rPr>
        <w:t xml:space="preserve"> </w:t>
      </w:r>
      <w:r>
        <w:rPr>
          <w:rFonts w:hint="eastAsia" w:ascii="宋体" w:hAnsi="宋体"/>
          <w:color w:val="auto"/>
          <w:szCs w:val="21"/>
          <w:u w:val="single"/>
        </w:rPr>
        <w:t>场内交通道路上不准堆放任何物件，随时保持场内道路畅通</w:t>
      </w:r>
      <w:r>
        <w:rPr>
          <w:rFonts w:ascii="宋体" w:hAnsi="宋体"/>
          <w:color w:val="auto"/>
          <w:szCs w:val="21"/>
          <w:u w:val="single"/>
        </w:rPr>
        <w:t xml:space="preserve"> </w:t>
      </w:r>
      <w:r>
        <w:rPr>
          <w:rFonts w:hint="eastAsia" w:ascii="宋体" w:hAnsi="宋体"/>
          <w:color w:val="auto"/>
          <w:szCs w:val="21"/>
        </w:rPr>
        <w:t>。</w:t>
      </w:r>
    </w:p>
    <w:p w14:paraId="20890FC7">
      <w:pPr>
        <w:spacing w:line="360" w:lineRule="auto"/>
        <w:ind w:firstLine="420" w:firstLineChars="200"/>
        <w:rPr>
          <w:rFonts w:ascii="宋体" w:hAnsi="宋体"/>
          <w:color w:val="auto"/>
          <w:szCs w:val="21"/>
        </w:rPr>
      </w:pPr>
      <w:r>
        <w:rPr>
          <w:rFonts w:hint="eastAsia" w:ascii="宋体" w:hAnsi="宋体"/>
          <w:color w:val="auto"/>
          <w:szCs w:val="21"/>
        </w:rPr>
        <w:t>关于场内交通与场外交通边界的约定：</w:t>
      </w:r>
      <w:r>
        <w:rPr>
          <w:rFonts w:ascii="宋体" w:hAnsi="宋体"/>
          <w:color w:val="auto"/>
          <w:szCs w:val="21"/>
          <w:u w:val="single"/>
        </w:rPr>
        <w:t xml:space="preserve"> </w:t>
      </w:r>
      <w:r>
        <w:rPr>
          <w:rFonts w:hint="eastAsia" w:ascii="宋体" w:hAnsi="宋体"/>
          <w:color w:val="auto"/>
          <w:szCs w:val="21"/>
          <w:u w:val="single"/>
        </w:rPr>
        <w:t>项目施工场地红线范围</w:t>
      </w:r>
      <w:r>
        <w:rPr>
          <w:rFonts w:ascii="宋体" w:hAnsi="宋体"/>
          <w:color w:val="auto"/>
          <w:szCs w:val="21"/>
          <w:u w:val="single"/>
        </w:rPr>
        <w:t xml:space="preserve"> </w:t>
      </w:r>
      <w:r>
        <w:rPr>
          <w:rFonts w:ascii="宋体" w:hAnsi="宋体"/>
          <w:color w:val="auto"/>
          <w:szCs w:val="21"/>
        </w:rPr>
        <w:t>。</w:t>
      </w:r>
    </w:p>
    <w:p w14:paraId="55BE99FB">
      <w:pPr>
        <w:spacing w:line="360" w:lineRule="auto"/>
        <w:ind w:firstLine="420" w:firstLineChars="200"/>
        <w:rPr>
          <w:rFonts w:ascii="宋体" w:hAnsi="宋体"/>
          <w:color w:val="auto"/>
          <w:szCs w:val="21"/>
        </w:rPr>
      </w:pPr>
      <w:r>
        <w:rPr>
          <w:rFonts w:ascii="宋体" w:hAnsi="宋体"/>
          <w:color w:val="auto"/>
          <w:szCs w:val="21"/>
        </w:rPr>
        <w:t xml:space="preserve">7.1.4 </w:t>
      </w:r>
      <w:r>
        <w:rPr>
          <w:rFonts w:hint="eastAsia" w:ascii="宋体" w:hAnsi="宋体"/>
          <w:color w:val="auto"/>
          <w:szCs w:val="21"/>
        </w:rPr>
        <w:t>超大件和超重件的运输</w:t>
      </w:r>
    </w:p>
    <w:p w14:paraId="092D568C">
      <w:pPr>
        <w:spacing w:line="360" w:lineRule="auto"/>
        <w:ind w:firstLine="420" w:firstLineChars="200"/>
        <w:rPr>
          <w:rFonts w:ascii="宋体" w:hAnsi="宋体"/>
          <w:color w:val="auto"/>
          <w:szCs w:val="21"/>
        </w:rPr>
      </w:pPr>
      <w:r>
        <w:rPr>
          <w:rFonts w:hint="eastAsia" w:ascii="宋体" w:hAnsi="宋体"/>
          <w:color w:val="auto"/>
          <w:szCs w:val="21"/>
        </w:rPr>
        <w:t>运输超大件或超重件所需的道路和桥梁临时加固改造费用和其他有关费用由</w:t>
      </w:r>
      <w:r>
        <w:rPr>
          <w:rFonts w:ascii="宋体" w:hAnsi="宋体"/>
          <w:color w:val="auto"/>
          <w:szCs w:val="21"/>
          <w:u w:val="single"/>
        </w:rPr>
        <w:t xml:space="preserve"> </w:t>
      </w:r>
      <w:r>
        <w:rPr>
          <w:rFonts w:hint="eastAsia" w:ascii="宋体" w:hAnsi="宋体"/>
          <w:color w:val="auto"/>
          <w:szCs w:val="21"/>
          <w:u w:val="single"/>
          <w:lang w:val="en-US" w:eastAsia="zh-CN"/>
        </w:rPr>
        <w:t>承包人</w:t>
      </w:r>
      <w:r>
        <w:rPr>
          <w:rFonts w:ascii="宋体" w:hAnsi="宋体"/>
          <w:color w:val="auto"/>
          <w:szCs w:val="21"/>
          <w:u w:val="single"/>
        </w:rPr>
        <w:t xml:space="preserve"> </w:t>
      </w:r>
      <w:r>
        <w:rPr>
          <w:rFonts w:ascii="宋体" w:hAnsi="宋体"/>
          <w:color w:val="auto"/>
          <w:szCs w:val="21"/>
        </w:rPr>
        <w:t>承担。</w:t>
      </w:r>
    </w:p>
    <w:p w14:paraId="07596513">
      <w:pPr>
        <w:pStyle w:val="4"/>
        <w:spacing w:before="120" w:line="360" w:lineRule="auto"/>
        <w:rPr>
          <w:color w:val="auto"/>
        </w:rPr>
      </w:pPr>
      <w:bookmarkStart w:id="1937" w:name="_Toc154063693"/>
      <w:r>
        <w:rPr>
          <w:color w:val="auto"/>
        </w:rPr>
        <w:t xml:space="preserve">7.2 </w:t>
      </w:r>
      <w:r>
        <w:rPr>
          <w:rFonts w:hint="eastAsia"/>
          <w:color w:val="auto"/>
        </w:rPr>
        <w:t>施工设备和临时设施</w:t>
      </w:r>
      <w:bookmarkEnd w:id="1937"/>
    </w:p>
    <w:p w14:paraId="7CA5C333">
      <w:pPr>
        <w:spacing w:line="360" w:lineRule="auto"/>
        <w:ind w:firstLine="420" w:firstLineChars="200"/>
        <w:rPr>
          <w:rFonts w:ascii="宋体" w:hAnsi="宋体"/>
          <w:color w:val="auto"/>
          <w:szCs w:val="21"/>
        </w:rPr>
      </w:pPr>
      <w:r>
        <w:rPr>
          <w:rFonts w:ascii="宋体" w:hAnsi="宋体"/>
          <w:color w:val="auto"/>
          <w:szCs w:val="21"/>
        </w:rPr>
        <w:t xml:space="preserve">7.2.1 </w:t>
      </w:r>
      <w:r>
        <w:rPr>
          <w:rFonts w:hint="eastAsia" w:ascii="宋体" w:hAnsi="宋体"/>
          <w:color w:val="auto"/>
          <w:szCs w:val="21"/>
        </w:rPr>
        <w:t>承包人提供的施工设备和临时设施</w:t>
      </w:r>
    </w:p>
    <w:p w14:paraId="39793707">
      <w:pPr>
        <w:spacing w:line="360" w:lineRule="auto"/>
        <w:ind w:firstLine="420" w:firstLineChars="200"/>
        <w:rPr>
          <w:rFonts w:ascii="宋体" w:hAnsi="宋体"/>
          <w:color w:val="auto"/>
          <w:szCs w:val="21"/>
        </w:rPr>
      </w:pPr>
      <w:r>
        <w:rPr>
          <w:rFonts w:hint="eastAsia" w:ascii="宋体" w:hAnsi="宋体"/>
          <w:color w:val="auto"/>
          <w:szCs w:val="21"/>
        </w:rPr>
        <w:t>临时设施的费用和临时占地手续和费用承担的特别约定：</w:t>
      </w:r>
      <w:r>
        <w:rPr>
          <w:rFonts w:ascii="宋体" w:hAnsi="宋体"/>
          <w:color w:val="auto"/>
          <w:szCs w:val="21"/>
          <w:u w:val="single"/>
        </w:rPr>
        <w:t xml:space="preserve"> </w:t>
      </w:r>
      <w:r>
        <w:rPr>
          <w:rFonts w:hint="eastAsia" w:ascii="宋体" w:hAnsi="宋体"/>
          <w:color w:val="auto"/>
          <w:szCs w:val="21"/>
          <w:u w:val="single"/>
        </w:rPr>
        <w:t>承包人应自行承担修建临时设施的费用（包括但不限于：人脸识别门禁、临时活动房、临时围挡等）</w:t>
      </w:r>
      <w:r>
        <w:rPr>
          <w:rFonts w:ascii="宋体" w:hAnsi="宋体"/>
          <w:color w:val="auto"/>
          <w:szCs w:val="21"/>
          <w:u w:val="single"/>
        </w:rPr>
        <w:t xml:space="preserve"> </w:t>
      </w:r>
      <w:r>
        <w:rPr>
          <w:rFonts w:hint="eastAsia" w:ascii="宋体" w:hAnsi="宋体"/>
          <w:color w:val="auto"/>
          <w:szCs w:val="21"/>
        </w:rPr>
        <w:t>。</w:t>
      </w:r>
    </w:p>
    <w:p w14:paraId="73E6BF3B">
      <w:pPr>
        <w:spacing w:line="360" w:lineRule="auto"/>
        <w:ind w:firstLine="420" w:firstLineChars="200"/>
        <w:rPr>
          <w:rFonts w:ascii="宋体" w:hAnsi="宋体"/>
          <w:color w:val="auto"/>
          <w:szCs w:val="21"/>
        </w:rPr>
      </w:pPr>
      <w:r>
        <w:rPr>
          <w:rFonts w:ascii="宋体" w:hAnsi="宋体"/>
          <w:color w:val="auto"/>
          <w:szCs w:val="21"/>
        </w:rPr>
        <w:t xml:space="preserve">7.2.2 </w:t>
      </w:r>
      <w:r>
        <w:rPr>
          <w:rFonts w:hint="eastAsia" w:ascii="宋体" w:hAnsi="宋体"/>
          <w:color w:val="auto"/>
          <w:szCs w:val="21"/>
        </w:rPr>
        <w:t>发包人提供的施工设备和临时设施</w:t>
      </w:r>
    </w:p>
    <w:p w14:paraId="72E8B07F">
      <w:pPr>
        <w:spacing w:line="360" w:lineRule="auto"/>
        <w:ind w:firstLine="420" w:firstLineChars="200"/>
        <w:rPr>
          <w:rFonts w:ascii="宋体" w:hAnsi="宋体"/>
          <w:color w:val="auto"/>
          <w:szCs w:val="21"/>
        </w:rPr>
      </w:pPr>
      <w:r>
        <w:rPr>
          <w:rFonts w:hint="eastAsia" w:ascii="宋体" w:hAnsi="宋体"/>
          <w:color w:val="auto"/>
          <w:szCs w:val="21"/>
        </w:rPr>
        <w:t>发包人提供的施工设备或临时设施范围：</w:t>
      </w:r>
      <w:r>
        <w:rPr>
          <w:rFonts w:ascii="宋体" w:hAnsi="宋体"/>
          <w:color w:val="auto"/>
          <w:szCs w:val="21"/>
          <w:u w:val="single"/>
        </w:rPr>
        <w:t xml:space="preserve">   </w:t>
      </w:r>
      <w:r>
        <w:rPr>
          <w:rFonts w:hint="eastAsia" w:ascii="宋体" w:hAnsi="宋体"/>
          <w:color w:val="auto"/>
          <w:szCs w:val="21"/>
          <w:u w:val="single"/>
        </w:rPr>
        <w:t>无</w:t>
      </w:r>
      <w:r>
        <w:rPr>
          <w:rFonts w:ascii="宋体" w:hAnsi="宋体"/>
          <w:color w:val="auto"/>
          <w:szCs w:val="21"/>
          <w:u w:val="single"/>
        </w:rPr>
        <w:t xml:space="preserve">   </w:t>
      </w:r>
      <w:r>
        <w:rPr>
          <w:rFonts w:hint="eastAsia" w:ascii="宋体" w:hAnsi="宋体"/>
          <w:color w:val="auto"/>
          <w:szCs w:val="21"/>
        </w:rPr>
        <w:t>。</w:t>
      </w:r>
    </w:p>
    <w:p w14:paraId="73AE8F5E">
      <w:pPr>
        <w:pStyle w:val="4"/>
        <w:spacing w:before="120" w:line="360" w:lineRule="auto"/>
        <w:rPr>
          <w:color w:val="auto"/>
        </w:rPr>
      </w:pPr>
      <w:bookmarkStart w:id="1938" w:name="_Toc154063694"/>
      <w:r>
        <w:rPr>
          <w:color w:val="auto"/>
        </w:rPr>
        <w:t xml:space="preserve">7.3 </w:t>
      </w:r>
      <w:r>
        <w:rPr>
          <w:rFonts w:hint="eastAsia"/>
          <w:color w:val="auto"/>
        </w:rPr>
        <w:t>现场合作</w:t>
      </w:r>
      <w:bookmarkEnd w:id="1938"/>
    </w:p>
    <w:p w14:paraId="32EF13E5">
      <w:pPr>
        <w:spacing w:line="360" w:lineRule="auto"/>
        <w:ind w:firstLine="420" w:firstLineChars="200"/>
        <w:rPr>
          <w:rFonts w:ascii="宋体" w:hAnsi="宋体"/>
          <w:color w:val="auto"/>
          <w:szCs w:val="21"/>
        </w:rPr>
      </w:pPr>
      <w:r>
        <w:rPr>
          <w:rFonts w:hint="eastAsia" w:ascii="宋体" w:hAnsi="宋体"/>
          <w:color w:val="auto"/>
          <w:szCs w:val="21"/>
        </w:rPr>
        <w:t>关于现场合作费用的特别约定：</w:t>
      </w:r>
      <w:r>
        <w:rPr>
          <w:rFonts w:ascii="宋体" w:hAnsi="宋体"/>
          <w:color w:val="auto"/>
          <w:szCs w:val="21"/>
          <w:u w:val="single"/>
        </w:rPr>
        <w:t xml:space="preserve"> </w:t>
      </w:r>
      <w:r>
        <w:rPr>
          <w:rFonts w:hint="eastAsia" w:ascii="宋体" w:hAnsi="宋体"/>
          <w:color w:val="auto"/>
          <w:szCs w:val="21"/>
          <w:u w:val="single"/>
        </w:rPr>
        <w:t>由承包人承担</w:t>
      </w:r>
      <w:r>
        <w:rPr>
          <w:rFonts w:ascii="宋体" w:hAnsi="宋体"/>
          <w:color w:val="auto"/>
          <w:szCs w:val="21"/>
          <w:u w:val="single"/>
        </w:rPr>
        <w:t xml:space="preserve"> </w:t>
      </w:r>
      <w:r>
        <w:rPr>
          <w:rFonts w:hint="eastAsia" w:ascii="宋体" w:hAnsi="宋体"/>
          <w:color w:val="auto"/>
          <w:szCs w:val="21"/>
        </w:rPr>
        <w:t>。</w:t>
      </w:r>
    </w:p>
    <w:p w14:paraId="75F1A43D">
      <w:pPr>
        <w:pStyle w:val="4"/>
        <w:spacing w:before="120" w:line="360" w:lineRule="auto"/>
        <w:rPr>
          <w:color w:val="auto"/>
        </w:rPr>
      </w:pPr>
      <w:bookmarkStart w:id="1939" w:name="_Toc154063695"/>
      <w:r>
        <w:rPr>
          <w:color w:val="auto"/>
        </w:rPr>
        <w:t xml:space="preserve">7.4 </w:t>
      </w:r>
      <w:r>
        <w:rPr>
          <w:rFonts w:hint="eastAsia"/>
          <w:color w:val="auto"/>
        </w:rPr>
        <w:t>测量放线</w:t>
      </w:r>
      <w:bookmarkEnd w:id="1939"/>
    </w:p>
    <w:p w14:paraId="4262572E">
      <w:pPr>
        <w:spacing w:line="360" w:lineRule="auto"/>
        <w:ind w:firstLine="420" w:firstLineChars="200"/>
        <w:rPr>
          <w:rFonts w:ascii="宋体" w:hAnsi="宋体"/>
          <w:color w:val="auto"/>
          <w:szCs w:val="21"/>
        </w:rPr>
      </w:pPr>
      <w:bookmarkStart w:id="1940" w:name="_Toc154063696"/>
      <w:r>
        <w:rPr>
          <w:rFonts w:hint="eastAsia" w:ascii="宋体" w:hAnsi="宋体"/>
          <w:color w:val="auto"/>
          <w:szCs w:val="21"/>
        </w:rPr>
        <w:t>7</w:t>
      </w:r>
      <w:r>
        <w:rPr>
          <w:rFonts w:ascii="宋体" w:hAnsi="宋体"/>
          <w:color w:val="auto"/>
          <w:szCs w:val="21"/>
        </w:rPr>
        <w:t xml:space="preserve">.4.1 </w:t>
      </w:r>
      <w:r>
        <w:rPr>
          <w:rFonts w:hint="eastAsia" w:ascii="宋体" w:hAnsi="宋体"/>
          <w:color w:val="auto"/>
          <w:szCs w:val="21"/>
        </w:rPr>
        <w:t>关于测量放线的特别约定的技术规范：</w:t>
      </w:r>
      <w:r>
        <w:rPr>
          <w:rFonts w:ascii="宋体" w:hAnsi="宋体"/>
          <w:color w:val="auto"/>
          <w:szCs w:val="21"/>
          <w:u w:val="single"/>
        </w:rPr>
        <w:t xml:space="preserve"> </w:t>
      </w:r>
      <w:r>
        <w:rPr>
          <w:rFonts w:hint="eastAsia" w:ascii="宋体" w:hAnsi="宋体"/>
          <w:color w:val="auto"/>
          <w:szCs w:val="21"/>
          <w:u w:val="single"/>
        </w:rPr>
        <w:t>按合同通用条款执行</w:t>
      </w:r>
      <w:r>
        <w:rPr>
          <w:rFonts w:ascii="宋体" w:hAnsi="宋体"/>
          <w:color w:val="auto"/>
          <w:szCs w:val="21"/>
          <w:u w:val="single"/>
        </w:rPr>
        <w:t xml:space="preserve"> </w:t>
      </w:r>
      <w:r>
        <w:rPr>
          <w:rFonts w:hint="eastAsia" w:ascii="宋体" w:hAnsi="宋体"/>
          <w:color w:val="auto"/>
          <w:szCs w:val="21"/>
        </w:rPr>
        <w:t>。施工控制网资料的告知期限：</w:t>
      </w:r>
      <w:r>
        <w:rPr>
          <w:rFonts w:ascii="宋体" w:hAnsi="宋体"/>
          <w:color w:val="auto"/>
          <w:szCs w:val="21"/>
          <w:u w:val="single"/>
        </w:rPr>
        <w:t xml:space="preserve"> </w:t>
      </w:r>
      <w:r>
        <w:rPr>
          <w:rFonts w:hint="eastAsia" w:ascii="宋体" w:hAnsi="宋体"/>
          <w:color w:val="auto"/>
          <w:szCs w:val="21"/>
          <w:u w:val="single"/>
          <w:lang w:val="en-US" w:eastAsia="zh-CN"/>
        </w:rPr>
        <w:t>开工前</w:t>
      </w:r>
      <w:r>
        <w:rPr>
          <w:rFonts w:ascii="宋体" w:hAnsi="宋体"/>
          <w:color w:val="auto"/>
          <w:szCs w:val="21"/>
          <w:u w:val="single"/>
        </w:rPr>
        <w:t xml:space="preserve"> </w:t>
      </w:r>
      <w:r>
        <w:rPr>
          <w:rFonts w:hint="eastAsia" w:ascii="宋体" w:hAnsi="宋体"/>
          <w:color w:val="auto"/>
          <w:szCs w:val="21"/>
        </w:rPr>
        <w:t>。</w:t>
      </w:r>
    </w:p>
    <w:p w14:paraId="73999812">
      <w:pPr>
        <w:pStyle w:val="4"/>
        <w:spacing w:before="120" w:line="360" w:lineRule="auto"/>
        <w:rPr>
          <w:color w:val="auto"/>
        </w:rPr>
      </w:pPr>
      <w:r>
        <w:rPr>
          <w:color w:val="auto"/>
        </w:rPr>
        <w:t xml:space="preserve">7.5 </w:t>
      </w:r>
      <w:r>
        <w:rPr>
          <w:rFonts w:hint="eastAsia"/>
          <w:color w:val="auto"/>
        </w:rPr>
        <w:t>现场劳动用工</w:t>
      </w:r>
      <w:bookmarkEnd w:id="1940"/>
    </w:p>
    <w:p w14:paraId="522A332C">
      <w:pPr>
        <w:spacing w:line="360" w:lineRule="auto"/>
        <w:ind w:firstLine="420" w:firstLineChars="200"/>
        <w:rPr>
          <w:rFonts w:ascii="宋体" w:hAnsi="宋体"/>
          <w:color w:val="auto"/>
          <w:szCs w:val="21"/>
        </w:rPr>
      </w:pPr>
      <w:bookmarkStart w:id="1941" w:name="_Toc154063697"/>
      <w:r>
        <w:rPr>
          <w:rFonts w:hint="eastAsia" w:ascii="宋体" w:hAnsi="宋体"/>
          <w:color w:val="auto"/>
          <w:szCs w:val="21"/>
        </w:rPr>
        <w:t>7</w:t>
      </w:r>
      <w:r>
        <w:rPr>
          <w:rFonts w:ascii="宋体" w:hAnsi="宋体"/>
          <w:color w:val="auto"/>
          <w:szCs w:val="21"/>
        </w:rPr>
        <w:t xml:space="preserve">.5.2 </w:t>
      </w:r>
      <w:r>
        <w:rPr>
          <w:rFonts w:hint="eastAsia" w:ascii="宋体" w:hAnsi="宋体"/>
          <w:color w:val="auto"/>
          <w:szCs w:val="21"/>
        </w:rPr>
        <w:t>合同当事人对建筑工人工资清偿事宜和违约责任的约定：</w:t>
      </w:r>
      <w:r>
        <w:rPr>
          <w:rFonts w:ascii="宋体" w:hAnsi="宋体"/>
          <w:color w:val="auto"/>
          <w:szCs w:val="21"/>
          <w:u w:val="single"/>
        </w:rPr>
        <w:t xml:space="preserve"> </w:t>
      </w:r>
      <w:r>
        <w:rPr>
          <w:rFonts w:hint="eastAsia" w:ascii="宋体" w:hAnsi="宋体"/>
          <w:color w:val="auto"/>
          <w:szCs w:val="21"/>
          <w:u w:val="single"/>
        </w:rPr>
        <w:t>承包人承诺不拖欠农民工工资，并按黄冈市相关规定执行</w:t>
      </w:r>
      <w:r>
        <w:rPr>
          <w:rFonts w:ascii="宋体" w:hAnsi="宋体"/>
          <w:color w:val="auto"/>
          <w:szCs w:val="21"/>
          <w:u w:val="single"/>
        </w:rPr>
        <w:t xml:space="preserve"> </w:t>
      </w:r>
      <w:r>
        <w:rPr>
          <w:rFonts w:hint="eastAsia" w:ascii="宋体" w:hAnsi="宋体"/>
          <w:color w:val="auto"/>
          <w:szCs w:val="21"/>
        </w:rPr>
        <w:t>。</w:t>
      </w:r>
    </w:p>
    <w:p w14:paraId="23A81839">
      <w:pPr>
        <w:pStyle w:val="4"/>
        <w:spacing w:before="120" w:line="360" w:lineRule="auto"/>
        <w:rPr>
          <w:color w:val="auto"/>
        </w:rPr>
      </w:pPr>
      <w:r>
        <w:rPr>
          <w:color w:val="auto"/>
        </w:rPr>
        <w:t xml:space="preserve">7.6 </w:t>
      </w:r>
      <w:r>
        <w:rPr>
          <w:rFonts w:hint="eastAsia"/>
          <w:color w:val="auto"/>
        </w:rPr>
        <w:t>安全文明施工</w:t>
      </w:r>
      <w:bookmarkEnd w:id="1941"/>
    </w:p>
    <w:p w14:paraId="5E7DE57E">
      <w:pPr>
        <w:spacing w:line="360" w:lineRule="auto"/>
        <w:ind w:firstLine="420" w:firstLineChars="200"/>
        <w:rPr>
          <w:rFonts w:ascii="宋体" w:hAnsi="宋体"/>
          <w:color w:val="auto"/>
          <w:szCs w:val="21"/>
        </w:rPr>
      </w:pPr>
      <w:bookmarkStart w:id="1942" w:name="_Toc154063698"/>
      <w:r>
        <w:rPr>
          <w:rFonts w:ascii="宋体" w:hAnsi="宋体"/>
          <w:color w:val="auto"/>
          <w:szCs w:val="21"/>
        </w:rPr>
        <w:t xml:space="preserve">7.6.1 </w:t>
      </w:r>
      <w:r>
        <w:rPr>
          <w:rFonts w:hint="eastAsia" w:ascii="宋体" w:hAnsi="宋体"/>
          <w:color w:val="auto"/>
          <w:szCs w:val="21"/>
        </w:rPr>
        <w:t>安全生产要求</w:t>
      </w:r>
    </w:p>
    <w:p w14:paraId="2F8847A0">
      <w:pPr>
        <w:spacing w:line="360" w:lineRule="auto"/>
        <w:ind w:firstLine="420" w:firstLineChars="200"/>
        <w:rPr>
          <w:rFonts w:ascii="宋体" w:hAnsi="宋体"/>
          <w:color w:val="auto"/>
          <w:szCs w:val="21"/>
        </w:rPr>
      </w:pPr>
      <w:r>
        <w:rPr>
          <w:rFonts w:hint="eastAsia" w:ascii="宋体" w:hAnsi="宋体"/>
          <w:color w:val="auto"/>
          <w:szCs w:val="21"/>
        </w:rPr>
        <w:t>合同当事人对安全施工的要求：</w:t>
      </w:r>
      <w:r>
        <w:rPr>
          <w:rFonts w:ascii="宋体" w:hAnsi="宋体"/>
          <w:color w:val="auto"/>
          <w:szCs w:val="21"/>
          <w:u w:val="single"/>
        </w:rPr>
        <w:t xml:space="preserve"> </w:t>
      </w:r>
      <w:r>
        <w:rPr>
          <w:rFonts w:hint="eastAsia" w:ascii="宋体" w:hAnsi="宋体"/>
          <w:color w:val="auto"/>
          <w:szCs w:val="21"/>
          <w:u w:val="single"/>
        </w:rPr>
        <w:t>承包人应遵守工程建设安全生产有关管理规定，严格按现行安全标准组织施工，并随时接受行业安全检查人员依法实施的监督检查，采取必要的安全防护措施，消除事故隐患</w:t>
      </w:r>
      <w:r>
        <w:rPr>
          <w:rFonts w:ascii="宋体" w:hAnsi="宋体"/>
          <w:color w:val="auto"/>
          <w:szCs w:val="21"/>
          <w:u w:val="single"/>
        </w:rPr>
        <w:t xml:space="preserve"> </w:t>
      </w:r>
      <w:r>
        <w:rPr>
          <w:rFonts w:hint="eastAsia" w:ascii="宋体" w:hAnsi="宋体"/>
          <w:color w:val="auto"/>
          <w:szCs w:val="21"/>
        </w:rPr>
        <w:t>。</w:t>
      </w:r>
    </w:p>
    <w:p w14:paraId="7EE34852">
      <w:pPr>
        <w:spacing w:line="360" w:lineRule="auto"/>
        <w:ind w:firstLine="420" w:firstLineChars="200"/>
        <w:rPr>
          <w:rFonts w:ascii="宋体" w:hAnsi="宋体"/>
          <w:color w:val="auto"/>
          <w:szCs w:val="21"/>
        </w:rPr>
      </w:pPr>
      <w:r>
        <w:rPr>
          <w:rFonts w:ascii="宋体" w:hAnsi="宋体"/>
          <w:color w:val="auto"/>
          <w:szCs w:val="21"/>
        </w:rPr>
        <w:t xml:space="preserve">7.6.3 </w:t>
      </w:r>
      <w:r>
        <w:rPr>
          <w:rFonts w:hint="eastAsia" w:ascii="宋体" w:hAnsi="宋体"/>
          <w:color w:val="auto"/>
          <w:szCs w:val="21"/>
        </w:rPr>
        <w:t>文明施工</w:t>
      </w:r>
    </w:p>
    <w:p w14:paraId="3D4493BC">
      <w:pPr>
        <w:spacing w:line="360" w:lineRule="auto"/>
        <w:ind w:firstLine="420" w:firstLineChars="200"/>
        <w:rPr>
          <w:rFonts w:ascii="宋体" w:hAnsi="宋体"/>
          <w:color w:val="auto"/>
          <w:szCs w:val="21"/>
        </w:rPr>
      </w:pPr>
      <w:r>
        <w:rPr>
          <w:rFonts w:hint="eastAsia" w:ascii="宋体" w:hAnsi="宋体"/>
          <w:color w:val="auto"/>
          <w:szCs w:val="21"/>
        </w:rPr>
        <w:t>合同当事人对文明施工的要求：</w:t>
      </w:r>
      <w:r>
        <w:rPr>
          <w:rFonts w:ascii="宋体" w:hAnsi="宋体"/>
          <w:color w:val="auto"/>
          <w:szCs w:val="21"/>
          <w:u w:val="single"/>
        </w:rPr>
        <w:t xml:space="preserve"> </w:t>
      </w:r>
      <w:r>
        <w:rPr>
          <w:rFonts w:hint="eastAsia" w:ascii="宋体" w:hAnsi="宋体"/>
          <w:color w:val="auto"/>
          <w:szCs w:val="21"/>
          <w:u w:val="single"/>
        </w:rPr>
        <w:t>（1）承包人应严格遵守文明施工的原则，加强自身管理，项目经理办公室设置岗位牌，所有施工技术人员、管理人员挂牌上岗。（2）承包人在工程施工期间，应当采取措施保持施工现场平整，物料堆放整齐。工程所在地有关政府行政管理部门有特殊要求的，按照其要求执行。（3）在工程移交之前，承包人应当从施工现场清除承包人的全部工程设备、多余材料、垃圾和各种临时工程，并保持施工现场清洁整齐</w:t>
      </w:r>
      <w:r>
        <w:rPr>
          <w:rFonts w:ascii="宋体" w:hAnsi="宋体"/>
          <w:color w:val="auto"/>
          <w:szCs w:val="21"/>
          <w:u w:val="single"/>
        </w:rPr>
        <w:t xml:space="preserve"> </w:t>
      </w:r>
      <w:r>
        <w:rPr>
          <w:rFonts w:hint="eastAsia" w:ascii="宋体" w:hAnsi="宋体"/>
          <w:color w:val="auto"/>
          <w:szCs w:val="21"/>
        </w:rPr>
        <w:t>。</w:t>
      </w:r>
    </w:p>
    <w:p w14:paraId="68FAB933">
      <w:pPr>
        <w:pStyle w:val="4"/>
        <w:spacing w:before="120" w:line="360" w:lineRule="auto"/>
        <w:rPr>
          <w:color w:val="auto"/>
        </w:rPr>
      </w:pPr>
      <w:r>
        <w:rPr>
          <w:color w:val="auto"/>
        </w:rPr>
        <w:t xml:space="preserve">7.9 </w:t>
      </w:r>
      <w:r>
        <w:rPr>
          <w:rFonts w:hint="eastAsia"/>
          <w:color w:val="auto"/>
        </w:rPr>
        <w:t>临时性公用设施</w:t>
      </w:r>
      <w:bookmarkEnd w:id="1942"/>
    </w:p>
    <w:p w14:paraId="7C3A34B2">
      <w:pPr>
        <w:spacing w:line="360" w:lineRule="auto"/>
        <w:ind w:firstLine="420" w:firstLineChars="200"/>
        <w:rPr>
          <w:rFonts w:ascii="宋体" w:hAnsi="宋体"/>
          <w:color w:val="auto"/>
          <w:szCs w:val="21"/>
        </w:rPr>
      </w:pPr>
      <w:bookmarkStart w:id="1943" w:name="_Toc154063699"/>
      <w:r>
        <w:rPr>
          <w:rFonts w:hint="eastAsia" w:ascii="宋体" w:hAnsi="宋体"/>
          <w:color w:val="auto"/>
          <w:szCs w:val="21"/>
        </w:rPr>
        <w:t>关于临时性公用设施的特别约定：</w:t>
      </w:r>
      <w:r>
        <w:rPr>
          <w:rFonts w:ascii="宋体" w:hAnsi="宋体"/>
          <w:color w:val="auto"/>
          <w:szCs w:val="21"/>
          <w:u w:val="single"/>
        </w:rPr>
        <w:t xml:space="preserve"> </w:t>
      </w:r>
      <w:r>
        <w:rPr>
          <w:rFonts w:hint="eastAsia" w:ascii="宋体" w:hAnsi="宋体"/>
          <w:color w:val="auto"/>
          <w:szCs w:val="21"/>
          <w:u w:val="single"/>
        </w:rPr>
        <w:t>按合同通用条款执行</w:t>
      </w:r>
      <w:r>
        <w:rPr>
          <w:rFonts w:ascii="宋体" w:hAnsi="宋体"/>
          <w:color w:val="auto"/>
          <w:szCs w:val="21"/>
          <w:u w:val="single"/>
        </w:rPr>
        <w:t xml:space="preserve"> </w:t>
      </w:r>
      <w:r>
        <w:rPr>
          <w:rFonts w:hint="eastAsia" w:ascii="宋体" w:hAnsi="宋体"/>
          <w:color w:val="auto"/>
          <w:szCs w:val="21"/>
        </w:rPr>
        <w:t>。</w:t>
      </w:r>
    </w:p>
    <w:p w14:paraId="609B8603">
      <w:pPr>
        <w:pStyle w:val="4"/>
        <w:spacing w:before="120" w:line="360" w:lineRule="auto"/>
        <w:rPr>
          <w:color w:val="auto"/>
        </w:rPr>
      </w:pPr>
      <w:r>
        <w:rPr>
          <w:color w:val="auto"/>
        </w:rPr>
        <w:t xml:space="preserve">7.10 </w:t>
      </w:r>
      <w:r>
        <w:rPr>
          <w:rFonts w:hint="eastAsia"/>
          <w:color w:val="auto"/>
        </w:rPr>
        <w:t>现场安保</w:t>
      </w:r>
      <w:bookmarkEnd w:id="1943"/>
    </w:p>
    <w:p w14:paraId="73DA5EC2">
      <w:pPr>
        <w:spacing w:line="360" w:lineRule="auto"/>
        <w:ind w:firstLine="420" w:firstLineChars="200"/>
        <w:rPr>
          <w:rFonts w:ascii="宋体" w:hAnsi="宋体"/>
          <w:color w:val="auto"/>
          <w:szCs w:val="21"/>
        </w:rPr>
      </w:pPr>
      <w:bookmarkStart w:id="1944" w:name="_Toc54862339"/>
      <w:bookmarkStart w:id="1945" w:name="_Toc154063700"/>
      <w:r>
        <w:rPr>
          <w:rFonts w:hint="eastAsia" w:ascii="宋体" w:hAnsi="宋体"/>
          <w:color w:val="auto"/>
          <w:szCs w:val="21"/>
        </w:rPr>
        <w:t>承包人现场安保义务的特别约定：</w:t>
      </w:r>
      <w:r>
        <w:rPr>
          <w:rFonts w:ascii="宋体" w:hAnsi="宋体"/>
          <w:color w:val="auto"/>
          <w:szCs w:val="21"/>
          <w:u w:val="single"/>
        </w:rPr>
        <w:t xml:space="preserve"> </w:t>
      </w:r>
      <w:r>
        <w:rPr>
          <w:rFonts w:hint="eastAsia" w:ascii="宋体" w:hAnsi="宋体"/>
          <w:color w:val="auto"/>
          <w:szCs w:val="21"/>
          <w:u w:val="single"/>
        </w:rPr>
        <w:t>（1）承包人负责施工区域（含生活区）的全部保安责任，承包人应服从地方行政主管部门及发包人管理。承包人必须贯彻执行省、市相关文件精神，强化建设项目内部治安保卫工作，明确职责，落实责任制，减少和预防事故发生，保障工程项目正常工作运行。（2）承包人应协助现场治安管理机构或联防组织维护施工场地的社会治安。（3）承包人应在工程开工后7天内编制施工场地治安管理计划，并制定应对突发治安事件的紧急预案，同时按国家相关规定报审。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rFonts w:ascii="宋体" w:hAnsi="宋体"/>
          <w:color w:val="auto"/>
          <w:szCs w:val="21"/>
          <w:u w:val="single"/>
        </w:rPr>
        <w:t xml:space="preserve"> </w:t>
      </w:r>
      <w:r>
        <w:rPr>
          <w:rFonts w:ascii="宋体" w:hAnsi="宋体"/>
          <w:color w:val="auto"/>
          <w:szCs w:val="21"/>
        </w:rPr>
        <w:t>。</w:t>
      </w:r>
    </w:p>
    <w:p w14:paraId="4AD2D253">
      <w:pPr>
        <w:pStyle w:val="3"/>
        <w:spacing w:before="48" w:line="360" w:lineRule="auto"/>
        <w:rPr>
          <w:rFonts w:ascii="黑体" w:hAnsi="黑体"/>
          <w:bCs w:val="0"/>
          <w:color w:val="auto"/>
          <w:sz w:val="28"/>
        </w:rPr>
      </w:pPr>
      <w:r>
        <w:rPr>
          <w:rFonts w:hint="eastAsia" w:ascii="黑体" w:hAnsi="黑体"/>
          <w:bCs w:val="0"/>
          <w:color w:val="auto"/>
          <w:sz w:val="28"/>
        </w:rPr>
        <w:t>第</w:t>
      </w:r>
      <w:r>
        <w:rPr>
          <w:rFonts w:ascii="黑体" w:hAnsi="黑体"/>
          <w:bCs w:val="0"/>
          <w:color w:val="auto"/>
          <w:sz w:val="28"/>
        </w:rPr>
        <w:t>8条</w:t>
      </w:r>
      <w:r>
        <w:rPr>
          <w:rFonts w:hint="eastAsia" w:ascii="黑体" w:hAnsi="黑体"/>
          <w:bCs w:val="0"/>
          <w:color w:val="auto"/>
          <w:sz w:val="28"/>
        </w:rPr>
        <w:t xml:space="preserve"> 工期和进度</w:t>
      </w:r>
      <w:bookmarkEnd w:id="1944"/>
      <w:bookmarkEnd w:id="1945"/>
    </w:p>
    <w:p w14:paraId="62EABE46">
      <w:pPr>
        <w:pStyle w:val="4"/>
        <w:keepNext w:val="0"/>
        <w:keepLines/>
        <w:pageBreakBefore w:val="0"/>
        <w:widowControl w:val="0"/>
        <w:kinsoku/>
        <w:wordWrap/>
        <w:overflowPunct/>
        <w:topLinePunct w:val="0"/>
        <w:autoSpaceDE/>
        <w:autoSpaceDN/>
        <w:bidi w:val="0"/>
        <w:adjustRightInd/>
        <w:snapToGrid/>
        <w:spacing w:before="120" w:line="360" w:lineRule="auto"/>
        <w:textAlignment w:val="auto"/>
        <w:rPr>
          <w:color w:val="auto"/>
        </w:rPr>
      </w:pPr>
      <w:bookmarkStart w:id="1946" w:name="_Toc154063701"/>
      <w:r>
        <w:rPr>
          <w:color w:val="auto"/>
        </w:rPr>
        <w:t xml:space="preserve">8.1 </w:t>
      </w:r>
      <w:r>
        <w:rPr>
          <w:rFonts w:hint="eastAsia"/>
          <w:color w:val="auto"/>
        </w:rPr>
        <w:t>开始工作</w:t>
      </w:r>
      <w:bookmarkEnd w:id="1946"/>
    </w:p>
    <w:p w14:paraId="2F4AB13B">
      <w:pPr>
        <w:spacing w:line="360" w:lineRule="auto"/>
        <w:ind w:firstLine="420" w:firstLineChars="200"/>
        <w:rPr>
          <w:rFonts w:ascii="宋体" w:hAnsi="宋体"/>
          <w:color w:val="auto"/>
          <w:szCs w:val="21"/>
        </w:rPr>
      </w:pPr>
      <w:bookmarkStart w:id="1947" w:name="_Toc154063702"/>
      <w:r>
        <w:rPr>
          <w:rFonts w:ascii="宋体" w:hAnsi="宋体"/>
          <w:color w:val="auto"/>
          <w:szCs w:val="21"/>
        </w:rPr>
        <w:t xml:space="preserve">8.1.1 </w:t>
      </w:r>
      <w:r>
        <w:rPr>
          <w:rFonts w:hint="eastAsia" w:ascii="宋体" w:hAnsi="宋体"/>
          <w:color w:val="auto"/>
          <w:szCs w:val="21"/>
        </w:rPr>
        <w:t>开始准备工作：</w:t>
      </w:r>
      <w:r>
        <w:rPr>
          <w:rFonts w:ascii="宋体" w:hAnsi="宋体"/>
          <w:color w:val="auto"/>
          <w:szCs w:val="21"/>
          <w:u w:val="single"/>
        </w:rPr>
        <w:t xml:space="preserve"> </w:t>
      </w:r>
      <w:r>
        <w:rPr>
          <w:rFonts w:hint="eastAsia" w:ascii="宋体" w:hAnsi="宋体"/>
          <w:color w:val="auto"/>
          <w:szCs w:val="21"/>
          <w:u w:val="single"/>
        </w:rPr>
        <w:t>开工前完成</w:t>
      </w:r>
      <w:r>
        <w:rPr>
          <w:rFonts w:ascii="宋体" w:hAnsi="宋体"/>
          <w:color w:val="auto"/>
          <w:szCs w:val="21"/>
          <w:u w:val="single"/>
        </w:rPr>
        <w:t xml:space="preserve"> </w:t>
      </w:r>
      <w:r>
        <w:rPr>
          <w:rFonts w:hint="eastAsia" w:ascii="宋体" w:hAnsi="宋体"/>
          <w:color w:val="auto"/>
          <w:szCs w:val="21"/>
        </w:rPr>
        <w:t>。</w:t>
      </w:r>
    </w:p>
    <w:p w14:paraId="288C7BBD">
      <w:pPr>
        <w:spacing w:line="360" w:lineRule="auto"/>
        <w:ind w:firstLine="420" w:firstLineChars="200"/>
        <w:rPr>
          <w:rFonts w:ascii="宋体" w:hAnsi="宋体"/>
          <w:color w:val="auto"/>
          <w:szCs w:val="21"/>
        </w:rPr>
      </w:pPr>
      <w:r>
        <w:rPr>
          <w:rFonts w:ascii="宋体" w:hAnsi="宋体"/>
          <w:color w:val="auto"/>
          <w:szCs w:val="21"/>
        </w:rPr>
        <w:t xml:space="preserve">8.1.2 </w:t>
      </w:r>
      <w:r>
        <w:rPr>
          <w:rFonts w:hint="eastAsia" w:ascii="宋体" w:hAnsi="宋体"/>
          <w:color w:val="auto"/>
          <w:szCs w:val="21"/>
        </w:rPr>
        <w:t>发包人可在计划开始工作之日起</w:t>
      </w:r>
      <w:r>
        <w:rPr>
          <w:rFonts w:ascii="宋体" w:hAnsi="宋体"/>
          <w:color w:val="auto"/>
          <w:szCs w:val="21"/>
        </w:rPr>
        <w:t>84</w:t>
      </w:r>
      <w:r>
        <w:rPr>
          <w:rFonts w:hint="eastAsia" w:ascii="宋体" w:hAnsi="宋体"/>
          <w:color w:val="auto"/>
          <w:szCs w:val="21"/>
        </w:rPr>
        <w:t>日后发出开始工作通知的特殊情形：</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szCs w:val="21"/>
          <w:u w:val="single"/>
          <w:lang w:val="en-US" w:eastAsia="zh-CN"/>
        </w:rPr>
        <w:t>/</w:t>
      </w:r>
      <w:r>
        <w:rPr>
          <w:rFonts w:hint="eastAsia" w:ascii="宋体" w:hAnsi="宋体"/>
          <w:color w:val="auto"/>
          <w:szCs w:val="21"/>
          <w:u w:val="single"/>
        </w:rPr>
        <w:t xml:space="preserve">  </w:t>
      </w:r>
      <w:r>
        <w:rPr>
          <w:rFonts w:hint="eastAsia" w:ascii="宋体" w:hAnsi="宋体"/>
          <w:color w:val="auto"/>
          <w:szCs w:val="21"/>
        </w:rPr>
        <w:t>。</w:t>
      </w:r>
    </w:p>
    <w:p w14:paraId="1E1675D3">
      <w:pPr>
        <w:pStyle w:val="4"/>
        <w:spacing w:before="120" w:line="360" w:lineRule="auto"/>
        <w:rPr>
          <w:color w:val="auto"/>
        </w:rPr>
      </w:pPr>
      <w:r>
        <w:rPr>
          <w:color w:val="auto"/>
        </w:rPr>
        <w:t xml:space="preserve">8.2 </w:t>
      </w:r>
      <w:r>
        <w:rPr>
          <w:rFonts w:hint="eastAsia"/>
          <w:color w:val="auto"/>
        </w:rPr>
        <w:t>竣工日期</w:t>
      </w:r>
      <w:bookmarkEnd w:id="1947"/>
    </w:p>
    <w:p w14:paraId="3AAB0B50">
      <w:pPr>
        <w:spacing w:line="360" w:lineRule="auto"/>
        <w:ind w:firstLine="420" w:firstLineChars="200"/>
        <w:rPr>
          <w:rFonts w:ascii="宋体" w:hAnsi="宋体"/>
          <w:color w:val="auto"/>
          <w:szCs w:val="21"/>
        </w:rPr>
      </w:pPr>
      <w:bookmarkStart w:id="1948" w:name="_Toc154063703"/>
      <w:r>
        <w:rPr>
          <w:rFonts w:hint="eastAsia" w:ascii="宋体" w:hAnsi="宋体"/>
          <w:color w:val="auto"/>
          <w:szCs w:val="21"/>
        </w:rPr>
        <w:t>竣工日期的约定：</w:t>
      </w:r>
      <w:r>
        <w:rPr>
          <w:rFonts w:ascii="宋体" w:hAnsi="宋体"/>
          <w:color w:val="auto"/>
          <w:szCs w:val="21"/>
          <w:u w:val="single"/>
        </w:rPr>
        <w:t xml:space="preserve"> </w:t>
      </w:r>
      <w:r>
        <w:rPr>
          <w:rFonts w:hint="eastAsia" w:ascii="宋体" w:hAnsi="宋体"/>
          <w:color w:val="auto"/>
          <w:szCs w:val="21"/>
          <w:u w:val="single"/>
        </w:rPr>
        <w:t>由发包人书面确定</w:t>
      </w:r>
      <w:r>
        <w:rPr>
          <w:rFonts w:ascii="宋体" w:hAnsi="宋体"/>
          <w:color w:val="auto"/>
          <w:szCs w:val="21"/>
          <w:u w:val="single"/>
        </w:rPr>
        <w:t xml:space="preserve"> </w:t>
      </w:r>
      <w:r>
        <w:rPr>
          <w:rFonts w:hint="eastAsia" w:ascii="宋体" w:hAnsi="宋体"/>
          <w:color w:val="auto"/>
          <w:szCs w:val="21"/>
        </w:rPr>
        <w:t>。</w:t>
      </w:r>
    </w:p>
    <w:p w14:paraId="7D74D7AD">
      <w:pPr>
        <w:pStyle w:val="4"/>
        <w:spacing w:before="120" w:line="360" w:lineRule="auto"/>
        <w:rPr>
          <w:color w:val="auto"/>
        </w:rPr>
      </w:pPr>
      <w:r>
        <w:rPr>
          <w:color w:val="auto"/>
        </w:rPr>
        <w:t xml:space="preserve">8.3 </w:t>
      </w:r>
      <w:r>
        <w:rPr>
          <w:rFonts w:hint="eastAsia"/>
          <w:color w:val="auto"/>
        </w:rPr>
        <w:t>项目实施计划</w:t>
      </w:r>
      <w:bookmarkEnd w:id="1948"/>
    </w:p>
    <w:p w14:paraId="6F98955C">
      <w:pPr>
        <w:spacing w:line="360" w:lineRule="auto"/>
        <w:ind w:firstLine="420" w:firstLineChars="200"/>
        <w:rPr>
          <w:rFonts w:ascii="宋体" w:hAnsi="宋体"/>
          <w:color w:val="auto"/>
          <w:szCs w:val="21"/>
        </w:rPr>
      </w:pPr>
      <w:bookmarkStart w:id="1949" w:name="_Toc154063704"/>
      <w:r>
        <w:rPr>
          <w:rFonts w:ascii="宋体" w:hAnsi="宋体"/>
          <w:color w:val="auto"/>
          <w:szCs w:val="21"/>
        </w:rPr>
        <w:t xml:space="preserve">8.3.1 </w:t>
      </w:r>
      <w:r>
        <w:rPr>
          <w:rFonts w:hint="eastAsia" w:ascii="宋体" w:hAnsi="宋体"/>
          <w:color w:val="auto"/>
          <w:szCs w:val="21"/>
        </w:rPr>
        <w:t>项目实施计划的内容</w:t>
      </w:r>
    </w:p>
    <w:p w14:paraId="647C23DC">
      <w:pPr>
        <w:spacing w:line="360" w:lineRule="auto"/>
        <w:ind w:firstLine="420" w:firstLineChars="200"/>
        <w:rPr>
          <w:rFonts w:ascii="宋体" w:hAnsi="宋体"/>
          <w:color w:val="auto"/>
          <w:szCs w:val="21"/>
        </w:rPr>
      </w:pPr>
      <w:r>
        <w:rPr>
          <w:rFonts w:hint="eastAsia" w:ascii="宋体" w:hAnsi="宋体"/>
          <w:color w:val="auto"/>
          <w:szCs w:val="21"/>
        </w:rPr>
        <w:t>项目实施计划的内容：</w:t>
      </w:r>
      <w:r>
        <w:rPr>
          <w:rFonts w:hint="eastAsia" w:ascii="宋体" w:hAnsi="宋体"/>
          <w:color w:val="auto"/>
          <w:szCs w:val="21"/>
          <w:u w:val="single"/>
        </w:rPr>
        <w:t xml:space="preserve"> </w:t>
      </w:r>
      <w:r>
        <w:rPr>
          <w:rFonts w:hint="eastAsia" w:ascii="宋体" w:hAnsi="宋体"/>
          <w:color w:val="auto"/>
          <w:szCs w:val="21"/>
          <w:u w:val="single"/>
        </w:rPr>
        <w:t>由发包人书面确定</w:t>
      </w:r>
      <w:r>
        <w:rPr>
          <w:rFonts w:ascii="宋体" w:hAnsi="宋体"/>
          <w:color w:val="auto"/>
          <w:szCs w:val="21"/>
          <w:u w:val="single"/>
        </w:rPr>
        <w:t xml:space="preserve"> </w:t>
      </w:r>
      <w:r>
        <w:rPr>
          <w:rFonts w:hint="eastAsia" w:ascii="宋体" w:hAnsi="宋体"/>
          <w:color w:val="auto"/>
          <w:szCs w:val="21"/>
        </w:rPr>
        <w:t>。</w:t>
      </w:r>
    </w:p>
    <w:p w14:paraId="06B7B9A0">
      <w:pPr>
        <w:spacing w:line="360" w:lineRule="auto"/>
        <w:ind w:firstLine="420" w:firstLineChars="200"/>
        <w:rPr>
          <w:rFonts w:ascii="宋体" w:hAnsi="宋体"/>
          <w:color w:val="auto"/>
          <w:szCs w:val="21"/>
        </w:rPr>
      </w:pPr>
      <w:r>
        <w:rPr>
          <w:rFonts w:ascii="宋体" w:hAnsi="宋体"/>
          <w:color w:val="auto"/>
          <w:szCs w:val="21"/>
        </w:rPr>
        <w:t xml:space="preserve">8.3.2 </w:t>
      </w:r>
      <w:r>
        <w:rPr>
          <w:rFonts w:hint="eastAsia" w:ascii="宋体" w:hAnsi="宋体"/>
          <w:color w:val="auto"/>
          <w:szCs w:val="21"/>
        </w:rPr>
        <w:t>项目实施计划的提交和修改</w:t>
      </w:r>
    </w:p>
    <w:p w14:paraId="52D7331D">
      <w:pPr>
        <w:spacing w:line="360" w:lineRule="auto"/>
        <w:ind w:firstLine="420" w:firstLineChars="200"/>
        <w:rPr>
          <w:rFonts w:ascii="宋体" w:hAnsi="宋体"/>
          <w:color w:val="auto"/>
          <w:szCs w:val="21"/>
        </w:rPr>
      </w:pPr>
      <w:r>
        <w:rPr>
          <w:rFonts w:hint="eastAsia" w:ascii="宋体" w:hAnsi="宋体"/>
          <w:color w:val="auto"/>
          <w:szCs w:val="21"/>
        </w:rPr>
        <w:t>项目实施计划的提交及修改期限：</w:t>
      </w:r>
      <w:r>
        <w:rPr>
          <w:rFonts w:ascii="宋体" w:hAnsi="宋体"/>
          <w:color w:val="auto"/>
          <w:szCs w:val="21"/>
          <w:u w:val="single"/>
        </w:rPr>
        <w:t xml:space="preserve"> </w:t>
      </w:r>
      <w:r>
        <w:rPr>
          <w:rFonts w:hint="eastAsia" w:ascii="宋体" w:hAnsi="宋体"/>
          <w:color w:val="auto"/>
          <w:szCs w:val="21"/>
          <w:u w:val="single"/>
        </w:rPr>
        <w:t>由发包人书面确定</w:t>
      </w:r>
      <w:r>
        <w:rPr>
          <w:rFonts w:ascii="宋体" w:hAnsi="宋体"/>
          <w:color w:val="auto"/>
          <w:szCs w:val="21"/>
          <w:u w:val="single"/>
        </w:rPr>
        <w:t xml:space="preserve"> </w:t>
      </w:r>
      <w:r>
        <w:rPr>
          <w:rFonts w:hint="eastAsia" w:ascii="宋体" w:hAnsi="宋体"/>
          <w:color w:val="auto"/>
          <w:szCs w:val="21"/>
        </w:rPr>
        <w:t>。</w:t>
      </w:r>
    </w:p>
    <w:p w14:paraId="6C28C6C5">
      <w:pPr>
        <w:pStyle w:val="4"/>
        <w:spacing w:before="120" w:line="360" w:lineRule="auto"/>
        <w:rPr>
          <w:color w:val="auto"/>
        </w:rPr>
      </w:pPr>
      <w:r>
        <w:rPr>
          <w:color w:val="auto"/>
        </w:rPr>
        <w:t xml:space="preserve">8.4 </w:t>
      </w:r>
      <w:r>
        <w:rPr>
          <w:rFonts w:hint="eastAsia"/>
          <w:color w:val="auto"/>
        </w:rPr>
        <w:t>项目进度计划</w:t>
      </w:r>
      <w:bookmarkEnd w:id="1949"/>
    </w:p>
    <w:p w14:paraId="52ED597B">
      <w:pPr>
        <w:spacing w:line="360" w:lineRule="auto"/>
        <w:ind w:firstLine="420" w:firstLineChars="200"/>
        <w:rPr>
          <w:rFonts w:ascii="宋体" w:hAnsi="宋体"/>
          <w:color w:val="auto"/>
          <w:szCs w:val="21"/>
        </w:rPr>
      </w:pPr>
      <w:bookmarkStart w:id="1950" w:name="_Toc154063705"/>
      <w:r>
        <w:rPr>
          <w:rFonts w:ascii="宋体" w:hAnsi="宋体"/>
          <w:color w:val="auto"/>
          <w:szCs w:val="21"/>
        </w:rPr>
        <w:t xml:space="preserve">8.4.1 </w:t>
      </w:r>
      <w:r>
        <w:rPr>
          <w:rFonts w:hint="eastAsia" w:ascii="宋体" w:hAnsi="宋体"/>
          <w:color w:val="auto"/>
          <w:szCs w:val="21"/>
        </w:rPr>
        <w:t>工程师在收到进度计划后确认或提出修改意见的期限：</w:t>
      </w:r>
      <w:r>
        <w:rPr>
          <w:rFonts w:ascii="宋体" w:hAnsi="宋体"/>
          <w:color w:val="auto"/>
          <w:szCs w:val="21"/>
          <w:u w:val="single"/>
        </w:rPr>
        <w:t xml:space="preserve"> </w:t>
      </w:r>
      <w:r>
        <w:rPr>
          <w:rFonts w:hint="eastAsia" w:ascii="宋体" w:hAnsi="宋体"/>
          <w:color w:val="auto"/>
          <w:szCs w:val="21"/>
          <w:u w:val="single"/>
        </w:rPr>
        <w:t>由发包人书面确定</w:t>
      </w:r>
      <w:r>
        <w:rPr>
          <w:rFonts w:ascii="宋体" w:hAnsi="宋体"/>
          <w:color w:val="auto"/>
          <w:szCs w:val="21"/>
          <w:u w:val="single"/>
        </w:rPr>
        <w:t xml:space="preserve"> </w:t>
      </w:r>
      <w:r>
        <w:rPr>
          <w:rFonts w:hint="eastAsia" w:ascii="宋体" w:hAnsi="宋体"/>
          <w:color w:val="auto"/>
          <w:szCs w:val="21"/>
        </w:rPr>
        <w:t>。</w:t>
      </w:r>
    </w:p>
    <w:p w14:paraId="6FC8F8CA">
      <w:pPr>
        <w:spacing w:line="360" w:lineRule="auto"/>
        <w:ind w:firstLine="420" w:firstLineChars="200"/>
        <w:rPr>
          <w:rFonts w:ascii="宋体" w:hAnsi="宋体"/>
          <w:color w:val="auto"/>
          <w:szCs w:val="21"/>
        </w:rPr>
      </w:pPr>
      <w:r>
        <w:rPr>
          <w:rFonts w:ascii="宋体" w:hAnsi="宋体"/>
          <w:color w:val="auto"/>
          <w:szCs w:val="21"/>
        </w:rPr>
        <w:t xml:space="preserve">8.4.2 </w:t>
      </w:r>
      <w:r>
        <w:rPr>
          <w:rFonts w:hint="eastAsia" w:ascii="宋体" w:hAnsi="宋体"/>
          <w:color w:val="auto"/>
          <w:szCs w:val="21"/>
        </w:rPr>
        <w:t>进度计划的具体要求：</w:t>
      </w:r>
      <w:r>
        <w:rPr>
          <w:rFonts w:ascii="宋体" w:hAnsi="宋体"/>
          <w:color w:val="auto"/>
          <w:szCs w:val="21"/>
          <w:u w:val="single"/>
        </w:rPr>
        <w:t xml:space="preserve"> </w:t>
      </w:r>
      <w:r>
        <w:rPr>
          <w:rFonts w:hint="eastAsia" w:ascii="宋体" w:hAnsi="宋体"/>
          <w:color w:val="auto"/>
          <w:szCs w:val="21"/>
          <w:u w:val="single"/>
        </w:rPr>
        <w:t>由发包人书面确定</w:t>
      </w:r>
      <w:r>
        <w:rPr>
          <w:rFonts w:ascii="宋体" w:hAnsi="宋体"/>
          <w:color w:val="auto"/>
          <w:szCs w:val="21"/>
          <w:u w:val="single"/>
        </w:rPr>
        <w:t xml:space="preserve"> </w:t>
      </w:r>
      <w:r>
        <w:rPr>
          <w:rFonts w:hint="eastAsia" w:ascii="宋体" w:hAnsi="宋体"/>
          <w:color w:val="auto"/>
          <w:szCs w:val="21"/>
        </w:rPr>
        <w:t>。</w:t>
      </w:r>
    </w:p>
    <w:p w14:paraId="4883E98C">
      <w:pPr>
        <w:spacing w:line="360" w:lineRule="auto"/>
        <w:ind w:firstLine="420" w:firstLineChars="200"/>
        <w:rPr>
          <w:rFonts w:ascii="宋体" w:hAnsi="宋体"/>
          <w:color w:val="auto"/>
          <w:szCs w:val="21"/>
        </w:rPr>
      </w:pPr>
      <w:r>
        <w:rPr>
          <w:rFonts w:hint="eastAsia" w:ascii="宋体" w:hAnsi="宋体"/>
          <w:color w:val="auto"/>
          <w:szCs w:val="21"/>
        </w:rPr>
        <w:t>关键路径及关键路径变化的确定原则：</w:t>
      </w:r>
      <w:r>
        <w:rPr>
          <w:rFonts w:ascii="宋体" w:hAnsi="宋体"/>
          <w:color w:val="auto"/>
          <w:szCs w:val="21"/>
          <w:u w:val="single"/>
        </w:rPr>
        <w:t xml:space="preserve"> </w:t>
      </w:r>
      <w:r>
        <w:rPr>
          <w:rFonts w:hint="eastAsia" w:ascii="宋体" w:hAnsi="宋体"/>
          <w:color w:val="auto"/>
          <w:szCs w:val="21"/>
          <w:u w:val="single"/>
        </w:rPr>
        <w:t>确保合同总工期</w:t>
      </w:r>
      <w:r>
        <w:rPr>
          <w:rFonts w:ascii="宋体" w:hAnsi="宋体"/>
          <w:color w:val="auto"/>
          <w:szCs w:val="21"/>
          <w:u w:val="single"/>
        </w:rPr>
        <w:t xml:space="preserve"> </w:t>
      </w:r>
      <w:r>
        <w:rPr>
          <w:rFonts w:hint="eastAsia" w:ascii="宋体" w:hAnsi="宋体"/>
          <w:color w:val="auto"/>
          <w:szCs w:val="21"/>
        </w:rPr>
        <w:t>。</w:t>
      </w:r>
    </w:p>
    <w:p w14:paraId="090292D6">
      <w:pPr>
        <w:spacing w:line="360" w:lineRule="auto"/>
        <w:ind w:firstLine="420" w:firstLineChars="200"/>
        <w:rPr>
          <w:rFonts w:ascii="宋体" w:hAnsi="宋体"/>
          <w:color w:val="auto"/>
          <w:szCs w:val="21"/>
        </w:rPr>
      </w:pPr>
      <w:r>
        <w:rPr>
          <w:rFonts w:hint="eastAsia" w:ascii="宋体" w:hAnsi="宋体"/>
          <w:color w:val="auto"/>
          <w:szCs w:val="21"/>
        </w:rPr>
        <w:t>承包人提交项目进度计划的份数和时间：</w:t>
      </w:r>
      <w:r>
        <w:rPr>
          <w:rFonts w:ascii="宋体" w:hAnsi="宋体"/>
          <w:color w:val="auto"/>
          <w:szCs w:val="21"/>
          <w:u w:val="single"/>
        </w:rPr>
        <w:t xml:space="preserve"> </w:t>
      </w:r>
      <w:r>
        <w:rPr>
          <w:rFonts w:hint="eastAsia" w:ascii="宋体" w:hAnsi="宋体"/>
          <w:color w:val="auto"/>
          <w:szCs w:val="21"/>
          <w:u w:val="single"/>
        </w:rPr>
        <w:t>承包人应在监理人发出的开始工作通知（开工令）后14天内，向监理人提交一份详细的进度计划，进度计划内容包括：按照合同工期，编制设计和施工进度计划，包括总进度计划和单位工程进度计划。施工进度表采用关键线路网络图表示、说明计划开始工作日期和各单位工程各阶段工作的完成日期，份数按发包人的要求提供</w:t>
      </w:r>
      <w:r>
        <w:rPr>
          <w:rFonts w:ascii="宋体" w:hAnsi="宋体"/>
          <w:color w:val="auto"/>
          <w:szCs w:val="21"/>
          <w:u w:val="single"/>
        </w:rPr>
        <w:t xml:space="preserve"> </w:t>
      </w:r>
      <w:r>
        <w:rPr>
          <w:rFonts w:hint="eastAsia" w:ascii="宋体" w:hAnsi="宋体"/>
          <w:color w:val="auto"/>
          <w:szCs w:val="21"/>
        </w:rPr>
        <w:t>。</w:t>
      </w:r>
    </w:p>
    <w:p w14:paraId="012A3296">
      <w:pPr>
        <w:spacing w:line="360" w:lineRule="auto"/>
        <w:ind w:firstLine="420" w:firstLineChars="200"/>
        <w:rPr>
          <w:rFonts w:ascii="宋体" w:hAnsi="宋体"/>
          <w:color w:val="auto"/>
          <w:szCs w:val="21"/>
        </w:rPr>
      </w:pPr>
      <w:r>
        <w:rPr>
          <w:rFonts w:ascii="宋体" w:hAnsi="宋体"/>
          <w:color w:val="auto"/>
          <w:szCs w:val="21"/>
        </w:rPr>
        <w:t xml:space="preserve">8.4.3 </w:t>
      </w:r>
      <w:r>
        <w:rPr>
          <w:rFonts w:hint="eastAsia" w:ascii="宋体" w:hAnsi="宋体"/>
          <w:color w:val="auto"/>
          <w:szCs w:val="21"/>
        </w:rPr>
        <w:t>进度计划的修订</w:t>
      </w:r>
    </w:p>
    <w:p w14:paraId="50BA9128">
      <w:pPr>
        <w:spacing w:line="360" w:lineRule="auto"/>
        <w:ind w:firstLine="420" w:firstLineChars="200"/>
        <w:rPr>
          <w:rFonts w:ascii="宋体" w:hAnsi="宋体"/>
          <w:color w:val="auto"/>
          <w:szCs w:val="21"/>
        </w:rPr>
      </w:pPr>
      <w:r>
        <w:rPr>
          <w:rFonts w:hint="eastAsia" w:ascii="宋体" w:hAnsi="宋体"/>
          <w:color w:val="auto"/>
          <w:szCs w:val="21"/>
        </w:rPr>
        <w:t>承包人提交修订</w:t>
      </w:r>
      <w:r>
        <w:rPr>
          <w:rFonts w:ascii="宋体" w:hAnsi="宋体"/>
          <w:color w:val="auto"/>
          <w:szCs w:val="21"/>
        </w:rPr>
        <w:t>项目进度计划</w:t>
      </w:r>
      <w:r>
        <w:rPr>
          <w:rFonts w:hint="eastAsia" w:ascii="宋体" w:hAnsi="宋体"/>
          <w:color w:val="auto"/>
          <w:szCs w:val="21"/>
        </w:rPr>
        <w:t>申请报告的期限：</w:t>
      </w:r>
      <w:r>
        <w:rPr>
          <w:rFonts w:ascii="宋体" w:hAnsi="宋体"/>
          <w:color w:val="auto"/>
          <w:szCs w:val="21"/>
          <w:u w:val="single"/>
        </w:rPr>
        <w:t xml:space="preserve"> </w:t>
      </w:r>
      <w:r>
        <w:rPr>
          <w:rFonts w:hint="eastAsia" w:ascii="宋体" w:hAnsi="宋体"/>
          <w:color w:val="auto"/>
          <w:szCs w:val="21"/>
          <w:u w:val="single"/>
        </w:rPr>
        <w:t>发出开始工作通知（开工令）后14天内</w:t>
      </w:r>
      <w:r>
        <w:rPr>
          <w:rFonts w:ascii="宋体" w:hAnsi="宋体"/>
          <w:color w:val="auto"/>
          <w:szCs w:val="21"/>
          <w:u w:val="single"/>
        </w:rPr>
        <w:t xml:space="preserve"> </w:t>
      </w:r>
      <w:r>
        <w:rPr>
          <w:rFonts w:hint="eastAsia" w:ascii="宋体" w:hAnsi="宋体"/>
          <w:color w:val="auto"/>
          <w:szCs w:val="21"/>
        </w:rPr>
        <w:t>。</w:t>
      </w:r>
    </w:p>
    <w:p w14:paraId="3642764A">
      <w:pPr>
        <w:spacing w:line="360" w:lineRule="auto"/>
        <w:ind w:firstLine="420" w:firstLineChars="200"/>
        <w:rPr>
          <w:rFonts w:ascii="宋体" w:hAnsi="宋体"/>
          <w:color w:val="auto"/>
          <w:szCs w:val="21"/>
        </w:rPr>
      </w:pPr>
      <w:r>
        <w:rPr>
          <w:rFonts w:hint="eastAsia" w:ascii="宋体" w:hAnsi="宋体"/>
          <w:color w:val="auto"/>
          <w:szCs w:val="21"/>
        </w:rPr>
        <w:t>发包人批复修订</w:t>
      </w:r>
      <w:r>
        <w:rPr>
          <w:rFonts w:ascii="宋体" w:hAnsi="宋体"/>
          <w:color w:val="auto"/>
          <w:szCs w:val="21"/>
        </w:rPr>
        <w:t>项目进度计划</w:t>
      </w:r>
      <w:r>
        <w:rPr>
          <w:rFonts w:hint="eastAsia" w:ascii="宋体" w:hAnsi="宋体"/>
          <w:color w:val="auto"/>
          <w:szCs w:val="21"/>
        </w:rPr>
        <w:t>申请报告的期限：</w:t>
      </w:r>
      <w:r>
        <w:rPr>
          <w:rFonts w:ascii="宋体" w:hAnsi="宋体"/>
          <w:color w:val="auto"/>
          <w:szCs w:val="21"/>
          <w:u w:val="single"/>
        </w:rPr>
        <w:t xml:space="preserve"> </w:t>
      </w:r>
      <w:r>
        <w:rPr>
          <w:rFonts w:hint="eastAsia" w:ascii="宋体" w:hAnsi="宋体"/>
          <w:color w:val="auto"/>
          <w:szCs w:val="21"/>
          <w:u w:val="single"/>
        </w:rPr>
        <w:t>收到之日起14天内</w:t>
      </w:r>
      <w:r>
        <w:rPr>
          <w:rFonts w:ascii="宋体" w:hAnsi="宋体"/>
          <w:color w:val="auto"/>
          <w:szCs w:val="21"/>
          <w:u w:val="single"/>
        </w:rPr>
        <w:t xml:space="preserve"> </w:t>
      </w:r>
      <w:r>
        <w:rPr>
          <w:rFonts w:hint="eastAsia" w:ascii="宋体" w:hAnsi="宋体"/>
          <w:color w:val="auto"/>
          <w:szCs w:val="21"/>
        </w:rPr>
        <w:t>。</w:t>
      </w:r>
    </w:p>
    <w:p w14:paraId="514304F5">
      <w:pPr>
        <w:spacing w:line="360" w:lineRule="auto"/>
        <w:ind w:firstLine="420" w:firstLineChars="200"/>
        <w:rPr>
          <w:rFonts w:ascii="宋体" w:hAnsi="宋体"/>
          <w:color w:val="auto"/>
          <w:szCs w:val="21"/>
        </w:rPr>
      </w:pPr>
      <w:r>
        <w:rPr>
          <w:rFonts w:hint="eastAsia" w:ascii="宋体" w:hAnsi="宋体"/>
          <w:color w:val="auto"/>
          <w:szCs w:val="21"/>
        </w:rPr>
        <w:t>承包人答复发包人提出修订合同计划的期限：</w:t>
      </w:r>
      <w:r>
        <w:rPr>
          <w:rFonts w:ascii="宋体" w:hAnsi="宋体"/>
          <w:color w:val="auto"/>
          <w:szCs w:val="21"/>
          <w:u w:val="single"/>
        </w:rPr>
        <w:t xml:space="preserve"> </w:t>
      </w:r>
      <w:r>
        <w:rPr>
          <w:rFonts w:hint="eastAsia" w:ascii="宋体" w:hAnsi="宋体"/>
          <w:color w:val="auto"/>
          <w:szCs w:val="21"/>
          <w:u w:val="single"/>
        </w:rPr>
        <w:t>收到之日起</w:t>
      </w:r>
      <w:r>
        <w:rPr>
          <w:rFonts w:hint="eastAsia" w:ascii="宋体" w:hAnsi="宋体"/>
          <w:color w:val="auto"/>
          <w:szCs w:val="21"/>
          <w:u w:val="single"/>
          <w:lang w:val="en-US" w:eastAsia="zh-CN"/>
        </w:rPr>
        <w:t>7</w:t>
      </w:r>
      <w:r>
        <w:rPr>
          <w:rFonts w:hint="eastAsia" w:ascii="宋体" w:hAnsi="宋体"/>
          <w:color w:val="auto"/>
          <w:szCs w:val="21"/>
          <w:u w:val="single"/>
        </w:rPr>
        <w:t>天内</w:t>
      </w:r>
      <w:r>
        <w:rPr>
          <w:rFonts w:ascii="宋体" w:hAnsi="宋体"/>
          <w:color w:val="auto"/>
          <w:szCs w:val="21"/>
          <w:u w:val="single"/>
        </w:rPr>
        <w:t xml:space="preserve"> </w:t>
      </w:r>
      <w:r>
        <w:rPr>
          <w:rFonts w:hint="eastAsia" w:ascii="宋体" w:hAnsi="宋体"/>
          <w:color w:val="auto"/>
          <w:szCs w:val="21"/>
        </w:rPr>
        <w:t>。</w:t>
      </w:r>
    </w:p>
    <w:p w14:paraId="23CBE596">
      <w:pPr>
        <w:pStyle w:val="4"/>
        <w:keepNext w:val="0"/>
        <w:keepLines/>
        <w:pageBreakBefore w:val="0"/>
        <w:widowControl w:val="0"/>
        <w:kinsoku/>
        <w:wordWrap/>
        <w:overflowPunct/>
        <w:topLinePunct w:val="0"/>
        <w:autoSpaceDE/>
        <w:autoSpaceDN/>
        <w:bidi w:val="0"/>
        <w:adjustRightInd/>
        <w:snapToGrid/>
        <w:spacing w:before="120" w:line="360" w:lineRule="auto"/>
        <w:textAlignment w:val="auto"/>
        <w:rPr>
          <w:color w:val="auto"/>
        </w:rPr>
      </w:pPr>
      <w:r>
        <w:rPr>
          <w:color w:val="auto"/>
        </w:rPr>
        <w:t xml:space="preserve">8.5 </w:t>
      </w:r>
      <w:r>
        <w:rPr>
          <w:rFonts w:hint="eastAsia"/>
          <w:color w:val="auto"/>
        </w:rPr>
        <w:t>进度报告</w:t>
      </w:r>
      <w:bookmarkEnd w:id="1950"/>
    </w:p>
    <w:p w14:paraId="44067A17">
      <w:pPr>
        <w:spacing w:line="360" w:lineRule="auto"/>
        <w:ind w:firstLine="420" w:firstLineChars="200"/>
        <w:rPr>
          <w:rFonts w:ascii="宋体" w:hAnsi="宋体"/>
          <w:color w:val="auto"/>
          <w:szCs w:val="21"/>
        </w:rPr>
      </w:pPr>
      <w:r>
        <w:rPr>
          <w:rFonts w:hint="eastAsia" w:ascii="宋体" w:hAnsi="宋体"/>
          <w:color w:val="auto"/>
          <w:szCs w:val="21"/>
        </w:rPr>
        <w:t>进度报告的具体要求：</w:t>
      </w:r>
      <w:r>
        <w:rPr>
          <w:rFonts w:ascii="宋体" w:hAnsi="宋体"/>
          <w:color w:val="auto"/>
          <w:szCs w:val="21"/>
          <w:u w:val="single"/>
        </w:rPr>
        <w:t xml:space="preserve"> </w:t>
      </w:r>
      <w:r>
        <w:rPr>
          <w:rFonts w:hint="eastAsia" w:ascii="宋体" w:hAnsi="宋体"/>
          <w:color w:val="auto"/>
          <w:szCs w:val="21"/>
          <w:u w:val="single"/>
        </w:rPr>
        <w:t>详见补充条款</w:t>
      </w:r>
      <w:r>
        <w:rPr>
          <w:rFonts w:ascii="宋体" w:hAnsi="宋体"/>
          <w:color w:val="auto"/>
          <w:szCs w:val="21"/>
          <w:u w:val="single"/>
        </w:rPr>
        <w:t xml:space="preserve"> </w:t>
      </w:r>
      <w:r>
        <w:rPr>
          <w:rFonts w:hint="eastAsia" w:ascii="宋体" w:hAnsi="宋体"/>
          <w:color w:val="auto"/>
          <w:szCs w:val="21"/>
        </w:rPr>
        <w:t>。</w:t>
      </w:r>
    </w:p>
    <w:p w14:paraId="3B9F438D">
      <w:pPr>
        <w:pStyle w:val="4"/>
        <w:spacing w:before="120" w:line="360" w:lineRule="auto"/>
        <w:rPr>
          <w:color w:val="auto"/>
        </w:rPr>
      </w:pPr>
      <w:bookmarkStart w:id="1951" w:name="_Toc154063706"/>
      <w:r>
        <w:rPr>
          <w:color w:val="auto"/>
        </w:rPr>
        <w:t xml:space="preserve">8.7 </w:t>
      </w:r>
      <w:r>
        <w:rPr>
          <w:rFonts w:hint="eastAsia"/>
          <w:color w:val="auto"/>
        </w:rPr>
        <w:t>工期延误</w:t>
      </w:r>
      <w:bookmarkEnd w:id="1951"/>
    </w:p>
    <w:p w14:paraId="5AA07137">
      <w:pPr>
        <w:spacing w:line="360" w:lineRule="auto"/>
        <w:ind w:firstLine="420" w:firstLineChars="200"/>
        <w:rPr>
          <w:rFonts w:ascii="宋体" w:hAnsi="宋体"/>
          <w:color w:val="auto"/>
          <w:szCs w:val="21"/>
        </w:rPr>
      </w:pPr>
      <w:bookmarkStart w:id="1952" w:name="_Toc154063707"/>
      <w:r>
        <w:rPr>
          <w:rFonts w:ascii="宋体" w:hAnsi="宋体"/>
          <w:color w:val="auto"/>
          <w:szCs w:val="21"/>
        </w:rPr>
        <w:t xml:space="preserve">8.7.2 </w:t>
      </w:r>
      <w:r>
        <w:rPr>
          <w:rFonts w:hint="eastAsia" w:ascii="宋体" w:hAnsi="宋体"/>
          <w:color w:val="auto"/>
          <w:szCs w:val="21"/>
        </w:rPr>
        <w:t>因承包人原因导致工期延误</w:t>
      </w:r>
    </w:p>
    <w:p w14:paraId="545032C8">
      <w:pPr>
        <w:spacing w:line="360" w:lineRule="auto"/>
        <w:ind w:firstLine="525" w:firstLineChars="250"/>
        <w:rPr>
          <w:rFonts w:ascii="宋体" w:hAnsi="宋体"/>
          <w:color w:val="auto"/>
          <w:szCs w:val="21"/>
        </w:rPr>
      </w:pPr>
      <w:r>
        <w:rPr>
          <w:rFonts w:hint="eastAsia" w:ascii="宋体" w:hAnsi="宋体"/>
          <w:color w:val="auto"/>
          <w:szCs w:val="21"/>
        </w:rPr>
        <w:t>因承包人原因使竣工日期延误，每延误1日的误期赔偿金额为合同协议书的合同价格的</w:t>
      </w:r>
      <w:r>
        <w:rPr>
          <w:rFonts w:ascii="宋体" w:hAnsi="宋体"/>
          <w:color w:val="auto"/>
          <w:szCs w:val="21"/>
          <w:u w:val="single"/>
        </w:rPr>
        <w:t xml:space="preserve">  </w:t>
      </w:r>
      <w:r>
        <w:rPr>
          <w:rFonts w:hint="eastAsia" w:ascii="宋体" w:hAnsi="宋体"/>
          <w:color w:val="auto"/>
          <w:szCs w:val="21"/>
          <w:u w:val="single"/>
          <w:lang w:val="en-US" w:eastAsia="zh-CN"/>
        </w:rPr>
        <w:t>/</w:t>
      </w:r>
      <w:r>
        <w:rPr>
          <w:rFonts w:ascii="宋体" w:hAnsi="宋体"/>
          <w:color w:val="auto"/>
          <w:szCs w:val="21"/>
          <w:u w:val="single"/>
        </w:rPr>
        <w:t xml:space="preserve">  </w:t>
      </w:r>
      <w:r>
        <w:rPr>
          <w:rFonts w:hint="eastAsia" w:ascii="宋体" w:hAnsi="宋体"/>
          <w:color w:val="auto"/>
          <w:szCs w:val="21"/>
        </w:rPr>
        <w:t>%或人民币金额为：</w:t>
      </w:r>
      <w:r>
        <w:rPr>
          <w:rFonts w:ascii="宋体" w:hAnsi="宋体"/>
          <w:color w:val="auto"/>
          <w:szCs w:val="21"/>
          <w:u w:val="single"/>
        </w:rPr>
        <w:t xml:space="preserve"> </w:t>
      </w:r>
      <w:r>
        <w:rPr>
          <w:rFonts w:hint="eastAsia" w:ascii="宋体" w:hAnsi="宋体"/>
          <w:color w:val="auto"/>
          <w:szCs w:val="21"/>
          <w:u w:val="single"/>
          <w:lang w:val="en-US" w:eastAsia="zh-CN"/>
        </w:rPr>
        <w:t>20</w:t>
      </w:r>
      <w:r>
        <w:rPr>
          <w:rFonts w:hint="eastAsia" w:ascii="宋体" w:hAnsi="宋体"/>
          <w:color w:val="auto"/>
          <w:szCs w:val="21"/>
          <w:u w:val="single"/>
        </w:rPr>
        <w:t>00元/天</w:t>
      </w:r>
      <w:r>
        <w:rPr>
          <w:rFonts w:ascii="宋体" w:hAnsi="宋体"/>
          <w:color w:val="auto"/>
          <w:szCs w:val="21"/>
          <w:u w:val="single"/>
        </w:rPr>
        <w:t xml:space="preserve"> </w:t>
      </w:r>
      <w:r>
        <w:rPr>
          <w:rFonts w:hint="eastAsia" w:ascii="宋体" w:hAnsi="宋体"/>
          <w:color w:val="auto"/>
          <w:szCs w:val="21"/>
        </w:rPr>
        <w:t>、累计最高赔偿金额为合同协议书的合同价格的：</w:t>
      </w:r>
      <w:r>
        <w:rPr>
          <w:rFonts w:ascii="宋体" w:hAnsi="宋体"/>
          <w:color w:val="auto"/>
          <w:szCs w:val="21"/>
          <w:u w:val="single"/>
        </w:rPr>
        <w:t xml:space="preserve"> </w:t>
      </w:r>
      <w:r>
        <w:rPr>
          <w:rFonts w:hint="eastAsia" w:ascii="宋体" w:hAnsi="宋体"/>
          <w:color w:val="auto"/>
          <w:szCs w:val="21"/>
          <w:u w:val="single"/>
          <w:lang w:val="en-US" w:eastAsia="zh-CN"/>
        </w:rPr>
        <w:t>3</w:t>
      </w:r>
      <w:r>
        <w:rPr>
          <w:rFonts w:ascii="宋体" w:hAnsi="宋体"/>
          <w:color w:val="auto"/>
          <w:szCs w:val="21"/>
          <w:u w:val="single"/>
        </w:rPr>
        <w:t xml:space="preserve"> </w:t>
      </w:r>
      <w:r>
        <w:rPr>
          <w:rFonts w:hint="eastAsia" w:ascii="宋体" w:hAnsi="宋体"/>
          <w:color w:val="auto"/>
          <w:szCs w:val="21"/>
        </w:rPr>
        <w:t>%或人民币金额为：</w:t>
      </w:r>
      <w:r>
        <w:rPr>
          <w:rFonts w:ascii="宋体" w:hAnsi="宋体"/>
          <w:color w:val="auto"/>
          <w:szCs w:val="21"/>
          <w:u w:val="single"/>
        </w:rPr>
        <w:t xml:space="preserve">  </w:t>
      </w:r>
      <w:r>
        <w:rPr>
          <w:rFonts w:hint="eastAsia" w:ascii="宋体" w:hAnsi="宋体"/>
          <w:color w:val="auto"/>
          <w:szCs w:val="21"/>
          <w:u w:val="single"/>
          <w:lang w:val="en-US" w:eastAsia="zh-CN"/>
        </w:rPr>
        <w:t>/</w:t>
      </w:r>
      <w:r>
        <w:rPr>
          <w:rFonts w:ascii="宋体" w:hAnsi="宋体"/>
          <w:color w:val="auto"/>
          <w:szCs w:val="21"/>
          <w:u w:val="single"/>
        </w:rPr>
        <w:t xml:space="preserve">  </w:t>
      </w:r>
      <w:r>
        <w:rPr>
          <w:rFonts w:hint="eastAsia" w:ascii="宋体" w:hAnsi="宋体"/>
          <w:color w:val="auto"/>
          <w:szCs w:val="21"/>
        </w:rPr>
        <w:t>。</w:t>
      </w:r>
    </w:p>
    <w:p w14:paraId="65DAE083">
      <w:pPr>
        <w:spacing w:line="360" w:lineRule="auto"/>
        <w:ind w:firstLine="420" w:firstLineChars="200"/>
        <w:rPr>
          <w:rFonts w:ascii="宋体" w:hAnsi="宋体"/>
          <w:color w:val="auto"/>
          <w:szCs w:val="21"/>
        </w:rPr>
      </w:pPr>
      <w:r>
        <w:rPr>
          <w:rFonts w:ascii="宋体" w:hAnsi="宋体"/>
          <w:color w:val="auto"/>
          <w:szCs w:val="21"/>
        </w:rPr>
        <w:t xml:space="preserve">8.7.3 </w:t>
      </w:r>
      <w:r>
        <w:rPr>
          <w:rFonts w:hint="eastAsia" w:ascii="宋体" w:hAnsi="宋体"/>
          <w:color w:val="auto"/>
          <w:szCs w:val="21"/>
        </w:rPr>
        <w:t>行政审批迟延</w:t>
      </w:r>
    </w:p>
    <w:p w14:paraId="2904FA14">
      <w:pPr>
        <w:spacing w:line="360" w:lineRule="auto"/>
        <w:ind w:firstLine="420" w:firstLineChars="200"/>
        <w:rPr>
          <w:rFonts w:ascii="宋体" w:hAnsi="宋体"/>
          <w:color w:val="auto"/>
          <w:szCs w:val="21"/>
        </w:rPr>
      </w:pPr>
      <w:r>
        <w:rPr>
          <w:rFonts w:hint="eastAsia" w:ascii="宋体" w:hAnsi="宋体"/>
          <w:color w:val="auto"/>
          <w:szCs w:val="21"/>
        </w:rPr>
        <w:t>行政审批报送的职责分工：</w:t>
      </w:r>
      <w:r>
        <w:rPr>
          <w:rFonts w:ascii="宋体" w:hAnsi="宋体"/>
          <w:color w:val="auto"/>
          <w:szCs w:val="21"/>
          <w:u w:val="single"/>
        </w:rPr>
        <w:t xml:space="preserve"> </w:t>
      </w:r>
      <w:r>
        <w:rPr>
          <w:rFonts w:hint="eastAsia" w:ascii="宋体" w:hAnsi="宋体"/>
          <w:color w:val="auto"/>
          <w:szCs w:val="21"/>
          <w:u w:val="single"/>
        </w:rPr>
        <w:t>由双方协商确定</w:t>
      </w:r>
      <w:r>
        <w:rPr>
          <w:rFonts w:ascii="宋体" w:hAnsi="宋体"/>
          <w:color w:val="auto"/>
          <w:szCs w:val="21"/>
          <w:u w:val="single"/>
        </w:rPr>
        <w:t xml:space="preserve"> </w:t>
      </w:r>
      <w:r>
        <w:rPr>
          <w:rFonts w:hint="eastAsia" w:ascii="宋体" w:hAnsi="宋体"/>
          <w:color w:val="auto"/>
          <w:szCs w:val="21"/>
        </w:rPr>
        <w:t>。</w:t>
      </w:r>
    </w:p>
    <w:p w14:paraId="092D62C2">
      <w:pPr>
        <w:spacing w:line="360" w:lineRule="auto"/>
        <w:ind w:firstLine="420" w:firstLineChars="200"/>
        <w:rPr>
          <w:rFonts w:ascii="宋体" w:hAnsi="宋体"/>
          <w:color w:val="auto"/>
          <w:szCs w:val="21"/>
        </w:rPr>
      </w:pPr>
      <w:r>
        <w:rPr>
          <w:rFonts w:ascii="宋体" w:hAnsi="宋体"/>
          <w:color w:val="auto"/>
          <w:szCs w:val="21"/>
        </w:rPr>
        <w:t xml:space="preserve">8.7.4 </w:t>
      </w:r>
      <w:r>
        <w:rPr>
          <w:rFonts w:hint="eastAsia" w:ascii="宋体" w:hAnsi="宋体"/>
          <w:color w:val="auto"/>
          <w:szCs w:val="21"/>
        </w:rPr>
        <w:t>异常恶劣的气候条件</w:t>
      </w:r>
    </w:p>
    <w:p w14:paraId="6B40598B">
      <w:pPr>
        <w:spacing w:line="360" w:lineRule="auto"/>
        <w:ind w:firstLine="420" w:firstLineChars="200"/>
        <w:rPr>
          <w:rFonts w:ascii="宋体" w:hAnsi="宋体"/>
          <w:color w:val="auto"/>
          <w:szCs w:val="21"/>
        </w:rPr>
      </w:pPr>
      <w:r>
        <w:rPr>
          <w:rFonts w:hint="eastAsia" w:ascii="宋体" w:hAnsi="宋体"/>
          <w:color w:val="auto"/>
          <w:szCs w:val="21"/>
        </w:rPr>
        <w:t>双方约定视为异常恶劣的气候条件的情形：</w:t>
      </w:r>
      <w:r>
        <w:rPr>
          <w:rFonts w:ascii="宋体" w:hAnsi="宋体"/>
          <w:color w:val="auto"/>
          <w:szCs w:val="21"/>
          <w:u w:val="single"/>
        </w:rPr>
        <w:t xml:space="preserve"> </w:t>
      </w:r>
      <w:r>
        <w:rPr>
          <w:rFonts w:hint="eastAsia" w:ascii="宋体" w:hAnsi="宋体"/>
          <w:color w:val="auto"/>
          <w:szCs w:val="21"/>
          <w:u w:val="single"/>
        </w:rPr>
        <w:t>不可抗力</w:t>
      </w:r>
      <w:r>
        <w:rPr>
          <w:rFonts w:ascii="宋体" w:hAnsi="宋体"/>
          <w:color w:val="auto"/>
          <w:szCs w:val="21"/>
          <w:u w:val="single"/>
        </w:rPr>
        <w:t xml:space="preserve"> </w:t>
      </w:r>
      <w:r>
        <w:rPr>
          <w:rFonts w:hint="eastAsia" w:ascii="宋体" w:hAnsi="宋体"/>
          <w:color w:val="auto"/>
          <w:szCs w:val="21"/>
        </w:rPr>
        <w:t>。</w:t>
      </w:r>
    </w:p>
    <w:p w14:paraId="3211F574">
      <w:pPr>
        <w:pStyle w:val="4"/>
        <w:spacing w:before="120" w:line="360" w:lineRule="auto"/>
        <w:rPr>
          <w:color w:val="auto"/>
        </w:rPr>
      </w:pPr>
      <w:r>
        <w:rPr>
          <w:color w:val="auto"/>
        </w:rPr>
        <w:t xml:space="preserve">8.8 </w:t>
      </w:r>
      <w:r>
        <w:rPr>
          <w:rFonts w:hint="eastAsia"/>
          <w:color w:val="auto"/>
        </w:rPr>
        <w:t>工期提前</w:t>
      </w:r>
      <w:bookmarkEnd w:id="1952"/>
    </w:p>
    <w:p w14:paraId="6493309E">
      <w:pPr>
        <w:spacing w:line="360" w:lineRule="auto"/>
        <w:ind w:firstLine="420" w:firstLineChars="200"/>
        <w:rPr>
          <w:rFonts w:ascii="宋体" w:hAnsi="宋体"/>
          <w:color w:val="auto"/>
          <w:szCs w:val="21"/>
        </w:rPr>
      </w:pPr>
      <w:r>
        <w:rPr>
          <w:rFonts w:ascii="宋体" w:hAnsi="宋体"/>
          <w:color w:val="auto"/>
          <w:szCs w:val="21"/>
        </w:rPr>
        <w:t xml:space="preserve">8.8.2 </w:t>
      </w:r>
      <w:r>
        <w:rPr>
          <w:rFonts w:hint="eastAsia" w:ascii="宋体" w:hAnsi="宋体"/>
          <w:color w:val="auto"/>
          <w:szCs w:val="21"/>
        </w:rPr>
        <w:t>承包人提前竣工的奖励：</w:t>
      </w:r>
      <w:r>
        <w:rPr>
          <w:rFonts w:ascii="宋体" w:hAnsi="宋体"/>
          <w:color w:val="auto"/>
          <w:szCs w:val="21"/>
          <w:u w:val="single"/>
        </w:rPr>
        <w:t xml:space="preserve">  </w:t>
      </w:r>
      <w:r>
        <w:rPr>
          <w:rFonts w:hint="eastAsia" w:ascii="宋体" w:hAnsi="宋体"/>
          <w:color w:val="auto"/>
          <w:szCs w:val="21"/>
          <w:u w:val="single"/>
          <w:lang w:val="en-US" w:eastAsia="zh-CN"/>
        </w:rPr>
        <w:t>无</w:t>
      </w:r>
      <w:r>
        <w:rPr>
          <w:rFonts w:ascii="宋体" w:hAnsi="宋体"/>
          <w:color w:val="auto"/>
          <w:szCs w:val="21"/>
          <w:u w:val="single"/>
        </w:rPr>
        <w:t xml:space="preserve">  </w:t>
      </w:r>
      <w:r>
        <w:rPr>
          <w:rFonts w:hint="eastAsia" w:ascii="宋体" w:hAnsi="宋体"/>
          <w:color w:val="auto"/>
          <w:szCs w:val="21"/>
        </w:rPr>
        <w:t>。</w:t>
      </w:r>
    </w:p>
    <w:p w14:paraId="32411C6A">
      <w:pPr>
        <w:pStyle w:val="3"/>
        <w:spacing w:before="48" w:line="360" w:lineRule="auto"/>
        <w:rPr>
          <w:rFonts w:ascii="黑体" w:hAnsi="黑体"/>
          <w:bCs w:val="0"/>
          <w:color w:val="auto"/>
          <w:sz w:val="28"/>
        </w:rPr>
      </w:pPr>
      <w:bookmarkStart w:id="1953" w:name="_Toc54862340"/>
      <w:bookmarkStart w:id="1954" w:name="_Toc154063708"/>
      <w:r>
        <w:rPr>
          <w:rFonts w:hint="eastAsia" w:ascii="黑体" w:hAnsi="黑体"/>
          <w:bCs w:val="0"/>
          <w:color w:val="auto"/>
          <w:sz w:val="28"/>
        </w:rPr>
        <w:t>第</w:t>
      </w:r>
      <w:r>
        <w:rPr>
          <w:rFonts w:ascii="黑体" w:hAnsi="黑体"/>
          <w:bCs w:val="0"/>
          <w:color w:val="auto"/>
          <w:sz w:val="28"/>
        </w:rPr>
        <w:t>9条</w:t>
      </w:r>
      <w:r>
        <w:rPr>
          <w:rFonts w:hint="eastAsia" w:ascii="黑体" w:hAnsi="黑体"/>
          <w:bCs w:val="0"/>
          <w:color w:val="auto"/>
          <w:sz w:val="28"/>
        </w:rPr>
        <w:t xml:space="preserve"> 竣工试验</w:t>
      </w:r>
      <w:bookmarkEnd w:id="1953"/>
      <w:bookmarkEnd w:id="1954"/>
    </w:p>
    <w:p w14:paraId="77F96CA1">
      <w:pPr>
        <w:pStyle w:val="4"/>
        <w:spacing w:before="120" w:line="360" w:lineRule="auto"/>
        <w:rPr>
          <w:color w:val="auto"/>
        </w:rPr>
      </w:pPr>
      <w:bookmarkStart w:id="1955" w:name="_Toc154063709"/>
      <w:r>
        <w:rPr>
          <w:color w:val="auto"/>
        </w:rPr>
        <w:t xml:space="preserve">9.1 </w:t>
      </w:r>
      <w:r>
        <w:rPr>
          <w:rFonts w:hint="eastAsia"/>
          <w:color w:val="auto"/>
        </w:rPr>
        <w:t>竣工试验的义务</w:t>
      </w:r>
      <w:bookmarkEnd w:id="1955"/>
    </w:p>
    <w:p w14:paraId="21B29E32">
      <w:pPr>
        <w:spacing w:line="360" w:lineRule="auto"/>
        <w:ind w:firstLine="420" w:firstLineChars="200"/>
        <w:rPr>
          <w:rFonts w:ascii="宋体" w:hAnsi="宋体"/>
          <w:color w:val="auto"/>
          <w:szCs w:val="21"/>
        </w:rPr>
      </w:pPr>
      <w:bookmarkStart w:id="1956" w:name="_Toc4784273"/>
      <w:bookmarkEnd w:id="1956"/>
      <w:bookmarkStart w:id="1957" w:name="_Toc4784272"/>
      <w:bookmarkEnd w:id="1957"/>
      <w:bookmarkStart w:id="1958" w:name="_Toc54862341"/>
      <w:bookmarkStart w:id="1959" w:name="_Toc154063710"/>
      <w:r>
        <w:rPr>
          <w:rFonts w:ascii="宋体" w:hAnsi="宋体"/>
          <w:color w:val="auto"/>
          <w:szCs w:val="21"/>
        </w:rPr>
        <w:t xml:space="preserve">9.1.3 </w:t>
      </w:r>
      <w:r>
        <w:rPr>
          <w:rFonts w:hint="eastAsia" w:ascii="宋体" w:hAnsi="宋体"/>
          <w:color w:val="auto"/>
          <w:szCs w:val="21"/>
        </w:rPr>
        <w:t>竣工试验的阶段、内容和顺序：</w:t>
      </w:r>
      <w:r>
        <w:rPr>
          <w:rFonts w:ascii="宋体" w:hAnsi="宋体"/>
          <w:color w:val="auto"/>
          <w:szCs w:val="21"/>
          <w:u w:val="single"/>
        </w:rPr>
        <w:t xml:space="preserve"> </w:t>
      </w:r>
      <w:r>
        <w:rPr>
          <w:rFonts w:hint="eastAsia" w:ascii="宋体" w:hAnsi="宋体"/>
          <w:color w:val="auto"/>
          <w:szCs w:val="21"/>
          <w:u w:val="single"/>
        </w:rPr>
        <w:t>由发包人确定</w:t>
      </w:r>
      <w:r>
        <w:rPr>
          <w:rFonts w:ascii="宋体" w:hAnsi="宋体"/>
          <w:color w:val="auto"/>
          <w:szCs w:val="21"/>
          <w:u w:val="single"/>
        </w:rPr>
        <w:t xml:space="preserve"> </w:t>
      </w:r>
      <w:r>
        <w:rPr>
          <w:rFonts w:hint="eastAsia" w:ascii="宋体" w:hAnsi="宋体"/>
          <w:color w:val="auto"/>
          <w:szCs w:val="21"/>
        </w:rPr>
        <w:t>。</w:t>
      </w:r>
    </w:p>
    <w:p w14:paraId="59B3CDCB">
      <w:pPr>
        <w:spacing w:line="360" w:lineRule="auto"/>
        <w:ind w:firstLine="420" w:firstLineChars="200"/>
        <w:rPr>
          <w:rFonts w:ascii="宋体" w:hAnsi="宋体"/>
          <w:color w:val="auto"/>
          <w:szCs w:val="21"/>
        </w:rPr>
      </w:pPr>
      <w:r>
        <w:rPr>
          <w:rFonts w:hint="eastAsia" w:ascii="宋体" w:hAnsi="宋体"/>
          <w:color w:val="auto"/>
          <w:szCs w:val="21"/>
        </w:rPr>
        <w:t>竣工试验的操作要求：</w:t>
      </w:r>
      <w:r>
        <w:rPr>
          <w:rFonts w:hint="eastAsia" w:ascii="宋体" w:hAnsi="宋体"/>
          <w:color w:val="auto"/>
          <w:szCs w:val="21"/>
          <w:u w:val="single"/>
        </w:rPr>
        <w:t xml:space="preserve"> </w:t>
      </w:r>
      <w:r>
        <w:rPr>
          <w:rFonts w:hint="eastAsia" w:ascii="宋体" w:hAnsi="宋体"/>
          <w:color w:val="auto"/>
          <w:szCs w:val="21"/>
          <w:u w:val="single"/>
        </w:rPr>
        <w:t>由发包人确定</w:t>
      </w:r>
      <w:r>
        <w:rPr>
          <w:rFonts w:ascii="宋体" w:hAnsi="宋体"/>
          <w:color w:val="auto"/>
          <w:szCs w:val="21"/>
          <w:u w:val="single"/>
        </w:rPr>
        <w:t xml:space="preserve"> </w:t>
      </w:r>
      <w:r>
        <w:rPr>
          <w:rFonts w:hint="eastAsia" w:ascii="宋体" w:hAnsi="宋体"/>
          <w:color w:val="auto"/>
          <w:szCs w:val="21"/>
        </w:rPr>
        <w:t>。</w:t>
      </w:r>
    </w:p>
    <w:p w14:paraId="5F8C5BC7">
      <w:pPr>
        <w:pStyle w:val="3"/>
        <w:spacing w:before="48" w:line="360" w:lineRule="auto"/>
        <w:rPr>
          <w:rFonts w:ascii="黑体" w:hAnsi="黑体"/>
          <w:bCs w:val="0"/>
          <w:color w:val="auto"/>
          <w:sz w:val="28"/>
        </w:rPr>
      </w:pPr>
      <w:r>
        <w:rPr>
          <w:rFonts w:hint="eastAsia" w:ascii="黑体" w:hAnsi="黑体"/>
          <w:bCs w:val="0"/>
          <w:color w:val="auto"/>
          <w:sz w:val="28"/>
        </w:rPr>
        <w:t>第</w:t>
      </w:r>
      <w:r>
        <w:rPr>
          <w:rFonts w:ascii="黑体" w:hAnsi="黑体"/>
          <w:bCs w:val="0"/>
          <w:color w:val="auto"/>
          <w:sz w:val="28"/>
        </w:rPr>
        <w:t>10条</w:t>
      </w:r>
      <w:r>
        <w:rPr>
          <w:rFonts w:hint="eastAsia" w:ascii="黑体" w:hAnsi="黑体"/>
          <w:bCs w:val="0"/>
          <w:color w:val="auto"/>
          <w:sz w:val="28"/>
        </w:rPr>
        <w:t xml:space="preserve"> 验收和工程接收</w:t>
      </w:r>
      <w:bookmarkEnd w:id="1958"/>
      <w:bookmarkEnd w:id="1959"/>
    </w:p>
    <w:p w14:paraId="04B1C40F">
      <w:pPr>
        <w:pStyle w:val="4"/>
        <w:spacing w:before="120" w:line="360" w:lineRule="auto"/>
        <w:rPr>
          <w:color w:val="auto"/>
        </w:rPr>
      </w:pPr>
      <w:bookmarkStart w:id="1960" w:name="_Toc154063711"/>
      <w:r>
        <w:rPr>
          <w:color w:val="auto"/>
        </w:rPr>
        <w:t xml:space="preserve">10.1 </w:t>
      </w:r>
      <w:r>
        <w:rPr>
          <w:rFonts w:hint="eastAsia"/>
          <w:color w:val="auto"/>
        </w:rPr>
        <w:t>竣工验收</w:t>
      </w:r>
      <w:bookmarkEnd w:id="1960"/>
    </w:p>
    <w:p w14:paraId="2FD7DD20">
      <w:pPr>
        <w:spacing w:line="360" w:lineRule="auto"/>
        <w:ind w:firstLine="420" w:firstLineChars="200"/>
        <w:rPr>
          <w:rFonts w:ascii="宋体" w:hAnsi="宋体"/>
          <w:color w:val="auto"/>
          <w:szCs w:val="21"/>
        </w:rPr>
      </w:pPr>
      <w:bookmarkStart w:id="1961" w:name="_Hlk46406260"/>
      <w:r>
        <w:rPr>
          <w:rFonts w:ascii="宋体" w:hAnsi="宋体"/>
          <w:color w:val="auto"/>
          <w:szCs w:val="21"/>
        </w:rPr>
        <w:t xml:space="preserve">10.1.2 </w:t>
      </w:r>
      <w:r>
        <w:rPr>
          <w:rFonts w:hint="eastAsia" w:ascii="宋体" w:hAnsi="宋体"/>
          <w:color w:val="auto"/>
          <w:szCs w:val="21"/>
        </w:rPr>
        <w:t>关于竣工验收程序的约定：</w:t>
      </w:r>
      <w:r>
        <w:rPr>
          <w:rFonts w:ascii="宋体" w:hAnsi="宋体"/>
          <w:color w:val="auto"/>
          <w:szCs w:val="21"/>
          <w:u w:val="single"/>
        </w:rPr>
        <w:t xml:space="preserve"> </w:t>
      </w:r>
      <w:r>
        <w:rPr>
          <w:rFonts w:hint="eastAsia" w:ascii="宋体" w:hAnsi="宋体"/>
          <w:color w:val="auto"/>
          <w:szCs w:val="21"/>
          <w:u w:val="single"/>
        </w:rPr>
        <w:t>当工程完工后具备验收条件时，承包人在竣工验收前10日提交竣工验收申请报告，由项目总监理工程师组织预验收，预验收过程中，如发现存在问题，监理必须发出《监理工程师通知单》要求施工单位限时整改，整改完毕后由监理人审查，达到验收条件后，按程序进行工程竣工验收</w:t>
      </w:r>
      <w:r>
        <w:rPr>
          <w:rFonts w:ascii="宋体" w:hAnsi="宋体"/>
          <w:color w:val="auto"/>
          <w:szCs w:val="21"/>
          <w:u w:val="single"/>
        </w:rPr>
        <w:t xml:space="preserve"> </w:t>
      </w:r>
      <w:r>
        <w:rPr>
          <w:rFonts w:hint="eastAsia" w:ascii="宋体" w:hAnsi="宋体"/>
          <w:color w:val="auto"/>
          <w:szCs w:val="21"/>
        </w:rPr>
        <w:t>。</w:t>
      </w:r>
    </w:p>
    <w:p w14:paraId="72D4A984">
      <w:pPr>
        <w:spacing w:line="360" w:lineRule="auto"/>
        <w:ind w:firstLine="420" w:firstLineChars="200"/>
        <w:rPr>
          <w:rFonts w:ascii="宋体" w:hAnsi="宋体"/>
          <w:color w:val="auto"/>
          <w:szCs w:val="21"/>
        </w:rPr>
      </w:pPr>
      <w:r>
        <w:rPr>
          <w:rFonts w:hint="eastAsia" w:ascii="宋体" w:hAnsi="宋体"/>
          <w:color w:val="auto"/>
          <w:szCs w:val="21"/>
        </w:rPr>
        <w:t>发包人不按照合同约定组织竣工验收、颁发工程接受证书的违约金的计算方式：</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szCs w:val="21"/>
          <w:u w:val="single"/>
          <w:lang w:val="en-US" w:eastAsia="zh-CN"/>
        </w:rPr>
        <w:t>无</w:t>
      </w:r>
      <w:r>
        <w:rPr>
          <w:rFonts w:hint="eastAsia" w:ascii="宋体" w:hAnsi="宋体"/>
          <w:color w:val="auto"/>
          <w:szCs w:val="21"/>
          <w:u w:val="single"/>
        </w:rPr>
        <w:t xml:space="preserve">  </w:t>
      </w:r>
      <w:r>
        <w:rPr>
          <w:rFonts w:hint="eastAsia" w:ascii="宋体" w:hAnsi="宋体"/>
          <w:color w:val="auto"/>
          <w:szCs w:val="21"/>
        </w:rPr>
        <w:t>。</w:t>
      </w:r>
    </w:p>
    <w:bookmarkEnd w:id="1961"/>
    <w:p w14:paraId="5BD84E5A">
      <w:pPr>
        <w:pStyle w:val="4"/>
        <w:spacing w:before="120" w:line="360" w:lineRule="auto"/>
        <w:rPr>
          <w:color w:val="auto"/>
        </w:rPr>
      </w:pPr>
      <w:bookmarkStart w:id="1962" w:name="_Toc154063712"/>
      <w:r>
        <w:rPr>
          <w:color w:val="auto"/>
        </w:rPr>
        <w:t>10.3</w:t>
      </w:r>
      <w:r>
        <w:rPr>
          <w:rFonts w:hint="eastAsia"/>
          <w:color w:val="auto"/>
        </w:rPr>
        <w:t xml:space="preserve">  </w:t>
      </w:r>
      <w:r>
        <w:rPr>
          <w:color w:val="auto"/>
        </w:rPr>
        <w:t>工程的接收</w:t>
      </w:r>
      <w:bookmarkEnd w:id="1962"/>
    </w:p>
    <w:p w14:paraId="484BAE2B">
      <w:pPr>
        <w:spacing w:line="360" w:lineRule="auto"/>
        <w:ind w:firstLine="420" w:firstLineChars="200"/>
        <w:rPr>
          <w:rFonts w:ascii="宋体" w:hAnsi="宋体"/>
          <w:color w:val="auto"/>
          <w:szCs w:val="21"/>
        </w:rPr>
      </w:pPr>
      <w:r>
        <w:rPr>
          <w:rFonts w:ascii="宋体" w:hAnsi="宋体"/>
          <w:color w:val="auto"/>
          <w:szCs w:val="21"/>
        </w:rPr>
        <w:t>10.3.1</w:t>
      </w:r>
      <w:r>
        <w:rPr>
          <w:rFonts w:hint="eastAsia" w:ascii="宋体" w:hAnsi="宋体"/>
          <w:color w:val="auto"/>
          <w:szCs w:val="21"/>
        </w:rPr>
        <w:t>工程接收的先后顺序、时间安排和其他要求：</w:t>
      </w:r>
      <w:r>
        <w:rPr>
          <w:rFonts w:ascii="宋体" w:hAnsi="宋体"/>
          <w:color w:val="auto"/>
          <w:szCs w:val="21"/>
          <w:u w:val="single"/>
        </w:rPr>
        <w:t xml:space="preserve"> </w:t>
      </w:r>
      <w:r>
        <w:rPr>
          <w:rFonts w:hint="eastAsia" w:ascii="宋体" w:hAnsi="宋体"/>
          <w:color w:val="auto"/>
          <w:szCs w:val="21"/>
          <w:u w:val="single"/>
        </w:rPr>
        <w:t>由发包人确定</w:t>
      </w:r>
      <w:r>
        <w:rPr>
          <w:rFonts w:ascii="宋体" w:hAnsi="宋体"/>
          <w:color w:val="auto"/>
          <w:szCs w:val="21"/>
          <w:u w:val="single"/>
        </w:rPr>
        <w:t xml:space="preserve"> </w:t>
      </w:r>
      <w:r>
        <w:rPr>
          <w:rFonts w:hint="eastAsia" w:ascii="宋体" w:hAnsi="宋体"/>
          <w:color w:val="auto"/>
          <w:szCs w:val="21"/>
        </w:rPr>
        <w:t>。</w:t>
      </w:r>
    </w:p>
    <w:p w14:paraId="4FD83DFD">
      <w:pPr>
        <w:spacing w:line="360" w:lineRule="auto"/>
        <w:ind w:firstLine="420" w:firstLineChars="200"/>
        <w:rPr>
          <w:rFonts w:ascii="宋体" w:hAnsi="宋体"/>
          <w:color w:val="auto"/>
          <w:szCs w:val="21"/>
        </w:rPr>
      </w:pPr>
      <w:r>
        <w:rPr>
          <w:rFonts w:ascii="宋体" w:hAnsi="宋体"/>
          <w:color w:val="auto"/>
          <w:szCs w:val="21"/>
        </w:rPr>
        <w:t xml:space="preserve">10.3.2 </w:t>
      </w:r>
      <w:r>
        <w:rPr>
          <w:rFonts w:hint="eastAsia" w:ascii="宋体" w:hAnsi="宋体"/>
          <w:color w:val="auto"/>
          <w:szCs w:val="21"/>
        </w:rPr>
        <w:t>接受工程时承包人需提交竣工验收资料的类别、内容、份数和提交时间：</w:t>
      </w:r>
      <w:r>
        <w:rPr>
          <w:rFonts w:ascii="宋体" w:hAnsi="宋体"/>
          <w:color w:val="auto"/>
          <w:szCs w:val="21"/>
          <w:u w:val="single"/>
        </w:rPr>
        <w:t xml:space="preserve"> </w:t>
      </w:r>
      <w:r>
        <w:rPr>
          <w:rFonts w:hint="eastAsia" w:ascii="宋体" w:hAnsi="宋体"/>
          <w:color w:val="auto"/>
          <w:szCs w:val="21"/>
          <w:u w:val="single"/>
        </w:rPr>
        <w:t>详见补充条款</w:t>
      </w:r>
      <w:r>
        <w:rPr>
          <w:rFonts w:ascii="宋体" w:hAnsi="宋体"/>
          <w:color w:val="auto"/>
          <w:szCs w:val="21"/>
          <w:u w:val="single"/>
        </w:rPr>
        <w:t xml:space="preserve"> </w:t>
      </w:r>
      <w:r>
        <w:rPr>
          <w:rFonts w:hint="eastAsia" w:ascii="宋体" w:hAnsi="宋体"/>
          <w:color w:val="auto"/>
          <w:szCs w:val="21"/>
        </w:rPr>
        <w:t>。</w:t>
      </w:r>
    </w:p>
    <w:p w14:paraId="2DD39766">
      <w:pPr>
        <w:spacing w:line="360" w:lineRule="auto"/>
        <w:ind w:firstLine="420" w:firstLineChars="200"/>
        <w:rPr>
          <w:rFonts w:ascii="宋体" w:hAnsi="宋体"/>
          <w:color w:val="auto"/>
          <w:szCs w:val="21"/>
        </w:rPr>
      </w:pPr>
      <w:r>
        <w:rPr>
          <w:rFonts w:ascii="宋体" w:hAnsi="宋体"/>
          <w:color w:val="auto"/>
          <w:szCs w:val="21"/>
        </w:rPr>
        <w:t xml:space="preserve">10.3.3 </w:t>
      </w:r>
      <w:r>
        <w:rPr>
          <w:rFonts w:hint="eastAsia" w:ascii="宋体" w:hAnsi="宋体"/>
          <w:color w:val="auto"/>
          <w:szCs w:val="21"/>
        </w:rPr>
        <w:t>发包人逾期接收工程的违约责任：</w:t>
      </w:r>
      <w:r>
        <w:rPr>
          <w:rFonts w:ascii="宋体" w:hAnsi="宋体"/>
          <w:color w:val="auto"/>
          <w:szCs w:val="21"/>
          <w:u w:val="single"/>
        </w:rPr>
        <w:t xml:space="preserve"> </w:t>
      </w:r>
      <w:r>
        <w:rPr>
          <w:rFonts w:hint="eastAsia" w:ascii="宋体" w:hAnsi="宋体"/>
          <w:color w:val="auto"/>
          <w:szCs w:val="21"/>
          <w:u w:val="single"/>
        </w:rPr>
        <w:t>按合同通用条款执行</w:t>
      </w:r>
      <w:r>
        <w:rPr>
          <w:rFonts w:ascii="宋体" w:hAnsi="宋体"/>
          <w:color w:val="auto"/>
          <w:szCs w:val="21"/>
          <w:u w:val="single"/>
        </w:rPr>
        <w:t xml:space="preserve"> </w:t>
      </w:r>
      <w:r>
        <w:rPr>
          <w:rFonts w:hint="eastAsia" w:ascii="宋体" w:hAnsi="宋体"/>
          <w:color w:val="auto"/>
          <w:szCs w:val="21"/>
        </w:rPr>
        <w:t>。</w:t>
      </w:r>
    </w:p>
    <w:p w14:paraId="07911178">
      <w:pPr>
        <w:spacing w:line="360" w:lineRule="auto"/>
        <w:ind w:firstLine="420" w:firstLineChars="200"/>
        <w:rPr>
          <w:rFonts w:ascii="宋体" w:hAnsi="宋体"/>
          <w:color w:val="auto"/>
          <w:szCs w:val="21"/>
        </w:rPr>
      </w:pPr>
      <w:r>
        <w:rPr>
          <w:rFonts w:ascii="宋体" w:hAnsi="宋体"/>
          <w:color w:val="auto"/>
          <w:szCs w:val="21"/>
        </w:rPr>
        <w:t xml:space="preserve">10.3.4 </w:t>
      </w:r>
      <w:r>
        <w:rPr>
          <w:rFonts w:hint="eastAsia" w:ascii="宋体" w:hAnsi="宋体"/>
          <w:color w:val="auto"/>
          <w:szCs w:val="21"/>
        </w:rPr>
        <w:t>承包人无正当理由不移交工程的违约责任：</w:t>
      </w:r>
      <w:r>
        <w:rPr>
          <w:rFonts w:ascii="宋体" w:hAnsi="宋体"/>
          <w:color w:val="auto"/>
          <w:szCs w:val="21"/>
          <w:u w:val="single"/>
        </w:rPr>
        <w:t xml:space="preserve"> </w:t>
      </w:r>
      <w:r>
        <w:rPr>
          <w:rFonts w:hint="eastAsia" w:ascii="宋体" w:hAnsi="宋体"/>
          <w:color w:val="auto"/>
          <w:szCs w:val="21"/>
          <w:u w:val="single"/>
        </w:rPr>
        <w:t>按合同通用条款执行</w:t>
      </w:r>
      <w:r>
        <w:rPr>
          <w:rFonts w:ascii="宋体" w:hAnsi="宋体"/>
          <w:color w:val="auto"/>
          <w:szCs w:val="21"/>
          <w:u w:val="single"/>
        </w:rPr>
        <w:t xml:space="preserve"> </w:t>
      </w:r>
      <w:r>
        <w:rPr>
          <w:rFonts w:hint="eastAsia" w:ascii="宋体" w:hAnsi="宋体"/>
          <w:color w:val="auto"/>
          <w:szCs w:val="21"/>
        </w:rPr>
        <w:t>。</w:t>
      </w:r>
    </w:p>
    <w:p w14:paraId="3F2D420E">
      <w:pPr>
        <w:pStyle w:val="4"/>
        <w:spacing w:before="120" w:line="360" w:lineRule="auto"/>
        <w:rPr>
          <w:color w:val="auto"/>
        </w:rPr>
      </w:pPr>
      <w:bookmarkStart w:id="1963" w:name="_Toc154063713"/>
      <w:r>
        <w:rPr>
          <w:color w:val="auto"/>
        </w:rPr>
        <w:t xml:space="preserve">10.4 </w:t>
      </w:r>
      <w:r>
        <w:rPr>
          <w:rFonts w:hint="eastAsia"/>
          <w:color w:val="auto"/>
        </w:rPr>
        <w:t>接收证书</w:t>
      </w:r>
      <w:bookmarkEnd w:id="1963"/>
    </w:p>
    <w:p w14:paraId="3299FF74">
      <w:pPr>
        <w:spacing w:line="360" w:lineRule="auto"/>
        <w:ind w:firstLine="420" w:firstLineChars="200"/>
        <w:rPr>
          <w:rFonts w:ascii="宋体" w:hAnsi="宋体"/>
          <w:color w:val="auto"/>
          <w:szCs w:val="21"/>
        </w:rPr>
      </w:pPr>
      <w:bookmarkStart w:id="1964" w:name="_Toc154063714"/>
      <w:r>
        <w:rPr>
          <w:rFonts w:ascii="宋体" w:hAnsi="宋体"/>
          <w:color w:val="auto"/>
          <w:szCs w:val="21"/>
        </w:rPr>
        <w:t xml:space="preserve">10.4.1 </w:t>
      </w:r>
      <w:r>
        <w:rPr>
          <w:rFonts w:hint="eastAsia" w:ascii="宋体" w:hAnsi="宋体"/>
          <w:color w:val="auto"/>
          <w:szCs w:val="21"/>
        </w:rPr>
        <w:t>工程接收证书颁发时间：</w:t>
      </w:r>
      <w:r>
        <w:rPr>
          <w:rFonts w:ascii="宋体" w:hAnsi="宋体"/>
          <w:color w:val="auto"/>
          <w:szCs w:val="21"/>
          <w:u w:val="single"/>
        </w:rPr>
        <w:t xml:space="preserve"> </w:t>
      </w:r>
      <w:r>
        <w:rPr>
          <w:rFonts w:hint="eastAsia" w:ascii="宋体" w:hAnsi="宋体"/>
          <w:color w:val="auto"/>
          <w:szCs w:val="21"/>
          <w:u w:val="single"/>
        </w:rPr>
        <w:t>由发包人确定</w:t>
      </w:r>
      <w:r>
        <w:rPr>
          <w:rFonts w:ascii="宋体" w:hAnsi="宋体"/>
          <w:color w:val="auto"/>
          <w:szCs w:val="21"/>
          <w:u w:val="single"/>
        </w:rPr>
        <w:t xml:space="preserve"> </w:t>
      </w:r>
      <w:r>
        <w:rPr>
          <w:rFonts w:hint="eastAsia" w:ascii="宋体" w:hAnsi="宋体"/>
          <w:color w:val="auto"/>
          <w:szCs w:val="21"/>
        </w:rPr>
        <w:t>。</w:t>
      </w:r>
    </w:p>
    <w:p w14:paraId="482326F9">
      <w:pPr>
        <w:pStyle w:val="4"/>
        <w:keepNext w:val="0"/>
        <w:keepLines/>
        <w:pageBreakBefore w:val="0"/>
        <w:widowControl w:val="0"/>
        <w:kinsoku/>
        <w:wordWrap/>
        <w:overflowPunct/>
        <w:topLinePunct w:val="0"/>
        <w:autoSpaceDE/>
        <w:autoSpaceDN/>
        <w:bidi w:val="0"/>
        <w:adjustRightInd/>
        <w:snapToGrid/>
        <w:spacing w:before="120" w:line="360" w:lineRule="auto"/>
        <w:textAlignment w:val="auto"/>
        <w:rPr>
          <w:color w:val="auto"/>
        </w:rPr>
      </w:pPr>
      <w:r>
        <w:rPr>
          <w:color w:val="auto"/>
        </w:rPr>
        <w:t xml:space="preserve">10.5 </w:t>
      </w:r>
      <w:r>
        <w:rPr>
          <w:rFonts w:hint="eastAsia"/>
          <w:color w:val="auto"/>
        </w:rPr>
        <w:t>竣工退场</w:t>
      </w:r>
      <w:bookmarkEnd w:id="1964"/>
    </w:p>
    <w:p w14:paraId="57CF2788">
      <w:pPr>
        <w:spacing w:line="360" w:lineRule="auto"/>
        <w:ind w:firstLine="420" w:firstLineChars="200"/>
        <w:rPr>
          <w:rFonts w:ascii="宋体" w:hAnsi="宋体"/>
          <w:color w:val="auto"/>
          <w:szCs w:val="21"/>
        </w:rPr>
      </w:pPr>
      <w:bookmarkStart w:id="1965" w:name="_Toc154063715"/>
      <w:bookmarkStart w:id="1966" w:name="_Toc54862342"/>
      <w:r>
        <w:rPr>
          <w:rFonts w:ascii="宋体" w:hAnsi="宋体"/>
          <w:color w:val="auto"/>
          <w:szCs w:val="21"/>
        </w:rPr>
        <w:t xml:space="preserve">10.5.1 </w:t>
      </w:r>
      <w:r>
        <w:rPr>
          <w:rFonts w:hint="eastAsia" w:ascii="宋体" w:hAnsi="宋体"/>
          <w:color w:val="auto"/>
          <w:szCs w:val="21"/>
        </w:rPr>
        <w:t>竣工退场的相关约定：</w:t>
      </w:r>
      <w:r>
        <w:rPr>
          <w:rFonts w:ascii="宋体" w:hAnsi="宋体"/>
          <w:color w:val="auto"/>
          <w:szCs w:val="21"/>
          <w:u w:val="single"/>
        </w:rPr>
        <w:t xml:space="preserve"> </w:t>
      </w:r>
      <w:r>
        <w:rPr>
          <w:rFonts w:hint="eastAsia" w:ascii="宋体" w:hAnsi="宋体"/>
          <w:color w:val="auto"/>
          <w:szCs w:val="21"/>
          <w:u w:val="single"/>
        </w:rPr>
        <w:t>工程接收证书颁发后，承包人应按要求对施工现场进行整理。直至监理人检验合格为止，竣工清场费用由承包人承担</w:t>
      </w:r>
      <w:r>
        <w:rPr>
          <w:rFonts w:ascii="宋体" w:hAnsi="宋体"/>
          <w:color w:val="auto"/>
          <w:szCs w:val="21"/>
          <w:u w:val="single"/>
        </w:rPr>
        <w:t xml:space="preserve"> </w:t>
      </w:r>
      <w:r>
        <w:rPr>
          <w:rFonts w:hint="eastAsia" w:ascii="宋体" w:hAnsi="宋体"/>
          <w:color w:val="auto"/>
          <w:szCs w:val="21"/>
        </w:rPr>
        <w:t>。</w:t>
      </w:r>
    </w:p>
    <w:p w14:paraId="19A43A1E">
      <w:pPr>
        <w:spacing w:line="360" w:lineRule="auto"/>
        <w:ind w:firstLine="420" w:firstLineChars="200"/>
        <w:rPr>
          <w:rFonts w:ascii="宋体" w:hAnsi="宋体"/>
          <w:color w:val="auto"/>
          <w:szCs w:val="21"/>
        </w:rPr>
      </w:pPr>
      <w:r>
        <w:rPr>
          <w:rFonts w:ascii="宋体" w:hAnsi="宋体"/>
          <w:color w:val="auto"/>
          <w:szCs w:val="21"/>
        </w:rPr>
        <w:t>10.5.3</w:t>
      </w:r>
      <w:r>
        <w:rPr>
          <w:rFonts w:hint="eastAsia" w:ascii="宋体" w:hAnsi="宋体"/>
          <w:color w:val="auto"/>
          <w:szCs w:val="21"/>
        </w:rPr>
        <w:t>人员撤离</w:t>
      </w:r>
    </w:p>
    <w:p w14:paraId="19DD34AB">
      <w:pPr>
        <w:spacing w:line="360" w:lineRule="auto"/>
        <w:ind w:firstLine="420" w:firstLineChars="200"/>
        <w:rPr>
          <w:rFonts w:ascii="宋体" w:hAnsi="宋体"/>
          <w:color w:val="auto"/>
          <w:szCs w:val="21"/>
        </w:rPr>
      </w:pPr>
      <w:r>
        <w:rPr>
          <w:rFonts w:hint="eastAsia" w:ascii="宋体" w:hAnsi="宋体"/>
          <w:color w:val="auto"/>
          <w:szCs w:val="21"/>
        </w:rPr>
        <w:t>工程师同意需在缺陷责任期内继续工作和使用的人员、施工设备和临时工程的内容：</w:t>
      </w:r>
      <w:r>
        <w:rPr>
          <w:rFonts w:ascii="宋体" w:hAnsi="宋体"/>
          <w:color w:val="auto"/>
          <w:szCs w:val="21"/>
          <w:u w:val="single"/>
        </w:rPr>
        <w:t xml:space="preserve"> </w:t>
      </w:r>
      <w:r>
        <w:rPr>
          <w:rFonts w:hint="eastAsia" w:ascii="宋体" w:hAnsi="宋体"/>
          <w:color w:val="auto"/>
          <w:szCs w:val="21"/>
          <w:u w:val="single"/>
        </w:rPr>
        <w:t>由发包人确定</w:t>
      </w:r>
      <w:r>
        <w:rPr>
          <w:rFonts w:ascii="宋体" w:hAnsi="宋体"/>
          <w:color w:val="auto"/>
          <w:szCs w:val="21"/>
          <w:u w:val="single"/>
        </w:rPr>
        <w:t xml:space="preserve"> </w:t>
      </w:r>
      <w:r>
        <w:rPr>
          <w:rFonts w:hint="eastAsia" w:ascii="宋体" w:hAnsi="宋体"/>
          <w:color w:val="auto"/>
          <w:szCs w:val="21"/>
        </w:rPr>
        <w:t>。</w:t>
      </w:r>
    </w:p>
    <w:p w14:paraId="14A60203">
      <w:pPr>
        <w:pStyle w:val="3"/>
        <w:spacing w:before="48" w:line="360" w:lineRule="auto"/>
        <w:rPr>
          <w:rFonts w:ascii="黑体" w:hAnsi="黑体"/>
          <w:bCs w:val="0"/>
          <w:color w:val="auto"/>
          <w:sz w:val="28"/>
        </w:rPr>
      </w:pPr>
      <w:r>
        <w:rPr>
          <w:rFonts w:hint="eastAsia" w:ascii="黑体" w:hAnsi="黑体"/>
          <w:bCs w:val="0"/>
          <w:color w:val="auto"/>
          <w:sz w:val="28"/>
        </w:rPr>
        <w:t>第</w:t>
      </w:r>
      <w:r>
        <w:rPr>
          <w:rFonts w:ascii="黑体" w:hAnsi="黑体"/>
          <w:bCs w:val="0"/>
          <w:color w:val="auto"/>
          <w:sz w:val="28"/>
        </w:rPr>
        <w:t>11条</w:t>
      </w:r>
      <w:r>
        <w:rPr>
          <w:rFonts w:hint="eastAsia" w:ascii="黑体" w:hAnsi="黑体"/>
          <w:bCs w:val="0"/>
          <w:color w:val="auto"/>
          <w:sz w:val="28"/>
        </w:rPr>
        <w:t xml:space="preserve"> 缺陷责任与保修</w:t>
      </w:r>
      <w:bookmarkEnd w:id="1965"/>
      <w:bookmarkEnd w:id="1966"/>
    </w:p>
    <w:p w14:paraId="08724132">
      <w:pPr>
        <w:pStyle w:val="4"/>
        <w:spacing w:before="120" w:line="360" w:lineRule="auto"/>
        <w:rPr>
          <w:color w:val="auto"/>
        </w:rPr>
      </w:pPr>
      <w:bookmarkStart w:id="1967" w:name="_Toc154063716"/>
      <w:r>
        <w:rPr>
          <w:color w:val="auto"/>
        </w:rPr>
        <w:t xml:space="preserve">11.2 </w:t>
      </w:r>
      <w:r>
        <w:rPr>
          <w:rFonts w:hint="eastAsia"/>
          <w:color w:val="auto"/>
        </w:rPr>
        <w:t>缺陷责任期</w:t>
      </w:r>
      <w:bookmarkEnd w:id="1967"/>
    </w:p>
    <w:p w14:paraId="7D4C3EC9">
      <w:pPr>
        <w:spacing w:line="360" w:lineRule="auto"/>
        <w:ind w:firstLine="420" w:firstLineChars="200"/>
        <w:rPr>
          <w:rFonts w:ascii="宋体" w:hAnsi="宋体"/>
          <w:color w:val="auto"/>
          <w:szCs w:val="21"/>
        </w:rPr>
      </w:pPr>
      <w:bookmarkStart w:id="1968" w:name="_Toc154063717"/>
      <w:r>
        <w:rPr>
          <w:rFonts w:ascii="宋体" w:hAnsi="宋体"/>
          <w:color w:val="auto"/>
          <w:szCs w:val="21"/>
        </w:rPr>
        <w:t>缺陷责任期的</w:t>
      </w:r>
      <w:r>
        <w:rPr>
          <w:rFonts w:hint="eastAsia" w:ascii="宋体" w:hAnsi="宋体"/>
          <w:color w:val="auto"/>
          <w:szCs w:val="21"/>
        </w:rPr>
        <w:t>期限：</w:t>
      </w:r>
      <w:r>
        <w:rPr>
          <w:rFonts w:ascii="宋体" w:hAnsi="宋体"/>
          <w:color w:val="auto"/>
          <w:szCs w:val="21"/>
          <w:u w:val="single"/>
        </w:rPr>
        <w:t xml:space="preserve"> </w:t>
      </w:r>
      <w:r>
        <w:rPr>
          <w:rFonts w:hint="eastAsia" w:ascii="宋体" w:hAnsi="宋体"/>
          <w:color w:val="auto"/>
          <w:szCs w:val="21"/>
          <w:u w:val="single"/>
        </w:rPr>
        <w:t>24个月</w:t>
      </w:r>
      <w:r>
        <w:rPr>
          <w:rFonts w:ascii="宋体" w:hAnsi="宋体"/>
          <w:color w:val="auto"/>
          <w:szCs w:val="21"/>
          <w:u w:val="single"/>
        </w:rPr>
        <w:t xml:space="preserve"> </w:t>
      </w:r>
      <w:r>
        <w:rPr>
          <w:rFonts w:hint="eastAsia" w:ascii="宋体" w:hAnsi="宋体"/>
          <w:color w:val="auto"/>
          <w:szCs w:val="21"/>
        </w:rPr>
        <w:t>。</w:t>
      </w:r>
    </w:p>
    <w:p w14:paraId="6D9246B8">
      <w:pPr>
        <w:pStyle w:val="4"/>
        <w:spacing w:before="120" w:line="360" w:lineRule="auto"/>
        <w:rPr>
          <w:color w:val="auto"/>
        </w:rPr>
      </w:pPr>
      <w:r>
        <w:rPr>
          <w:color w:val="auto"/>
        </w:rPr>
        <w:t xml:space="preserve">11.3 </w:t>
      </w:r>
      <w:r>
        <w:rPr>
          <w:rFonts w:hint="eastAsia"/>
          <w:color w:val="auto"/>
        </w:rPr>
        <w:t>缺陷调查</w:t>
      </w:r>
      <w:bookmarkEnd w:id="1968"/>
    </w:p>
    <w:p w14:paraId="4F825C94">
      <w:pPr>
        <w:spacing w:line="360" w:lineRule="auto"/>
        <w:ind w:firstLine="420" w:firstLineChars="200"/>
        <w:rPr>
          <w:rFonts w:ascii="宋体" w:hAnsi="宋体"/>
          <w:color w:val="auto"/>
          <w:szCs w:val="21"/>
        </w:rPr>
      </w:pPr>
      <w:r>
        <w:rPr>
          <w:rFonts w:ascii="宋体" w:hAnsi="宋体"/>
          <w:color w:val="auto"/>
          <w:szCs w:val="21"/>
        </w:rPr>
        <w:t xml:space="preserve">11.3.4 </w:t>
      </w:r>
      <w:r>
        <w:rPr>
          <w:rFonts w:hint="eastAsia" w:ascii="宋体" w:hAnsi="宋体"/>
          <w:color w:val="auto"/>
          <w:szCs w:val="21"/>
        </w:rPr>
        <w:t>修复通知</w:t>
      </w:r>
    </w:p>
    <w:p w14:paraId="7E7FE810">
      <w:pPr>
        <w:spacing w:line="360" w:lineRule="auto"/>
        <w:ind w:firstLine="420" w:firstLineChars="200"/>
        <w:rPr>
          <w:rFonts w:ascii="宋体" w:hAnsi="宋体"/>
          <w:color w:val="auto"/>
          <w:szCs w:val="21"/>
        </w:rPr>
      </w:pPr>
      <w:bookmarkStart w:id="1969" w:name="_Toc154063718"/>
      <w:r>
        <w:rPr>
          <w:rFonts w:ascii="宋体" w:hAnsi="宋体"/>
          <w:color w:val="auto"/>
          <w:szCs w:val="21"/>
        </w:rPr>
        <w:t>承包人收到保修通知并到达工程现场的合理时间：</w:t>
      </w:r>
      <w:r>
        <w:rPr>
          <w:rFonts w:ascii="宋体" w:hAnsi="宋体"/>
          <w:color w:val="auto"/>
          <w:szCs w:val="21"/>
          <w:u w:val="single"/>
        </w:rPr>
        <w:t xml:space="preserve"> </w:t>
      </w:r>
      <w:r>
        <w:rPr>
          <w:rFonts w:hint="eastAsia" w:ascii="宋体" w:hAnsi="宋体"/>
          <w:color w:val="auto"/>
          <w:szCs w:val="21"/>
          <w:u w:val="single"/>
        </w:rPr>
        <w:t>由发包人确定</w:t>
      </w:r>
      <w:r>
        <w:rPr>
          <w:rFonts w:ascii="宋体" w:hAnsi="宋体"/>
          <w:color w:val="auto"/>
          <w:szCs w:val="21"/>
          <w:u w:val="single"/>
        </w:rPr>
        <w:t xml:space="preserve"> </w:t>
      </w:r>
      <w:r>
        <w:rPr>
          <w:rFonts w:hint="eastAsia" w:ascii="宋体" w:hAnsi="宋体"/>
          <w:color w:val="auto"/>
          <w:szCs w:val="21"/>
        </w:rPr>
        <w:t>。</w:t>
      </w:r>
    </w:p>
    <w:p w14:paraId="6009978F">
      <w:pPr>
        <w:pStyle w:val="4"/>
        <w:spacing w:before="120" w:line="360" w:lineRule="auto"/>
        <w:rPr>
          <w:color w:val="auto"/>
        </w:rPr>
      </w:pPr>
      <w:r>
        <w:rPr>
          <w:color w:val="auto"/>
        </w:rPr>
        <w:t xml:space="preserve">11.6 </w:t>
      </w:r>
      <w:r>
        <w:rPr>
          <w:rFonts w:hint="eastAsia"/>
          <w:color w:val="auto"/>
        </w:rPr>
        <w:t>缺陷责任期终止证书</w:t>
      </w:r>
      <w:bookmarkEnd w:id="1969"/>
    </w:p>
    <w:p w14:paraId="436C876A">
      <w:pPr>
        <w:spacing w:line="360" w:lineRule="auto"/>
        <w:ind w:firstLine="420" w:firstLineChars="200"/>
        <w:rPr>
          <w:rFonts w:ascii="宋体" w:hAnsi="宋体"/>
          <w:color w:val="auto"/>
          <w:szCs w:val="21"/>
        </w:rPr>
      </w:pPr>
      <w:bookmarkStart w:id="1970" w:name="_Toc154063719"/>
      <w:r>
        <w:rPr>
          <w:rFonts w:hint="eastAsia" w:ascii="宋体" w:hAnsi="宋体"/>
          <w:color w:val="auto"/>
          <w:szCs w:val="21"/>
        </w:rPr>
        <w:t>承包人应于缺陷责任期届满后</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lang w:val="en-US" w:eastAsia="zh-CN"/>
        </w:rPr>
        <w:t>14</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rPr>
        <w:t>天内向发包人发出缺陷责任期届满通知，发包人应在收到缺陷责任期满通知后</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lang w:val="en-US" w:eastAsia="zh-CN"/>
        </w:rPr>
        <w:t>14</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rPr>
        <w:t>天内核实承包人是否履行缺陷修复义务，承包人未能履行缺陷修复义务的，发包人有权扣除相应金额的维修费用。发包人应在收到缺陷责任期届满通知后</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lang w:val="en-US" w:eastAsia="zh-CN"/>
        </w:rPr>
        <w:t>14</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rPr>
        <w:t>天内，向承包人颁发缺陷责任期终止证书。</w:t>
      </w:r>
    </w:p>
    <w:p w14:paraId="54A608E2">
      <w:pPr>
        <w:pStyle w:val="4"/>
        <w:spacing w:before="120" w:line="360" w:lineRule="auto"/>
        <w:rPr>
          <w:color w:val="auto"/>
        </w:rPr>
      </w:pPr>
      <w:r>
        <w:rPr>
          <w:color w:val="auto"/>
        </w:rPr>
        <w:t xml:space="preserve">11.7 </w:t>
      </w:r>
      <w:r>
        <w:rPr>
          <w:rFonts w:hint="eastAsia"/>
          <w:color w:val="auto"/>
        </w:rPr>
        <w:t>保修责任</w:t>
      </w:r>
      <w:bookmarkEnd w:id="1970"/>
    </w:p>
    <w:p w14:paraId="5ED597A6">
      <w:pPr>
        <w:spacing w:line="360" w:lineRule="auto"/>
        <w:ind w:firstLine="420" w:firstLineChars="200"/>
        <w:rPr>
          <w:rFonts w:ascii="宋体" w:hAnsi="宋体"/>
          <w:color w:val="auto"/>
          <w:szCs w:val="21"/>
        </w:rPr>
      </w:pPr>
      <w:bookmarkStart w:id="1971" w:name="_Toc54862343"/>
      <w:bookmarkStart w:id="1972" w:name="_Toc154063720"/>
      <w:r>
        <w:rPr>
          <w:rFonts w:hint="eastAsia" w:ascii="宋体" w:hAnsi="宋体"/>
          <w:color w:val="auto"/>
          <w:szCs w:val="21"/>
        </w:rPr>
        <w:t>工程质量保修范围、期限和责任</w:t>
      </w:r>
      <w:r>
        <w:rPr>
          <w:rFonts w:ascii="宋体" w:hAnsi="宋体"/>
          <w:color w:val="auto"/>
          <w:szCs w:val="21"/>
        </w:rPr>
        <w:t>为：</w:t>
      </w:r>
      <w:r>
        <w:rPr>
          <w:rFonts w:ascii="宋体" w:hAnsi="宋体"/>
          <w:color w:val="auto"/>
          <w:szCs w:val="21"/>
          <w:u w:val="single"/>
        </w:rPr>
        <w:t xml:space="preserve"> </w:t>
      </w:r>
      <w:r>
        <w:rPr>
          <w:rFonts w:hint="eastAsia" w:ascii="宋体" w:hAnsi="宋体"/>
          <w:strike w:val="0"/>
          <w:dstrike w:val="0"/>
          <w:color w:val="auto"/>
          <w:szCs w:val="21"/>
          <w:u w:val="single"/>
          <w:lang w:val="en-US" w:eastAsia="zh-CN"/>
        </w:rPr>
        <w:t>详见附件1：工程质量保修书</w:t>
      </w:r>
      <w:r>
        <w:rPr>
          <w:rFonts w:ascii="宋体" w:hAnsi="宋体"/>
          <w:color w:val="auto"/>
          <w:szCs w:val="21"/>
          <w:u w:val="single"/>
        </w:rPr>
        <w:t xml:space="preserve"> </w:t>
      </w:r>
      <w:r>
        <w:rPr>
          <w:rFonts w:hint="eastAsia" w:ascii="宋体" w:hAnsi="宋体"/>
          <w:color w:val="auto"/>
          <w:szCs w:val="21"/>
        </w:rPr>
        <w:t>。</w:t>
      </w:r>
    </w:p>
    <w:p w14:paraId="18452B02">
      <w:pPr>
        <w:pStyle w:val="3"/>
        <w:spacing w:before="48" w:line="360" w:lineRule="auto"/>
        <w:rPr>
          <w:rFonts w:ascii="黑体" w:hAnsi="黑体"/>
          <w:bCs w:val="0"/>
          <w:color w:val="auto"/>
          <w:sz w:val="28"/>
        </w:rPr>
      </w:pPr>
      <w:r>
        <w:rPr>
          <w:rFonts w:hint="eastAsia" w:ascii="黑体" w:hAnsi="黑体"/>
          <w:bCs w:val="0"/>
          <w:color w:val="auto"/>
          <w:sz w:val="28"/>
        </w:rPr>
        <w:t>第</w:t>
      </w:r>
      <w:r>
        <w:rPr>
          <w:rFonts w:ascii="黑体" w:hAnsi="黑体"/>
          <w:bCs w:val="0"/>
          <w:color w:val="auto"/>
          <w:sz w:val="28"/>
        </w:rPr>
        <w:t>12条</w:t>
      </w:r>
      <w:r>
        <w:rPr>
          <w:rFonts w:hint="eastAsia" w:ascii="黑体" w:hAnsi="黑体"/>
          <w:bCs w:val="0"/>
          <w:color w:val="auto"/>
          <w:sz w:val="28"/>
        </w:rPr>
        <w:t xml:space="preserve"> 竣工后试验</w:t>
      </w:r>
      <w:bookmarkEnd w:id="1971"/>
      <w:bookmarkEnd w:id="1972"/>
    </w:p>
    <w:p w14:paraId="4B8AF6EF">
      <w:pPr>
        <w:spacing w:line="360" w:lineRule="auto"/>
        <w:ind w:firstLine="420" w:firstLineChars="200"/>
        <w:rPr>
          <w:rFonts w:ascii="宋体" w:hAnsi="宋体"/>
          <w:color w:val="auto"/>
          <w:szCs w:val="21"/>
        </w:rPr>
      </w:pPr>
      <w:r>
        <w:rPr>
          <w:rFonts w:hint="eastAsia" w:ascii="宋体" w:hAnsi="宋体"/>
          <w:color w:val="auto"/>
          <w:szCs w:val="21"/>
        </w:rPr>
        <w:t>本合同工程是否包含竣工后试验：</w:t>
      </w:r>
      <w:r>
        <w:rPr>
          <w:rFonts w:ascii="宋体" w:hAnsi="宋体"/>
          <w:color w:val="auto"/>
          <w:szCs w:val="21"/>
          <w:u w:val="single"/>
        </w:rPr>
        <w:t xml:space="preserve"> </w:t>
      </w:r>
      <w:r>
        <w:rPr>
          <w:rFonts w:hint="eastAsia" w:ascii="宋体" w:hAnsi="宋体"/>
          <w:color w:val="auto"/>
          <w:szCs w:val="21"/>
          <w:u w:val="single"/>
        </w:rPr>
        <w:t>如有必要，合同当事人另行签订补充协议</w:t>
      </w:r>
      <w:r>
        <w:rPr>
          <w:rFonts w:ascii="宋体" w:hAnsi="宋体"/>
          <w:color w:val="auto"/>
          <w:szCs w:val="21"/>
          <w:u w:val="single"/>
        </w:rPr>
        <w:t xml:space="preserve"> </w:t>
      </w:r>
      <w:r>
        <w:rPr>
          <w:rFonts w:hint="eastAsia" w:ascii="宋体" w:hAnsi="宋体"/>
          <w:color w:val="auto"/>
          <w:szCs w:val="21"/>
        </w:rPr>
        <w:t>。</w:t>
      </w:r>
    </w:p>
    <w:p w14:paraId="18BE19A0">
      <w:pPr>
        <w:pStyle w:val="4"/>
        <w:spacing w:before="120" w:line="360" w:lineRule="auto"/>
        <w:rPr>
          <w:color w:val="auto"/>
        </w:rPr>
      </w:pPr>
      <w:bookmarkStart w:id="1973" w:name="_Toc154063721"/>
      <w:r>
        <w:rPr>
          <w:color w:val="auto"/>
        </w:rPr>
        <w:t xml:space="preserve">12.1 </w:t>
      </w:r>
      <w:r>
        <w:rPr>
          <w:rFonts w:hint="eastAsia"/>
          <w:color w:val="auto"/>
        </w:rPr>
        <w:t>竣工后试验的程序</w:t>
      </w:r>
      <w:bookmarkEnd w:id="1973"/>
    </w:p>
    <w:p w14:paraId="29AF09F1">
      <w:pPr>
        <w:spacing w:line="360" w:lineRule="auto"/>
        <w:ind w:firstLine="420" w:firstLineChars="200"/>
        <w:rPr>
          <w:rFonts w:ascii="宋体" w:hAnsi="宋体"/>
          <w:color w:val="auto"/>
          <w:szCs w:val="21"/>
        </w:rPr>
      </w:pPr>
      <w:r>
        <w:rPr>
          <w:rFonts w:ascii="宋体" w:hAnsi="宋体"/>
          <w:color w:val="auto"/>
          <w:szCs w:val="21"/>
        </w:rPr>
        <w:t xml:space="preserve">12.1.2 </w:t>
      </w:r>
      <w:r>
        <w:rPr>
          <w:rFonts w:hint="eastAsia" w:ascii="宋体" w:hAnsi="宋体"/>
          <w:color w:val="auto"/>
          <w:szCs w:val="21"/>
        </w:rPr>
        <w:t>竣工后试验全部电力、水、污水处理、燃料、消耗品和材料，以及全部其他仪器、协助、文件或其他信息、设备、工具、劳力，启动工程设备，并组织安排有适当资质、经验和能力的工作人员等必要条件的提供方：</w:t>
      </w:r>
      <w:r>
        <w:rPr>
          <w:rFonts w:ascii="宋体" w:hAnsi="宋体"/>
          <w:color w:val="auto"/>
          <w:szCs w:val="21"/>
          <w:u w:val="single"/>
        </w:rPr>
        <w:t xml:space="preserve">                      </w:t>
      </w:r>
      <w:r>
        <w:rPr>
          <w:rFonts w:hint="eastAsia" w:ascii="宋体" w:hAnsi="宋体"/>
          <w:color w:val="auto"/>
          <w:szCs w:val="21"/>
        </w:rPr>
        <w:t>。</w:t>
      </w:r>
    </w:p>
    <w:p w14:paraId="70219064">
      <w:pPr>
        <w:pStyle w:val="3"/>
        <w:spacing w:before="48" w:line="360" w:lineRule="auto"/>
        <w:rPr>
          <w:rFonts w:ascii="黑体" w:hAnsi="黑体"/>
          <w:bCs w:val="0"/>
          <w:color w:val="auto"/>
          <w:sz w:val="28"/>
        </w:rPr>
      </w:pPr>
      <w:bookmarkStart w:id="1974" w:name="_Toc54862344"/>
      <w:bookmarkStart w:id="1975" w:name="_Toc154063722"/>
      <w:r>
        <w:rPr>
          <w:rFonts w:hint="eastAsia" w:ascii="黑体" w:hAnsi="黑体"/>
          <w:bCs w:val="0"/>
          <w:color w:val="auto"/>
          <w:sz w:val="28"/>
        </w:rPr>
        <w:t>第</w:t>
      </w:r>
      <w:r>
        <w:rPr>
          <w:rFonts w:ascii="黑体" w:hAnsi="黑体"/>
          <w:bCs w:val="0"/>
          <w:color w:val="auto"/>
          <w:sz w:val="28"/>
        </w:rPr>
        <w:t>13条</w:t>
      </w:r>
      <w:r>
        <w:rPr>
          <w:rFonts w:hint="eastAsia" w:ascii="黑体" w:hAnsi="黑体"/>
          <w:bCs w:val="0"/>
          <w:color w:val="auto"/>
          <w:sz w:val="28"/>
        </w:rPr>
        <w:t xml:space="preserve"> 变更与调整</w:t>
      </w:r>
      <w:bookmarkEnd w:id="1974"/>
      <w:bookmarkEnd w:id="1975"/>
    </w:p>
    <w:p w14:paraId="7B9E8F9A">
      <w:pPr>
        <w:pStyle w:val="4"/>
        <w:spacing w:before="120" w:line="360" w:lineRule="auto"/>
        <w:rPr>
          <w:color w:val="auto"/>
        </w:rPr>
      </w:pPr>
      <w:bookmarkStart w:id="1976" w:name="_Toc154063723"/>
      <w:r>
        <w:rPr>
          <w:color w:val="auto"/>
        </w:rPr>
        <w:t xml:space="preserve">13.2 </w:t>
      </w:r>
      <w:r>
        <w:rPr>
          <w:rFonts w:hint="eastAsia"/>
          <w:color w:val="auto"/>
        </w:rPr>
        <w:t>承包人的合理化建议</w:t>
      </w:r>
      <w:bookmarkEnd w:id="1976"/>
    </w:p>
    <w:p w14:paraId="4CF92D4E">
      <w:pPr>
        <w:spacing w:line="360" w:lineRule="auto"/>
        <w:ind w:firstLine="420" w:firstLineChars="200"/>
        <w:rPr>
          <w:rFonts w:ascii="宋体" w:hAnsi="宋体"/>
          <w:color w:val="auto"/>
          <w:szCs w:val="21"/>
        </w:rPr>
      </w:pPr>
      <w:r>
        <w:rPr>
          <w:rFonts w:ascii="宋体" w:hAnsi="宋体"/>
          <w:color w:val="auto"/>
          <w:szCs w:val="21"/>
        </w:rPr>
        <w:t xml:space="preserve">13.2.2 </w:t>
      </w:r>
      <w:r>
        <w:rPr>
          <w:rFonts w:hint="eastAsia" w:ascii="宋体" w:hAnsi="宋体"/>
          <w:color w:val="auto"/>
          <w:szCs w:val="21"/>
        </w:rPr>
        <w:t>工程师应在收到承包人提交的合理化建议后</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日内审查完毕并报送发包人，发现其中存在技术上的缺陷，应通知承包人修改。发包人应在收到工程师报送的合理化建议后</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ascii="宋体" w:hAnsi="宋体"/>
          <w:color w:val="auto"/>
          <w:szCs w:val="21"/>
          <w:u w:val="single"/>
        </w:rPr>
        <w:t xml:space="preserve">  </w:t>
      </w:r>
      <w:r>
        <w:rPr>
          <w:rFonts w:hint="eastAsia" w:ascii="宋体" w:hAnsi="宋体"/>
          <w:color w:val="auto"/>
          <w:szCs w:val="21"/>
        </w:rPr>
        <w:t>日内审批完毕。合理化建议经发包人批准的，工程师应及时发出变更指示，由此引起的合同价格调整按照</w:t>
      </w:r>
      <w:r>
        <w:rPr>
          <w:rFonts w:hint="eastAsia" w:ascii="宋体" w:hAnsi="宋体"/>
          <w:color w:val="auto"/>
          <w:szCs w:val="21"/>
          <w:u w:val="single"/>
        </w:rPr>
        <w:t xml:space="preserve">              </w:t>
      </w:r>
      <w:r>
        <w:rPr>
          <w:rFonts w:hint="eastAsia" w:ascii="宋体" w:hAnsi="宋体"/>
          <w:color w:val="auto"/>
          <w:szCs w:val="21"/>
        </w:rPr>
        <w:t>执行。发包人不同意变更的，工程师应书面通知承包人</w:t>
      </w:r>
    </w:p>
    <w:p w14:paraId="2C31AE7F">
      <w:pPr>
        <w:spacing w:line="360" w:lineRule="auto"/>
        <w:ind w:firstLine="420" w:firstLineChars="200"/>
        <w:rPr>
          <w:rFonts w:ascii="宋体" w:hAnsi="宋体"/>
          <w:color w:val="auto"/>
          <w:szCs w:val="21"/>
        </w:rPr>
      </w:pPr>
      <w:r>
        <w:rPr>
          <w:rFonts w:ascii="宋体" w:hAnsi="宋体"/>
          <w:color w:val="auto"/>
          <w:szCs w:val="21"/>
        </w:rPr>
        <w:t>13.2.3 承包人提出的</w:t>
      </w:r>
      <w:r>
        <w:rPr>
          <w:rFonts w:hint="eastAsia" w:ascii="宋体" w:hAnsi="宋体"/>
          <w:color w:val="auto"/>
          <w:szCs w:val="21"/>
        </w:rPr>
        <w:t>合理化变更</w:t>
      </w:r>
      <w:r>
        <w:rPr>
          <w:rFonts w:ascii="宋体" w:hAnsi="宋体"/>
          <w:color w:val="auto"/>
          <w:szCs w:val="21"/>
        </w:rPr>
        <w:t>建议的</w:t>
      </w:r>
      <w:r>
        <w:rPr>
          <w:rFonts w:hint="eastAsia" w:ascii="宋体" w:hAnsi="宋体"/>
          <w:color w:val="auto"/>
          <w:szCs w:val="21"/>
        </w:rPr>
        <w:t>利益分享约定</w:t>
      </w:r>
      <w:r>
        <w:rPr>
          <w:rFonts w:ascii="宋体" w:hAnsi="宋体"/>
          <w:color w:val="auto"/>
          <w:szCs w:val="21"/>
        </w:rPr>
        <w:t>：</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w:t>
      </w:r>
    </w:p>
    <w:p w14:paraId="1602AAD8">
      <w:pPr>
        <w:pStyle w:val="4"/>
        <w:spacing w:before="120" w:line="360" w:lineRule="auto"/>
        <w:rPr>
          <w:color w:val="auto"/>
        </w:rPr>
      </w:pPr>
      <w:bookmarkStart w:id="1977" w:name="_Toc154063724"/>
      <w:r>
        <w:rPr>
          <w:color w:val="auto"/>
        </w:rPr>
        <w:t xml:space="preserve">13.3 </w:t>
      </w:r>
      <w:r>
        <w:rPr>
          <w:rFonts w:hint="eastAsia"/>
          <w:color w:val="auto"/>
        </w:rPr>
        <w:t>变更程序</w:t>
      </w:r>
      <w:bookmarkEnd w:id="1977"/>
    </w:p>
    <w:p w14:paraId="71D3FBB2">
      <w:pPr>
        <w:spacing w:line="360" w:lineRule="auto"/>
        <w:ind w:firstLine="420" w:firstLineChars="200"/>
        <w:rPr>
          <w:rFonts w:ascii="宋体" w:hAnsi="宋体"/>
          <w:color w:val="auto"/>
          <w:szCs w:val="21"/>
        </w:rPr>
      </w:pPr>
      <w:r>
        <w:rPr>
          <w:rFonts w:ascii="宋体" w:hAnsi="宋体"/>
          <w:color w:val="auto"/>
          <w:szCs w:val="21"/>
        </w:rPr>
        <w:t>13.3.3 变更估价</w:t>
      </w:r>
    </w:p>
    <w:p w14:paraId="60D99C98">
      <w:pPr>
        <w:spacing w:line="360" w:lineRule="auto"/>
        <w:ind w:firstLine="630" w:firstLineChars="300"/>
        <w:rPr>
          <w:rFonts w:ascii="宋体" w:hAnsi="宋体"/>
          <w:color w:val="auto"/>
          <w:szCs w:val="21"/>
        </w:rPr>
      </w:pPr>
      <w:r>
        <w:rPr>
          <w:rFonts w:ascii="宋体" w:hAnsi="宋体"/>
          <w:color w:val="auto"/>
          <w:szCs w:val="21"/>
        </w:rPr>
        <w:t>13.3.3.1 变更估价原则</w:t>
      </w:r>
    </w:p>
    <w:p w14:paraId="34C04611">
      <w:pPr>
        <w:spacing w:line="360" w:lineRule="auto"/>
        <w:ind w:firstLine="630" w:firstLineChars="300"/>
        <w:rPr>
          <w:rFonts w:ascii="宋体" w:hAnsi="宋体"/>
          <w:color w:val="auto"/>
          <w:szCs w:val="21"/>
        </w:rPr>
      </w:pPr>
      <w:r>
        <w:rPr>
          <w:rFonts w:hint="eastAsia" w:ascii="宋体" w:hAnsi="宋体"/>
          <w:color w:val="auto"/>
          <w:szCs w:val="21"/>
        </w:rPr>
        <w:t>关于变更估价原则的约定：</w:t>
      </w:r>
      <w:r>
        <w:rPr>
          <w:rFonts w:ascii="宋体" w:hAnsi="宋体"/>
          <w:color w:val="auto"/>
          <w:szCs w:val="21"/>
          <w:u w:val="single"/>
        </w:rPr>
        <w:t xml:space="preserve"> </w:t>
      </w:r>
      <w:r>
        <w:rPr>
          <w:rFonts w:hint="eastAsia" w:ascii="宋体" w:hAnsi="宋体"/>
          <w:color w:val="auto"/>
          <w:szCs w:val="21"/>
          <w:u w:val="single"/>
        </w:rPr>
        <w:t>详见补充条款</w:t>
      </w:r>
      <w:r>
        <w:rPr>
          <w:rFonts w:ascii="宋体" w:hAnsi="宋体"/>
          <w:color w:val="auto"/>
          <w:szCs w:val="21"/>
          <w:u w:val="single"/>
        </w:rPr>
        <w:t xml:space="preserve"> </w:t>
      </w:r>
      <w:r>
        <w:rPr>
          <w:rFonts w:hint="eastAsia" w:ascii="宋体" w:hAnsi="宋体"/>
          <w:color w:val="auto"/>
          <w:szCs w:val="21"/>
        </w:rPr>
        <w:t>。</w:t>
      </w:r>
    </w:p>
    <w:p w14:paraId="238D4392">
      <w:pPr>
        <w:pStyle w:val="4"/>
        <w:spacing w:before="120" w:line="360" w:lineRule="auto"/>
        <w:rPr>
          <w:color w:val="auto"/>
        </w:rPr>
      </w:pPr>
      <w:bookmarkStart w:id="1978" w:name="_Toc154063725"/>
      <w:r>
        <w:rPr>
          <w:color w:val="auto"/>
        </w:rPr>
        <w:t xml:space="preserve">13.4 </w:t>
      </w:r>
      <w:r>
        <w:rPr>
          <w:rFonts w:hint="eastAsia"/>
          <w:color w:val="auto"/>
        </w:rPr>
        <w:t>暂估价</w:t>
      </w:r>
      <w:bookmarkEnd w:id="1978"/>
    </w:p>
    <w:p w14:paraId="48442937">
      <w:pPr>
        <w:spacing w:line="360" w:lineRule="auto"/>
        <w:ind w:firstLine="420" w:firstLineChars="200"/>
        <w:rPr>
          <w:rFonts w:ascii="宋体" w:hAnsi="宋体"/>
          <w:color w:val="auto"/>
          <w:szCs w:val="21"/>
        </w:rPr>
      </w:pPr>
      <w:r>
        <w:rPr>
          <w:rFonts w:ascii="宋体" w:hAnsi="宋体"/>
          <w:color w:val="auto"/>
          <w:szCs w:val="21"/>
        </w:rPr>
        <w:t xml:space="preserve">13.4.1 </w:t>
      </w:r>
      <w:r>
        <w:rPr>
          <w:rFonts w:hint="eastAsia" w:ascii="宋体" w:hAnsi="宋体"/>
          <w:color w:val="auto"/>
          <w:szCs w:val="21"/>
        </w:rPr>
        <w:t>依法必须招标的暂估价项目</w:t>
      </w:r>
    </w:p>
    <w:p w14:paraId="32629015">
      <w:pPr>
        <w:spacing w:line="360" w:lineRule="auto"/>
        <w:ind w:firstLine="420" w:firstLineChars="200"/>
        <w:rPr>
          <w:rFonts w:ascii="宋体" w:hAnsi="宋体"/>
          <w:color w:val="auto"/>
          <w:szCs w:val="21"/>
        </w:rPr>
      </w:pPr>
      <w:r>
        <w:rPr>
          <w:rFonts w:hint="eastAsia" w:ascii="宋体" w:hAnsi="宋体"/>
          <w:color w:val="auto"/>
          <w:szCs w:val="21"/>
        </w:rPr>
        <w:t>承包人可以参与投标的暂估价项目范围：</w:t>
      </w:r>
      <w:r>
        <w:rPr>
          <w:rFonts w:ascii="宋体" w:hAnsi="宋体"/>
          <w:color w:val="auto"/>
          <w:szCs w:val="21"/>
          <w:u w:val="single"/>
        </w:rPr>
        <w:t xml:space="preserve"> </w:t>
      </w:r>
      <w:r>
        <w:rPr>
          <w:rFonts w:hint="eastAsia" w:ascii="宋体" w:hAnsi="宋体"/>
          <w:color w:val="auto"/>
          <w:szCs w:val="21"/>
          <w:u w:val="single"/>
        </w:rPr>
        <w:t>根据黄冈市《市人民政府办公室关于印发黄冈市公共资源进场交易目录（2018年）的通知》（黄政办发[2018]23号）、发包人《内部采购制度》和要求及最新文件的规定执行</w:t>
      </w:r>
      <w:r>
        <w:rPr>
          <w:rFonts w:ascii="宋体" w:hAnsi="宋体"/>
          <w:color w:val="auto"/>
          <w:szCs w:val="21"/>
          <w:u w:val="single"/>
        </w:rPr>
        <w:t xml:space="preserve"> </w:t>
      </w:r>
      <w:r>
        <w:rPr>
          <w:rFonts w:hint="eastAsia" w:ascii="宋体" w:hAnsi="宋体"/>
          <w:color w:val="auto"/>
          <w:szCs w:val="21"/>
        </w:rPr>
        <w:t>。</w:t>
      </w:r>
    </w:p>
    <w:p w14:paraId="54EC388D">
      <w:pPr>
        <w:spacing w:line="360" w:lineRule="auto"/>
        <w:ind w:firstLine="420" w:firstLineChars="200"/>
        <w:rPr>
          <w:rFonts w:ascii="宋体" w:hAnsi="宋体"/>
          <w:color w:val="auto"/>
          <w:szCs w:val="21"/>
        </w:rPr>
      </w:pPr>
      <w:r>
        <w:rPr>
          <w:rFonts w:hint="eastAsia" w:ascii="宋体" w:hAnsi="宋体"/>
          <w:color w:val="auto"/>
          <w:szCs w:val="21"/>
        </w:rPr>
        <w:t>承包人不得参与投标的暂估价项目范围：</w:t>
      </w:r>
      <w:r>
        <w:rPr>
          <w:rFonts w:ascii="宋体" w:hAnsi="宋体"/>
          <w:color w:val="auto"/>
          <w:szCs w:val="21"/>
          <w:u w:val="single"/>
        </w:rPr>
        <w:t xml:space="preserve"> </w:t>
      </w:r>
      <w:r>
        <w:rPr>
          <w:rFonts w:hint="eastAsia" w:ascii="宋体" w:hAnsi="宋体"/>
          <w:color w:val="auto"/>
          <w:szCs w:val="21"/>
          <w:u w:val="single"/>
        </w:rPr>
        <w:t>根据黄冈市《市人民政府办公室关于印发黄冈市公共资源进场交易目录（2018年）的通知》（黄政办发[2018]23号），承包人自行依法依规组织招标工作（如影响本工程施工进度，发包人保留根据发包人《内部采购制度》和最新文件要求组织招标工作）</w:t>
      </w:r>
      <w:r>
        <w:rPr>
          <w:rFonts w:ascii="宋体" w:hAnsi="宋体"/>
          <w:color w:val="auto"/>
          <w:szCs w:val="21"/>
          <w:u w:val="single"/>
        </w:rPr>
        <w:t xml:space="preserve"> </w:t>
      </w:r>
      <w:r>
        <w:rPr>
          <w:rFonts w:hint="eastAsia" w:ascii="宋体" w:hAnsi="宋体"/>
          <w:color w:val="auto"/>
          <w:szCs w:val="21"/>
        </w:rPr>
        <w:t>。</w:t>
      </w:r>
    </w:p>
    <w:p w14:paraId="7DFCBF10">
      <w:pPr>
        <w:spacing w:line="360" w:lineRule="auto"/>
        <w:ind w:firstLine="420" w:firstLineChars="200"/>
        <w:rPr>
          <w:rFonts w:ascii="宋体" w:hAnsi="宋体"/>
          <w:color w:val="auto"/>
          <w:szCs w:val="21"/>
        </w:rPr>
      </w:pPr>
      <w:r>
        <w:rPr>
          <w:rFonts w:hint="eastAsia" w:ascii="宋体" w:hAnsi="宋体"/>
          <w:color w:val="auto"/>
          <w:szCs w:val="21"/>
        </w:rPr>
        <w:t>招投标程序及其他约定：</w:t>
      </w:r>
      <w:r>
        <w:rPr>
          <w:rFonts w:ascii="宋体" w:hAnsi="宋体"/>
          <w:color w:val="auto"/>
          <w:szCs w:val="21"/>
          <w:u w:val="single"/>
        </w:rPr>
        <w:t xml:space="preserve"> </w:t>
      </w:r>
      <w:r>
        <w:rPr>
          <w:rFonts w:hint="eastAsia" w:ascii="宋体" w:hAnsi="宋体"/>
          <w:color w:val="auto"/>
          <w:szCs w:val="21"/>
          <w:u w:val="single"/>
        </w:rPr>
        <w:t>根据黄冈市《市人民政府办公室关于印发黄冈市公共资源进场交易目录（2018年）的通知》（黄政办发[2018]23号）、发包人《内部采购制度》和要求及最新文件的规定执行</w:t>
      </w:r>
      <w:r>
        <w:rPr>
          <w:rFonts w:ascii="宋体" w:hAnsi="宋体"/>
          <w:color w:val="auto"/>
          <w:szCs w:val="21"/>
          <w:u w:val="single"/>
        </w:rPr>
        <w:t xml:space="preserve"> </w:t>
      </w:r>
      <w:r>
        <w:rPr>
          <w:rFonts w:hint="eastAsia" w:ascii="宋体" w:hAnsi="宋体"/>
          <w:color w:val="auto"/>
          <w:szCs w:val="21"/>
        </w:rPr>
        <w:t>。</w:t>
      </w:r>
    </w:p>
    <w:p w14:paraId="67B11E30">
      <w:pPr>
        <w:spacing w:line="360" w:lineRule="auto"/>
        <w:ind w:firstLine="420" w:firstLineChars="200"/>
        <w:rPr>
          <w:rFonts w:ascii="宋体" w:hAnsi="宋体"/>
          <w:color w:val="auto"/>
          <w:szCs w:val="21"/>
        </w:rPr>
      </w:pPr>
      <w:r>
        <w:rPr>
          <w:rFonts w:ascii="宋体" w:hAnsi="宋体"/>
          <w:color w:val="auto"/>
          <w:szCs w:val="21"/>
        </w:rPr>
        <w:t xml:space="preserve">13.4.2 </w:t>
      </w:r>
      <w:r>
        <w:rPr>
          <w:rFonts w:hint="eastAsia" w:ascii="宋体" w:hAnsi="宋体"/>
          <w:color w:val="auto"/>
          <w:szCs w:val="21"/>
        </w:rPr>
        <w:t>不属于依法必须招标的暂估价项目</w:t>
      </w:r>
    </w:p>
    <w:p w14:paraId="0B798CBD">
      <w:pPr>
        <w:spacing w:line="360" w:lineRule="auto"/>
        <w:ind w:firstLine="420" w:firstLineChars="200"/>
        <w:rPr>
          <w:rFonts w:ascii="宋体" w:hAnsi="宋体"/>
          <w:color w:val="auto"/>
          <w:szCs w:val="21"/>
        </w:rPr>
      </w:pPr>
      <w:bookmarkStart w:id="1979" w:name="_Toc154063726"/>
      <w:r>
        <w:rPr>
          <w:rFonts w:hint="eastAsia" w:ascii="宋体" w:hAnsi="宋体"/>
          <w:color w:val="auto"/>
          <w:szCs w:val="21"/>
        </w:rPr>
        <w:t>不属于依法必须招标的暂估价项目的协商及估价的约定：</w:t>
      </w:r>
      <w:r>
        <w:rPr>
          <w:rFonts w:ascii="宋体" w:hAnsi="宋体"/>
          <w:color w:val="auto"/>
          <w:szCs w:val="21"/>
          <w:u w:val="single"/>
        </w:rPr>
        <w:t xml:space="preserve"> </w:t>
      </w:r>
      <w:r>
        <w:rPr>
          <w:rFonts w:hint="eastAsia" w:ascii="宋体" w:hAnsi="宋体"/>
          <w:color w:val="auto"/>
          <w:szCs w:val="21"/>
          <w:u w:val="single"/>
        </w:rPr>
        <w:t>根据黄冈市《市人民政府办公室关于印发黄冈市公共资源进场交易目录（2018年）的通知》（黄政办发[2018]23号）、承包人自行依法依规组织招标工作（如影响本工程施工进度，发包人保留根据发包人《内部采购制度》和最新文件要求组织招标工作）</w:t>
      </w:r>
      <w:r>
        <w:rPr>
          <w:rFonts w:ascii="宋体" w:hAnsi="宋体"/>
          <w:color w:val="auto"/>
          <w:szCs w:val="21"/>
          <w:u w:val="single"/>
        </w:rPr>
        <w:t xml:space="preserve"> </w:t>
      </w:r>
      <w:r>
        <w:rPr>
          <w:rFonts w:hint="eastAsia" w:ascii="宋体" w:hAnsi="宋体"/>
          <w:color w:val="auto"/>
          <w:szCs w:val="21"/>
        </w:rPr>
        <w:t>。</w:t>
      </w:r>
    </w:p>
    <w:p w14:paraId="4C1CC42B">
      <w:pPr>
        <w:pStyle w:val="4"/>
        <w:spacing w:before="120" w:line="360" w:lineRule="auto"/>
        <w:rPr>
          <w:color w:val="auto"/>
        </w:rPr>
      </w:pPr>
      <w:r>
        <w:rPr>
          <w:color w:val="auto"/>
        </w:rPr>
        <w:t xml:space="preserve">13.5 </w:t>
      </w:r>
      <w:r>
        <w:rPr>
          <w:rFonts w:hint="eastAsia"/>
          <w:color w:val="auto"/>
        </w:rPr>
        <w:t>暂列金额</w:t>
      </w:r>
      <w:bookmarkEnd w:id="1979"/>
    </w:p>
    <w:p w14:paraId="1243B423">
      <w:pPr>
        <w:spacing w:line="360" w:lineRule="auto"/>
        <w:ind w:firstLine="420" w:firstLineChars="200"/>
        <w:rPr>
          <w:rFonts w:ascii="宋体" w:hAnsi="宋体"/>
          <w:color w:val="auto"/>
          <w:szCs w:val="21"/>
        </w:rPr>
      </w:pPr>
      <w:r>
        <w:rPr>
          <w:rFonts w:hint="eastAsia" w:ascii="宋体" w:hAnsi="宋体"/>
          <w:color w:val="auto"/>
          <w:szCs w:val="21"/>
        </w:rPr>
        <w:t>其他关于暂列金额使用的约定：</w:t>
      </w:r>
      <w:r>
        <w:rPr>
          <w:rFonts w:ascii="宋体" w:hAnsi="宋体"/>
          <w:color w:val="auto"/>
          <w:szCs w:val="21"/>
          <w:u w:val="single"/>
        </w:rPr>
        <w:t xml:space="preserve"> </w:t>
      </w:r>
      <w:r>
        <w:rPr>
          <w:rFonts w:hint="eastAsia" w:ascii="宋体" w:hAnsi="宋体"/>
          <w:color w:val="auto"/>
          <w:szCs w:val="21"/>
          <w:u w:val="single"/>
        </w:rPr>
        <w:t>按照合同约定及国家相关规定执行本项目暂列金额用于工程不可预见发生的费用及专用合同条款13.8.3约定的费用</w:t>
      </w:r>
      <w:r>
        <w:rPr>
          <w:rFonts w:ascii="宋体" w:hAnsi="宋体"/>
          <w:color w:val="auto"/>
          <w:szCs w:val="21"/>
          <w:u w:val="single"/>
        </w:rPr>
        <w:t xml:space="preserve"> </w:t>
      </w:r>
      <w:r>
        <w:rPr>
          <w:rFonts w:hint="eastAsia" w:ascii="宋体" w:hAnsi="宋体"/>
          <w:color w:val="auto"/>
          <w:szCs w:val="21"/>
        </w:rPr>
        <w:t>。</w:t>
      </w:r>
    </w:p>
    <w:p w14:paraId="11B077F4">
      <w:pPr>
        <w:pStyle w:val="4"/>
        <w:spacing w:before="120" w:line="360" w:lineRule="auto"/>
        <w:rPr>
          <w:color w:val="auto"/>
        </w:rPr>
      </w:pPr>
      <w:bookmarkStart w:id="1980" w:name="_Toc154063727"/>
      <w:r>
        <w:rPr>
          <w:color w:val="auto"/>
        </w:rPr>
        <w:t xml:space="preserve">13.8 </w:t>
      </w:r>
      <w:r>
        <w:rPr>
          <w:rFonts w:hint="eastAsia"/>
          <w:color w:val="auto"/>
        </w:rPr>
        <w:t>市场价格波动引起的调整</w:t>
      </w:r>
      <w:bookmarkEnd w:id="1980"/>
    </w:p>
    <w:p w14:paraId="5D965B6D">
      <w:pPr>
        <w:spacing w:line="360" w:lineRule="auto"/>
        <w:ind w:firstLine="420" w:firstLineChars="200"/>
        <w:rPr>
          <w:rFonts w:ascii="宋体" w:hAnsi="宋体"/>
          <w:color w:val="auto"/>
          <w:szCs w:val="21"/>
        </w:rPr>
      </w:pPr>
      <w:r>
        <w:rPr>
          <w:rFonts w:hint="eastAsia" w:ascii="宋体" w:hAnsi="宋体"/>
          <w:color w:val="auto"/>
          <w:szCs w:val="21"/>
        </w:rPr>
        <w:t>1</w:t>
      </w:r>
      <w:r>
        <w:rPr>
          <w:rFonts w:ascii="宋体" w:hAnsi="宋体"/>
          <w:color w:val="auto"/>
          <w:szCs w:val="21"/>
        </w:rPr>
        <w:t xml:space="preserve">3.8.2 </w:t>
      </w:r>
      <w:r>
        <w:rPr>
          <w:rFonts w:hint="eastAsia" w:ascii="宋体" w:hAnsi="宋体"/>
          <w:color w:val="auto"/>
          <w:szCs w:val="21"/>
        </w:rPr>
        <w:t>关于是否采用《价格指数权重表》的约定：</w:t>
      </w:r>
      <w:r>
        <w:rPr>
          <w:rFonts w:ascii="宋体" w:hAnsi="宋体"/>
          <w:color w:val="auto"/>
          <w:szCs w:val="21"/>
          <w:u w:val="single"/>
        </w:rPr>
        <w:t xml:space="preserve"> </w:t>
      </w:r>
      <w:r>
        <w:rPr>
          <w:rFonts w:hint="eastAsia" w:ascii="宋体" w:hAnsi="宋体"/>
          <w:color w:val="auto"/>
          <w:szCs w:val="21"/>
          <w:u w:val="single"/>
        </w:rPr>
        <w:t>本项目不采用《价格指数权重表》</w:t>
      </w:r>
      <w:r>
        <w:rPr>
          <w:rFonts w:ascii="宋体" w:hAnsi="宋体"/>
          <w:color w:val="auto"/>
          <w:szCs w:val="21"/>
          <w:u w:val="single"/>
        </w:rPr>
        <w:t xml:space="preserve"> </w:t>
      </w:r>
      <w:r>
        <w:rPr>
          <w:rFonts w:hint="eastAsia" w:ascii="宋体" w:hAnsi="宋体"/>
          <w:color w:val="auto"/>
          <w:szCs w:val="21"/>
        </w:rPr>
        <w:t>。</w:t>
      </w:r>
    </w:p>
    <w:p w14:paraId="7AECA04D">
      <w:pPr>
        <w:spacing w:line="360" w:lineRule="auto"/>
        <w:ind w:firstLine="420" w:firstLineChars="200"/>
        <w:rPr>
          <w:rFonts w:ascii="宋体" w:hAnsi="宋体"/>
          <w:color w:val="auto"/>
          <w:szCs w:val="21"/>
        </w:rPr>
      </w:pPr>
      <w:bookmarkStart w:id="1981" w:name="_Toc54862345"/>
      <w:bookmarkStart w:id="1982" w:name="_Toc154063728"/>
      <w:r>
        <w:rPr>
          <w:rFonts w:hint="eastAsia" w:ascii="宋体" w:hAnsi="宋体"/>
          <w:color w:val="auto"/>
          <w:szCs w:val="21"/>
        </w:rPr>
        <w:t>1</w:t>
      </w:r>
      <w:r>
        <w:rPr>
          <w:rFonts w:ascii="宋体" w:hAnsi="宋体"/>
          <w:color w:val="auto"/>
          <w:szCs w:val="21"/>
        </w:rPr>
        <w:t xml:space="preserve">3.8.3 </w:t>
      </w:r>
      <w:r>
        <w:rPr>
          <w:rFonts w:hint="eastAsia" w:ascii="宋体" w:hAnsi="宋体"/>
          <w:color w:val="auto"/>
          <w:szCs w:val="21"/>
        </w:rPr>
        <w:t>关于采用其他方式调整合同价款的约定：</w:t>
      </w:r>
      <w:r>
        <w:rPr>
          <w:rFonts w:ascii="宋体" w:hAnsi="宋体"/>
          <w:color w:val="auto"/>
          <w:szCs w:val="21"/>
          <w:u w:val="single"/>
        </w:rPr>
        <w:t xml:space="preserve"> </w:t>
      </w:r>
      <w:r>
        <w:rPr>
          <w:rFonts w:hint="eastAsia" w:ascii="宋体" w:hAnsi="宋体"/>
          <w:color w:val="auto"/>
          <w:szCs w:val="21"/>
          <w:highlight w:val="none"/>
          <w:u w:val="single"/>
        </w:rPr>
        <w:t>详见补充条款</w:t>
      </w:r>
      <w:r>
        <w:rPr>
          <w:rFonts w:ascii="宋体" w:hAnsi="宋体"/>
          <w:color w:val="auto"/>
          <w:szCs w:val="21"/>
          <w:u w:val="single"/>
        </w:rPr>
        <w:t xml:space="preserve"> </w:t>
      </w:r>
      <w:r>
        <w:rPr>
          <w:rFonts w:hint="eastAsia" w:ascii="宋体" w:hAnsi="宋体"/>
          <w:color w:val="auto"/>
          <w:szCs w:val="21"/>
        </w:rPr>
        <w:t>。</w:t>
      </w:r>
    </w:p>
    <w:p w14:paraId="01DE56A7">
      <w:pPr>
        <w:pStyle w:val="3"/>
        <w:spacing w:before="48" w:line="360" w:lineRule="auto"/>
        <w:rPr>
          <w:rFonts w:ascii="黑体" w:hAnsi="黑体"/>
          <w:bCs w:val="0"/>
          <w:color w:val="auto"/>
          <w:sz w:val="28"/>
        </w:rPr>
      </w:pPr>
      <w:r>
        <w:rPr>
          <w:rFonts w:hint="eastAsia" w:ascii="黑体" w:hAnsi="黑体"/>
          <w:bCs w:val="0"/>
          <w:color w:val="auto"/>
          <w:sz w:val="28"/>
        </w:rPr>
        <w:t>第</w:t>
      </w:r>
      <w:r>
        <w:rPr>
          <w:rFonts w:ascii="黑体" w:hAnsi="黑体"/>
          <w:bCs w:val="0"/>
          <w:color w:val="auto"/>
          <w:sz w:val="28"/>
        </w:rPr>
        <w:t>14条</w:t>
      </w:r>
      <w:r>
        <w:rPr>
          <w:rFonts w:hint="eastAsia" w:ascii="黑体" w:hAnsi="黑体"/>
          <w:bCs w:val="0"/>
          <w:color w:val="auto"/>
          <w:sz w:val="28"/>
        </w:rPr>
        <w:t xml:space="preserve"> 合同价格与支付</w:t>
      </w:r>
      <w:bookmarkEnd w:id="1981"/>
      <w:bookmarkEnd w:id="1982"/>
    </w:p>
    <w:p w14:paraId="41043288">
      <w:pPr>
        <w:pStyle w:val="4"/>
        <w:spacing w:before="120" w:line="360" w:lineRule="auto"/>
        <w:rPr>
          <w:color w:val="auto"/>
        </w:rPr>
      </w:pPr>
      <w:bookmarkStart w:id="1983" w:name="_Toc154063729"/>
      <w:r>
        <w:rPr>
          <w:color w:val="auto"/>
        </w:rPr>
        <w:t xml:space="preserve">14.1 </w:t>
      </w:r>
      <w:r>
        <w:rPr>
          <w:rFonts w:hint="eastAsia"/>
          <w:color w:val="auto"/>
        </w:rPr>
        <w:t>合同价格形式</w:t>
      </w:r>
      <w:bookmarkEnd w:id="1983"/>
    </w:p>
    <w:p w14:paraId="56A53522">
      <w:pPr>
        <w:spacing w:line="360" w:lineRule="auto"/>
        <w:ind w:firstLine="420" w:firstLineChars="200"/>
        <w:rPr>
          <w:rFonts w:ascii="宋体" w:hAnsi="宋体"/>
          <w:color w:val="auto"/>
          <w:szCs w:val="21"/>
        </w:rPr>
      </w:pPr>
      <w:r>
        <w:rPr>
          <w:rFonts w:hint="eastAsia" w:ascii="宋体" w:hAnsi="宋体"/>
          <w:color w:val="auto"/>
          <w:szCs w:val="21"/>
        </w:rPr>
        <w:t>1</w:t>
      </w:r>
      <w:r>
        <w:rPr>
          <w:rFonts w:ascii="宋体" w:hAnsi="宋体"/>
          <w:color w:val="auto"/>
          <w:szCs w:val="21"/>
        </w:rPr>
        <w:t xml:space="preserve">4.1.1 </w:t>
      </w:r>
      <w:r>
        <w:rPr>
          <w:rFonts w:hint="eastAsia" w:ascii="宋体" w:hAnsi="宋体"/>
          <w:color w:val="auto"/>
          <w:szCs w:val="21"/>
        </w:rPr>
        <w:t>关于合同价格形式的约定：</w:t>
      </w:r>
      <w:r>
        <w:rPr>
          <w:rFonts w:ascii="宋体" w:hAnsi="宋体"/>
          <w:color w:val="auto"/>
          <w:szCs w:val="21"/>
          <w:u w:val="single"/>
        </w:rPr>
        <w:t xml:space="preserve">                   </w:t>
      </w:r>
      <w:r>
        <w:rPr>
          <w:rFonts w:hint="eastAsia" w:ascii="宋体" w:hAnsi="宋体"/>
          <w:color w:val="auto"/>
          <w:szCs w:val="21"/>
        </w:rPr>
        <w:t>。</w:t>
      </w:r>
    </w:p>
    <w:p w14:paraId="32577F45">
      <w:pPr>
        <w:spacing w:line="360" w:lineRule="auto"/>
        <w:ind w:firstLine="420" w:firstLineChars="200"/>
        <w:rPr>
          <w:rFonts w:ascii="宋体" w:hAnsi="宋体"/>
          <w:color w:val="auto"/>
          <w:szCs w:val="21"/>
        </w:rPr>
      </w:pPr>
      <w:r>
        <w:rPr>
          <w:rFonts w:hint="eastAsia" w:ascii="宋体" w:hAnsi="宋体"/>
          <w:color w:val="auto"/>
          <w:szCs w:val="21"/>
        </w:rPr>
        <w:t>1</w:t>
      </w:r>
      <w:r>
        <w:rPr>
          <w:rFonts w:ascii="宋体" w:hAnsi="宋体"/>
          <w:color w:val="auto"/>
          <w:szCs w:val="21"/>
        </w:rPr>
        <w:t xml:space="preserve">4.1.2 </w:t>
      </w:r>
      <w:r>
        <w:rPr>
          <w:rFonts w:hint="eastAsia" w:ascii="宋体" w:hAnsi="宋体"/>
          <w:color w:val="auto"/>
          <w:szCs w:val="21"/>
        </w:rPr>
        <w:t>关于合同价格调整的约定：</w:t>
      </w:r>
      <w:r>
        <w:rPr>
          <w:rFonts w:ascii="宋体" w:hAnsi="宋体"/>
          <w:color w:val="auto"/>
          <w:szCs w:val="21"/>
          <w:u w:val="single"/>
        </w:rPr>
        <w:t xml:space="preserve">                   </w:t>
      </w:r>
      <w:r>
        <w:rPr>
          <w:rFonts w:hint="eastAsia" w:ascii="宋体" w:hAnsi="宋体"/>
          <w:color w:val="auto"/>
          <w:szCs w:val="21"/>
        </w:rPr>
        <w:t>。</w:t>
      </w:r>
    </w:p>
    <w:p w14:paraId="323B6C61">
      <w:pPr>
        <w:spacing w:line="360" w:lineRule="auto"/>
        <w:ind w:firstLine="420" w:firstLineChars="200"/>
        <w:rPr>
          <w:rFonts w:ascii="宋体" w:hAnsi="宋体"/>
          <w:color w:val="auto"/>
          <w:szCs w:val="21"/>
        </w:rPr>
      </w:pPr>
      <w:r>
        <w:rPr>
          <w:rFonts w:hint="eastAsia" w:ascii="宋体" w:hAnsi="宋体"/>
          <w:color w:val="auto"/>
          <w:szCs w:val="21"/>
        </w:rPr>
        <w:t>1</w:t>
      </w:r>
      <w:r>
        <w:rPr>
          <w:rFonts w:ascii="宋体" w:hAnsi="宋体"/>
          <w:color w:val="auto"/>
          <w:szCs w:val="21"/>
        </w:rPr>
        <w:t xml:space="preserve">4.1.3 </w:t>
      </w:r>
      <w:r>
        <w:rPr>
          <w:rFonts w:hint="eastAsia" w:ascii="宋体" w:hAnsi="宋体"/>
          <w:color w:val="auto"/>
          <w:szCs w:val="21"/>
        </w:rPr>
        <w:t>按实际完成的工程量支付工程价款的计量方法、估价方法：</w:t>
      </w:r>
      <w:r>
        <w:rPr>
          <w:rFonts w:ascii="宋体" w:hAnsi="宋体"/>
          <w:color w:val="auto"/>
          <w:szCs w:val="21"/>
          <w:u w:val="single"/>
        </w:rPr>
        <w:t xml:space="preserve">                </w:t>
      </w:r>
      <w:r>
        <w:rPr>
          <w:rFonts w:hint="eastAsia" w:ascii="宋体" w:hAnsi="宋体"/>
          <w:color w:val="auto"/>
          <w:szCs w:val="21"/>
        </w:rPr>
        <w:t>。</w:t>
      </w:r>
    </w:p>
    <w:p w14:paraId="06A0D5EA">
      <w:pPr>
        <w:pStyle w:val="4"/>
        <w:keepNext w:val="0"/>
        <w:keepLines/>
        <w:pageBreakBefore w:val="0"/>
        <w:widowControl w:val="0"/>
        <w:kinsoku/>
        <w:wordWrap/>
        <w:overflowPunct/>
        <w:topLinePunct w:val="0"/>
        <w:autoSpaceDE/>
        <w:autoSpaceDN/>
        <w:bidi w:val="0"/>
        <w:adjustRightInd/>
        <w:snapToGrid/>
        <w:spacing w:before="120" w:line="360" w:lineRule="auto"/>
        <w:textAlignment w:val="auto"/>
        <w:rPr>
          <w:color w:val="auto"/>
        </w:rPr>
      </w:pPr>
      <w:bookmarkStart w:id="1984" w:name="_Toc154063730"/>
      <w:r>
        <w:rPr>
          <w:color w:val="auto"/>
        </w:rPr>
        <w:t xml:space="preserve">14.2 </w:t>
      </w:r>
      <w:r>
        <w:rPr>
          <w:rFonts w:hint="eastAsia"/>
          <w:color w:val="auto"/>
        </w:rPr>
        <w:t>预付款</w:t>
      </w:r>
      <w:bookmarkEnd w:id="1984"/>
    </w:p>
    <w:p w14:paraId="2B98A166">
      <w:pPr>
        <w:spacing w:line="360" w:lineRule="auto"/>
        <w:ind w:firstLine="420" w:firstLineChars="200"/>
        <w:rPr>
          <w:rFonts w:ascii="宋体" w:hAnsi="宋体"/>
          <w:color w:val="auto"/>
          <w:szCs w:val="21"/>
        </w:rPr>
      </w:pPr>
      <w:r>
        <w:rPr>
          <w:rFonts w:ascii="宋体" w:hAnsi="宋体"/>
          <w:color w:val="auto"/>
          <w:szCs w:val="21"/>
        </w:rPr>
        <w:t xml:space="preserve">14.2.1 </w:t>
      </w:r>
      <w:r>
        <w:rPr>
          <w:rFonts w:hint="eastAsia" w:ascii="宋体" w:hAnsi="宋体"/>
          <w:color w:val="auto"/>
          <w:szCs w:val="21"/>
        </w:rPr>
        <w:t>预付款支付</w:t>
      </w:r>
    </w:p>
    <w:p w14:paraId="75E65B62">
      <w:pPr>
        <w:spacing w:line="360" w:lineRule="auto"/>
        <w:ind w:firstLine="420" w:firstLineChars="200"/>
        <w:rPr>
          <w:rFonts w:ascii="宋体" w:hAnsi="宋体"/>
          <w:color w:val="auto"/>
          <w:szCs w:val="21"/>
        </w:rPr>
      </w:pPr>
      <w:r>
        <w:rPr>
          <w:rFonts w:hint="eastAsia" w:ascii="宋体" w:hAnsi="宋体"/>
          <w:color w:val="auto"/>
          <w:szCs w:val="21"/>
        </w:rPr>
        <w:t>预付款的金额或比例为：</w:t>
      </w:r>
      <w:r>
        <w:rPr>
          <w:rFonts w:ascii="宋体" w:hAnsi="宋体"/>
          <w:color w:val="auto"/>
          <w:szCs w:val="21"/>
          <w:u w:val="single"/>
        </w:rPr>
        <w:t xml:space="preserve"> </w:t>
      </w:r>
      <w:r>
        <w:rPr>
          <w:rFonts w:hint="eastAsia" w:ascii="宋体" w:hAnsi="宋体"/>
          <w:color w:val="auto"/>
          <w:szCs w:val="21"/>
          <w:u w:val="single"/>
        </w:rPr>
        <w:t>根据项目情况协商支付</w:t>
      </w:r>
      <w:r>
        <w:rPr>
          <w:rFonts w:ascii="宋体" w:hAnsi="宋体"/>
          <w:color w:val="auto"/>
          <w:szCs w:val="21"/>
          <w:u w:val="single"/>
        </w:rPr>
        <w:t xml:space="preserve"> </w:t>
      </w:r>
      <w:r>
        <w:rPr>
          <w:rFonts w:hint="eastAsia" w:ascii="宋体" w:hAnsi="宋体"/>
          <w:color w:val="auto"/>
          <w:szCs w:val="21"/>
        </w:rPr>
        <w:t>。</w:t>
      </w:r>
    </w:p>
    <w:p w14:paraId="61592F35">
      <w:pPr>
        <w:spacing w:line="360" w:lineRule="auto"/>
        <w:ind w:firstLine="420" w:firstLineChars="200"/>
        <w:rPr>
          <w:rFonts w:ascii="宋体" w:hAnsi="宋体"/>
          <w:color w:val="auto"/>
          <w:szCs w:val="21"/>
        </w:rPr>
      </w:pPr>
      <w:r>
        <w:rPr>
          <w:rFonts w:hint="eastAsia" w:ascii="宋体" w:hAnsi="宋体"/>
          <w:color w:val="auto"/>
          <w:szCs w:val="21"/>
        </w:rPr>
        <w:t>预付款支付期限：</w:t>
      </w:r>
      <w:r>
        <w:rPr>
          <w:rFonts w:ascii="宋体" w:hAnsi="宋体"/>
          <w:color w:val="auto"/>
          <w:szCs w:val="21"/>
          <w:u w:val="single"/>
        </w:rPr>
        <w:t xml:space="preserve">                                   </w:t>
      </w:r>
      <w:r>
        <w:rPr>
          <w:rFonts w:hint="eastAsia" w:ascii="宋体" w:hAnsi="宋体"/>
          <w:color w:val="auto"/>
          <w:szCs w:val="21"/>
        </w:rPr>
        <w:t>。</w:t>
      </w:r>
    </w:p>
    <w:p w14:paraId="52328F15">
      <w:pPr>
        <w:spacing w:line="360" w:lineRule="auto"/>
        <w:ind w:firstLine="420" w:firstLineChars="200"/>
        <w:rPr>
          <w:rFonts w:ascii="宋体" w:hAnsi="宋体"/>
          <w:color w:val="auto"/>
          <w:szCs w:val="21"/>
        </w:rPr>
      </w:pPr>
      <w:r>
        <w:rPr>
          <w:rFonts w:hint="eastAsia" w:ascii="宋体" w:hAnsi="宋体"/>
          <w:color w:val="auto"/>
          <w:szCs w:val="21"/>
        </w:rPr>
        <w:t>预付款扣回的方式：</w:t>
      </w:r>
      <w:r>
        <w:rPr>
          <w:rFonts w:ascii="宋体" w:hAnsi="宋体"/>
          <w:color w:val="auto"/>
          <w:szCs w:val="21"/>
          <w:u w:val="single"/>
        </w:rPr>
        <w:t xml:space="preserve">                                </w:t>
      </w:r>
      <w:r>
        <w:rPr>
          <w:rFonts w:hint="eastAsia" w:ascii="宋体" w:hAnsi="宋体"/>
          <w:color w:val="auto"/>
          <w:szCs w:val="21"/>
        </w:rPr>
        <w:t>。</w:t>
      </w:r>
    </w:p>
    <w:p w14:paraId="4DBA938F">
      <w:pPr>
        <w:spacing w:line="360" w:lineRule="auto"/>
        <w:ind w:firstLine="420" w:firstLineChars="200"/>
        <w:rPr>
          <w:rFonts w:ascii="宋体" w:hAnsi="宋体"/>
          <w:color w:val="auto"/>
          <w:szCs w:val="21"/>
        </w:rPr>
      </w:pPr>
      <w:r>
        <w:rPr>
          <w:rFonts w:hint="eastAsia" w:ascii="宋体" w:hAnsi="宋体"/>
          <w:color w:val="auto"/>
          <w:szCs w:val="21"/>
        </w:rPr>
        <w:t>1</w:t>
      </w:r>
      <w:r>
        <w:rPr>
          <w:rFonts w:ascii="宋体" w:hAnsi="宋体"/>
          <w:color w:val="auto"/>
          <w:szCs w:val="21"/>
        </w:rPr>
        <w:t>4.2.2预付款担保</w:t>
      </w:r>
    </w:p>
    <w:p w14:paraId="15B72110">
      <w:pPr>
        <w:spacing w:line="360" w:lineRule="auto"/>
        <w:ind w:firstLine="420" w:firstLineChars="200"/>
        <w:rPr>
          <w:rFonts w:ascii="宋体" w:hAnsi="宋体"/>
          <w:color w:val="auto"/>
          <w:szCs w:val="21"/>
        </w:rPr>
      </w:pPr>
      <w:r>
        <w:rPr>
          <w:rFonts w:hint="eastAsia" w:ascii="宋体" w:hAnsi="宋体"/>
          <w:color w:val="auto"/>
          <w:szCs w:val="21"/>
        </w:rPr>
        <w:t>提供预付款担保期限：</w:t>
      </w:r>
      <w:r>
        <w:rPr>
          <w:rFonts w:ascii="宋体" w:hAnsi="宋体"/>
          <w:color w:val="auto"/>
          <w:szCs w:val="21"/>
          <w:u w:val="single"/>
        </w:rPr>
        <w:t xml:space="preserve">                              </w:t>
      </w:r>
      <w:r>
        <w:rPr>
          <w:rFonts w:hint="eastAsia" w:ascii="宋体" w:hAnsi="宋体"/>
          <w:color w:val="auto"/>
          <w:szCs w:val="21"/>
        </w:rPr>
        <w:t>。</w:t>
      </w:r>
    </w:p>
    <w:p w14:paraId="5F3D5699">
      <w:pPr>
        <w:spacing w:line="360" w:lineRule="auto"/>
        <w:ind w:firstLine="420" w:firstLineChars="200"/>
        <w:rPr>
          <w:rFonts w:ascii="宋体" w:hAnsi="宋体"/>
          <w:color w:val="auto"/>
          <w:szCs w:val="21"/>
        </w:rPr>
      </w:pPr>
      <w:r>
        <w:rPr>
          <w:rFonts w:hint="eastAsia" w:ascii="宋体" w:hAnsi="宋体"/>
          <w:color w:val="auto"/>
          <w:szCs w:val="21"/>
        </w:rPr>
        <w:t>预付款担保形式：</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w:t>
      </w:r>
    </w:p>
    <w:p w14:paraId="689E34A1">
      <w:pPr>
        <w:pStyle w:val="4"/>
        <w:spacing w:before="120" w:line="360" w:lineRule="auto"/>
        <w:rPr>
          <w:color w:val="auto"/>
        </w:rPr>
      </w:pPr>
      <w:bookmarkStart w:id="1985" w:name="_Toc154063731"/>
      <w:r>
        <w:rPr>
          <w:color w:val="auto"/>
        </w:rPr>
        <w:t xml:space="preserve">14.3 </w:t>
      </w:r>
      <w:r>
        <w:rPr>
          <w:rFonts w:hint="eastAsia"/>
          <w:color w:val="auto"/>
        </w:rPr>
        <w:t>工程进度款</w:t>
      </w:r>
      <w:bookmarkEnd w:id="1985"/>
    </w:p>
    <w:p w14:paraId="1AA0D67A">
      <w:pPr>
        <w:spacing w:line="360" w:lineRule="auto"/>
        <w:ind w:firstLine="420" w:firstLineChars="200"/>
        <w:rPr>
          <w:rFonts w:ascii="宋体" w:hAnsi="宋体"/>
          <w:color w:val="auto"/>
          <w:szCs w:val="21"/>
        </w:rPr>
      </w:pPr>
      <w:r>
        <w:rPr>
          <w:rFonts w:ascii="宋体" w:hAnsi="宋体"/>
          <w:color w:val="auto"/>
          <w:szCs w:val="21"/>
        </w:rPr>
        <w:t xml:space="preserve">14.3.1 </w:t>
      </w:r>
      <w:r>
        <w:rPr>
          <w:rFonts w:hint="eastAsia" w:ascii="宋体" w:hAnsi="宋体"/>
          <w:color w:val="auto"/>
          <w:szCs w:val="21"/>
        </w:rPr>
        <w:t>工程进度付款申请</w:t>
      </w:r>
    </w:p>
    <w:p w14:paraId="611E736F">
      <w:pPr>
        <w:spacing w:line="360" w:lineRule="auto"/>
        <w:ind w:firstLine="420" w:firstLineChars="200"/>
        <w:rPr>
          <w:rFonts w:ascii="宋体" w:hAnsi="宋体"/>
          <w:color w:val="auto"/>
          <w:szCs w:val="21"/>
        </w:rPr>
      </w:pPr>
      <w:r>
        <w:rPr>
          <w:rFonts w:hint="eastAsia" w:ascii="宋体" w:hAnsi="宋体"/>
          <w:color w:val="auto"/>
          <w:szCs w:val="21"/>
        </w:rPr>
        <w:t>工程进度付款申请方式：</w:t>
      </w:r>
      <w:r>
        <w:rPr>
          <w:rFonts w:ascii="宋体" w:hAnsi="宋体"/>
          <w:color w:val="auto"/>
          <w:szCs w:val="21"/>
          <w:u w:val="single"/>
        </w:rPr>
        <w:t xml:space="preserve"> </w:t>
      </w:r>
      <w:r>
        <w:rPr>
          <w:rFonts w:hint="eastAsia" w:ascii="宋体" w:hAnsi="宋体"/>
          <w:color w:val="auto"/>
          <w:szCs w:val="21"/>
          <w:u w:val="single"/>
        </w:rPr>
        <w:t>工程进度付款申请报告</w:t>
      </w:r>
      <w:r>
        <w:rPr>
          <w:rFonts w:ascii="宋体" w:hAnsi="宋体"/>
          <w:color w:val="auto"/>
          <w:szCs w:val="21"/>
          <w:u w:val="single"/>
        </w:rPr>
        <w:t xml:space="preserve"> </w:t>
      </w:r>
      <w:r>
        <w:rPr>
          <w:rFonts w:hint="eastAsia" w:ascii="宋体" w:hAnsi="宋体"/>
          <w:color w:val="auto"/>
          <w:szCs w:val="21"/>
        </w:rPr>
        <w:t>。</w:t>
      </w:r>
    </w:p>
    <w:p w14:paraId="2016ADE4">
      <w:pPr>
        <w:spacing w:line="360" w:lineRule="auto"/>
        <w:ind w:firstLine="420" w:firstLineChars="200"/>
        <w:rPr>
          <w:rFonts w:ascii="宋体" w:hAnsi="宋体"/>
          <w:color w:val="auto"/>
          <w:szCs w:val="21"/>
        </w:rPr>
      </w:pPr>
      <w:r>
        <w:rPr>
          <w:rFonts w:hint="eastAsia" w:ascii="宋体" w:hAnsi="宋体"/>
          <w:color w:val="auto"/>
          <w:szCs w:val="21"/>
        </w:rPr>
        <w:t>承包人提交进度付款申请单的格式、内容、份数和时间：</w:t>
      </w:r>
      <w:r>
        <w:rPr>
          <w:rFonts w:ascii="宋体" w:hAnsi="宋体"/>
          <w:color w:val="auto"/>
          <w:szCs w:val="21"/>
          <w:u w:val="single"/>
        </w:rPr>
        <w:t xml:space="preserve"> </w:t>
      </w:r>
      <w:r>
        <w:rPr>
          <w:rFonts w:hint="eastAsia" w:ascii="宋体" w:hAnsi="宋体"/>
          <w:color w:val="auto"/>
          <w:szCs w:val="21"/>
          <w:u w:val="single"/>
        </w:rPr>
        <w:t>（1）截至本次付款周期累计已完成工作对应的金额；（2）应增加和扣减的变更金额；（3）根据约定应支付的预付款和扣减的返还预付款；（4）根据约定应扣减的质量保证金；（5）应增加和扣减的索赔金额；（6）对已签发的进度款支付证书中出现错误的修正，应在本次进度付款中支付或扣除的金额；（7）根据合同约定应增加和扣减的其他金额；（8）提供依法合规的勘察、设计增值税普通发票和建安工程增值税普通发票，提供的发票金额应与发包人实付的工程进度款金额一致</w:t>
      </w:r>
      <w:r>
        <w:rPr>
          <w:rFonts w:ascii="宋体" w:hAnsi="宋体"/>
          <w:color w:val="auto"/>
          <w:szCs w:val="21"/>
          <w:u w:val="single"/>
        </w:rPr>
        <w:t xml:space="preserve"> </w:t>
      </w:r>
      <w:r>
        <w:rPr>
          <w:rFonts w:hint="eastAsia" w:ascii="宋体" w:hAnsi="宋体"/>
          <w:color w:val="auto"/>
          <w:szCs w:val="21"/>
        </w:rPr>
        <w:t>。</w:t>
      </w:r>
    </w:p>
    <w:p w14:paraId="4873099D">
      <w:pPr>
        <w:spacing w:line="360" w:lineRule="auto"/>
        <w:ind w:firstLine="420" w:firstLineChars="200"/>
        <w:rPr>
          <w:rFonts w:ascii="宋体" w:hAnsi="宋体"/>
          <w:color w:val="auto"/>
          <w:szCs w:val="21"/>
        </w:rPr>
      </w:pPr>
      <w:r>
        <w:rPr>
          <w:rFonts w:hint="eastAsia" w:ascii="宋体" w:hAnsi="宋体"/>
          <w:color w:val="auto"/>
          <w:szCs w:val="21"/>
        </w:rPr>
        <w:t>进度付款申请单应包括的内容：</w:t>
      </w:r>
      <w:r>
        <w:rPr>
          <w:rFonts w:ascii="宋体" w:hAnsi="宋体"/>
          <w:color w:val="auto"/>
          <w:szCs w:val="21"/>
          <w:u w:val="single"/>
        </w:rPr>
        <w:t xml:space="preserve"> </w:t>
      </w:r>
      <w:r>
        <w:rPr>
          <w:rFonts w:hint="eastAsia" w:ascii="宋体" w:hAnsi="宋体"/>
          <w:color w:val="auto"/>
          <w:szCs w:val="21"/>
          <w:u w:val="single"/>
        </w:rPr>
        <w:t>由发包人确定</w:t>
      </w:r>
      <w:r>
        <w:rPr>
          <w:rFonts w:ascii="宋体" w:hAnsi="宋体"/>
          <w:color w:val="auto"/>
          <w:szCs w:val="21"/>
          <w:u w:val="single"/>
        </w:rPr>
        <w:t xml:space="preserve"> </w:t>
      </w:r>
      <w:r>
        <w:rPr>
          <w:rFonts w:hint="eastAsia" w:ascii="宋体" w:hAnsi="宋体"/>
          <w:color w:val="auto"/>
          <w:szCs w:val="21"/>
        </w:rPr>
        <w:t>。</w:t>
      </w:r>
    </w:p>
    <w:p w14:paraId="6B5EF55D">
      <w:pPr>
        <w:spacing w:line="360" w:lineRule="auto"/>
        <w:ind w:firstLine="420" w:firstLineChars="200"/>
        <w:rPr>
          <w:rFonts w:ascii="宋体" w:hAnsi="宋体"/>
          <w:color w:val="auto"/>
          <w:szCs w:val="21"/>
        </w:rPr>
      </w:pPr>
      <w:r>
        <w:rPr>
          <w:rFonts w:ascii="宋体" w:hAnsi="宋体"/>
          <w:color w:val="auto"/>
          <w:szCs w:val="21"/>
        </w:rPr>
        <w:t xml:space="preserve">14.3.2 </w:t>
      </w:r>
      <w:r>
        <w:rPr>
          <w:rFonts w:hint="eastAsia" w:ascii="宋体" w:hAnsi="宋体"/>
          <w:color w:val="auto"/>
          <w:szCs w:val="21"/>
        </w:rPr>
        <w:t>进度付款审核和支付</w:t>
      </w:r>
    </w:p>
    <w:p w14:paraId="5EE89F0E">
      <w:pPr>
        <w:spacing w:line="360" w:lineRule="auto"/>
        <w:ind w:firstLine="420" w:firstLineChars="200"/>
        <w:rPr>
          <w:rFonts w:ascii="宋体" w:hAnsi="宋体"/>
          <w:color w:val="auto"/>
          <w:szCs w:val="21"/>
        </w:rPr>
      </w:pPr>
      <w:r>
        <w:rPr>
          <w:rFonts w:hint="eastAsia" w:ascii="宋体" w:hAnsi="宋体"/>
          <w:color w:val="auto"/>
          <w:szCs w:val="21"/>
        </w:rPr>
        <w:t>进度付款的审核方式和支付的约定：</w:t>
      </w:r>
      <w:r>
        <w:rPr>
          <w:rFonts w:ascii="宋体" w:hAnsi="宋体"/>
          <w:color w:val="auto"/>
          <w:szCs w:val="21"/>
          <w:u w:val="single"/>
        </w:rPr>
        <w:t xml:space="preserve"> </w:t>
      </w:r>
      <w:r>
        <w:rPr>
          <w:rFonts w:hint="eastAsia" w:ascii="宋体" w:hAnsi="宋体"/>
          <w:color w:val="auto"/>
          <w:szCs w:val="21"/>
          <w:u w:val="single"/>
        </w:rPr>
        <w:t>详见补充条款</w:t>
      </w:r>
      <w:r>
        <w:rPr>
          <w:rFonts w:ascii="宋体" w:hAnsi="宋体"/>
          <w:color w:val="auto"/>
          <w:szCs w:val="21"/>
          <w:u w:val="single"/>
        </w:rPr>
        <w:t xml:space="preserve"> </w:t>
      </w:r>
      <w:r>
        <w:rPr>
          <w:rFonts w:hint="eastAsia" w:ascii="宋体" w:hAnsi="宋体"/>
          <w:color w:val="auto"/>
          <w:szCs w:val="21"/>
        </w:rPr>
        <w:t>。</w:t>
      </w:r>
    </w:p>
    <w:p w14:paraId="0C763E69">
      <w:pPr>
        <w:spacing w:line="360" w:lineRule="auto"/>
        <w:ind w:firstLine="420" w:firstLineChars="200"/>
        <w:rPr>
          <w:rFonts w:ascii="宋体" w:hAnsi="宋体"/>
          <w:color w:val="auto"/>
          <w:szCs w:val="21"/>
        </w:rPr>
      </w:pPr>
      <w:r>
        <w:rPr>
          <w:rFonts w:hint="eastAsia" w:ascii="宋体" w:hAnsi="宋体"/>
          <w:color w:val="auto"/>
          <w:szCs w:val="21"/>
        </w:rPr>
        <w:t>发包人应在进度款支付证书或临时进度款支付证书签发后的</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lang w:val="en-US" w:eastAsia="zh-CN"/>
        </w:rPr>
        <w:t>/</w:t>
      </w:r>
      <w:r>
        <w:rPr>
          <w:rFonts w:ascii="宋体" w:hAnsi="宋体"/>
          <w:color w:val="auto"/>
          <w:szCs w:val="21"/>
          <w:u w:val="single"/>
        </w:rPr>
        <w:t xml:space="preserve">  </w:t>
      </w:r>
      <w:r>
        <w:rPr>
          <w:rFonts w:hint="eastAsia" w:ascii="宋体" w:hAnsi="宋体"/>
          <w:color w:val="auto"/>
          <w:szCs w:val="21"/>
        </w:rPr>
        <w:t>天内完成支付，发包人逾期支付进度款的，应按照</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lang w:val="en-US" w:eastAsia="zh-CN"/>
        </w:rPr>
        <w:t>/</w:t>
      </w:r>
      <w:r>
        <w:rPr>
          <w:rFonts w:ascii="宋体" w:hAnsi="宋体"/>
          <w:color w:val="auto"/>
          <w:szCs w:val="21"/>
          <w:u w:val="single"/>
        </w:rPr>
        <w:t xml:space="preserve">  </w:t>
      </w:r>
      <w:r>
        <w:rPr>
          <w:rFonts w:hint="eastAsia" w:ascii="宋体" w:hAnsi="宋体"/>
          <w:color w:val="auto"/>
          <w:szCs w:val="21"/>
        </w:rPr>
        <w:t>支付违约金。</w:t>
      </w:r>
    </w:p>
    <w:p w14:paraId="01FD7E19">
      <w:pPr>
        <w:pStyle w:val="4"/>
        <w:spacing w:before="120" w:line="360" w:lineRule="auto"/>
        <w:rPr>
          <w:color w:val="auto"/>
        </w:rPr>
      </w:pPr>
      <w:bookmarkStart w:id="1986" w:name="_Toc154063732"/>
      <w:r>
        <w:rPr>
          <w:color w:val="auto"/>
        </w:rPr>
        <w:t xml:space="preserve">14.4 </w:t>
      </w:r>
      <w:r>
        <w:rPr>
          <w:rFonts w:hint="eastAsia"/>
          <w:color w:val="auto"/>
        </w:rPr>
        <w:t>付款计划表</w:t>
      </w:r>
      <w:bookmarkEnd w:id="1986"/>
    </w:p>
    <w:p w14:paraId="7C19A7EC">
      <w:pPr>
        <w:spacing w:line="360" w:lineRule="auto"/>
        <w:ind w:firstLine="420" w:firstLineChars="200"/>
        <w:rPr>
          <w:rFonts w:ascii="宋体" w:hAnsi="宋体"/>
          <w:color w:val="auto"/>
          <w:szCs w:val="21"/>
        </w:rPr>
      </w:pPr>
      <w:r>
        <w:rPr>
          <w:rFonts w:ascii="宋体" w:hAnsi="宋体"/>
          <w:color w:val="auto"/>
          <w:szCs w:val="21"/>
        </w:rPr>
        <w:t>14.4.1 付款计划表的编制要求</w:t>
      </w:r>
      <w:r>
        <w:rPr>
          <w:rFonts w:hint="eastAsia" w:ascii="宋体" w:hAnsi="宋体"/>
          <w:color w:val="auto"/>
          <w:szCs w:val="21"/>
        </w:rPr>
        <w:t>：</w:t>
      </w:r>
      <w:r>
        <w:rPr>
          <w:rFonts w:ascii="宋体" w:hAnsi="宋体"/>
          <w:color w:val="auto"/>
          <w:szCs w:val="21"/>
          <w:u w:val="single"/>
        </w:rPr>
        <w:t xml:space="preserve"> </w:t>
      </w:r>
      <w:r>
        <w:rPr>
          <w:rFonts w:hint="eastAsia" w:ascii="宋体" w:hAnsi="宋体"/>
          <w:color w:val="auto"/>
          <w:szCs w:val="21"/>
          <w:u w:val="single"/>
        </w:rPr>
        <w:t>由发包人确定</w:t>
      </w:r>
      <w:r>
        <w:rPr>
          <w:rFonts w:ascii="宋体" w:hAnsi="宋体"/>
          <w:color w:val="auto"/>
          <w:szCs w:val="21"/>
          <w:u w:val="single"/>
        </w:rPr>
        <w:t xml:space="preserve"> </w:t>
      </w:r>
      <w:r>
        <w:rPr>
          <w:rFonts w:hint="eastAsia" w:ascii="宋体" w:hAnsi="宋体"/>
          <w:color w:val="auto"/>
          <w:szCs w:val="21"/>
        </w:rPr>
        <w:t>。</w:t>
      </w:r>
    </w:p>
    <w:p w14:paraId="066A08D6">
      <w:pPr>
        <w:spacing w:line="360" w:lineRule="auto"/>
        <w:ind w:firstLine="420" w:firstLineChars="200"/>
        <w:rPr>
          <w:rFonts w:ascii="宋体" w:hAnsi="宋体"/>
          <w:color w:val="auto"/>
          <w:szCs w:val="21"/>
        </w:rPr>
      </w:pPr>
      <w:r>
        <w:rPr>
          <w:rFonts w:ascii="宋体" w:hAnsi="宋体"/>
          <w:color w:val="auto"/>
          <w:szCs w:val="21"/>
        </w:rPr>
        <w:t xml:space="preserve">14.4.2 </w:t>
      </w:r>
      <w:r>
        <w:rPr>
          <w:rFonts w:hint="eastAsia" w:ascii="宋体" w:hAnsi="宋体"/>
          <w:color w:val="auto"/>
          <w:szCs w:val="21"/>
        </w:rPr>
        <w:t>付款计划表的编制与审批</w:t>
      </w:r>
    </w:p>
    <w:p w14:paraId="3CF7290F">
      <w:pPr>
        <w:spacing w:line="360" w:lineRule="auto"/>
        <w:ind w:firstLine="420" w:firstLineChars="200"/>
        <w:rPr>
          <w:rFonts w:ascii="宋体" w:hAnsi="宋体"/>
          <w:color w:val="auto"/>
          <w:szCs w:val="21"/>
        </w:rPr>
      </w:pPr>
      <w:r>
        <w:rPr>
          <w:rFonts w:hint="eastAsia" w:ascii="宋体" w:hAnsi="宋体"/>
          <w:color w:val="auto"/>
          <w:szCs w:val="21"/>
        </w:rPr>
        <w:t>付款计划表的编制：</w:t>
      </w:r>
      <w:r>
        <w:rPr>
          <w:rFonts w:ascii="宋体" w:hAnsi="宋体"/>
          <w:color w:val="auto"/>
          <w:szCs w:val="21"/>
          <w:u w:val="single"/>
        </w:rPr>
        <w:t xml:space="preserve"> </w:t>
      </w:r>
      <w:r>
        <w:rPr>
          <w:rFonts w:hint="eastAsia" w:ascii="宋体" w:hAnsi="宋体"/>
          <w:color w:val="auto"/>
          <w:szCs w:val="21"/>
          <w:u w:val="single"/>
        </w:rPr>
        <w:t>由发包人确定</w:t>
      </w:r>
      <w:r>
        <w:rPr>
          <w:rFonts w:ascii="宋体" w:hAnsi="宋体"/>
          <w:color w:val="auto"/>
          <w:szCs w:val="21"/>
          <w:u w:val="single"/>
        </w:rPr>
        <w:t xml:space="preserve"> </w:t>
      </w:r>
      <w:r>
        <w:rPr>
          <w:rFonts w:hint="eastAsia" w:ascii="宋体" w:hAnsi="宋体"/>
          <w:color w:val="auto"/>
          <w:szCs w:val="21"/>
        </w:rPr>
        <w:t>。</w:t>
      </w:r>
    </w:p>
    <w:p w14:paraId="427870D6">
      <w:pPr>
        <w:pStyle w:val="4"/>
        <w:spacing w:before="120" w:line="360" w:lineRule="auto"/>
        <w:rPr>
          <w:color w:val="auto"/>
        </w:rPr>
      </w:pPr>
      <w:bookmarkStart w:id="1987" w:name="_Toc154063733"/>
      <w:r>
        <w:rPr>
          <w:color w:val="auto"/>
        </w:rPr>
        <w:t xml:space="preserve">14.5 </w:t>
      </w:r>
      <w:r>
        <w:rPr>
          <w:rFonts w:hint="eastAsia"/>
          <w:color w:val="auto"/>
        </w:rPr>
        <w:t>竣工结算</w:t>
      </w:r>
      <w:bookmarkEnd w:id="1987"/>
    </w:p>
    <w:p w14:paraId="0F7652CD">
      <w:pPr>
        <w:spacing w:line="360" w:lineRule="auto"/>
        <w:ind w:firstLine="420" w:firstLineChars="200"/>
        <w:rPr>
          <w:rFonts w:ascii="宋体" w:hAnsi="宋体"/>
          <w:color w:val="auto"/>
          <w:szCs w:val="21"/>
        </w:rPr>
      </w:pPr>
      <w:r>
        <w:rPr>
          <w:rFonts w:ascii="宋体" w:hAnsi="宋体"/>
          <w:color w:val="auto"/>
          <w:szCs w:val="21"/>
        </w:rPr>
        <w:t xml:space="preserve">14.5.1 </w:t>
      </w:r>
      <w:r>
        <w:rPr>
          <w:rFonts w:hint="eastAsia" w:ascii="宋体" w:hAnsi="宋体"/>
          <w:color w:val="auto"/>
          <w:szCs w:val="21"/>
        </w:rPr>
        <w:t>竣工结算申请</w:t>
      </w:r>
    </w:p>
    <w:p w14:paraId="5DF57B14">
      <w:pPr>
        <w:spacing w:line="360" w:lineRule="auto"/>
        <w:ind w:firstLine="420" w:firstLineChars="200"/>
        <w:rPr>
          <w:rFonts w:ascii="宋体" w:hAnsi="宋体"/>
          <w:color w:val="auto"/>
          <w:szCs w:val="21"/>
        </w:rPr>
      </w:pPr>
      <w:r>
        <w:rPr>
          <w:rFonts w:hint="eastAsia" w:ascii="宋体" w:hAnsi="宋体"/>
          <w:color w:val="auto"/>
          <w:szCs w:val="21"/>
        </w:rPr>
        <w:t>承包人提交竣工结算申请的时间：</w:t>
      </w:r>
      <w:r>
        <w:rPr>
          <w:rFonts w:ascii="宋体" w:hAnsi="宋体"/>
          <w:color w:val="auto"/>
          <w:szCs w:val="21"/>
          <w:u w:val="single"/>
        </w:rPr>
        <w:t xml:space="preserve"> </w:t>
      </w:r>
      <w:r>
        <w:rPr>
          <w:rFonts w:hint="eastAsia" w:ascii="宋体" w:hAnsi="宋体"/>
          <w:color w:val="auto"/>
          <w:szCs w:val="21"/>
          <w:u w:val="single"/>
        </w:rPr>
        <w:t>详见补充条款</w:t>
      </w:r>
      <w:r>
        <w:rPr>
          <w:rFonts w:ascii="宋体" w:hAnsi="宋体"/>
          <w:color w:val="auto"/>
          <w:szCs w:val="21"/>
          <w:u w:val="single"/>
        </w:rPr>
        <w:t xml:space="preserve"> </w:t>
      </w:r>
      <w:r>
        <w:rPr>
          <w:rFonts w:hint="eastAsia" w:ascii="宋体" w:hAnsi="宋体"/>
          <w:color w:val="auto"/>
          <w:szCs w:val="21"/>
        </w:rPr>
        <w:t>。</w:t>
      </w:r>
    </w:p>
    <w:p w14:paraId="3294BA2F">
      <w:pPr>
        <w:spacing w:line="360" w:lineRule="auto"/>
        <w:ind w:firstLine="420" w:firstLineChars="200"/>
        <w:rPr>
          <w:rFonts w:ascii="宋体" w:hAnsi="宋体"/>
          <w:color w:val="auto"/>
          <w:szCs w:val="21"/>
        </w:rPr>
      </w:pPr>
      <w:r>
        <w:rPr>
          <w:rFonts w:hint="eastAsia" w:ascii="宋体" w:hAnsi="宋体"/>
          <w:color w:val="auto"/>
          <w:szCs w:val="21"/>
        </w:rPr>
        <w:t>竣工结算申请的资料清单和份数：</w:t>
      </w:r>
      <w:r>
        <w:rPr>
          <w:rFonts w:ascii="宋体" w:hAnsi="宋体"/>
          <w:color w:val="auto"/>
          <w:szCs w:val="21"/>
          <w:u w:val="single"/>
        </w:rPr>
        <w:t xml:space="preserve"> </w:t>
      </w:r>
      <w:r>
        <w:rPr>
          <w:rFonts w:hint="eastAsia" w:ascii="宋体" w:hAnsi="宋体"/>
          <w:color w:val="auto"/>
          <w:szCs w:val="21"/>
          <w:u w:val="single"/>
        </w:rPr>
        <w:t>按发包人要求</w:t>
      </w:r>
      <w:r>
        <w:rPr>
          <w:rFonts w:ascii="宋体" w:hAnsi="宋体"/>
          <w:color w:val="auto"/>
          <w:szCs w:val="21"/>
          <w:u w:val="single"/>
        </w:rPr>
        <w:t xml:space="preserve"> </w:t>
      </w:r>
      <w:r>
        <w:rPr>
          <w:rFonts w:hint="eastAsia" w:ascii="宋体" w:hAnsi="宋体"/>
          <w:color w:val="auto"/>
          <w:szCs w:val="21"/>
        </w:rPr>
        <w:t>。</w:t>
      </w:r>
    </w:p>
    <w:p w14:paraId="070C6005">
      <w:pPr>
        <w:spacing w:line="360" w:lineRule="auto"/>
        <w:ind w:firstLine="420" w:firstLineChars="200"/>
        <w:rPr>
          <w:rFonts w:ascii="宋体" w:hAnsi="宋体"/>
          <w:color w:val="auto"/>
          <w:szCs w:val="21"/>
        </w:rPr>
      </w:pPr>
      <w:r>
        <w:rPr>
          <w:rFonts w:hint="eastAsia" w:ascii="宋体" w:hAnsi="宋体"/>
          <w:color w:val="auto"/>
          <w:szCs w:val="21"/>
        </w:rPr>
        <w:t>竣工结算申请单的内容应包括：</w:t>
      </w:r>
      <w:r>
        <w:rPr>
          <w:rFonts w:ascii="宋体" w:hAnsi="宋体"/>
          <w:color w:val="auto"/>
          <w:szCs w:val="21"/>
          <w:u w:val="single"/>
        </w:rPr>
        <w:t xml:space="preserve"> </w:t>
      </w:r>
      <w:r>
        <w:rPr>
          <w:rFonts w:hint="eastAsia" w:ascii="宋体" w:hAnsi="宋体"/>
          <w:color w:val="auto"/>
          <w:szCs w:val="21"/>
          <w:u w:val="single"/>
        </w:rPr>
        <w:t>（1）竣工结算合同价格；（2）发包人已支付承包人的款项；（3）应扣留的质量保证金</w:t>
      </w:r>
      <w:r>
        <w:rPr>
          <w:rFonts w:ascii="宋体" w:hAnsi="宋体"/>
          <w:color w:val="auto"/>
          <w:szCs w:val="21"/>
          <w:u w:val="single"/>
        </w:rPr>
        <w:t xml:space="preserve"> </w:t>
      </w:r>
      <w:r>
        <w:rPr>
          <w:rFonts w:hint="eastAsia" w:ascii="宋体" w:hAnsi="宋体"/>
          <w:color w:val="auto"/>
          <w:szCs w:val="21"/>
        </w:rPr>
        <w:t>。</w:t>
      </w:r>
    </w:p>
    <w:p w14:paraId="43F67EE9">
      <w:pPr>
        <w:spacing w:line="360" w:lineRule="auto"/>
        <w:ind w:firstLine="420" w:firstLineChars="200"/>
        <w:rPr>
          <w:rFonts w:ascii="宋体" w:hAnsi="宋体"/>
          <w:color w:val="auto"/>
          <w:szCs w:val="21"/>
        </w:rPr>
      </w:pPr>
      <w:r>
        <w:rPr>
          <w:rFonts w:ascii="宋体" w:hAnsi="宋体"/>
          <w:color w:val="auto"/>
          <w:szCs w:val="21"/>
        </w:rPr>
        <w:t xml:space="preserve">14.5.2 </w:t>
      </w:r>
      <w:r>
        <w:rPr>
          <w:rFonts w:hint="eastAsia" w:ascii="宋体" w:hAnsi="宋体"/>
          <w:color w:val="auto"/>
          <w:szCs w:val="21"/>
        </w:rPr>
        <w:t>竣工结算审核</w:t>
      </w:r>
    </w:p>
    <w:p w14:paraId="1B3FA252">
      <w:pPr>
        <w:spacing w:line="360" w:lineRule="auto"/>
        <w:ind w:firstLine="420" w:firstLineChars="200"/>
        <w:rPr>
          <w:rFonts w:ascii="宋体" w:hAnsi="宋体"/>
          <w:color w:val="auto"/>
          <w:szCs w:val="21"/>
        </w:rPr>
      </w:pPr>
      <w:r>
        <w:rPr>
          <w:rFonts w:hint="eastAsia" w:ascii="宋体" w:hAnsi="宋体"/>
          <w:color w:val="auto"/>
          <w:szCs w:val="21"/>
        </w:rPr>
        <w:t>发包人审批竣工付款申请单的期限：</w:t>
      </w:r>
      <w:r>
        <w:rPr>
          <w:rFonts w:ascii="宋体" w:hAnsi="宋体"/>
          <w:color w:val="auto"/>
          <w:szCs w:val="21"/>
          <w:u w:val="single"/>
        </w:rPr>
        <w:t xml:space="preserve"> </w:t>
      </w:r>
      <w:r>
        <w:rPr>
          <w:rFonts w:hint="eastAsia" w:ascii="宋体" w:hAnsi="宋体"/>
          <w:color w:val="auto"/>
          <w:szCs w:val="21"/>
          <w:u w:val="single"/>
        </w:rPr>
        <w:t>按合同通用条款执行</w:t>
      </w:r>
      <w:r>
        <w:rPr>
          <w:rFonts w:ascii="宋体" w:hAnsi="宋体"/>
          <w:color w:val="auto"/>
          <w:szCs w:val="21"/>
          <w:u w:val="single"/>
        </w:rPr>
        <w:t xml:space="preserve"> </w:t>
      </w:r>
      <w:r>
        <w:rPr>
          <w:rFonts w:hint="eastAsia" w:ascii="宋体" w:hAnsi="宋体"/>
          <w:color w:val="auto"/>
          <w:szCs w:val="21"/>
        </w:rPr>
        <w:t>。</w:t>
      </w:r>
    </w:p>
    <w:p w14:paraId="6541FB9F">
      <w:pPr>
        <w:spacing w:line="360" w:lineRule="auto"/>
        <w:ind w:firstLine="420" w:firstLineChars="200"/>
        <w:rPr>
          <w:rFonts w:ascii="宋体" w:hAnsi="宋体"/>
          <w:color w:val="auto"/>
          <w:szCs w:val="21"/>
        </w:rPr>
      </w:pPr>
      <w:r>
        <w:rPr>
          <w:rFonts w:hint="eastAsia" w:ascii="宋体" w:hAnsi="宋体"/>
          <w:color w:val="auto"/>
          <w:szCs w:val="21"/>
        </w:rPr>
        <w:t>发包人完成竣工付款的期限：</w:t>
      </w:r>
      <w:r>
        <w:rPr>
          <w:rFonts w:ascii="宋体" w:hAnsi="宋体"/>
          <w:color w:val="auto"/>
          <w:szCs w:val="21"/>
          <w:u w:val="single"/>
        </w:rPr>
        <w:t xml:space="preserve"> </w:t>
      </w:r>
      <w:r>
        <w:rPr>
          <w:rFonts w:hint="eastAsia" w:ascii="宋体" w:hAnsi="宋体"/>
          <w:color w:val="auto"/>
          <w:szCs w:val="21"/>
          <w:u w:val="single"/>
        </w:rPr>
        <w:t>按合同通用条款执行</w:t>
      </w:r>
      <w:r>
        <w:rPr>
          <w:rFonts w:ascii="宋体" w:hAnsi="宋体"/>
          <w:color w:val="auto"/>
          <w:szCs w:val="21"/>
          <w:u w:val="single"/>
        </w:rPr>
        <w:t xml:space="preserve"> </w:t>
      </w:r>
      <w:r>
        <w:rPr>
          <w:rFonts w:hint="eastAsia" w:ascii="宋体" w:hAnsi="宋体"/>
          <w:color w:val="auto"/>
          <w:szCs w:val="21"/>
        </w:rPr>
        <w:t>。</w:t>
      </w:r>
    </w:p>
    <w:p w14:paraId="4EE287BD">
      <w:pPr>
        <w:spacing w:line="360" w:lineRule="auto"/>
        <w:ind w:firstLine="420" w:firstLineChars="200"/>
        <w:rPr>
          <w:rFonts w:ascii="宋体" w:hAnsi="宋体"/>
          <w:color w:val="auto"/>
          <w:szCs w:val="21"/>
        </w:rPr>
      </w:pPr>
      <w:r>
        <w:rPr>
          <w:rFonts w:hint="eastAsia" w:ascii="宋体" w:hAnsi="宋体"/>
          <w:color w:val="auto"/>
          <w:szCs w:val="21"/>
        </w:rPr>
        <w:t>关于竣工付款证书异议部分复核的方式和程序：</w:t>
      </w:r>
      <w:r>
        <w:rPr>
          <w:rFonts w:ascii="宋体" w:hAnsi="宋体"/>
          <w:color w:val="auto"/>
          <w:szCs w:val="21"/>
          <w:u w:val="single"/>
        </w:rPr>
        <w:t xml:space="preserve"> </w:t>
      </w:r>
      <w:r>
        <w:rPr>
          <w:rFonts w:hint="eastAsia" w:ascii="宋体" w:hAnsi="宋体"/>
          <w:color w:val="auto"/>
          <w:szCs w:val="21"/>
          <w:u w:val="single"/>
        </w:rPr>
        <w:t>按合同通用条款执行</w:t>
      </w:r>
      <w:r>
        <w:rPr>
          <w:rFonts w:ascii="宋体" w:hAnsi="宋体"/>
          <w:color w:val="auto"/>
          <w:szCs w:val="21"/>
          <w:u w:val="single"/>
        </w:rPr>
        <w:t xml:space="preserve"> </w:t>
      </w:r>
      <w:r>
        <w:rPr>
          <w:rFonts w:hint="eastAsia" w:ascii="宋体" w:hAnsi="宋体"/>
          <w:color w:val="auto"/>
          <w:szCs w:val="21"/>
        </w:rPr>
        <w:t>。</w:t>
      </w:r>
    </w:p>
    <w:p w14:paraId="61CDDF35">
      <w:pPr>
        <w:pStyle w:val="4"/>
        <w:spacing w:before="120" w:line="360" w:lineRule="auto"/>
        <w:rPr>
          <w:color w:val="auto"/>
        </w:rPr>
      </w:pPr>
      <w:bookmarkStart w:id="1988" w:name="_Toc154063734"/>
      <w:r>
        <w:rPr>
          <w:color w:val="auto"/>
        </w:rPr>
        <w:t xml:space="preserve">14.6 </w:t>
      </w:r>
      <w:r>
        <w:rPr>
          <w:rFonts w:hint="eastAsia"/>
          <w:color w:val="auto"/>
        </w:rPr>
        <w:t>质量保证金</w:t>
      </w:r>
      <w:bookmarkEnd w:id="1988"/>
    </w:p>
    <w:p w14:paraId="113FF05D">
      <w:pPr>
        <w:spacing w:line="360" w:lineRule="auto"/>
        <w:ind w:firstLine="420" w:firstLineChars="200"/>
        <w:rPr>
          <w:rFonts w:ascii="宋体" w:hAnsi="宋体"/>
          <w:color w:val="auto"/>
          <w:szCs w:val="21"/>
        </w:rPr>
      </w:pPr>
      <w:r>
        <w:rPr>
          <w:rFonts w:ascii="宋体" w:hAnsi="宋体"/>
          <w:color w:val="auto"/>
          <w:szCs w:val="21"/>
        </w:rPr>
        <w:t xml:space="preserve">14.6.1 </w:t>
      </w:r>
      <w:r>
        <w:rPr>
          <w:rFonts w:hint="eastAsia" w:ascii="宋体" w:hAnsi="宋体"/>
          <w:color w:val="auto"/>
          <w:szCs w:val="21"/>
        </w:rPr>
        <w:t>承包人提供质量保证金的方式</w:t>
      </w:r>
    </w:p>
    <w:p w14:paraId="5D494AAB">
      <w:pPr>
        <w:spacing w:line="360" w:lineRule="auto"/>
        <w:ind w:firstLine="420" w:firstLineChars="200"/>
        <w:rPr>
          <w:rFonts w:ascii="宋体" w:hAnsi="宋体"/>
          <w:color w:val="auto"/>
          <w:szCs w:val="21"/>
        </w:rPr>
      </w:pPr>
      <w:r>
        <w:rPr>
          <w:rFonts w:ascii="宋体" w:hAnsi="宋体"/>
          <w:color w:val="auto"/>
          <w:szCs w:val="21"/>
        </w:rPr>
        <w:t>质量</w:t>
      </w:r>
      <w:r>
        <w:rPr>
          <w:rFonts w:hint="eastAsia" w:ascii="宋体" w:hAnsi="宋体"/>
          <w:color w:val="auto"/>
          <w:szCs w:val="21"/>
        </w:rPr>
        <w:t>保证金</w:t>
      </w:r>
      <w:r>
        <w:rPr>
          <w:rFonts w:ascii="宋体" w:hAnsi="宋体"/>
          <w:color w:val="auto"/>
          <w:szCs w:val="21"/>
        </w:rPr>
        <w:t>采用以下</w:t>
      </w:r>
      <w:r>
        <w:rPr>
          <w:rFonts w:hint="eastAsia" w:ascii="宋体" w:hAnsi="宋体"/>
          <w:color w:val="auto"/>
          <w:szCs w:val="21"/>
        </w:rPr>
        <w:t>第</w:t>
      </w:r>
      <w:r>
        <w:rPr>
          <w:rFonts w:ascii="宋体" w:hAnsi="宋体"/>
          <w:color w:val="auto"/>
          <w:szCs w:val="21"/>
          <w:u w:val="single"/>
        </w:rPr>
        <w:t xml:space="preserve">  </w:t>
      </w:r>
      <w:r>
        <w:rPr>
          <w:rFonts w:hint="eastAsia" w:ascii="宋体" w:hAnsi="宋体"/>
          <w:color w:val="auto"/>
          <w:szCs w:val="21"/>
          <w:u w:val="single"/>
          <w:lang w:eastAsia="zh-CN"/>
        </w:rPr>
        <w:t>（</w:t>
      </w:r>
      <w:r>
        <w:rPr>
          <w:rFonts w:hint="eastAsia" w:ascii="宋体" w:hAnsi="宋体"/>
          <w:color w:val="auto"/>
          <w:szCs w:val="21"/>
          <w:u w:val="single"/>
          <w:lang w:val="en-US" w:eastAsia="zh-CN"/>
        </w:rPr>
        <w:t>2</w:t>
      </w:r>
      <w:r>
        <w:rPr>
          <w:rFonts w:hint="eastAsia" w:ascii="宋体" w:hAnsi="宋体"/>
          <w:color w:val="auto"/>
          <w:szCs w:val="21"/>
          <w:u w:val="single"/>
          <w:lang w:eastAsia="zh-CN"/>
        </w:rPr>
        <w:t>）</w:t>
      </w:r>
      <w:r>
        <w:rPr>
          <w:rFonts w:ascii="宋体" w:hAnsi="宋体"/>
          <w:color w:val="auto"/>
          <w:szCs w:val="21"/>
          <w:u w:val="single"/>
        </w:rPr>
        <w:t xml:space="preserve">  </w:t>
      </w:r>
      <w:r>
        <w:rPr>
          <w:rFonts w:hint="eastAsia" w:ascii="宋体" w:hAnsi="宋体"/>
          <w:color w:val="auto"/>
          <w:szCs w:val="21"/>
        </w:rPr>
        <w:t>种</w:t>
      </w:r>
      <w:r>
        <w:rPr>
          <w:rFonts w:ascii="宋体" w:hAnsi="宋体"/>
          <w:color w:val="auto"/>
          <w:szCs w:val="21"/>
        </w:rPr>
        <w:t>方式：</w:t>
      </w:r>
    </w:p>
    <w:p w14:paraId="454B493A">
      <w:pPr>
        <w:spacing w:line="360" w:lineRule="auto"/>
        <w:ind w:firstLine="420" w:firstLineChars="200"/>
        <w:rPr>
          <w:rFonts w:ascii="宋体" w:hAnsi="宋体"/>
          <w:color w:val="auto"/>
          <w:szCs w:val="21"/>
        </w:rPr>
      </w:pPr>
      <w:r>
        <w:rPr>
          <w:rFonts w:ascii="宋体" w:hAnsi="宋体"/>
          <w:color w:val="auto"/>
          <w:szCs w:val="21"/>
        </w:rPr>
        <w:t xml:space="preserve">(1) </w:t>
      </w:r>
      <w:r>
        <w:rPr>
          <w:rFonts w:hint="eastAsia" w:ascii="宋体" w:hAnsi="宋体"/>
          <w:color w:val="auto"/>
          <w:szCs w:val="21"/>
        </w:rPr>
        <w:t>工程质量保证担保</w:t>
      </w:r>
      <w:r>
        <w:rPr>
          <w:rFonts w:ascii="宋体" w:hAnsi="宋体"/>
          <w:color w:val="auto"/>
          <w:szCs w:val="21"/>
        </w:rPr>
        <w:t>，保证金额为：</w:t>
      </w:r>
      <w:r>
        <w:rPr>
          <w:rFonts w:hint="eastAsia" w:ascii="宋体" w:hAnsi="宋体"/>
          <w:color w:val="auto"/>
          <w:szCs w:val="21"/>
          <w:u w:val="single"/>
          <w:lang w:val="en-US" w:eastAsia="zh-CN"/>
        </w:rPr>
        <w:t xml:space="preserve"> </w:t>
      </w:r>
      <w:r>
        <w:rPr>
          <w:rFonts w:ascii="宋体" w:hAnsi="宋体"/>
          <w:color w:val="auto"/>
          <w:szCs w:val="21"/>
          <w:u w:val="single"/>
        </w:rPr>
        <w:t xml:space="preserve"> </w:t>
      </w:r>
      <w:r>
        <w:rPr>
          <w:rFonts w:hint="eastAsia" w:ascii="宋体" w:hAnsi="宋体"/>
          <w:color w:val="auto"/>
          <w:szCs w:val="21"/>
          <w:u w:val="single"/>
          <w:lang w:val="en-US" w:eastAsia="zh-CN"/>
        </w:rPr>
        <w:t>/</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rPr>
        <w:t>；</w:t>
      </w:r>
    </w:p>
    <w:p w14:paraId="3767E4D0">
      <w:pPr>
        <w:spacing w:line="360" w:lineRule="auto"/>
        <w:ind w:firstLine="420" w:firstLineChars="200"/>
        <w:rPr>
          <w:rFonts w:ascii="宋体" w:hAnsi="宋体"/>
          <w:color w:val="auto"/>
          <w:szCs w:val="21"/>
        </w:rPr>
      </w:pPr>
      <w:r>
        <w:rPr>
          <w:rFonts w:ascii="宋体" w:hAnsi="宋体"/>
          <w:color w:val="auto"/>
          <w:szCs w:val="21"/>
        </w:rPr>
        <w:t xml:space="preserve">(2) </w:t>
      </w:r>
      <w:r>
        <w:rPr>
          <w:rFonts w:ascii="宋体" w:hAnsi="宋体"/>
          <w:color w:val="auto"/>
          <w:szCs w:val="21"/>
          <w:u w:val="single"/>
        </w:rPr>
        <w:t xml:space="preserve"> </w:t>
      </w:r>
      <w:r>
        <w:rPr>
          <w:rFonts w:hint="eastAsia" w:ascii="宋体" w:hAnsi="宋体"/>
          <w:color w:val="auto"/>
          <w:szCs w:val="21"/>
          <w:u w:val="single"/>
          <w:lang w:val="en-US" w:eastAsia="zh-CN"/>
        </w:rPr>
        <w:t>1.5</w:t>
      </w:r>
      <w:r>
        <w:rPr>
          <w:rFonts w:ascii="宋体" w:hAnsi="宋体"/>
          <w:color w:val="auto"/>
          <w:szCs w:val="21"/>
          <w:u w:val="single"/>
        </w:rPr>
        <w:t xml:space="preserve"> </w:t>
      </w:r>
      <w:r>
        <w:rPr>
          <w:rFonts w:ascii="宋体" w:hAnsi="宋体"/>
          <w:color w:val="auto"/>
          <w:szCs w:val="21"/>
        </w:rPr>
        <w:t>%的工程款；</w:t>
      </w:r>
    </w:p>
    <w:p w14:paraId="16C6E296">
      <w:pPr>
        <w:spacing w:line="360" w:lineRule="auto"/>
        <w:ind w:firstLine="420" w:firstLineChars="200"/>
        <w:rPr>
          <w:rFonts w:ascii="宋体" w:hAnsi="宋体"/>
          <w:color w:val="auto"/>
          <w:szCs w:val="21"/>
        </w:rPr>
      </w:pPr>
      <w:r>
        <w:rPr>
          <w:rFonts w:ascii="宋体" w:hAnsi="宋体"/>
          <w:color w:val="auto"/>
          <w:szCs w:val="21"/>
        </w:rPr>
        <w:t xml:space="preserve">(3) </w:t>
      </w:r>
      <w:r>
        <w:rPr>
          <w:rFonts w:hint="eastAsia" w:ascii="宋体" w:hAnsi="宋体"/>
          <w:color w:val="auto"/>
          <w:szCs w:val="21"/>
        </w:rPr>
        <w:t>其他方式：</w:t>
      </w:r>
      <w:r>
        <w:rPr>
          <w:rFonts w:ascii="宋体" w:hAnsi="宋体"/>
          <w:color w:val="auto"/>
          <w:szCs w:val="21"/>
          <w:u w:val="single"/>
        </w:rPr>
        <w:t xml:space="preserve">  </w:t>
      </w:r>
      <w:r>
        <w:rPr>
          <w:rFonts w:hint="eastAsia" w:ascii="宋体" w:hAnsi="宋体"/>
          <w:color w:val="auto"/>
          <w:szCs w:val="21"/>
          <w:u w:val="single"/>
          <w:lang w:val="en-US" w:eastAsia="zh-CN"/>
        </w:rPr>
        <w:t>/</w:t>
      </w:r>
      <w:r>
        <w:rPr>
          <w:rFonts w:ascii="宋体" w:hAnsi="宋体"/>
          <w:color w:val="auto"/>
          <w:szCs w:val="21"/>
          <w:u w:val="single"/>
        </w:rPr>
        <w:t xml:space="preserve">  </w:t>
      </w:r>
      <w:r>
        <w:rPr>
          <w:rFonts w:hint="eastAsia" w:ascii="宋体" w:hAnsi="宋体"/>
          <w:color w:val="auto"/>
          <w:szCs w:val="21"/>
        </w:rPr>
        <w:t>。</w:t>
      </w:r>
    </w:p>
    <w:p w14:paraId="6BEB444C">
      <w:pPr>
        <w:spacing w:line="360" w:lineRule="auto"/>
        <w:ind w:firstLine="420" w:firstLineChars="200"/>
        <w:rPr>
          <w:rFonts w:ascii="宋体" w:hAnsi="宋体"/>
          <w:color w:val="auto"/>
          <w:szCs w:val="21"/>
        </w:rPr>
      </w:pPr>
      <w:r>
        <w:rPr>
          <w:rFonts w:ascii="宋体" w:hAnsi="宋体"/>
          <w:color w:val="auto"/>
          <w:szCs w:val="21"/>
        </w:rPr>
        <w:t xml:space="preserve">14.6.2 </w:t>
      </w:r>
      <w:r>
        <w:rPr>
          <w:rFonts w:hint="eastAsia" w:ascii="宋体" w:hAnsi="宋体"/>
          <w:color w:val="auto"/>
          <w:szCs w:val="21"/>
        </w:rPr>
        <w:t>质量保证金的预留</w:t>
      </w:r>
    </w:p>
    <w:p w14:paraId="77ECA211">
      <w:pPr>
        <w:spacing w:line="360" w:lineRule="auto"/>
        <w:ind w:firstLine="420" w:firstLineChars="200"/>
        <w:rPr>
          <w:rFonts w:ascii="宋体" w:hAnsi="宋体"/>
          <w:color w:val="auto"/>
          <w:szCs w:val="21"/>
        </w:rPr>
      </w:pPr>
      <w:r>
        <w:rPr>
          <w:rFonts w:ascii="宋体" w:hAnsi="宋体"/>
          <w:color w:val="auto"/>
          <w:szCs w:val="21"/>
        </w:rPr>
        <w:t>质量</w:t>
      </w:r>
      <w:r>
        <w:rPr>
          <w:rFonts w:hint="eastAsia" w:ascii="宋体" w:hAnsi="宋体"/>
          <w:color w:val="auto"/>
          <w:szCs w:val="21"/>
        </w:rPr>
        <w:t>保证金</w:t>
      </w:r>
      <w:r>
        <w:rPr>
          <w:rFonts w:ascii="宋体" w:hAnsi="宋体"/>
          <w:color w:val="auto"/>
          <w:szCs w:val="21"/>
        </w:rPr>
        <w:t>的预留采取以下第</w:t>
      </w:r>
      <w:r>
        <w:rPr>
          <w:rFonts w:ascii="宋体" w:hAnsi="宋体"/>
          <w:color w:val="auto"/>
          <w:szCs w:val="21"/>
          <w:u w:val="single"/>
        </w:rPr>
        <w:t xml:space="preserve">  </w:t>
      </w:r>
      <w:r>
        <w:rPr>
          <w:rFonts w:hint="eastAsia" w:ascii="宋体" w:hAnsi="宋体"/>
          <w:color w:val="auto"/>
          <w:szCs w:val="21"/>
          <w:u w:val="single"/>
          <w:lang w:eastAsia="zh-CN"/>
        </w:rPr>
        <w:t>（</w:t>
      </w:r>
      <w:r>
        <w:rPr>
          <w:rFonts w:hint="eastAsia" w:ascii="宋体" w:hAnsi="宋体"/>
          <w:color w:val="auto"/>
          <w:szCs w:val="21"/>
          <w:u w:val="single"/>
          <w:lang w:val="en-US" w:eastAsia="zh-CN"/>
        </w:rPr>
        <w:t>2</w:t>
      </w:r>
      <w:r>
        <w:rPr>
          <w:rFonts w:hint="eastAsia" w:ascii="宋体" w:hAnsi="宋体"/>
          <w:color w:val="auto"/>
          <w:szCs w:val="21"/>
          <w:u w:val="single"/>
          <w:lang w:eastAsia="zh-CN"/>
        </w:rPr>
        <w:t>）</w:t>
      </w:r>
      <w:r>
        <w:rPr>
          <w:rFonts w:ascii="宋体" w:hAnsi="宋体"/>
          <w:color w:val="auto"/>
          <w:szCs w:val="21"/>
          <w:u w:val="single"/>
        </w:rPr>
        <w:t xml:space="preserve">  </w:t>
      </w:r>
      <w:r>
        <w:rPr>
          <w:rFonts w:hint="eastAsia" w:ascii="宋体" w:hAnsi="宋体"/>
          <w:color w:val="auto"/>
          <w:szCs w:val="21"/>
        </w:rPr>
        <w:t>种</w:t>
      </w:r>
      <w:r>
        <w:rPr>
          <w:rFonts w:ascii="宋体" w:hAnsi="宋体"/>
          <w:color w:val="auto"/>
          <w:szCs w:val="21"/>
        </w:rPr>
        <w:t>方式：</w:t>
      </w:r>
    </w:p>
    <w:p w14:paraId="10857B6B">
      <w:pPr>
        <w:spacing w:line="360" w:lineRule="auto"/>
        <w:ind w:firstLine="420" w:firstLineChars="200"/>
        <w:rPr>
          <w:rFonts w:ascii="宋体" w:hAnsi="宋体"/>
          <w:color w:val="auto"/>
          <w:szCs w:val="21"/>
        </w:rPr>
      </w:pPr>
      <w:r>
        <w:rPr>
          <w:rFonts w:ascii="宋体" w:hAnsi="宋体"/>
          <w:color w:val="auto"/>
          <w:szCs w:val="21"/>
        </w:rPr>
        <w:t>(1) 在支付工程进度款时逐次预留</w:t>
      </w:r>
      <w:r>
        <w:rPr>
          <w:rFonts w:hint="eastAsia" w:ascii="宋体" w:hAnsi="宋体"/>
          <w:color w:val="auto"/>
          <w:szCs w:val="21"/>
        </w:rPr>
        <w:t>的质量保证金的比例：</w:t>
      </w:r>
      <w:r>
        <w:rPr>
          <w:rFonts w:ascii="宋体" w:hAnsi="宋体"/>
          <w:color w:val="auto"/>
          <w:szCs w:val="21"/>
          <w:u w:val="single"/>
        </w:rPr>
        <w:t xml:space="preserve">  </w:t>
      </w:r>
      <w:r>
        <w:rPr>
          <w:rFonts w:hint="eastAsia" w:ascii="宋体" w:hAnsi="宋体"/>
          <w:color w:val="auto"/>
          <w:szCs w:val="21"/>
          <w:u w:val="single"/>
          <w:lang w:val="en-US" w:eastAsia="zh-CN"/>
        </w:rPr>
        <w:t>/</w:t>
      </w:r>
      <w:r>
        <w:rPr>
          <w:rFonts w:ascii="宋体" w:hAnsi="宋体"/>
          <w:color w:val="auto"/>
          <w:szCs w:val="21"/>
          <w:u w:val="single"/>
        </w:rPr>
        <w:t xml:space="preserve">  </w:t>
      </w:r>
      <w:r>
        <w:rPr>
          <w:rFonts w:ascii="宋体" w:hAnsi="宋体"/>
          <w:color w:val="auto"/>
          <w:szCs w:val="21"/>
        </w:rPr>
        <w:t>，在此情形下，质量</w:t>
      </w:r>
      <w:r>
        <w:rPr>
          <w:rFonts w:hint="eastAsia" w:ascii="宋体" w:hAnsi="宋体"/>
          <w:color w:val="auto"/>
          <w:szCs w:val="21"/>
        </w:rPr>
        <w:t>保证金</w:t>
      </w:r>
      <w:r>
        <w:rPr>
          <w:rFonts w:ascii="宋体" w:hAnsi="宋体"/>
          <w:color w:val="auto"/>
          <w:szCs w:val="21"/>
        </w:rPr>
        <w:t>的计算基数不包括预付款的支付、扣回以及价格调整的金额；</w:t>
      </w:r>
    </w:p>
    <w:p w14:paraId="5468C9C5">
      <w:pPr>
        <w:spacing w:line="360" w:lineRule="auto"/>
        <w:ind w:firstLine="420" w:firstLineChars="200"/>
        <w:rPr>
          <w:rFonts w:ascii="宋体" w:hAnsi="宋体"/>
          <w:color w:val="auto"/>
          <w:szCs w:val="21"/>
        </w:rPr>
      </w:pPr>
      <w:r>
        <w:rPr>
          <w:rFonts w:ascii="宋体" w:hAnsi="宋体"/>
          <w:color w:val="auto"/>
          <w:szCs w:val="21"/>
        </w:rPr>
        <w:t>(2) 工程竣工结算时一次性预留</w:t>
      </w:r>
      <w:r>
        <w:rPr>
          <w:rFonts w:hint="eastAsia" w:ascii="宋体" w:hAnsi="宋体"/>
          <w:color w:val="auto"/>
          <w:szCs w:val="21"/>
        </w:rPr>
        <w:t>专用合同条件第</w:t>
      </w:r>
      <w:r>
        <w:rPr>
          <w:rFonts w:ascii="宋体" w:hAnsi="宋体"/>
          <w:color w:val="auto"/>
          <w:szCs w:val="21"/>
        </w:rPr>
        <w:t>14.6.1</w:t>
      </w:r>
      <w:r>
        <w:rPr>
          <w:rFonts w:hint="eastAsia" w:ascii="宋体" w:hAnsi="宋体"/>
          <w:color w:val="auto"/>
          <w:szCs w:val="21"/>
        </w:rPr>
        <w:t>项第</w:t>
      </w:r>
      <w:r>
        <w:rPr>
          <w:rFonts w:ascii="宋体" w:hAnsi="宋体"/>
          <w:color w:val="auto"/>
          <w:szCs w:val="21"/>
        </w:rPr>
        <w:t>(2)</w:t>
      </w:r>
      <w:r>
        <w:rPr>
          <w:rFonts w:hint="eastAsia" w:ascii="宋体" w:hAnsi="宋体"/>
          <w:color w:val="auto"/>
          <w:szCs w:val="21"/>
        </w:rPr>
        <w:t>目约定的工程款预留比例的</w:t>
      </w:r>
      <w:r>
        <w:rPr>
          <w:rFonts w:ascii="宋体" w:hAnsi="宋体"/>
          <w:color w:val="auto"/>
          <w:szCs w:val="21"/>
        </w:rPr>
        <w:t>质量</w:t>
      </w:r>
      <w:r>
        <w:rPr>
          <w:rFonts w:hint="eastAsia" w:ascii="宋体" w:hAnsi="宋体"/>
          <w:color w:val="auto"/>
          <w:szCs w:val="21"/>
        </w:rPr>
        <w:t>保证金</w:t>
      </w:r>
      <w:r>
        <w:rPr>
          <w:rFonts w:ascii="宋体" w:hAnsi="宋体"/>
          <w:color w:val="auto"/>
          <w:szCs w:val="21"/>
        </w:rPr>
        <w:t>；</w:t>
      </w:r>
    </w:p>
    <w:p w14:paraId="15559D12">
      <w:pPr>
        <w:spacing w:line="360" w:lineRule="auto"/>
        <w:ind w:firstLine="420" w:firstLineChars="200"/>
        <w:rPr>
          <w:rFonts w:ascii="宋体" w:hAnsi="宋体"/>
          <w:color w:val="auto"/>
          <w:szCs w:val="21"/>
        </w:rPr>
      </w:pPr>
      <w:r>
        <w:rPr>
          <w:rFonts w:ascii="宋体" w:hAnsi="宋体"/>
          <w:color w:val="auto"/>
          <w:szCs w:val="21"/>
        </w:rPr>
        <w:t>(3) 其他预留方式</w:t>
      </w:r>
      <w:r>
        <w:rPr>
          <w:rFonts w:hint="eastAsia" w:ascii="宋体" w:hAnsi="宋体"/>
          <w:color w:val="auto"/>
          <w:szCs w:val="21"/>
          <w:lang w:eastAsia="zh-CN"/>
        </w:rPr>
        <w:t>：</w:t>
      </w:r>
      <w:r>
        <w:rPr>
          <w:rFonts w:ascii="宋体" w:hAnsi="宋体"/>
          <w:color w:val="auto"/>
          <w:szCs w:val="21"/>
          <w:u w:val="single"/>
        </w:rPr>
        <w:t xml:space="preserve">   </w:t>
      </w:r>
      <w:r>
        <w:rPr>
          <w:rFonts w:hint="eastAsia" w:ascii="宋体" w:hAnsi="宋体"/>
          <w:color w:val="auto"/>
          <w:szCs w:val="21"/>
          <w:u w:val="single"/>
          <w:lang w:val="en-US" w:eastAsia="zh-CN"/>
        </w:rPr>
        <w:t>/</w:t>
      </w:r>
      <w:r>
        <w:rPr>
          <w:rFonts w:ascii="宋体" w:hAnsi="宋体"/>
          <w:color w:val="auto"/>
          <w:szCs w:val="21"/>
          <w:u w:val="single"/>
        </w:rPr>
        <w:t xml:space="preserve">   </w:t>
      </w:r>
      <w:r>
        <w:rPr>
          <w:rFonts w:hint="eastAsia" w:ascii="宋体" w:hAnsi="宋体"/>
          <w:color w:val="auto"/>
          <w:szCs w:val="21"/>
        </w:rPr>
        <w:t>。</w:t>
      </w:r>
    </w:p>
    <w:p w14:paraId="1FA0B968">
      <w:pPr>
        <w:spacing w:line="360" w:lineRule="auto"/>
        <w:ind w:firstLine="420" w:firstLineChars="200"/>
        <w:rPr>
          <w:rFonts w:ascii="宋体" w:hAnsi="宋体"/>
          <w:color w:val="auto"/>
          <w:szCs w:val="21"/>
        </w:rPr>
      </w:pPr>
      <w:r>
        <w:rPr>
          <w:rFonts w:hint="eastAsia" w:ascii="宋体" w:hAnsi="宋体"/>
          <w:color w:val="auto"/>
          <w:szCs w:val="21"/>
        </w:rPr>
        <w:t>关于质量保证金的补充约定：</w:t>
      </w:r>
      <w:r>
        <w:rPr>
          <w:rFonts w:ascii="宋体" w:hAnsi="宋体"/>
          <w:color w:val="auto"/>
          <w:szCs w:val="21"/>
          <w:u w:val="single"/>
        </w:rPr>
        <w:t xml:space="preserve">  </w:t>
      </w:r>
      <w:r>
        <w:rPr>
          <w:rFonts w:hint="eastAsia" w:ascii="宋体" w:hAnsi="宋体"/>
          <w:color w:val="auto"/>
          <w:szCs w:val="21"/>
          <w:u w:val="single"/>
          <w:lang w:eastAsia="zh-CN"/>
        </w:rPr>
        <w:t>无</w:t>
      </w:r>
      <w:r>
        <w:rPr>
          <w:rFonts w:ascii="宋体" w:hAnsi="宋体"/>
          <w:color w:val="auto"/>
          <w:szCs w:val="21"/>
          <w:u w:val="single"/>
        </w:rPr>
        <w:t xml:space="preserve">  </w:t>
      </w:r>
      <w:r>
        <w:rPr>
          <w:rFonts w:hint="eastAsia" w:ascii="宋体" w:hAnsi="宋体"/>
          <w:color w:val="auto"/>
          <w:szCs w:val="21"/>
        </w:rPr>
        <w:t>。</w:t>
      </w:r>
    </w:p>
    <w:p w14:paraId="7251A403">
      <w:pPr>
        <w:pStyle w:val="4"/>
        <w:spacing w:before="120" w:line="360" w:lineRule="auto"/>
        <w:rPr>
          <w:color w:val="auto"/>
        </w:rPr>
      </w:pPr>
      <w:bookmarkStart w:id="1989" w:name="_Toc154063735"/>
      <w:r>
        <w:rPr>
          <w:color w:val="auto"/>
        </w:rPr>
        <w:t xml:space="preserve">14.7 </w:t>
      </w:r>
      <w:r>
        <w:rPr>
          <w:rFonts w:hint="eastAsia"/>
          <w:color w:val="auto"/>
        </w:rPr>
        <w:t>最终结清</w:t>
      </w:r>
      <w:bookmarkEnd w:id="1989"/>
    </w:p>
    <w:p w14:paraId="7428DA03">
      <w:pPr>
        <w:spacing w:line="360" w:lineRule="auto"/>
        <w:ind w:firstLine="420" w:firstLineChars="200"/>
        <w:rPr>
          <w:rFonts w:ascii="宋体" w:hAnsi="宋体"/>
          <w:color w:val="auto"/>
          <w:szCs w:val="21"/>
        </w:rPr>
      </w:pPr>
      <w:r>
        <w:rPr>
          <w:rFonts w:ascii="宋体" w:hAnsi="宋体"/>
          <w:color w:val="auto"/>
          <w:szCs w:val="21"/>
        </w:rPr>
        <w:t xml:space="preserve">14.7.1 </w:t>
      </w:r>
      <w:r>
        <w:rPr>
          <w:rFonts w:hint="eastAsia" w:ascii="宋体" w:hAnsi="宋体"/>
          <w:color w:val="auto"/>
          <w:szCs w:val="21"/>
        </w:rPr>
        <w:t>最终结清申请单</w:t>
      </w:r>
    </w:p>
    <w:p w14:paraId="1202D3F3">
      <w:pPr>
        <w:keepNext w:val="0"/>
        <w:keepLines w:val="0"/>
        <w:pageBreakBefore w:val="0"/>
        <w:widowControl w:val="0"/>
        <w:kinsoku/>
        <w:wordWrap/>
        <w:overflowPunct/>
        <w:topLinePunct/>
        <w:autoSpaceDE/>
        <w:autoSpaceDN/>
        <w:bidi w:val="0"/>
        <w:adjustRightInd/>
        <w:snapToGrid/>
        <w:spacing w:line="360" w:lineRule="auto"/>
        <w:ind w:firstLine="420" w:firstLineChars="200"/>
        <w:textAlignment w:val="auto"/>
        <w:rPr>
          <w:rFonts w:ascii="宋体" w:hAnsi="宋体"/>
          <w:color w:val="auto"/>
          <w:szCs w:val="21"/>
        </w:rPr>
      </w:pPr>
      <w:r>
        <w:rPr>
          <w:rFonts w:hint="eastAsia" w:ascii="宋体" w:hAnsi="宋体"/>
          <w:color w:val="auto"/>
          <w:szCs w:val="21"/>
        </w:rPr>
        <w:t>当事人双方关于最终结清申请的其他约定：</w:t>
      </w:r>
      <w:r>
        <w:rPr>
          <w:rFonts w:ascii="宋体" w:hAnsi="宋体"/>
          <w:color w:val="auto"/>
          <w:szCs w:val="21"/>
          <w:u w:val="single"/>
        </w:rPr>
        <w:t xml:space="preserve"> </w:t>
      </w:r>
      <w:r>
        <w:rPr>
          <w:rFonts w:hint="eastAsia" w:ascii="宋体" w:hAnsi="宋体"/>
          <w:color w:val="auto"/>
          <w:szCs w:val="21"/>
          <w:u w:val="single"/>
          <w:lang w:eastAsia="zh-CN"/>
        </w:rPr>
        <w:t>由发包人确定</w:t>
      </w:r>
      <w:r>
        <w:rPr>
          <w:rFonts w:ascii="宋体" w:hAnsi="宋体"/>
          <w:color w:val="auto"/>
          <w:szCs w:val="21"/>
          <w:u w:val="single"/>
        </w:rPr>
        <w:t xml:space="preserve"> </w:t>
      </w:r>
      <w:r>
        <w:rPr>
          <w:rFonts w:hint="eastAsia" w:ascii="宋体" w:hAnsi="宋体"/>
          <w:color w:val="auto"/>
          <w:szCs w:val="21"/>
        </w:rPr>
        <w:t>。</w:t>
      </w:r>
    </w:p>
    <w:p w14:paraId="13B50C93">
      <w:pPr>
        <w:spacing w:line="360" w:lineRule="auto"/>
        <w:ind w:firstLine="420" w:firstLineChars="200"/>
        <w:rPr>
          <w:rFonts w:ascii="宋体" w:hAnsi="宋体"/>
          <w:color w:val="auto"/>
          <w:szCs w:val="21"/>
        </w:rPr>
      </w:pPr>
      <w:r>
        <w:rPr>
          <w:rFonts w:ascii="宋体" w:hAnsi="宋体"/>
          <w:color w:val="auto"/>
          <w:szCs w:val="21"/>
        </w:rPr>
        <w:t xml:space="preserve">14.7.2 </w:t>
      </w:r>
      <w:r>
        <w:rPr>
          <w:rFonts w:hint="eastAsia" w:ascii="宋体" w:hAnsi="宋体"/>
          <w:color w:val="auto"/>
          <w:szCs w:val="21"/>
        </w:rPr>
        <w:t>最终结清证书和支付</w:t>
      </w:r>
    </w:p>
    <w:p w14:paraId="5732BEFA">
      <w:pPr>
        <w:spacing w:line="360" w:lineRule="auto"/>
        <w:ind w:firstLine="420" w:firstLineChars="200"/>
        <w:rPr>
          <w:rFonts w:ascii="宋体" w:hAnsi="宋体"/>
          <w:color w:val="auto"/>
          <w:szCs w:val="21"/>
        </w:rPr>
      </w:pPr>
      <w:r>
        <w:rPr>
          <w:rFonts w:hint="eastAsia" w:ascii="宋体" w:hAnsi="宋体"/>
          <w:color w:val="auto"/>
          <w:szCs w:val="21"/>
        </w:rPr>
        <w:t>当事人双方关于最终结清支付的其他约定：</w:t>
      </w:r>
      <w:r>
        <w:rPr>
          <w:rFonts w:ascii="宋体" w:hAnsi="宋体"/>
          <w:color w:val="auto"/>
          <w:szCs w:val="21"/>
          <w:u w:val="single"/>
        </w:rPr>
        <w:t xml:space="preserve"> </w:t>
      </w:r>
      <w:r>
        <w:rPr>
          <w:rFonts w:hint="eastAsia" w:ascii="宋体" w:hAnsi="宋体"/>
          <w:color w:val="auto"/>
          <w:szCs w:val="21"/>
          <w:u w:val="single"/>
          <w:lang w:eastAsia="zh-CN"/>
        </w:rPr>
        <w:t>由发包人确定</w:t>
      </w:r>
      <w:r>
        <w:rPr>
          <w:rFonts w:ascii="宋体" w:hAnsi="宋体"/>
          <w:color w:val="auto"/>
          <w:szCs w:val="21"/>
          <w:u w:val="single"/>
        </w:rPr>
        <w:t xml:space="preserve"> </w:t>
      </w:r>
      <w:r>
        <w:rPr>
          <w:rFonts w:hint="eastAsia" w:ascii="宋体" w:hAnsi="宋体"/>
          <w:color w:val="auto"/>
          <w:szCs w:val="21"/>
        </w:rPr>
        <w:t>。</w:t>
      </w:r>
    </w:p>
    <w:p w14:paraId="2A23679E">
      <w:pPr>
        <w:pStyle w:val="3"/>
        <w:spacing w:before="48" w:line="360" w:lineRule="auto"/>
        <w:rPr>
          <w:rFonts w:ascii="黑体" w:hAnsi="黑体"/>
          <w:bCs w:val="0"/>
          <w:color w:val="auto"/>
          <w:sz w:val="28"/>
        </w:rPr>
      </w:pPr>
      <w:bookmarkStart w:id="1990" w:name="_Toc54862346"/>
      <w:bookmarkStart w:id="1991" w:name="_Toc154063736"/>
      <w:r>
        <w:rPr>
          <w:rFonts w:hint="eastAsia" w:ascii="黑体" w:hAnsi="黑体"/>
          <w:bCs w:val="0"/>
          <w:color w:val="auto"/>
          <w:sz w:val="28"/>
        </w:rPr>
        <w:t>第</w:t>
      </w:r>
      <w:r>
        <w:rPr>
          <w:rFonts w:ascii="黑体" w:hAnsi="黑体"/>
          <w:bCs w:val="0"/>
          <w:color w:val="auto"/>
          <w:sz w:val="28"/>
        </w:rPr>
        <w:t>15条</w:t>
      </w:r>
      <w:r>
        <w:rPr>
          <w:rFonts w:hint="eastAsia" w:ascii="黑体" w:hAnsi="黑体"/>
          <w:bCs w:val="0"/>
          <w:color w:val="auto"/>
          <w:sz w:val="28"/>
        </w:rPr>
        <w:t xml:space="preserve"> 违约</w:t>
      </w:r>
      <w:bookmarkEnd w:id="1990"/>
      <w:bookmarkEnd w:id="1991"/>
    </w:p>
    <w:p w14:paraId="5D04AFD7">
      <w:pPr>
        <w:pStyle w:val="4"/>
        <w:spacing w:before="120" w:line="360" w:lineRule="auto"/>
        <w:rPr>
          <w:color w:val="auto"/>
        </w:rPr>
      </w:pPr>
      <w:bookmarkStart w:id="1992" w:name="_Toc154063737"/>
      <w:r>
        <w:rPr>
          <w:color w:val="auto"/>
        </w:rPr>
        <w:t xml:space="preserve">15.1 </w:t>
      </w:r>
      <w:r>
        <w:rPr>
          <w:rFonts w:hint="eastAsia"/>
          <w:color w:val="auto"/>
        </w:rPr>
        <w:t>发包人违约</w:t>
      </w:r>
      <w:bookmarkEnd w:id="1992"/>
    </w:p>
    <w:p w14:paraId="1DF7D4F4">
      <w:pPr>
        <w:spacing w:line="360" w:lineRule="auto"/>
        <w:ind w:firstLine="420" w:firstLineChars="200"/>
        <w:rPr>
          <w:rFonts w:ascii="宋体" w:hAnsi="宋体"/>
          <w:color w:val="auto"/>
          <w:szCs w:val="21"/>
        </w:rPr>
      </w:pPr>
      <w:r>
        <w:rPr>
          <w:rFonts w:ascii="宋体" w:hAnsi="宋体"/>
          <w:color w:val="auto"/>
          <w:szCs w:val="21"/>
        </w:rPr>
        <w:t xml:space="preserve">15.1.1 </w:t>
      </w:r>
      <w:r>
        <w:rPr>
          <w:rFonts w:hint="eastAsia" w:ascii="宋体" w:hAnsi="宋体"/>
          <w:color w:val="auto"/>
          <w:szCs w:val="21"/>
        </w:rPr>
        <w:t>发包人违约的情形</w:t>
      </w:r>
    </w:p>
    <w:p w14:paraId="24F870A9">
      <w:pPr>
        <w:spacing w:line="360" w:lineRule="auto"/>
        <w:ind w:firstLine="420" w:firstLineChars="200"/>
        <w:rPr>
          <w:rFonts w:ascii="宋体" w:hAnsi="宋体"/>
          <w:color w:val="auto"/>
          <w:szCs w:val="21"/>
        </w:rPr>
      </w:pPr>
      <w:r>
        <w:rPr>
          <w:rFonts w:hint="eastAsia" w:ascii="宋体" w:hAnsi="宋体"/>
          <w:color w:val="auto"/>
          <w:szCs w:val="21"/>
        </w:rPr>
        <w:t>发包人违约的其他情形</w:t>
      </w:r>
      <w:r>
        <w:rPr>
          <w:rFonts w:ascii="宋体" w:hAnsi="宋体"/>
          <w:color w:val="auto"/>
          <w:szCs w:val="21"/>
          <w:u w:val="single"/>
        </w:rPr>
        <w:t xml:space="preserve"> </w:t>
      </w:r>
      <w:r>
        <w:rPr>
          <w:rFonts w:hint="eastAsia" w:ascii="宋体" w:hAnsi="宋体"/>
          <w:color w:val="auto"/>
          <w:szCs w:val="21"/>
          <w:u w:val="single"/>
        </w:rPr>
        <w:t>发包人不履行合同义务或不按合同约定履行义务时承担违约责任，造成承包人工期延误的，经发包人同意后顺延延误的工期</w:t>
      </w:r>
      <w:r>
        <w:rPr>
          <w:rFonts w:ascii="宋体" w:hAnsi="宋体"/>
          <w:color w:val="auto"/>
          <w:szCs w:val="21"/>
          <w:u w:val="single"/>
        </w:rPr>
        <w:t xml:space="preserve"> </w:t>
      </w:r>
      <w:r>
        <w:rPr>
          <w:rFonts w:hint="eastAsia" w:ascii="宋体" w:hAnsi="宋体"/>
          <w:color w:val="auto"/>
          <w:szCs w:val="21"/>
        </w:rPr>
        <w:t>。</w:t>
      </w:r>
    </w:p>
    <w:p w14:paraId="2FFA6DFD">
      <w:pPr>
        <w:spacing w:line="360" w:lineRule="auto"/>
        <w:ind w:firstLine="420" w:firstLineChars="200"/>
        <w:rPr>
          <w:rFonts w:ascii="宋体" w:hAnsi="宋体"/>
          <w:color w:val="auto"/>
          <w:szCs w:val="21"/>
        </w:rPr>
      </w:pPr>
      <w:r>
        <w:rPr>
          <w:rFonts w:ascii="宋体" w:hAnsi="宋体"/>
          <w:color w:val="auto"/>
          <w:szCs w:val="21"/>
        </w:rPr>
        <w:t xml:space="preserve">15.1.3 </w:t>
      </w:r>
      <w:r>
        <w:rPr>
          <w:rFonts w:hint="eastAsia" w:ascii="宋体" w:hAnsi="宋体"/>
          <w:color w:val="auto"/>
          <w:szCs w:val="21"/>
        </w:rPr>
        <w:t>发包人违约的责任</w:t>
      </w:r>
    </w:p>
    <w:p w14:paraId="1E6DA084">
      <w:pPr>
        <w:spacing w:line="360" w:lineRule="auto"/>
        <w:ind w:firstLine="420" w:firstLineChars="200"/>
        <w:rPr>
          <w:rFonts w:ascii="宋体" w:hAnsi="宋体"/>
          <w:color w:val="auto"/>
          <w:szCs w:val="21"/>
        </w:rPr>
      </w:pPr>
      <w:r>
        <w:rPr>
          <w:rFonts w:hint="eastAsia" w:ascii="宋体" w:hAnsi="宋体"/>
          <w:color w:val="auto"/>
          <w:szCs w:val="21"/>
        </w:rPr>
        <w:t>发包人违约</w:t>
      </w:r>
      <w:r>
        <w:rPr>
          <w:rFonts w:ascii="宋体" w:hAnsi="宋体"/>
          <w:color w:val="auto"/>
          <w:szCs w:val="21"/>
        </w:rPr>
        <w:t>责任</w:t>
      </w:r>
      <w:r>
        <w:rPr>
          <w:rFonts w:hint="eastAsia" w:ascii="宋体" w:hAnsi="宋体"/>
          <w:color w:val="auto"/>
          <w:szCs w:val="21"/>
        </w:rPr>
        <w:t>的</w:t>
      </w:r>
      <w:r>
        <w:rPr>
          <w:rFonts w:ascii="宋体" w:hAnsi="宋体"/>
          <w:color w:val="auto"/>
          <w:szCs w:val="21"/>
        </w:rPr>
        <w:t>承担方式</w:t>
      </w:r>
      <w:r>
        <w:rPr>
          <w:rFonts w:hint="eastAsia" w:ascii="宋体" w:hAnsi="宋体"/>
          <w:color w:val="auto"/>
          <w:szCs w:val="21"/>
        </w:rPr>
        <w:t>和</w:t>
      </w:r>
      <w:r>
        <w:rPr>
          <w:rFonts w:ascii="宋体" w:hAnsi="宋体"/>
          <w:color w:val="auto"/>
          <w:szCs w:val="21"/>
        </w:rPr>
        <w:t>计算方法</w:t>
      </w:r>
      <w:r>
        <w:rPr>
          <w:rFonts w:hint="eastAsia" w:ascii="宋体" w:hAnsi="宋体"/>
          <w:color w:val="auto"/>
          <w:szCs w:val="21"/>
        </w:rPr>
        <w:t>：</w:t>
      </w:r>
      <w:r>
        <w:rPr>
          <w:rFonts w:ascii="宋体" w:hAnsi="宋体"/>
          <w:color w:val="auto"/>
          <w:szCs w:val="21"/>
          <w:u w:val="single"/>
        </w:rPr>
        <w:t xml:space="preserve">  </w:t>
      </w:r>
      <w:r>
        <w:rPr>
          <w:rFonts w:hint="eastAsia" w:ascii="宋体" w:hAnsi="宋体"/>
          <w:color w:val="auto"/>
          <w:szCs w:val="21"/>
          <w:u w:val="single"/>
        </w:rPr>
        <w:t>无</w:t>
      </w:r>
      <w:r>
        <w:rPr>
          <w:rFonts w:ascii="宋体" w:hAnsi="宋体"/>
          <w:color w:val="auto"/>
          <w:szCs w:val="21"/>
          <w:u w:val="single"/>
        </w:rPr>
        <w:t xml:space="preserve">  </w:t>
      </w:r>
      <w:r>
        <w:rPr>
          <w:rFonts w:hint="eastAsia" w:ascii="宋体" w:hAnsi="宋体"/>
          <w:color w:val="auto"/>
          <w:szCs w:val="21"/>
        </w:rPr>
        <w:t>。</w:t>
      </w:r>
    </w:p>
    <w:p w14:paraId="2890D570">
      <w:pPr>
        <w:pStyle w:val="4"/>
        <w:spacing w:before="120" w:line="360" w:lineRule="auto"/>
        <w:rPr>
          <w:color w:val="auto"/>
        </w:rPr>
      </w:pPr>
      <w:bookmarkStart w:id="1993" w:name="_Toc154063738"/>
      <w:r>
        <w:rPr>
          <w:color w:val="auto"/>
        </w:rPr>
        <w:t xml:space="preserve">15.2 </w:t>
      </w:r>
      <w:r>
        <w:rPr>
          <w:rFonts w:hint="eastAsia"/>
          <w:color w:val="auto"/>
        </w:rPr>
        <w:t>承包人违约</w:t>
      </w:r>
      <w:bookmarkEnd w:id="1993"/>
    </w:p>
    <w:p w14:paraId="499A010C">
      <w:pPr>
        <w:spacing w:line="360" w:lineRule="auto"/>
        <w:ind w:firstLine="420" w:firstLineChars="200"/>
        <w:rPr>
          <w:rFonts w:ascii="宋体" w:hAnsi="宋体"/>
          <w:color w:val="auto"/>
          <w:szCs w:val="21"/>
        </w:rPr>
      </w:pPr>
      <w:r>
        <w:rPr>
          <w:rFonts w:ascii="宋体" w:hAnsi="宋体"/>
          <w:color w:val="auto"/>
          <w:szCs w:val="21"/>
        </w:rPr>
        <w:t xml:space="preserve">15.2.1 </w:t>
      </w:r>
      <w:r>
        <w:rPr>
          <w:rFonts w:hint="eastAsia" w:ascii="宋体" w:hAnsi="宋体"/>
          <w:color w:val="auto"/>
          <w:szCs w:val="21"/>
        </w:rPr>
        <w:t>承包人违约的情形</w:t>
      </w:r>
    </w:p>
    <w:p w14:paraId="464E0F50">
      <w:pPr>
        <w:spacing w:line="360" w:lineRule="auto"/>
        <w:ind w:firstLine="420" w:firstLineChars="200"/>
        <w:rPr>
          <w:rFonts w:ascii="宋体" w:hAnsi="宋体"/>
          <w:color w:val="auto"/>
          <w:szCs w:val="21"/>
        </w:rPr>
      </w:pPr>
      <w:r>
        <w:rPr>
          <w:rFonts w:hint="eastAsia" w:ascii="宋体" w:hAnsi="宋体"/>
          <w:color w:val="auto"/>
          <w:szCs w:val="21"/>
        </w:rPr>
        <w:t>承包人违约的其他情形：</w:t>
      </w:r>
      <w:r>
        <w:rPr>
          <w:rFonts w:ascii="宋体" w:hAnsi="宋体"/>
          <w:color w:val="auto"/>
          <w:szCs w:val="21"/>
          <w:u w:val="single"/>
        </w:rPr>
        <w:t xml:space="preserve"> </w:t>
      </w:r>
      <w:r>
        <w:rPr>
          <w:rFonts w:hint="eastAsia" w:ascii="宋体" w:hAnsi="宋体"/>
          <w:color w:val="auto"/>
          <w:szCs w:val="21"/>
          <w:highlight w:val="none"/>
          <w:u w:val="single"/>
        </w:rPr>
        <w:t>按合同通用条款执行</w:t>
      </w:r>
      <w:r>
        <w:rPr>
          <w:rFonts w:ascii="宋体" w:hAnsi="宋体"/>
          <w:color w:val="auto"/>
          <w:szCs w:val="21"/>
          <w:u w:val="single"/>
        </w:rPr>
        <w:t xml:space="preserve"> </w:t>
      </w:r>
      <w:r>
        <w:rPr>
          <w:rFonts w:hint="eastAsia" w:ascii="宋体" w:hAnsi="宋体"/>
          <w:color w:val="auto"/>
          <w:szCs w:val="21"/>
        </w:rPr>
        <w:t>。</w:t>
      </w:r>
    </w:p>
    <w:p w14:paraId="2DC38A98">
      <w:pPr>
        <w:spacing w:line="360" w:lineRule="auto"/>
        <w:ind w:firstLine="420" w:firstLineChars="200"/>
        <w:rPr>
          <w:rFonts w:ascii="宋体" w:hAnsi="宋体"/>
          <w:color w:val="auto"/>
          <w:szCs w:val="21"/>
        </w:rPr>
      </w:pPr>
      <w:r>
        <w:rPr>
          <w:rFonts w:ascii="宋体" w:hAnsi="宋体"/>
          <w:color w:val="auto"/>
          <w:szCs w:val="21"/>
        </w:rPr>
        <w:t xml:space="preserve">15.2.2 </w:t>
      </w:r>
      <w:r>
        <w:rPr>
          <w:rFonts w:hint="eastAsia" w:ascii="宋体" w:hAnsi="宋体"/>
          <w:color w:val="auto"/>
          <w:szCs w:val="21"/>
        </w:rPr>
        <w:t>通知改正</w:t>
      </w:r>
    </w:p>
    <w:p w14:paraId="2A27C83F">
      <w:pPr>
        <w:spacing w:line="360" w:lineRule="auto"/>
        <w:ind w:firstLine="420" w:firstLineChars="200"/>
        <w:rPr>
          <w:rFonts w:ascii="宋体" w:hAnsi="宋体"/>
          <w:color w:val="auto"/>
          <w:szCs w:val="21"/>
        </w:rPr>
      </w:pPr>
      <w:r>
        <w:rPr>
          <w:rFonts w:hint="eastAsia" w:ascii="宋体" w:hAnsi="宋体"/>
          <w:color w:val="auto"/>
          <w:szCs w:val="21"/>
        </w:rPr>
        <w:t>工程师通知承包人改正的合理期限是：</w:t>
      </w:r>
      <w:r>
        <w:rPr>
          <w:rFonts w:ascii="宋体" w:hAnsi="宋体"/>
          <w:color w:val="auto"/>
          <w:szCs w:val="21"/>
          <w:u w:val="single"/>
        </w:rPr>
        <w:t xml:space="preserve"> </w:t>
      </w:r>
      <w:r>
        <w:rPr>
          <w:rFonts w:hint="eastAsia" w:ascii="宋体" w:hAnsi="宋体"/>
          <w:color w:val="auto"/>
          <w:szCs w:val="21"/>
          <w:u w:val="single"/>
        </w:rPr>
        <w:t>在整改通知单中确定</w:t>
      </w:r>
      <w:r>
        <w:rPr>
          <w:rFonts w:ascii="宋体" w:hAnsi="宋体"/>
          <w:color w:val="auto"/>
          <w:szCs w:val="21"/>
          <w:u w:val="single"/>
        </w:rPr>
        <w:t xml:space="preserve"> </w:t>
      </w:r>
      <w:r>
        <w:rPr>
          <w:rFonts w:hint="eastAsia" w:ascii="宋体" w:hAnsi="宋体"/>
          <w:color w:val="auto"/>
          <w:szCs w:val="21"/>
        </w:rPr>
        <w:t>。</w:t>
      </w:r>
    </w:p>
    <w:p w14:paraId="62B3F5D6">
      <w:pPr>
        <w:spacing w:line="360" w:lineRule="auto"/>
        <w:ind w:firstLine="420" w:firstLineChars="200"/>
        <w:rPr>
          <w:rFonts w:ascii="宋体" w:hAnsi="宋体"/>
          <w:color w:val="auto"/>
          <w:szCs w:val="21"/>
        </w:rPr>
      </w:pPr>
      <w:r>
        <w:rPr>
          <w:rFonts w:ascii="宋体" w:hAnsi="宋体"/>
          <w:color w:val="auto"/>
          <w:szCs w:val="21"/>
        </w:rPr>
        <w:t xml:space="preserve">15.2.3 </w:t>
      </w:r>
      <w:r>
        <w:rPr>
          <w:rFonts w:hint="eastAsia" w:ascii="宋体" w:hAnsi="宋体"/>
          <w:color w:val="auto"/>
          <w:szCs w:val="21"/>
        </w:rPr>
        <w:t>承包人违约的责任</w:t>
      </w:r>
    </w:p>
    <w:p w14:paraId="16387809">
      <w:pPr>
        <w:spacing w:line="360" w:lineRule="auto"/>
        <w:ind w:firstLine="420" w:firstLineChars="200"/>
        <w:rPr>
          <w:rFonts w:ascii="宋体" w:hAnsi="宋体"/>
          <w:color w:val="auto"/>
          <w:szCs w:val="21"/>
        </w:rPr>
      </w:pPr>
      <w:r>
        <w:rPr>
          <w:rFonts w:hint="eastAsia" w:ascii="宋体" w:hAnsi="宋体"/>
          <w:color w:val="auto"/>
          <w:szCs w:val="21"/>
        </w:rPr>
        <w:t>承包人违约</w:t>
      </w:r>
      <w:r>
        <w:rPr>
          <w:rFonts w:ascii="宋体" w:hAnsi="宋体"/>
          <w:color w:val="auto"/>
          <w:szCs w:val="21"/>
        </w:rPr>
        <w:t>责任</w:t>
      </w:r>
      <w:r>
        <w:rPr>
          <w:rFonts w:hint="eastAsia" w:ascii="宋体" w:hAnsi="宋体"/>
          <w:color w:val="auto"/>
          <w:szCs w:val="21"/>
        </w:rPr>
        <w:t>的</w:t>
      </w:r>
      <w:r>
        <w:rPr>
          <w:rFonts w:ascii="宋体" w:hAnsi="宋体"/>
          <w:color w:val="auto"/>
          <w:szCs w:val="21"/>
        </w:rPr>
        <w:t>承担方式</w:t>
      </w:r>
      <w:r>
        <w:rPr>
          <w:rFonts w:hint="eastAsia" w:ascii="宋体" w:hAnsi="宋体"/>
          <w:color w:val="auto"/>
          <w:szCs w:val="21"/>
        </w:rPr>
        <w:t>和</w:t>
      </w:r>
      <w:r>
        <w:rPr>
          <w:rFonts w:ascii="宋体" w:hAnsi="宋体"/>
          <w:color w:val="auto"/>
          <w:szCs w:val="21"/>
        </w:rPr>
        <w:t>计算方法</w:t>
      </w:r>
      <w:r>
        <w:rPr>
          <w:rFonts w:hint="eastAsia" w:ascii="宋体" w:hAnsi="宋体"/>
          <w:color w:val="auto"/>
          <w:szCs w:val="21"/>
        </w:rPr>
        <w:t>：</w:t>
      </w:r>
      <w:r>
        <w:rPr>
          <w:rFonts w:ascii="宋体" w:hAnsi="宋体"/>
          <w:color w:val="auto"/>
          <w:szCs w:val="21"/>
          <w:u w:val="single"/>
        </w:rPr>
        <w:t xml:space="preserve"> </w:t>
      </w:r>
      <w:r>
        <w:rPr>
          <w:rFonts w:hint="eastAsia" w:ascii="宋体" w:hAnsi="宋体"/>
          <w:color w:val="auto"/>
          <w:szCs w:val="21"/>
          <w:u w:val="single"/>
        </w:rPr>
        <w:t>由发包人与承包人协商确定</w:t>
      </w:r>
      <w:r>
        <w:rPr>
          <w:rFonts w:ascii="宋体" w:hAnsi="宋体"/>
          <w:color w:val="auto"/>
          <w:szCs w:val="21"/>
          <w:u w:val="single"/>
        </w:rPr>
        <w:t xml:space="preserve"> </w:t>
      </w:r>
      <w:r>
        <w:rPr>
          <w:rFonts w:hint="eastAsia" w:ascii="宋体" w:hAnsi="宋体"/>
          <w:color w:val="auto"/>
          <w:szCs w:val="21"/>
        </w:rPr>
        <w:t>。</w:t>
      </w:r>
    </w:p>
    <w:p w14:paraId="19944E84">
      <w:pPr>
        <w:pStyle w:val="3"/>
        <w:spacing w:before="48" w:line="360" w:lineRule="auto"/>
        <w:rPr>
          <w:rFonts w:ascii="黑体" w:hAnsi="黑体"/>
          <w:bCs w:val="0"/>
          <w:color w:val="auto"/>
          <w:sz w:val="28"/>
        </w:rPr>
      </w:pPr>
      <w:bookmarkStart w:id="1994" w:name="_Toc154063739"/>
      <w:bookmarkStart w:id="1995" w:name="_Toc54862347"/>
      <w:r>
        <w:rPr>
          <w:rFonts w:hint="eastAsia" w:ascii="黑体" w:hAnsi="黑体"/>
          <w:bCs w:val="0"/>
          <w:color w:val="auto"/>
          <w:sz w:val="28"/>
        </w:rPr>
        <w:t>第</w:t>
      </w:r>
      <w:r>
        <w:rPr>
          <w:rFonts w:ascii="黑体" w:hAnsi="黑体"/>
          <w:bCs w:val="0"/>
          <w:color w:val="auto"/>
          <w:sz w:val="28"/>
        </w:rPr>
        <w:t>16条</w:t>
      </w:r>
      <w:r>
        <w:rPr>
          <w:rFonts w:hint="eastAsia" w:ascii="黑体" w:hAnsi="黑体"/>
          <w:bCs w:val="0"/>
          <w:color w:val="auto"/>
          <w:sz w:val="28"/>
        </w:rPr>
        <w:t xml:space="preserve"> 合同解除</w:t>
      </w:r>
      <w:bookmarkEnd w:id="1994"/>
      <w:bookmarkEnd w:id="1995"/>
    </w:p>
    <w:p w14:paraId="35CA1CE0">
      <w:pPr>
        <w:pStyle w:val="4"/>
        <w:spacing w:before="120" w:line="360" w:lineRule="auto"/>
        <w:rPr>
          <w:color w:val="auto"/>
        </w:rPr>
      </w:pPr>
      <w:bookmarkStart w:id="1996" w:name="_Toc154063740"/>
      <w:r>
        <w:rPr>
          <w:color w:val="auto"/>
        </w:rPr>
        <w:t xml:space="preserve">16.1 </w:t>
      </w:r>
      <w:r>
        <w:rPr>
          <w:rFonts w:hint="eastAsia"/>
          <w:color w:val="auto"/>
        </w:rPr>
        <w:t>由发包人解除合同</w:t>
      </w:r>
      <w:bookmarkEnd w:id="1996"/>
    </w:p>
    <w:p w14:paraId="40D75335">
      <w:pPr>
        <w:spacing w:line="360" w:lineRule="auto"/>
        <w:ind w:firstLine="420" w:firstLineChars="200"/>
        <w:rPr>
          <w:rFonts w:ascii="宋体" w:hAnsi="宋体"/>
          <w:color w:val="auto"/>
          <w:szCs w:val="21"/>
        </w:rPr>
      </w:pPr>
      <w:r>
        <w:rPr>
          <w:rFonts w:ascii="宋体" w:hAnsi="宋体"/>
          <w:color w:val="auto"/>
          <w:szCs w:val="21"/>
        </w:rPr>
        <w:t xml:space="preserve">16.1.1 </w:t>
      </w:r>
      <w:r>
        <w:rPr>
          <w:rFonts w:hint="eastAsia" w:ascii="宋体" w:hAnsi="宋体"/>
          <w:color w:val="auto"/>
          <w:szCs w:val="21"/>
        </w:rPr>
        <w:t>因承包人违约解除合同</w:t>
      </w:r>
    </w:p>
    <w:p w14:paraId="1103059B">
      <w:pPr>
        <w:spacing w:line="360" w:lineRule="auto"/>
        <w:ind w:firstLine="420" w:firstLineChars="200"/>
        <w:rPr>
          <w:rFonts w:ascii="宋体" w:hAnsi="宋体"/>
          <w:color w:val="auto"/>
          <w:szCs w:val="21"/>
        </w:rPr>
      </w:pPr>
      <w:r>
        <w:rPr>
          <w:rFonts w:hint="eastAsia" w:ascii="宋体" w:hAnsi="宋体"/>
          <w:color w:val="auto"/>
          <w:szCs w:val="21"/>
        </w:rPr>
        <w:t>双方约定可由发包人解除合同的其他事由：</w:t>
      </w:r>
      <w:r>
        <w:rPr>
          <w:rFonts w:ascii="宋体" w:hAnsi="宋体"/>
          <w:color w:val="auto"/>
          <w:szCs w:val="21"/>
          <w:u w:val="single"/>
        </w:rPr>
        <w:t xml:space="preserve"> </w:t>
      </w:r>
      <w:r>
        <w:rPr>
          <w:rFonts w:hint="eastAsia" w:ascii="宋体" w:hAnsi="宋体"/>
          <w:color w:val="auto"/>
          <w:szCs w:val="21"/>
          <w:u w:val="single"/>
        </w:rPr>
        <w:t>按合同相应条款执行</w:t>
      </w:r>
      <w:r>
        <w:rPr>
          <w:rFonts w:ascii="宋体" w:hAnsi="宋体"/>
          <w:color w:val="auto"/>
          <w:szCs w:val="21"/>
          <w:u w:val="single"/>
        </w:rPr>
        <w:t xml:space="preserve"> </w:t>
      </w:r>
      <w:r>
        <w:rPr>
          <w:rFonts w:hint="eastAsia" w:ascii="宋体" w:hAnsi="宋体"/>
          <w:color w:val="auto"/>
          <w:szCs w:val="21"/>
        </w:rPr>
        <w:t>。</w:t>
      </w:r>
    </w:p>
    <w:p w14:paraId="59AA72C6">
      <w:pPr>
        <w:pStyle w:val="4"/>
        <w:spacing w:before="120" w:line="360" w:lineRule="auto"/>
        <w:rPr>
          <w:color w:val="auto"/>
        </w:rPr>
      </w:pPr>
      <w:bookmarkStart w:id="1997" w:name="_Toc154063741"/>
      <w:r>
        <w:rPr>
          <w:color w:val="auto"/>
        </w:rPr>
        <w:t xml:space="preserve">16.2 </w:t>
      </w:r>
      <w:r>
        <w:rPr>
          <w:rFonts w:hint="eastAsia"/>
          <w:color w:val="auto"/>
        </w:rPr>
        <w:t>由承包人解除合同</w:t>
      </w:r>
      <w:bookmarkEnd w:id="1997"/>
    </w:p>
    <w:p w14:paraId="72B5CA9B">
      <w:pPr>
        <w:spacing w:line="360" w:lineRule="auto"/>
        <w:ind w:firstLine="420" w:firstLineChars="200"/>
        <w:rPr>
          <w:rFonts w:ascii="宋体" w:hAnsi="宋体"/>
          <w:color w:val="auto"/>
          <w:szCs w:val="21"/>
        </w:rPr>
      </w:pPr>
      <w:r>
        <w:rPr>
          <w:rFonts w:ascii="宋体" w:hAnsi="宋体"/>
          <w:color w:val="auto"/>
          <w:szCs w:val="21"/>
        </w:rPr>
        <w:t xml:space="preserve">16.2.1 </w:t>
      </w:r>
      <w:r>
        <w:rPr>
          <w:rFonts w:hint="eastAsia" w:ascii="宋体" w:hAnsi="宋体"/>
          <w:color w:val="auto"/>
          <w:szCs w:val="21"/>
        </w:rPr>
        <w:t>因发包人违约解除合同</w:t>
      </w:r>
    </w:p>
    <w:p w14:paraId="2251829E">
      <w:pPr>
        <w:spacing w:line="360" w:lineRule="auto"/>
        <w:ind w:firstLine="420" w:firstLineChars="200"/>
        <w:rPr>
          <w:rFonts w:ascii="宋体" w:hAnsi="宋体"/>
          <w:color w:val="auto"/>
          <w:szCs w:val="21"/>
        </w:rPr>
      </w:pPr>
      <w:r>
        <w:rPr>
          <w:rFonts w:hint="eastAsia" w:ascii="宋体" w:hAnsi="宋体"/>
          <w:color w:val="auto"/>
          <w:szCs w:val="21"/>
        </w:rPr>
        <w:t>双方约定可由承包人解除合同的其他事由：</w:t>
      </w:r>
      <w:r>
        <w:rPr>
          <w:rFonts w:ascii="宋体" w:hAnsi="宋体"/>
          <w:color w:val="auto"/>
          <w:szCs w:val="21"/>
          <w:u w:val="single"/>
        </w:rPr>
        <w:t xml:space="preserve">  </w:t>
      </w:r>
      <w:r>
        <w:rPr>
          <w:rFonts w:hint="eastAsia" w:ascii="宋体" w:hAnsi="宋体"/>
          <w:color w:val="auto"/>
          <w:szCs w:val="21"/>
          <w:u w:val="single"/>
          <w:lang w:val="en-US" w:eastAsia="zh-CN"/>
        </w:rPr>
        <w:t>无</w:t>
      </w:r>
      <w:r>
        <w:rPr>
          <w:rFonts w:ascii="宋体" w:hAnsi="宋体"/>
          <w:color w:val="auto"/>
          <w:szCs w:val="21"/>
          <w:u w:val="single"/>
        </w:rPr>
        <w:t xml:space="preserve">  </w:t>
      </w:r>
      <w:r>
        <w:rPr>
          <w:rFonts w:hint="eastAsia" w:ascii="宋体" w:hAnsi="宋体"/>
          <w:color w:val="auto"/>
          <w:szCs w:val="21"/>
        </w:rPr>
        <w:t>。</w:t>
      </w:r>
    </w:p>
    <w:p w14:paraId="063F4D84">
      <w:pPr>
        <w:pStyle w:val="3"/>
        <w:spacing w:before="48" w:line="360" w:lineRule="auto"/>
        <w:rPr>
          <w:rFonts w:ascii="黑体" w:hAnsi="黑体"/>
          <w:bCs w:val="0"/>
          <w:color w:val="auto"/>
          <w:sz w:val="28"/>
        </w:rPr>
      </w:pPr>
      <w:bookmarkStart w:id="1998" w:name="_Toc154063742"/>
      <w:bookmarkStart w:id="1999" w:name="_Toc54862348"/>
      <w:r>
        <w:rPr>
          <w:rFonts w:hint="eastAsia" w:ascii="黑体" w:hAnsi="黑体"/>
          <w:bCs w:val="0"/>
          <w:color w:val="auto"/>
          <w:sz w:val="28"/>
        </w:rPr>
        <w:t>第</w:t>
      </w:r>
      <w:r>
        <w:rPr>
          <w:rFonts w:ascii="黑体" w:hAnsi="黑体"/>
          <w:bCs w:val="0"/>
          <w:color w:val="auto"/>
          <w:sz w:val="28"/>
        </w:rPr>
        <w:t>17条</w:t>
      </w:r>
      <w:r>
        <w:rPr>
          <w:rFonts w:hint="eastAsia" w:ascii="黑体" w:hAnsi="黑体"/>
          <w:bCs w:val="0"/>
          <w:color w:val="auto"/>
          <w:sz w:val="28"/>
        </w:rPr>
        <w:t xml:space="preserve"> 不可抗力</w:t>
      </w:r>
      <w:bookmarkEnd w:id="1998"/>
      <w:bookmarkEnd w:id="1999"/>
    </w:p>
    <w:p w14:paraId="01E9EE36">
      <w:pPr>
        <w:pStyle w:val="4"/>
        <w:spacing w:before="120" w:line="360" w:lineRule="auto"/>
        <w:rPr>
          <w:color w:val="auto"/>
        </w:rPr>
      </w:pPr>
      <w:bookmarkStart w:id="2000" w:name="_Toc154063743"/>
      <w:r>
        <w:rPr>
          <w:color w:val="auto"/>
        </w:rPr>
        <w:t xml:space="preserve">17.1 </w:t>
      </w:r>
      <w:r>
        <w:rPr>
          <w:rFonts w:hint="eastAsia"/>
          <w:color w:val="auto"/>
        </w:rPr>
        <w:t>不可抗力的定义</w:t>
      </w:r>
      <w:bookmarkEnd w:id="2000"/>
    </w:p>
    <w:p w14:paraId="5DB60D1F">
      <w:pPr>
        <w:spacing w:line="360" w:lineRule="auto"/>
        <w:ind w:firstLine="420" w:firstLineChars="200"/>
        <w:rPr>
          <w:rFonts w:ascii="宋体" w:hAnsi="宋体"/>
          <w:color w:val="auto"/>
          <w:szCs w:val="21"/>
        </w:rPr>
      </w:pPr>
      <w:bookmarkStart w:id="2001" w:name="_Toc154063744"/>
      <w:r>
        <w:rPr>
          <w:rFonts w:ascii="宋体" w:hAnsi="宋体"/>
          <w:color w:val="auto"/>
          <w:szCs w:val="21"/>
        </w:rPr>
        <w:t>除通用合同条件约定的不可抗力事件之外，视为不可抗力的其他情形：</w:t>
      </w:r>
      <w:r>
        <w:rPr>
          <w:rFonts w:ascii="宋体" w:hAnsi="宋体"/>
          <w:color w:val="auto"/>
          <w:szCs w:val="21"/>
          <w:u w:val="single"/>
        </w:rPr>
        <w:t xml:space="preserve"> </w:t>
      </w:r>
      <w:r>
        <w:rPr>
          <w:rFonts w:hint="eastAsia" w:ascii="宋体" w:hAnsi="宋体"/>
          <w:color w:val="auto"/>
          <w:szCs w:val="21"/>
          <w:u w:val="single"/>
        </w:rPr>
        <w:t>指战争、动乱、地震或非发包人、承包人责任造成的爆炸、火灾以及百年一遇以上等级的风、雨、雪自然灾害</w:t>
      </w:r>
      <w:r>
        <w:rPr>
          <w:rFonts w:ascii="宋体" w:hAnsi="宋体"/>
          <w:color w:val="auto"/>
          <w:szCs w:val="21"/>
          <w:u w:val="single"/>
        </w:rPr>
        <w:t xml:space="preserve"> </w:t>
      </w:r>
      <w:r>
        <w:rPr>
          <w:rFonts w:hint="eastAsia" w:ascii="宋体" w:hAnsi="宋体"/>
          <w:color w:val="auto"/>
          <w:szCs w:val="21"/>
        </w:rPr>
        <w:t>。</w:t>
      </w:r>
    </w:p>
    <w:p w14:paraId="1EE24040">
      <w:pPr>
        <w:pStyle w:val="4"/>
        <w:spacing w:before="120" w:line="360" w:lineRule="auto"/>
        <w:rPr>
          <w:color w:val="auto"/>
        </w:rPr>
      </w:pPr>
      <w:r>
        <w:rPr>
          <w:color w:val="auto"/>
        </w:rPr>
        <w:t xml:space="preserve">17.6 </w:t>
      </w:r>
      <w:r>
        <w:rPr>
          <w:rFonts w:hint="eastAsia"/>
          <w:color w:val="auto"/>
        </w:rPr>
        <w:t>因不可抗力解除合同</w:t>
      </w:r>
      <w:bookmarkEnd w:id="2001"/>
    </w:p>
    <w:p w14:paraId="422F8AE5">
      <w:pPr>
        <w:spacing w:line="360" w:lineRule="auto"/>
        <w:ind w:firstLine="420" w:firstLineChars="200"/>
        <w:rPr>
          <w:rFonts w:ascii="宋体" w:hAnsi="宋体"/>
          <w:color w:val="auto"/>
          <w:szCs w:val="21"/>
        </w:rPr>
      </w:pPr>
      <w:r>
        <w:rPr>
          <w:rFonts w:ascii="宋体" w:hAnsi="宋体"/>
          <w:color w:val="auto"/>
          <w:szCs w:val="21"/>
        </w:rPr>
        <w:t>合同解除后，发包人应</w:t>
      </w:r>
      <w:r>
        <w:rPr>
          <w:rFonts w:hint="eastAsia" w:ascii="宋体" w:hAnsi="宋体"/>
          <w:color w:val="auto"/>
          <w:szCs w:val="21"/>
        </w:rPr>
        <w:t>当</w:t>
      </w:r>
      <w:r>
        <w:rPr>
          <w:rFonts w:ascii="宋体" w:hAnsi="宋体"/>
          <w:color w:val="auto"/>
          <w:szCs w:val="21"/>
        </w:rPr>
        <w:t>在商定或确定发包人应支付款项后</w:t>
      </w:r>
      <w:r>
        <w:rPr>
          <w:rFonts w:hint="eastAsia" w:ascii="宋体" w:hAnsi="宋体"/>
          <w:color w:val="auto"/>
          <w:szCs w:val="21"/>
        </w:rPr>
        <w:t>的</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lang w:val="en-US" w:eastAsia="zh-CN"/>
        </w:rPr>
        <w:t>28</w:t>
      </w:r>
      <w:r>
        <w:rPr>
          <w:rFonts w:ascii="宋体" w:hAnsi="宋体"/>
          <w:color w:val="auto"/>
          <w:szCs w:val="21"/>
          <w:u w:val="single"/>
        </w:rPr>
        <w:t xml:space="preserve">  </w:t>
      </w:r>
      <w:r>
        <w:rPr>
          <w:rFonts w:ascii="宋体" w:hAnsi="宋体"/>
          <w:color w:val="auto"/>
          <w:szCs w:val="21"/>
        </w:rPr>
        <w:t>天内完成款项的支付。</w:t>
      </w:r>
    </w:p>
    <w:p w14:paraId="162FC07B">
      <w:pPr>
        <w:pStyle w:val="3"/>
        <w:keepNext w:val="0"/>
        <w:keepLines/>
        <w:pageBreakBefore w:val="0"/>
        <w:widowControl w:val="0"/>
        <w:kinsoku/>
        <w:wordWrap/>
        <w:overflowPunct/>
        <w:topLinePunct w:val="0"/>
        <w:autoSpaceDE/>
        <w:autoSpaceDN/>
        <w:bidi w:val="0"/>
        <w:adjustRightInd/>
        <w:snapToGrid/>
        <w:spacing w:before="48" w:line="360" w:lineRule="auto"/>
        <w:textAlignment w:val="auto"/>
        <w:rPr>
          <w:rFonts w:ascii="黑体" w:hAnsi="黑体"/>
          <w:bCs w:val="0"/>
          <w:color w:val="auto"/>
          <w:sz w:val="28"/>
        </w:rPr>
      </w:pPr>
      <w:bookmarkStart w:id="2002" w:name="_Toc4784277"/>
      <w:bookmarkEnd w:id="2002"/>
      <w:bookmarkStart w:id="2003" w:name="_Toc4784276"/>
      <w:bookmarkEnd w:id="2003"/>
      <w:bookmarkStart w:id="2004" w:name="_Toc54862349"/>
      <w:bookmarkStart w:id="2005" w:name="_Toc154063745"/>
      <w:r>
        <w:rPr>
          <w:rFonts w:hint="eastAsia" w:ascii="黑体" w:hAnsi="黑体"/>
          <w:bCs w:val="0"/>
          <w:color w:val="auto"/>
          <w:sz w:val="28"/>
        </w:rPr>
        <w:t>第1</w:t>
      </w:r>
      <w:r>
        <w:rPr>
          <w:rFonts w:ascii="黑体" w:hAnsi="黑体"/>
          <w:bCs w:val="0"/>
          <w:color w:val="auto"/>
          <w:sz w:val="28"/>
        </w:rPr>
        <w:t>8</w:t>
      </w:r>
      <w:r>
        <w:rPr>
          <w:rFonts w:hint="eastAsia" w:ascii="黑体" w:hAnsi="黑体"/>
          <w:bCs w:val="0"/>
          <w:color w:val="auto"/>
          <w:sz w:val="28"/>
        </w:rPr>
        <w:t>条</w:t>
      </w:r>
      <w:r>
        <w:rPr>
          <w:rFonts w:ascii="黑体" w:hAnsi="黑体"/>
          <w:bCs w:val="0"/>
          <w:color w:val="auto"/>
          <w:sz w:val="28"/>
        </w:rPr>
        <w:t xml:space="preserve"> </w:t>
      </w:r>
      <w:r>
        <w:rPr>
          <w:rFonts w:hint="eastAsia" w:ascii="黑体" w:hAnsi="黑体"/>
          <w:bCs w:val="0"/>
          <w:color w:val="auto"/>
          <w:sz w:val="28"/>
        </w:rPr>
        <w:t>保险</w:t>
      </w:r>
      <w:bookmarkEnd w:id="2004"/>
      <w:bookmarkEnd w:id="2005"/>
    </w:p>
    <w:p w14:paraId="7DACD184">
      <w:pPr>
        <w:pStyle w:val="4"/>
        <w:keepNext w:val="0"/>
        <w:keepLines/>
        <w:pageBreakBefore w:val="0"/>
        <w:widowControl w:val="0"/>
        <w:kinsoku/>
        <w:wordWrap/>
        <w:overflowPunct/>
        <w:topLinePunct w:val="0"/>
        <w:autoSpaceDE/>
        <w:autoSpaceDN/>
        <w:bidi w:val="0"/>
        <w:adjustRightInd/>
        <w:snapToGrid/>
        <w:spacing w:before="120" w:line="360" w:lineRule="auto"/>
        <w:textAlignment w:val="auto"/>
        <w:rPr>
          <w:color w:val="auto"/>
        </w:rPr>
      </w:pPr>
      <w:bookmarkStart w:id="2006" w:name="_Toc154063746"/>
      <w:r>
        <w:rPr>
          <w:color w:val="auto"/>
        </w:rPr>
        <w:t xml:space="preserve">18.1 </w:t>
      </w:r>
      <w:r>
        <w:rPr>
          <w:rFonts w:hint="eastAsia"/>
          <w:color w:val="auto"/>
        </w:rPr>
        <w:t>设计和工程保险</w:t>
      </w:r>
      <w:bookmarkEnd w:id="2006"/>
    </w:p>
    <w:p w14:paraId="30CF6021">
      <w:pPr>
        <w:spacing w:line="360" w:lineRule="auto"/>
        <w:ind w:firstLine="420" w:firstLineChars="200"/>
        <w:rPr>
          <w:rFonts w:ascii="宋体" w:hAnsi="宋体"/>
          <w:color w:val="auto"/>
          <w:szCs w:val="21"/>
        </w:rPr>
      </w:pPr>
      <w:bookmarkStart w:id="2007" w:name="_Toc154063747"/>
      <w:r>
        <w:rPr>
          <w:rFonts w:hint="eastAsia" w:ascii="宋体" w:hAnsi="宋体"/>
          <w:color w:val="auto"/>
          <w:szCs w:val="21"/>
        </w:rPr>
        <w:t>1</w:t>
      </w:r>
      <w:r>
        <w:rPr>
          <w:rFonts w:ascii="宋体" w:hAnsi="宋体"/>
          <w:color w:val="auto"/>
          <w:szCs w:val="21"/>
        </w:rPr>
        <w:t xml:space="preserve">8.1.1 </w:t>
      </w:r>
      <w:r>
        <w:rPr>
          <w:rFonts w:hint="eastAsia" w:ascii="宋体" w:hAnsi="宋体"/>
          <w:color w:val="auto"/>
          <w:szCs w:val="21"/>
        </w:rPr>
        <w:t>双方当事人</w:t>
      </w:r>
      <w:r>
        <w:rPr>
          <w:rFonts w:ascii="宋体" w:hAnsi="宋体"/>
          <w:color w:val="auto"/>
          <w:szCs w:val="21"/>
        </w:rPr>
        <w:t>关于</w:t>
      </w:r>
      <w:r>
        <w:rPr>
          <w:rFonts w:hint="eastAsia" w:ascii="宋体" w:hAnsi="宋体"/>
          <w:color w:val="auto"/>
          <w:szCs w:val="21"/>
        </w:rPr>
        <w:t>设计和工程保险</w:t>
      </w:r>
      <w:r>
        <w:rPr>
          <w:rFonts w:ascii="宋体" w:hAnsi="宋体"/>
          <w:color w:val="auto"/>
          <w:szCs w:val="21"/>
        </w:rPr>
        <w:t>的特别</w:t>
      </w:r>
      <w:r>
        <w:rPr>
          <w:rFonts w:hint="eastAsia" w:ascii="宋体" w:hAnsi="宋体"/>
          <w:color w:val="auto"/>
          <w:szCs w:val="21"/>
        </w:rPr>
        <w:t>约</w:t>
      </w:r>
      <w:r>
        <w:rPr>
          <w:rFonts w:ascii="宋体" w:hAnsi="宋体"/>
          <w:color w:val="auto"/>
          <w:szCs w:val="21"/>
        </w:rPr>
        <w:t>定</w:t>
      </w:r>
      <w:r>
        <w:rPr>
          <w:rFonts w:hint="eastAsia" w:ascii="宋体" w:hAnsi="宋体"/>
          <w:color w:val="auto"/>
          <w:szCs w:val="21"/>
        </w:rPr>
        <w:t>：</w:t>
      </w:r>
      <w:r>
        <w:rPr>
          <w:rFonts w:ascii="宋体" w:hAnsi="宋体"/>
          <w:color w:val="auto"/>
          <w:szCs w:val="21"/>
          <w:u w:val="single"/>
        </w:rPr>
        <w:t xml:space="preserve"> </w:t>
      </w:r>
      <w:r>
        <w:rPr>
          <w:rFonts w:hint="eastAsia" w:ascii="宋体" w:hAnsi="宋体"/>
          <w:color w:val="auto"/>
          <w:szCs w:val="21"/>
          <w:u w:val="single"/>
        </w:rPr>
        <w:t>按国家规定投保</w:t>
      </w:r>
      <w:r>
        <w:rPr>
          <w:rFonts w:ascii="宋体" w:hAnsi="宋体"/>
          <w:color w:val="auto"/>
          <w:szCs w:val="21"/>
          <w:u w:val="single"/>
        </w:rPr>
        <w:t xml:space="preserve"> </w:t>
      </w:r>
      <w:r>
        <w:rPr>
          <w:rFonts w:hint="eastAsia" w:ascii="宋体" w:hAnsi="宋体"/>
          <w:color w:val="auto"/>
          <w:szCs w:val="21"/>
        </w:rPr>
        <w:t>。</w:t>
      </w:r>
    </w:p>
    <w:p w14:paraId="35F48313">
      <w:pPr>
        <w:spacing w:line="360" w:lineRule="auto"/>
        <w:ind w:firstLine="420" w:firstLineChars="200"/>
        <w:rPr>
          <w:rFonts w:ascii="宋体" w:hAnsi="宋体"/>
          <w:color w:val="auto"/>
          <w:szCs w:val="21"/>
        </w:rPr>
      </w:pPr>
      <w:r>
        <w:rPr>
          <w:rFonts w:hint="eastAsia" w:ascii="宋体" w:hAnsi="宋体"/>
          <w:color w:val="auto"/>
          <w:szCs w:val="21"/>
        </w:rPr>
        <w:t>1</w:t>
      </w:r>
      <w:r>
        <w:rPr>
          <w:rFonts w:ascii="宋体" w:hAnsi="宋体"/>
          <w:color w:val="auto"/>
          <w:szCs w:val="21"/>
        </w:rPr>
        <w:t xml:space="preserve">8.1.2 </w:t>
      </w:r>
      <w:r>
        <w:rPr>
          <w:rFonts w:hint="eastAsia" w:ascii="宋体" w:hAnsi="宋体"/>
          <w:color w:val="auto"/>
          <w:szCs w:val="21"/>
        </w:rPr>
        <w:t>双方当事人</w:t>
      </w:r>
      <w:r>
        <w:rPr>
          <w:rFonts w:ascii="宋体" w:hAnsi="宋体"/>
          <w:color w:val="auto"/>
          <w:szCs w:val="21"/>
        </w:rPr>
        <w:t>关于</w:t>
      </w:r>
      <w:r>
        <w:rPr>
          <w:rFonts w:hint="eastAsia" w:ascii="宋体" w:hAnsi="宋体"/>
          <w:color w:val="auto"/>
          <w:szCs w:val="21"/>
        </w:rPr>
        <w:t>第三方责任险</w:t>
      </w:r>
      <w:r>
        <w:rPr>
          <w:rFonts w:ascii="宋体" w:hAnsi="宋体"/>
          <w:color w:val="auto"/>
          <w:szCs w:val="21"/>
        </w:rPr>
        <w:t>的特别</w:t>
      </w:r>
      <w:r>
        <w:rPr>
          <w:rFonts w:hint="eastAsia" w:ascii="宋体" w:hAnsi="宋体"/>
          <w:color w:val="auto"/>
          <w:szCs w:val="21"/>
        </w:rPr>
        <w:t>约</w:t>
      </w:r>
      <w:r>
        <w:rPr>
          <w:rFonts w:ascii="宋体" w:hAnsi="宋体"/>
          <w:color w:val="auto"/>
          <w:szCs w:val="21"/>
        </w:rPr>
        <w:t>定：</w:t>
      </w:r>
      <w:r>
        <w:rPr>
          <w:rFonts w:ascii="宋体" w:hAnsi="宋体"/>
          <w:color w:val="auto"/>
          <w:szCs w:val="21"/>
          <w:u w:val="single"/>
        </w:rPr>
        <w:t xml:space="preserve"> </w:t>
      </w:r>
      <w:r>
        <w:rPr>
          <w:rFonts w:hint="eastAsia" w:ascii="宋体" w:hAnsi="宋体"/>
          <w:color w:val="auto"/>
          <w:szCs w:val="21"/>
          <w:u w:val="single"/>
        </w:rPr>
        <w:t>按国家规定投保</w:t>
      </w:r>
      <w:r>
        <w:rPr>
          <w:rFonts w:ascii="宋体" w:hAnsi="宋体"/>
          <w:color w:val="auto"/>
          <w:szCs w:val="21"/>
          <w:u w:val="single"/>
        </w:rPr>
        <w:t xml:space="preserve"> </w:t>
      </w:r>
      <w:r>
        <w:rPr>
          <w:rFonts w:hint="eastAsia" w:ascii="宋体" w:hAnsi="宋体"/>
          <w:color w:val="auto"/>
          <w:szCs w:val="21"/>
        </w:rPr>
        <w:t>。</w:t>
      </w:r>
    </w:p>
    <w:p w14:paraId="3E58677F">
      <w:pPr>
        <w:spacing w:line="360" w:lineRule="auto"/>
        <w:ind w:firstLine="420" w:firstLineChars="200"/>
        <w:rPr>
          <w:rFonts w:ascii="宋体" w:hAnsi="宋体"/>
          <w:color w:val="auto"/>
          <w:szCs w:val="21"/>
        </w:rPr>
      </w:pPr>
      <w:r>
        <w:rPr>
          <w:rFonts w:ascii="宋体" w:hAnsi="宋体"/>
          <w:color w:val="auto"/>
          <w:szCs w:val="21"/>
        </w:rPr>
        <w:t xml:space="preserve">18.2 </w:t>
      </w:r>
      <w:r>
        <w:rPr>
          <w:rFonts w:hint="eastAsia" w:ascii="宋体" w:hAnsi="宋体"/>
          <w:color w:val="auto"/>
          <w:szCs w:val="21"/>
        </w:rPr>
        <w:t>工伤和意外伤害保险</w:t>
      </w:r>
    </w:p>
    <w:p w14:paraId="3BE1AABE">
      <w:pPr>
        <w:spacing w:line="240" w:lineRule="auto"/>
        <w:ind w:firstLine="420" w:firstLineChars="200"/>
        <w:rPr>
          <w:rFonts w:ascii="宋体" w:hAnsi="宋体"/>
          <w:color w:val="auto"/>
          <w:szCs w:val="21"/>
        </w:rPr>
      </w:pPr>
      <w:r>
        <w:rPr>
          <w:rFonts w:hint="eastAsia" w:ascii="宋体" w:hAnsi="宋体"/>
          <w:color w:val="auto"/>
          <w:szCs w:val="21"/>
        </w:rPr>
        <w:t>1</w:t>
      </w:r>
      <w:r>
        <w:rPr>
          <w:rFonts w:ascii="宋体" w:hAnsi="宋体"/>
          <w:color w:val="auto"/>
          <w:szCs w:val="21"/>
        </w:rPr>
        <w:t>8.2.3 关于</w:t>
      </w:r>
      <w:r>
        <w:rPr>
          <w:rFonts w:hint="eastAsia" w:ascii="宋体" w:hAnsi="宋体"/>
          <w:color w:val="auto"/>
          <w:szCs w:val="21"/>
        </w:rPr>
        <w:t>工伤保险和意外伤害保险</w:t>
      </w:r>
      <w:r>
        <w:rPr>
          <w:rFonts w:ascii="宋体" w:hAnsi="宋体"/>
          <w:color w:val="auto"/>
          <w:szCs w:val="21"/>
        </w:rPr>
        <w:t>的特别</w:t>
      </w:r>
      <w:r>
        <w:rPr>
          <w:rFonts w:hint="eastAsia" w:ascii="宋体" w:hAnsi="宋体"/>
          <w:color w:val="auto"/>
          <w:szCs w:val="21"/>
        </w:rPr>
        <w:t>约</w:t>
      </w:r>
      <w:r>
        <w:rPr>
          <w:rFonts w:ascii="宋体" w:hAnsi="宋体"/>
          <w:color w:val="auto"/>
          <w:szCs w:val="21"/>
        </w:rPr>
        <w:t>定：</w:t>
      </w:r>
      <w:r>
        <w:rPr>
          <w:rFonts w:ascii="宋体" w:hAnsi="宋体"/>
          <w:color w:val="auto"/>
          <w:szCs w:val="21"/>
          <w:u w:val="single"/>
        </w:rPr>
        <w:t xml:space="preserve"> </w:t>
      </w:r>
      <w:r>
        <w:rPr>
          <w:rFonts w:hint="eastAsia" w:ascii="宋体" w:hAnsi="宋体"/>
          <w:color w:val="auto"/>
          <w:szCs w:val="21"/>
          <w:u w:val="single"/>
        </w:rPr>
        <w:t>按国家规定投保</w:t>
      </w:r>
      <w:r>
        <w:rPr>
          <w:rFonts w:ascii="宋体" w:hAnsi="宋体"/>
          <w:color w:val="auto"/>
          <w:szCs w:val="21"/>
          <w:u w:val="single"/>
        </w:rPr>
        <w:t xml:space="preserve"> </w:t>
      </w:r>
      <w:r>
        <w:rPr>
          <w:rFonts w:hint="eastAsia" w:ascii="宋体" w:hAnsi="宋体"/>
          <w:color w:val="auto"/>
          <w:szCs w:val="21"/>
        </w:rPr>
        <w:t>。</w:t>
      </w:r>
    </w:p>
    <w:p w14:paraId="24A0773F">
      <w:pPr>
        <w:pStyle w:val="4"/>
        <w:spacing w:before="120" w:line="360" w:lineRule="auto"/>
        <w:rPr>
          <w:color w:val="auto"/>
        </w:rPr>
      </w:pPr>
      <w:r>
        <w:rPr>
          <w:color w:val="auto"/>
        </w:rPr>
        <w:t xml:space="preserve">18.3 </w:t>
      </w:r>
      <w:r>
        <w:rPr>
          <w:rFonts w:hint="eastAsia"/>
          <w:color w:val="auto"/>
        </w:rPr>
        <w:t>货物保险</w:t>
      </w:r>
      <w:bookmarkEnd w:id="2007"/>
    </w:p>
    <w:p w14:paraId="60CDDAF7">
      <w:pPr>
        <w:spacing w:line="360" w:lineRule="auto"/>
        <w:ind w:firstLine="420" w:firstLineChars="200"/>
        <w:rPr>
          <w:rFonts w:ascii="宋体" w:hAnsi="宋体"/>
          <w:color w:val="auto"/>
          <w:szCs w:val="21"/>
        </w:rPr>
      </w:pPr>
      <w:bookmarkStart w:id="2008" w:name="_Toc154063748"/>
      <w:r>
        <w:rPr>
          <w:rFonts w:hint="eastAsia" w:ascii="宋体" w:hAnsi="宋体"/>
          <w:color w:val="auto"/>
          <w:szCs w:val="21"/>
        </w:rPr>
        <w:t>关于承包人应为其施工设备、材料、工程设备和临时工程等办理财产</w:t>
      </w:r>
      <w:r>
        <w:rPr>
          <w:rFonts w:ascii="宋体" w:hAnsi="宋体"/>
          <w:color w:val="auto"/>
          <w:szCs w:val="21"/>
        </w:rPr>
        <w:t>保险的特别</w:t>
      </w:r>
      <w:r>
        <w:rPr>
          <w:rFonts w:hint="eastAsia" w:ascii="宋体" w:hAnsi="宋体"/>
          <w:color w:val="auto"/>
          <w:szCs w:val="21"/>
        </w:rPr>
        <w:t>约</w:t>
      </w:r>
      <w:r>
        <w:rPr>
          <w:rFonts w:ascii="宋体" w:hAnsi="宋体"/>
          <w:color w:val="auto"/>
          <w:szCs w:val="21"/>
        </w:rPr>
        <w:t>定：</w:t>
      </w:r>
      <w:r>
        <w:rPr>
          <w:rFonts w:hint="eastAsia" w:ascii="宋体" w:hAnsi="宋体"/>
          <w:color w:val="auto"/>
          <w:szCs w:val="21"/>
          <w:u w:val="single"/>
        </w:rPr>
        <w:t xml:space="preserve"> </w:t>
      </w:r>
      <w:r>
        <w:rPr>
          <w:rFonts w:hint="eastAsia" w:ascii="宋体" w:hAnsi="宋体"/>
          <w:color w:val="auto"/>
          <w:szCs w:val="21"/>
          <w:u w:val="single"/>
        </w:rPr>
        <w:t>按国家规定投保</w:t>
      </w:r>
      <w:r>
        <w:rPr>
          <w:rFonts w:ascii="宋体" w:hAnsi="宋体"/>
          <w:color w:val="auto"/>
          <w:szCs w:val="21"/>
          <w:u w:val="single"/>
        </w:rPr>
        <w:t xml:space="preserve"> </w:t>
      </w:r>
      <w:r>
        <w:rPr>
          <w:rFonts w:hint="eastAsia" w:ascii="宋体" w:hAnsi="宋体"/>
          <w:color w:val="auto"/>
          <w:szCs w:val="21"/>
        </w:rPr>
        <w:t>。</w:t>
      </w:r>
    </w:p>
    <w:p w14:paraId="45694E6C">
      <w:pPr>
        <w:pStyle w:val="4"/>
        <w:spacing w:before="120" w:line="360" w:lineRule="auto"/>
        <w:rPr>
          <w:color w:val="auto"/>
        </w:rPr>
      </w:pPr>
      <w:r>
        <w:rPr>
          <w:color w:val="auto"/>
        </w:rPr>
        <w:t xml:space="preserve">18.4 </w:t>
      </w:r>
      <w:r>
        <w:rPr>
          <w:rFonts w:hint="eastAsia"/>
          <w:color w:val="auto"/>
        </w:rPr>
        <w:t>其他保险</w:t>
      </w:r>
      <w:bookmarkEnd w:id="2008"/>
    </w:p>
    <w:p w14:paraId="0BEF5549">
      <w:pPr>
        <w:spacing w:line="360" w:lineRule="auto"/>
        <w:ind w:firstLine="420" w:firstLineChars="200"/>
        <w:rPr>
          <w:rFonts w:ascii="宋体" w:hAnsi="宋体"/>
          <w:color w:val="auto"/>
          <w:szCs w:val="21"/>
        </w:rPr>
      </w:pPr>
      <w:bookmarkStart w:id="2009" w:name="_Toc154063749"/>
      <w:r>
        <w:rPr>
          <w:rFonts w:hint="eastAsia" w:ascii="宋体" w:hAnsi="宋体"/>
          <w:color w:val="auto"/>
          <w:szCs w:val="21"/>
        </w:rPr>
        <w:t>关于其他保险的约定：</w:t>
      </w:r>
      <w:r>
        <w:rPr>
          <w:rFonts w:ascii="宋体" w:hAnsi="宋体"/>
          <w:color w:val="auto"/>
          <w:szCs w:val="21"/>
          <w:u w:val="single"/>
        </w:rPr>
        <w:t xml:space="preserve"> </w:t>
      </w:r>
      <w:r>
        <w:rPr>
          <w:rFonts w:hint="eastAsia" w:ascii="宋体" w:hAnsi="宋体"/>
          <w:color w:val="auto"/>
          <w:szCs w:val="21"/>
          <w:u w:val="single"/>
        </w:rPr>
        <w:t>承包人应为其施工设备、车辆、人员等办理保险。其保险的保险种类、保险范围、投保金额、保险期限和持续有效的时间等由承包人按国家有关规定执行，其费用由承包人自行承担。上述保险合同由承包人提交到发包人备案</w:t>
      </w:r>
      <w:r>
        <w:rPr>
          <w:rFonts w:ascii="宋体" w:hAnsi="宋体"/>
          <w:color w:val="auto"/>
          <w:szCs w:val="21"/>
          <w:u w:val="single"/>
        </w:rPr>
        <w:t xml:space="preserve"> </w:t>
      </w:r>
      <w:r>
        <w:rPr>
          <w:rFonts w:hint="eastAsia" w:ascii="宋体" w:hAnsi="宋体"/>
          <w:color w:val="auto"/>
          <w:szCs w:val="21"/>
        </w:rPr>
        <w:t>。</w:t>
      </w:r>
    </w:p>
    <w:p w14:paraId="4C3BF32A">
      <w:pPr>
        <w:pStyle w:val="4"/>
        <w:spacing w:before="120" w:line="360" w:lineRule="auto"/>
        <w:rPr>
          <w:color w:val="auto"/>
        </w:rPr>
      </w:pPr>
      <w:r>
        <w:rPr>
          <w:color w:val="auto"/>
        </w:rPr>
        <w:t xml:space="preserve">18.5 </w:t>
      </w:r>
      <w:r>
        <w:rPr>
          <w:rFonts w:hint="eastAsia"/>
          <w:color w:val="auto"/>
        </w:rPr>
        <w:t>对各项保险的一般要求</w:t>
      </w:r>
      <w:bookmarkEnd w:id="2009"/>
    </w:p>
    <w:p w14:paraId="1ED4C8EB">
      <w:pPr>
        <w:spacing w:line="360" w:lineRule="auto"/>
        <w:ind w:firstLine="420" w:firstLineChars="200"/>
        <w:rPr>
          <w:rFonts w:ascii="宋体" w:hAnsi="宋体"/>
          <w:color w:val="auto"/>
          <w:szCs w:val="21"/>
        </w:rPr>
      </w:pPr>
      <w:r>
        <w:rPr>
          <w:rFonts w:ascii="宋体" w:hAnsi="宋体"/>
          <w:color w:val="auto"/>
          <w:szCs w:val="21"/>
        </w:rPr>
        <w:t>18.5.2 保险凭证</w:t>
      </w:r>
    </w:p>
    <w:p w14:paraId="52FAF257">
      <w:pPr>
        <w:spacing w:line="360" w:lineRule="auto"/>
        <w:ind w:firstLine="420" w:firstLineChars="200"/>
        <w:rPr>
          <w:rFonts w:ascii="宋体" w:hAnsi="宋体"/>
          <w:color w:val="auto"/>
          <w:szCs w:val="21"/>
        </w:rPr>
      </w:pPr>
      <w:r>
        <w:rPr>
          <w:rFonts w:hint="eastAsia" w:ascii="宋体" w:hAnsi="宋体"/>
          <w:color w:val="auto"/>
          <w:szCs w:val="21"/>
        </w:rPr>
        <w:t>保险单的条件：</w:t>
      </w:r>
      <w:r>
        <w:rPr>
          <w:rFonts w:ascii="宋体" w:hAnsi="宋体"/>
          <w:color w:val="auto"/>
          <w:szCs w:val="21"/>
          <w:u w:val="single"/>
        </w:rPr>
        <w:t xml:space="preserve">                                    </w:t>
      </w:r>
      <w:r>
        <w:rPr>
          <w:rFonts w:hint="eastAsia" w:ascii="宋体" w:hAnsi="宋体"/>
          <w:color w:val="auto"/>
          <w:szCs w:val="21"/>
        </w:rPr>
        <w:t>。</w:t>
      </w:r>
    </w:p>
    <w:p w14:paraId="1F85F9F2">
      <w:pPr>
        <w:spacing w:line="360" w:lineRule="auto"/>
        <w:ind w:firstLine="420" w:firstLineChars="200"/>
        <w:rPr>
          <w:rFonts w:ascii="宋体" w:hAnsi="宋体"/>
          <w:color w:val="auto"/>
          <w:szCs w:val="21"/>
        </w:rPr>
      </w:pPr>
      <w:r>
        <w:rPr>
          <w:rFonts w:ascii="宋体" w:hAnsi="宋体"/>
          <w:color w:val="auto"/>
          <w:szCs w:val="21"/>
        </w:rPr>
        <w:t>18.5.4 通知义务</w:t>
      </w:r>
    </w:p>
    <w:p w14:paraId="5167BB4C">
      <w:pPr>
        <w:spacing w:line="360" w:lineRule="auto"/>
        <w:ind w:firstLine="420" w:firstLineChars="200"/>
        <w:rPr>
          <w:rFonts w:ascii="宋体" w:hAnsi="宋体"/>
          <w:color w:val="auto"/>
          <w:szCs w:val="21"/>
        </w:rPr>
      </w:pPr>
      <w:r>
        <w:rPr>
          <w:rFonts w:hint="eastAsia" w:ascii="宋体" w:hAnsi="宋体"/>
          <w:color w:val="auto"/>
          <w:szCs w:val="21"/>
        </w:rPr>
        <w:t>关于变更保险合同时的通知义务的约定：</w:t>
      </w:r>
      <w:r>
        <w:rPr>
          <w:rFonts w:ascii="宋体" w:hAnsi="宋体"/>
          <w:color w:val="auto"/>
          <w:szCs w:val="21"/>
          <w:u w:val="single"/>
        </w:rPr>
        <w:t xml:space="preserve">               </w:t>
      </w:r>
      <w:r>
        <w:rPr>
          <w:rFonts w:hint="eastAsia" w:ascii="宋体" w:hAnsi="宋体"/>
          <w:color w:val="auto"/>
          <w:szCs w:val="21"/>
        </w:rPr>
        <w:t>。</w:t>
      </w:r>
    </w:p>
    <w:p w14:paraId="079BFB5C">
      <w:pPr>
        <w:pStyle w:val="3"/>
        <w:spacing w:before="48" w:line="360" w:lineRule="auto"/>
        <w:rPr>
          <w:rFonts w:ascii="黑体" w:hAnsi="黑体"/>
          <w:bCs w:val="0"/>
          <w:color w:val="auto"/>
          <w:sz w:val="28"/>
        </w:rPr>
      </w:pPr>
      <w:bookmarkStart w:id="2010" w:name="_Toc154063750"/>
      <w:bookmarkStart w:id="2011" w:name="_Toc54862350"/>
      <w:r>
        <w:rPr>
          <w:rFonts w:hint="eastAsia" w:ascii="黑体" w:hAnsi="黑体"/>
          <w:bCs w:val="0"/>
          <w:color w:val="auto"/>
          <w:sz w:val="28"/>
        </w:rPr>
        <w:t>第</w:t>
      </w:r>
      <w:r>
        <w:rPr>
          <w:rFonts w:ascii="黑体" w:hAnsi="黑体"/>
          <w:bCs w:val="0"/>
          <w:color w:val="auto"/>
          <w:sz w:val="28"/>
        </w:rPr>
        <w:t>20条</w:t>
      </w:r>
      <w:r>
        <w:rPr>
          <w:rFonts w:hint="eastAsia" w:ascii="黑体" w:hAnsi="黑体"/>
          <w:bCs w:val="0"/>
          <w:color w:val="auto"/>
          <w:sz w:val="28"/>
        </w:rPr>
        <w:t xml:space="preserve"> 争议解决</w:t>
      </w:r>
      <w:bookmarkEnd w:id="2010"/>
      <w:bookmarkEnd w:id="2011"/>
    </w:p>
    <w:p w14:paraId="7A8E2C6C">
      <w:pPr>
        <w:pStyle w:val="4"/>
        <w:spacing w:before="120" w:line="360" w:lineRule="auto"/>
        <w:rPr>
          <w:color w:val="auto"/>
        </w:rPr>
      </w:pPr>
      <w:bookmarkStart w:id="2012" w:name="_Toc154063751"/>
      <w:r>
        <w:rPr>
          <w:color w:val="auto"/>
        </w:rPr>
        <w:t xml:space="preserve">20.3 </w:t>
      </w:r>
      <w:r>
        <w:rPr>
          <w:rFonts w:hint="eastAsia"/>
          <w:color w:val="auto"/>
        </w:rPr>
        <w:t>争议评审</w:t>
      </w:r>
      <w:bookmarkEnd w:id="2012"/>
    </w:p>
    <w:p w14:paraId="2DFCFA4F">
      <w:pPr>
        <w:spacing w:line="360" w:lineRule="auto"/>
        <w:ind w:firstLine="420" w:firstLineChars="200"/>
        <w:rPr>
          <w:rFonts w:ascii="宋体" w:hAnsi="宋体"/>
          <w:color w:val="auto"/>
          <w:szCs w:val="21"/>
        </w:rPr>
      </w:pPr>
      <w:r>
        <w:rPr>
          <w:rFonts w:hint="eastAsia" w:ascii="宋体" w:hAnsi="宋体"/>
          <w:color w:val="auto"/>
          <w:szCs w:val="21"/>
        </w:rPr>
        <w:t xml:space="preserve">合同当事人是否同意将工程争议提交争议评审小组决定： </w:t>
      </w:r>
      <w:r>
        <w:rPr>
          <w:rFonts w:ascii="宋体" w:hAnsi="宋体"/>
          <w:color w:val="auto"/>
          <w:szCs w:val="21"/>
          <w:u w:val="single"/>
        </w:rPr>
        <w:t xml:space="preserve">                  </w:t>
      </w:r>
      <w:r>
        <w:rPr>
          <w:rFonts w:hint="eastAsia" w:ascii="宋体" w:hAnsi="宋体"/>
          <w:color w:val="auto"/>
          <w:szCs w:val="21"/>
        </w:rPr>
        <w:t>。</w:t>
      </w:r>
    </w:p>
    <w:p w14:paraId="0E9B3E38">
      <w:pPr>
        <w:spacing w:line="360" w:lineRule="auto"/>
        <w:ind w:firstLine="420" w:firstLineChars="200"/>
        <w:rPr>
          <w:rFonts w:ascii="宋体" w:hAnsi="宋体"/>
          <w:color w:val="auto"/>
          <w:szCs w:val="21"/>
        </w:rPr>
      </w:pPr>
      <w:r>
        <w:rPr>
          <w:rFonts w:ascii="宋体" w:hAnsi="宋体"/>
          <w:color w:val="auto"/>
          <w:szCs w:val="21"/>
        </w:rPr>
        <w:t>20.3.1</w:t>
      </w:r>
      <w:r>
        <w:rPr>
          <w:rFonts w:hint="eastAsia" w:ascii="宋体" w:hAnsi="宋体"/>
          <w:color w:val="auto"/>
          <w:szCs w:val="21"/>
        </w:rPr>
        <w:t xml:space="preserve"> 争议评审小组</w:t>
      </w:r>
      <w:r>
        <w:rPr>
          <w:rFonts w:ascii="宋体" w:hAnsi="宋体"/>
          <w:color w:val="auto"/>
          <w:szCs w:val="21"/>
        </w:rPr>
        <w:t>的确定</w:t>
      </w:r>
    </w:p>
    <w:p w14:paraId="1262BB61">
      <w:pPr>
        <w:spacing w:line="360" w:lineRule="auto"/>
        <w:ind w:firstLine="420" w:firstLineChars="200"/>
        <w:rPr>
          <w:rFonts w:ascii="宋体" w:hAnsi="宋体"/>
          <w:color w:val="auto"/>
          <w:szCs w:val="21"/>
        </w:rPr>
      </w:pPr>
      <w:r>
        <w:rPr>
          <w:rFonts w:hint="eastAsia" w:ascii="宋体" w:hAnsi="宋体"/>
          <w:color w:val="auto"/>
          <w:szCs w:val="21"/>
        </w:rPr>
        <w:t>争议评审小组成员的人数：</w:t>
      </w:r>
      <w:r>
        <w:rPr>
          <w:rFonts w:ascii="宋体" w:hAnsi="宋体"/>
          <w:color w:val="auto"/>
          <w:szCs w:val="21"/>
          <w:u w:val="single"/>
        </w:rPr>
        <w:t xml:space="preserve">                          </w:t>
      </w:r>
      <w:r>
        <w:rPr>
          <w:rFonts w:ascii="宋体" w:hAnsi="宋体"/>
          <w:color w:val="auto"/>
          <w:szCs w:val="21"/>
        </w:rPr>
        <w:t>。</w:t>
      </w:r>
    </w:p>
    <w:p w14:paraId="75C0F854">
      <w:pPr>
        <w:spacing w:line="360" w:lineRule="auto"/>
        <w:ind w:firstLine="420" w:firstLineChars="200"/>
        <w:rPr>
          <w:rFonts w:ascii="宋体" w:hAnsi="宋体"/>
          <w:color w:val="auto"/>
          <w:szCs w:val="21"/>
        </w:rPr>
      </w:pPr>
      <w:r>
        <w:rPr>
          <w:rFonts w:hint="eastAsia" w:ascii="宋体" w:hAnsi="宋体"/>
          <w:color w:val="auto"/>
          <w:szCs w:val="21"/>
        </w:rPr>
        <w:t>争议评审小组成员的确定：</w:t>
      </w:r>
      <w:r>
        <w:rPr>
          <w:rFonts w:ascii="宋体" w:hAnsi="宋体"/>
          <w:color w:val="auto"/>
          <w:szCs w:val="21"/>
          <w:u w:val="single"/>
        </w:rPr>
        <w:t xml:space="preserve">                          </w:t>
      </w:r>
      <w:r>
        <w:rPr>
          <w:rFonts w:ascii="宋体" w:hAnsi="宋体"/>
          <w:color w:val="auto"/>
          <w:szCs w:val="21"/>
        </w:rPr>
        <w:t>。</w:t>
      </w:r>
    </w:p>
    <w:p w14:paraId="6A6C201E">
      <w:pPr>
        <w:spacing w:line="360" w:lineRule="auto"/>
        <w:ind w:firstLine="420" w:firstLineChars="200"/>
        <w:rPr>
          <w:rFonts w:ascii="宋体" w:hAnsi="宋体"/>
          <w:color w:val="auto"/>
          <w:szCs w:val="21"/>
        </w:rPr>
      </w:pPr>
      <w:r>
        <w:rPr>
          <w:rFonts w:hint="eastAsia" w:ascii="宋体" w:hAnsi="宋体"/>
          <w:color w:val="auto"/>
          <w:szCs w:val="21"/>
        </w:rPr>
        <w:t>选定争议避免/评审组的期限：</w:t>
      </w:r>
      <w:r>
        <w:rPr>
          <w:rFonts w:ascii="宋体" w:hAnsi="宋体"/>
          <w:color w:val="auto"/>
          <w:szCs w:val="21"/>
          <w:u w:val="single"/>
        </w:rPr>
        <w:t xml:space="preserve">                       </w:t>
      </w:r>
      <w:r>
        <w:rPr>
          <w:rFonts w:ascii="宋体" w:hAnsi="宋体"/>
          <w:color w:val="auto"/>
          <w:szCs w:val="21"/>
        </w:rPr>
        <w:t>。</w:t>
      </w:r>
    </w:p>
    <w:p w14:paraId="4AD0A939">
      <w:pPr>
        <w:spacing w:line="360" w:lineRule="auto"/>
        <w:ind w:firstLine="420" w:firstLineChars="200"/>
        <w:rPr>
          <w:rFonts w:ascii="宋体" w:hAnsi="宋体"/>
          <w:color w:val="auto"/>
          <w:szCs w:val="21"/>
        </w:rPr>
      </w:pPr>
      <w:r>
        <w:rPr>
          <w:rFonts w:hint="eastAsia" w:ascii="宋体" w:hAnsi="宋体"/>
          <w:color w:val="auto"/>
          <w:szCs w:val="21"/>
        </w:rPr>
        <w:t>评审机构：</w:t>
      </w:r>
      <w:r>
        <w:rPr>
          <w:rFonts w:ascii="宋体" w:hAnsi="宋体"/>
          <w:color w:val="auto"/>
          <w:szCs w:val="21"/>
          <w:u w:val="single"/>
        </w:rPr>
        <w:t xml:space="preserve">                                        </w:t>
      </w:r>
      <w:r>
        <w:rPr>
          <w:rFonts w:ascii="宋体" w:hAnsi="宋体"/>
          <w:color w:val="auto"/>
          <w:szCs w:val="21"/>
        </w:rPr>
        <w:t>。</w:t>
      </w:r>
    </w:p>
    <w:p w14:paraId="0007AB79">
      <w:pPr>
        <w:spacing w:line="360" w:lineRule="auto"/>
        <w:ind w:firstLine="420" w:firstLineChars="200"/>
        <w:rPr>
          <w:rFonts w:ascii="宋体" w:hAnsi="宋体"/>
          <w:color w:val="auto"/>
          <w:szCs w:val="21"/>
        </w:rPr>
      </w:pPr>
      <w:r>
        <w:rPr>
          <w:rFonts w:hint="eastAsia" w:ascii="宋体" w:hAnsi="宋体"/>
          <w:color w:val="auto"/>
          <w:szCs w:val="21"/>
        </w:rPr>
        <w:t>其他事项的约定：</w:t>
      </w:r>
      <w:r>
        <w:rPr>
          <w:rFonts w:ascii="宋体" w:hAnsi="宋体"/>
          <w:color w:val="auto"/>
          <w:szCs w:val="21"/>
          <w:u w:val="single"/>
        </w:rPr>
        <w:t xml:space="preserve">                                  </w:t>
      </w:r>
      <w:r>
        <w:rPr>
          <w:rFonts w:ascii="宋体" w:hAnsi="宋体"/>
          <w:color w:val="auto"/>
          <w:szCs w:val="21"/>
        </w:rPr>
        <w:t>。</w:t>
      </w:r>
    </w:p>
    <w:p w14:paraId="0F662A33">
      <w:pPr>
        <w:spacing w:line="360" w:lineRule="auto"/>
        <w:ind w:firstLine="420" w:firstLineChars="200"/>
        <w:rPr>
          <w:rFonts w:ascii="宋体" w:hAnsi="宋体"/>
          <w:color w:val="auto"/>
          <w:szCs w:val="21"/>
        </w:rPr>
      </w:pPr>
      <w:r>
        <w:rPr>
          <w:rFonts w:ascii="宋体" w:hAnsi="宋体"/>
          <w:color w:val="auto"/>
          <w:szCs w:val="21"/>
        </w:rPr>
        <w:t>争议评审员报酬</w:t>
      </w:r>
      <w:r>
        <w:rPr>
          <w:rFonts w:hint="eastAsia" w:ascii="宋体" w:hAnsi="宋体"/>
          <w:color w:val="auto"/>
          <w:szCs w:val="21"/>
        </w:rPr>
        <w:t>的承担人：</w:t>
      </w:r>
      <w:r>
        <w:rPr>
          <w:rFonts w:ascii="宋体" w:hAnsi="宋体"/>
          <w:color w:val="auto"/>
          <w:szCs w:val="21"/>
          <w:u w:val="single"/>
        </w:rPr>
        <w:t xml:space="preserve">                          </w:t>
      </w:r>
      <w:r>
        <w:rPr>
          <w:rFonts w:hint="eastAsia" w:ascii="宋体" w:hAnsi="宋体"/>
          <w:color w:val="auto"/>
          <w:szCs w:val="21"/>
        </w:rPr>
        <w:t>。</w:t>
      </w:r>
    </w:p>
    <w:p w14:paraId="079140A8">
      <w:pPr>
        <w:spacing w:line="360" w:lineRule="auto"/>
        <w:ind w:firstLine="420" w:firstLineChars="200"/>
        <w:rPr>
          <w:rFonts w:ascii="宋体" w:hAnsi="宋体"/>
          <w:color w:val="auto"/>
          <w:szCs w:val="21"/>
        </w:rPr>
      </w:pPr>
      <w:r>
        <w:rPr>
          <w:rFonts w:hint="eastAsia" w:ascii="宋体" w:hAnsi="宋体"/>
          <w:color w:val="auto"/>
          <w:szCs w:val="21"/>
        </w:rPr>
        <w:t>20.3.2 争议的避免</w:t>
      </w:r>
    </w:p>
    <w:p w14:paraId="225A37F1">
      <w:pPr>
        <w:spacing w:line="360" w:lineRule="auto"/>
        <w:ind w:firstLine="420" w:firstLineChars="200"/>
        <w:rPr>
          <w:rFonts w:ascii="宋体" w:hAnsi="宋体"/>
          <w:color w:val="auto"/>
          <w:szCs w:val="21"/>
        </w:rPr>
      </w:pPr>
      <w:r>
        <w:rPr>
          <w:rFonts w:hint="eastAsia" w:ascii="宋体" w:hAnsi="宋体"/>
          <w:color w:val="auto"/>
          <w:szCs w:val="21"/>
        </w:rPr>
        <w:t>发包人和承包人是否均出席争议避免的非正式讨论：</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w:t>
      </w:r>
    </w:p>
    <w:p w14:paraId="2D3C2794">
      <w:pPr>
        <w:spacing w:line="360" w:lineRule="auto"/>
        <w:ind w:firstLine="420" w:firstLineChars="200"/>
        <w:rPr>
          <w:rFonts w:ascii="宋体" w:hAnsi="宋体"/>
          <w:color w:val="auto"/>
          <w:szCs w:val="21"/>
        </w:rPr>
      </w:pPr>
      <w:r>
        <w:rPr>
          <w:rFonts w:ascii="宋体" w:hAnsi="宋体"/>
          <w:color w:val="auto"/>
          <w:szCs w:val="21"/>
        </w:rPr>
        <w:t>20.3.3</w:t>
      </w:r>
      <w:r>
        <w:rPr>
          <w:rFonts w:hint="eastAsia" w:ascii="宋体" w:hAnsi="宋体"/>
          <w:color w:val="auto"/>
          <w:szCs w:val="21"/>
        </w:rPr>
        <w:t xml:space="preserve"> 争议评审小组的决定</w:t>
      </w:r>
    </w:p>
    <w:p w14:paraId="4B25B5F5">
      <w:pPr>
        <w:spacing w:line="360" w:lineRule="auto"/>
        <w:ind w:firstLine="420" w:firstLineChars="200"/>
        <w:rPr>
          <w:rFonts w:ascii="宋体" w:hAnsi="宋体"/>
          <w:color w:val="auto"/>
          <w:szCs w:val="21"/>
        </w:rPr>
      </w:pPr>
      <w:r>
        <w:rPr>
          <w:rFonts w:hint="eastAsia" w:ascii="宋体" w:hAnsi="宋体"/>
          <w:color w:val="auto"/>
          <w:szCs w:val="21"/>
        </w:rPr>
        <w:t>关于争议评审小组的决定的特别约定：</w:t>
      </w:r>
      <w:r>
        <w:rPr>
          <w:rFonts w:ascii="宋体" w:hAnsi="宋体"/>
          <w:color w:val="auto"/>
          <w:szCs w:val="21"/>
          <w:u w:val="single"/>
        </w:rPr>
        <w:t xml:space="preserve">                </w:t>
      </w:r>
      <w:r>
        <w:rPr>
          <w:rFonts w:ascii="宋体" w:hAnsi="宋体"/>
          <w:color w:val="auto"/>
          <w:szCs w:val="21"/>
        </w:rPr>
        <w:t>。</w:t>
      </w:r>
    </w:p>
    <w:p w14:paraId="5E755494">
      <w:pPr>
        <w:pStyle w:val="4"/>
        <w:spacing w:before="120" w:line="360" w:lineRule="auto"/>
        <w:rPr>
          <w:color w:val="auto"/>
        </w:rPr>
      </w:pPr>
      <w:bookmarkStart w:id="2013" w:name="_Toc154063752"/>
      <w:r>
        <w:rPr>
          <w:color w:val="auto"/>
        </w:rPr>
        <w:t xml:space="preserve">20.4 </w:t>
      </w:r>
      <w:r>
        <w:rPr>
          <w:rFonts w:hint="eastAsia"/>
          <w:color w:val="auto"/>
        </w:rPr>
        <w:t>仲裁或诉讼</w:t>
      </w:r>
      <w:bookmarkEnd w:id="2013"/>
    </w:p>
    <w:p w14:paraId="74CA4CC0">
      <w:pPr>
        <w:spacing w:line="360" w:lineRule="auto"/>
        <w:ind w:firstLine="420" w:firstLineChars="200"/>
        <w:rPr>
          <w:rFonts w:ascii="宋体" w:hAnsi="宋体"/>
          <w:color w:val="auto"/>
          <w:szCs w:val="21"/>
        </w:rPr>
      </w:pPr>
      <w:r>
        <w:rPr>
          <w:rFonts w:hint="eastAsia" w:ascii="宋体" w:hAnsi="宋体"/>
          <w:color w:val="auto"/>
          <w:szCs w:val="21"/>
        </w:rPr>
        <w:t>因合同及合同有关事项发生的争议，按下列第</w:t>
      </w:r>
      <w:r>
        <w:rPr>
          <w:rFonts w:ascii="宋体" w:hAnsi="宋体"/>
          <w:color w:val="auto"/>
          <w:szCs w:val="21"/>
          <w:u w:val="single"/>
        </w:rPr>
        <w:t xml:space="preserve">  </w:t>
      </w:r>
      <w:r>
        <w:rPr>
          <w:rFonts w:hint="eastAsia" w:ascii="宋体" w:hAnsi="宋体"/>
          <w:color w:val="auto"/>
          <w:szCs w:val="21"/>
          <w:u w:val="single"/>
          <w:lang w:eastAsia="zh-CN"/>
        </w:rPr>
        <w:t>（</w:t>
      </w:r>
      <w:r>
        <w:rPr>
          <w:rFonts w:hint="eastAsia" w:ascii="宋体" w:hAnsi="宋体"/>
          <w:color w:val="auto"/>
          <w:szCs w:val="21"/>
          <w:u w:val="single"/>
          <w:lang w:val="en-US" w:eastAsia="zh-CN"/>
        </w:rPr>
        <w:t>2</w:t>
      </w:r>
      <w:r>
        <w:rPr>
          <w:rFonts w:hint="eastAsia" w:ascii="宋体" w:hAnsi="宋体"/>
          <w:color w:val="auto"/>
          <w:szCs w:val="21"/>
          <w:u w:val="single"/>
          <w:lang w:eastAsia="zh-CN"/>
        </w:rPr>
        <w:t>）</w:t>
      </w:r>
      <w:r>
        <w:rPr>
          <w:rFonts w:ascii="宋体" w:hAnsi="宋体"/>
          <w:color w:val="auto"/>
          <w:szCs w:val="21"/>
          <w:u w:val="single"/>
        </w:rPr>
        <w:t xml:space="preserve">  </w:t>
      </w:r>
      <w:r>
        <w:rPr>
          <w:rFonts w:ascii="宋体" w:hAnsi="宋体"/>
          <w:color w:val="auto"/>
          <w:szCs w:val="21"/>
        </w:rPr>
        <w:t>种方式解决：</w:t>
      </w:r>
    </w:p>
    <w:p w14:paraId="4D9518A2">
      <w:pPr>
        <w:spacing w:line="360" w:lineRule="auto"/>
        <w:ind w:firstLine="420" w:firstLineChars="200"/>
        <w:rPr>
          <w:rFonts w:ascii="宋体" w:hAnsi="宋体"/>
          <w:color w:val="auto"/>
          <w:szCs w:val="21"/>
        </w:rPr>
      </w:pPr>
      <w:r>
        <w:rPr>
          <w:rFonts w:hint="eastAsia" w:ascii="宋体" w:hAnsi="宋体"/>
          <w:color w:val="auto"/>
          <w:szCs w:val="21"/>
        </w:rPr>
        <w:t>（</w:t>
      </w:r>
      <w:r>
        <w:rPr>
          <w:rFonts w:ascii="宋体" w:hAnsi="宋体"/>
          <w:color w:val="auto"/>
          <w:szCs w:val="21"/>
        </w:rPr>
        <w:t>1）向</w:t>
      </w:r>
      <w:r>
        <w:rPr>
          <w:rFonts w:ascii="宋体" w:hAnsi="宋体"/>
          <w:color w:val="auto"/>
          <w:szCs w:val="21"/>
          <w:u w:val="single"/>
        </w:rPr>
        <w:t xml:space="preserve">                        </w:t>
      </w:r>
      <w:r>
        <w:rPr>
          <w:rFonts w:ascii="宋体" w:hAnsi="宋体"/>
          <w:color w:val="auto"/>
          <w:szCs w:val="21"/>
        </w:rPr>
        <w:t>仲裁委员会申请仲裁；</w:t>
      </w:r>
    </w:p>
    <w:p w14:paraId="20D42F78">
      <w:pPr>
        <w:spacing w:line="360" w:lineRule="auto"/>
        <w:ind w:firstLine="420" w:firstLineChars="200"/>
        <w:rPr>
          <w:rFonts w:ascii="宋体" w:hAnsi="宋体"/>
          <w:color w:val="auto"/>
          <w:szCs w:val="21"/>
        </w:rPr>
      </w:pPr>
      <w:r>
        <w:rPr>
          <w:rFonts w:hint="eastAsia" w:ascii="宋体" w:hAnsi="宋体"/>
          <w:color w:val="auto"/>
          <w:szCs w:val="21"/>
        </w:rPr>
        <w:t>（</w:t>
      </w:r>
      <w:r>
        <w:rPr>
          <w:rFonts w:ascii="宋体" w:hAnsi="宋体"/>
          <w:color w:val="auto"/>
          <w:szCs w:val="21"/>
        </w:rPr>
        <w:t>2）向</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工程所在地</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ascii="宋体" w:hAnsi="宋体"/>
          <w:color w:val="auto"/>
          <w:szCs w:val="21"/>
        </w:rPr>
        <w:t>人民法院起诉。</w:t>
      </w:r>
    </w:p>
    <w:p w14:paraId="27CFBDBB">
      <w:pPr>
        <w:pStyle w:val="3"/>
        <w:keepNext/>
        <w:keepLines/>
        <w:pageBreakBefore w:val="0"/>
        <w:widowControl w:val="0"/>
        <w:kinsoku/>
        <w:wordWrap/>
        <w:overflowPunct/>
        <w:topLinePunct w:val="0"/>
        <w:autoSpaceDE/>
        <w:autoSpaceDN/>
        <w:bidi w:val="0"/>
        <w:adjustRightInd/>
        <w:snapToGrid/>
        <w:spacing w:line="360" w:lineRule="auto"/>
        <w:textAlignment w:val="auto"/>
        <w:rPr>
          <w:rFonts w:hint="eastAsia" w:ascii="黑体" w:hAnsi="黑体" w:eastAsia="黑体" w:cs="黑体"/>
          <w:b w:val="0"/>
          <w:bCs w:val="0"/>
          <w:color w:val="auto"/>
          <w:kern w:val="2"/>
          <w:sz w:val="28"/>
          <w:szCs w:val="36"/>
          <w:lang w:val="en-US" w:eastAsia="zh-CN" w:bidi="ar-SA"/>
        </w:rPr>
      </w:pPr>
      <w:bookmarkStart w:id="2014" w:name="_第21条 补充条款"/>
      <w:r>
        <w:rPr>
          <w:rFonts w:hint="eastAsia" w:ascii="黑体" w:hAnsi="黑体" w:eastAsia="黑体" w:cs="黑体"/>
          <w:color w:val="auto"/>
          <w:sz w:val="28"/>
          <w:szCs w:val="36"/>
          <w:lang w:val="en-US" w:eastAsia="zh-CN"/>
        </w:rPr>
        <w:t>第21条 补充条款</w:t>
      </w:r>
    </w:p>
    <w:bookmarkEnd w:id="2014"/>
    <w:p w14:paraId="22418D68">
      <w:pPr>
        <w:keepNext w:val="0"/>
        <w:keepLines w:val="0"/>
        <w:pageBreakBefore w:val="0"/>
        <w:widowControl w:val="0"/>
        <w:kinsoku/>
        <w:wordWrap/>
        <w:overflowPunct/>
        <w:topLinePunct/>
        <w:autoSpaceDE/>
        <w:autoSpaceDN/>
        <w:bidi w:val="0"/>
        <w:adjustRightInd/>
        <w:snapToGrid/>
        <w:spacing w:before="164" w:beforeLines="50" w:line="360" w:lineRule="auto"/>
        <w:textAlignment w:val="auto"/>
        <w:rPr>
          <w:rFonts w:hint="eastAsia" w:ascii="黑体" w:hAnsi="黑体" w:eastAsia="黑体" w:cs="Times New Roman"/>
          <w:color w:val="auto"/>
          <w:kern w:val="2"/>
          <w:sz w:val="21"/>
          <w:szCs w:val="24"/>
          <w:lang w:val="en-US" w:eastAsia="zh-CN" w:bidi="ar-SA"/>
        </w:rPr>
      </w:pPr>
      <w:r>
        <w:rPr>
          <w:rFonts w:hint="eastAsia" w:ascii="黑体" w:hAnsi="黑体" w:eastAsia="黑体" w:cs="Times New Roman"/>
          <w:color w:val="auto"/>
          <w:kern w:val="2"/>
          <w:sz w:val="21"/>
          <w:szCs w:val="24"/>
          <w:lang w:val="en-US" w:eastAsia="zh-CN" w:bidi="ar-SA"/>
        </w:rPr>
        <w:t>21.1 补充条款</w:t>
      </w:r>
    </w:p>
    <w:p w14:paraId="40DF9F38">
      <w:pPr>
        <w:keepNext w:val="0"/>
        <w:keepLines w:val="0"/>
        <w:pageBreakBefore w:val="0"/>
        <w:kinsoku/>
        <w:wordWrap/>
        <w:overflowPunct/>
        <w:topLinePunct/>
        <w:autoSpaceDE/>
        <w:autoSpaceDN/>
        <w:bidi w:val="0"/>
        <w:spacing w:line="360" w:lineRule="auto"/>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21.1.1 价格水平相一致：</w:t>
      </w:r>
      <w:r>
        <w:rPr>
          <w:rFonts w:hint="eastAsia" w:ascii="宋体" w:hAnsi="宋体" w:eastAsia="宋体" w:cs="宋体"/>
          <w:color w:val="auto"/>
          <w:sz w:val="21"/>
          <w:szCs w:val="21"/>
          <w:highlight w:val="none"/>
          <w:u w:val="single"/>
        </w:rPr>
        <w:t xml:space="preserve"> 是指采用的工程造价计价依据相一致，即人、材、机价格水平与经黄冈市英山县投资评审中心评审的本项目的人、材、机价格水平相一致，管理费及利润等取费的优惠幅度（比例）按投标文件约定下浮比例或协商下浮比例相一致</w:t>
      </w:r>
      <w:r>
        <w:rPr>
          <w:rFonts w:hint="eastAsia" w:ascii="宋体" w:hAnsi="宋体" w:eastAsia="宋体" w:cs="宋体"/>
          <w:color w:val="auto"/>
          <w:sz w:val="21"/>
          <w:szCs w:val="21"/>
          <w:highlight w:val="none"/>
        </w:rPr>
        <w:t xml:space="preserve"> ；</w:t>
      </w:r>
    </w:p>
    <w:p w14:paraId="5E4E67DF">
      <w:pPr>
        <w:keepNext w:val="0"/>
        <w:keepLines w:val="0"/>
        <w:pageBreakBefore w:val="0"/>
        <w:kinsoku/>
        <w:wordWrap/>
        <w:overflowPunct/>
        <w:topLinePunct/>
        <w:autoSpaceDE/>
        <w:autoSpaceDN/>
        <w:bidi w:val="0"/>
        <w:spacing w:line="360" w:lineRule="auto"/>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21.1.2 基期价格：</w:t>
      </w:r>
      <w:r>
        <w:rPr>
          <w:rFonts w:hint="eastAsia" w:ascii="宋体" w:hAnsi="宋体" w:eastAsia="宋体" w:cs="宋体"/>
          <w:color w:val="auto"/>
          <w:sz w:val="21"/>
          <w:szCs w:val="21"/>
          <w:highlight w:val="none"/>
          <w:u w:val="single"/>
        </w:rPr>
        <w:t xml:space="preserve"> 投标文件截止递交日前28天的《黄冈工程造价信息（英山）》所对应材料的除税价作为基期价格；若材料价格缺项，可以参照湖北省黄冈市周边地区（黄州、武汉）当期材料的除税价作为基期价格 </w:t>
      </w:r>
      <w:r>
        <w:rPr>
          <w:rFonts w:hint="eastAsia" w:ascii="宋体" w:hAnsi="宋体" w:eastAsia="宋体" w:cs="宋体"/>
          <w:color w:val="auto"/>
          <w:sz w:val="21"/>
          <w:szCs w:val="21"/>
          <w:highlight w:val="none"/>
        </w:rPr>
        <w:t>；</w:t>
      </w:r>
    </w:p>
    <w:p w14:paraId="7AB02549">
      <w:pPr>
        <w:keepNext w:val="0"/>
        <w:keepLines w:val="0"/>
        <w:pageBreakBefore w:val="0"/>
        <w:kinsoku/>
        <w:wordWrap/>
        <w:overflowPunct/>
        <w:topLinePunct/>
        <w:autoSpaceDE/>
        <w:autoSpaceDN/>
        <w:bidi w:val="0"/>
        <w:spacing w:line="360" w:lineRule="auto"/>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21.1.3 目标价格：</w:t>
      </w:r>
      <w:r>
        <w:rPr>
          <w:rFonts w:hint="eastAsia" w:ascii="宋体" w:hAnsi="宋体" w:eastAsia="宋体" w:cs="宋体"/>
          <w:color w:val="auto"/>
          <w:sz w:val="21"/>
          <w:szCs w:val="21"/>
          <w:highlight w:val="none"/>
          <w:u w:val="single"/>
        </w:rPr>
        <w:t xml:space="preserve"> 施工期所对应的《黄冈工程造价信息（英山）》材料除税价的算术平均值作为目标价格，若材料价格缺项，可以参照施工期所对应的湖北省黄冈市周边地区（黄州、武汉）材料除税价的算术平均值</w:t>
      </w:r>
      <w:r>
        <w:rPr>
          <w:rFonts w:hint="eastAsia" w:ascii="宋体" w:hAnsi="宋体" w:eastAsia="宋体" w:cs="宋体"/>
          <w:color w:val="auto"/>
          <w:sz w:val="21"/>
          <w:szCs w:val="21"/>
          <w:highlight w:val="none"/>
        </w:rPr>
        <w:t xml:space="preserve"> ；</w:t>
      </w:r>
    </w:p>
    <w:p w14:paraId="46DB2E28">
      <w:pPr>
        <w:keepNext w:val="0"/>
        <w:keepLines w:val="0"/>
        <w:pageBreakBefore w:val="0"/>
        <w:kinsoku/>
        <w:wordWrap/>
        <w:overflowPunct/>
        <w:topLinePunct/>
        <w:autoSpaceDE/>
        <w:autoSpaceDN/>
        <w:bidi w:val="0"/>
        <w:spacing w:line="360" w:lineRule="auto"/>
        <w:ind w:firstLine="600"/>
        <w:textAlignment w:val="auto"/>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highlight w:val="none"/>
          <w:lang w:val="en-US" w:eastAsia="zh-CN"/>
        </w:rPr>
        <w:t>21.1.4 竣工文件的形式、提供的份数、技术标准以及其它相关要求：</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竣工验收2个月内由承包人完成资料的整理归档工作，发包人及监理单位负责监督、配合。包含竣工资料(含竣工图)和竣工验收报告。其中竣工图承包人按照施工图的格式和比例绘制与实际施工现场相吻合的竣工图纸，经监理人审核合格后加盖竣工图章，并给规划部门提供该部门认可的电子版竣工图。其测图、绘图、竣工资料打印收集整理等一切费用已在财评审定的工程量清单(费率)中考虑，由承包人自行承担，发包人不另行计量支付。同时提交发包人完整的竣工资料(相关电子版资料另行提交一套)，若承包人未在竣工验收后2个月内完</w:t>
      </w:r>
      <w:r>
        <w:rPr>
          <w:rFonts w:hint="eastAsia" w:ascii="宋体" w:hAnsi="宋体" w:eastAsia="宋体" w:cs="宋体"/>
          <w:color w:val="auto"/>
          <w:sz w:val="21"/>
          <w:szCs w:val="21"/>
          <w:u w:val="single"/>
          <w:lang w:val="en-US" w:eastAsia="zh-CN"/>
        </w:rPr>
        <w:t>成工程资料提交，发包人对承包人按每逾期一天1000元进行罚款，罚款金额累计不超过合同金额的3%</w:t>
      </w:r>
      <w:r>
        <w:rPr>
          <w:rFonts w:hint="eastAsia" w:ascii="宋体" w:hAnsi="宋体" w:eastAsia="宋体" w:cs="宋体"/>
          <w:color w:val="auto"/>
          <w:sz w:val="21"/>
          <w:szCs w:val="21"/>
          <w:u w:val="none"/>
          <w:lang w:val="en-US" w:eastAsia="zh-CN"/>
        </w:rPr>
        <w:t>；</w:t>
      </w:r>
    </w:p>
    <w:p w14:paraId="5E6CD133">
      <w:pPr>
        <w:keepNext w:val="0"/>
        <w:keepLines w:val="0"/>
        <w:pageBreakBefore w:val="0"/>
        <w:kinsoku/>
        <w:wordWrap/>
        <w:overflowPunct/>
        <w:topLinePunct/>
        <w:autoSpaceDE/>
        <w:autoSpaceDN/>
        <w:bidi w:val="0"/>
        <w:spacing w:line="360" w:lineRule="auto"/>
        <w:ind w:firstLine="600"/>
        <w:textAlignment w:val="auto"/>
        <w:rPr>
          <w:rFonts w:hint="eastAsia" w:ascii="宋体" w:hAnsi="宋体" w:eastAsia="宋体" w:cs="宋体"/>
          <w:color w:val="auto"/>
          <w:sz w:val="21"/>
          <w:szCs w:val="21"/>
          <w:highlight w:val="yellow"/>
          <w:u w:val="single"/>
          <w:lang w:val="en-US" w:eastAsia="zh-CN"/>
        </w:rPr>
      </w:pPr>
      <w:r>
        <w:rPr>
          <w:rFonts w:hint="eastAsia" w:ascii="宋体" w:hAnsi="宋体" w:eastAsia="宋体" w:cs="宋体"/>
          <w:color w:val="auto"/>
          <w:sz w:val="21"/>
          <w:szCs w:val="21"/>
          <w:u w:val="none"/>
          <w:lang w:val="en-US" w:eastAsia="zh-CN"/>
        </w:rPr>
        <w:t>21.1.5 进度报告的具体要求：</w:t>
      </w:r>
      <w:r>
        <w:rPr>
          <w:rFonts w:hint="eastAsia" w:ascii="宋体" w:hAnsi="宋体" w:eastAsia="宋体" w:cs="宋体"/>
          <w:color w:val="auto"/>
          <w:sz w:val="21"/>
          <w:szCs w:val="21"/>
          <w:u w:val="single"/>
          <w:lang w:val="en-US" w:eastAsia="zh-CN"/>
        </w:rPr>
        <w:t xml:space="preserve"> 按月提交施工月报，报告当月施工产值、进度、质量及安全管理，以及下月施工计划，每月25日提交，提交5份；其他报表等资料(包括签证资料)按发包人要求的类别、名称、报告期、时间和份数提供交发包人留存，月报工程量作为调价材料用量基数，</w:t>
      </w:r>
      <w:r>
        <w:rPr>
          <w:rFonts w:hint="eastAsia" w:ascii="宋体" w:hAnsi="宋体" w:eastAsia="宋体" w:cs="宋体"/>
          <w:color w:val="auto"/>
          <w:sz w:val="21"/>
          <w:szCs w:val="21"/>
          <w:highlight w:val="none"/>
          <w:u w:val="single"/>
          <w:lang w:val="en-US" w:eastAsia="zh-CN"/>
        </w:rPr>
        <w:t>未提交月报，材料价格不予调整</w:t>
      </w:r>
      <w:r>
        <w:rPr>
          <w:rFonts w:hint="eastAsia" w:ascii="宋体" w:hAnsi="宋体" w:eastAsia="宋体" w:cs="宋体"/>
          <w:color w:val="auto"/>
          <w:sz w:val="21"/>
          <w:szCs w:val="21"/>
          <w:highlight w:val="none"/>
          <w:u w:val="none"/>
          <w:lang w:val="en-US" w:eastAsia="zh-CN"/>
        </w:rPr>
        <w:t>；</w:t>
      </w:r>
    </w:p>
    <w:p w14:paraId="5B59EE48">
      <w:pPr>
        <w:keepNext w:val="0"/>
        <w:keepLines w:val="0"/>
        <w:pageBreakBefore w:val="0"/>
        <w:kinsoku/>
        <w:wordWrap/>
        <w:overflowPunct/>
        <w:topLinePunct/>
        <w:autoSpaceDE/>
        <w:autoSpaceDN/>
        <w:bidi w:val="0"/>
        <w:spacing w:line="360" w:lineRule="auto"/>
        <w:ind w:firstLine="60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u w:val="none"/>
          <w:lang w:val="en-US" w:eastAsia="zh-CN"/>
        </w:rPr>
        <w:t>21.1.6 地下管网竣工资料要求：</w:t>
      </w:r>
      <w:r>
        <w:rPr>
          <w:rFonts w:hint="eastAsia" w:ascii="宋体" w:hAnsi="宋体" w:eastAsia="宋体" w:cs="宋体"/>
          <w:color w:val="auto"/>
          <w:sz w:val="21"/>
          <w:szCs w:val="21"/>
          <w:u w:val="single"/>
          <w:lang w:val="en-US" w:eastAsia="zh-CN"/>
        </w:rPr>
        <w:t>凡涉及地下管网的竣工图资料，须由承包人提交实测矢量数据文件。若承包人未在工程</w:t>
      </w:r>
      <w:r>
        <w:rPr>
          <w:rFonts w:hint="eastAsia" w:ascii="宋体" w:hAnsi="宋体" w:eastAsia="宋体" w:cs="宋体"/>
          <w:color w:val="auto"/>
          <w:sz w:val="21"/>
          <w:szCs w:val="21"/>
          <w:highlight w:val="none"/>
          <w:u w:val="single"/>
          <w:lang w:val="en-US" w:eastAsia="zh-CN"/>
        </w:rPr>
        <w:t>资料规定提供的时间内提交或拒绝提交矢量数据文件，发包人将委托有资质的测绘公司进行测量绘制，费用由承包人承担</w:t>
      </w:r>
      <w:r>
        <w:rPr>
          <w:rFonts w:hint="eastAsia" w:ascii="宋体" w:hAnsi="宋体" w:eastAsia="宋体" w:cs="宋体"/>
          <w:color w:val="auto"/>
          <w:sz w:val="21"/>
          <w:szCs w:val="21"/>
          <w:highlight w:val="none"/>
          <w:u w:val="none"/>
          <w:lang w:val="en-US" w:eastAsia="zh-CN"/>
        </w:rPr>
        <w:t>；</w:t>
      </w:r>
    </w:p>
    <w:p w14:paraId="2E23F092">
      <w:pPr>
        <w:keepNext w:val="0"/>
        <w:keepLines w:val="0"/>
        <w:pageBreakBefore w:val="0"/>
        <w:kinsoku/>
        <w:wordWrap/>
        <w:overflowPunct/>
        <w:topLinePunct/>
        <w:autoSpaceDE/>
        <w:autoSpaceDN/>
        <w:bidi w:val="0"/>
        <w:spacing w:line="360" w:lineRule="auto"/>
        <w:ind w:firstLine="600"/>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21.1.7 关于变更估价原则的约定：</w:t>
      </w:r>
      <w:r>
        <w:rPr>
          <w:rFonts w:hint="eastAsia" w:ascii="宋体" w:hAnsi="宋体" w:eastAsia="宋体" w:cs="宋体"/>
          <w:color w:val="auto"/>
          <w:sz w:val="21"/>
          <w:szCs w:val="21"/>
          <w:highlight w:val="none"/>
          <w:u w:val="single"/>
          <w:lang w:val="en-US" w:eastAsia="zh-CN"/>
        </w:rPr>
        <w:t>(1)项目实施过程中，如发生工程内容调整或不可抗力或其它因素，均通过参建各方确认的变更、签证、洽商等方式，结算时依据招标文件及合同约定据实结算</w:t>
      </w:r>
      <w:r>
        <w:rPr>
          <w:rFonts w:hint="eastAsia" w:ascii="宋体" w:hAnsi="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lang w:val="en-US" w:eastAsia="zh-CN"/>
        </w:rPr>
        <w:t>变更、签证单在变更项目完成15日内提交给发包人，按发包人要求的类别、名称、报告期、时间和份数提供交发包人留存。变更、签证单作为施工月报的组成部分，月报工程量作为调价材料用量基数，未按规定的时间提交月报，材料价格不予调整</w:t>
      </w:r>
      <w:r>
        <w:rPr>
          <w:rFonts w:hint="eastAsia" w:ascii="宋体" w:hAnsi="宋体" w:eastAsia="宋体" w:cs="宋体"/>
          <w:color w:val="auto"/>
          <w:sz w:val="21"/>
          <w:szCs w:val="21"/>
          <w:highlight w:val="none"/>
          <w:u w:val="none"/>
          <w:lang w:val="en-US" w:eastAsia="zh-CN"/>
        </w:rPr>
        <w:t>；</w:t>
      </w:r>
    </w:p>
    <w:p w14:paraId="5431FDC0">
      <w:pPr>
        <w:keepNext w:val="0"/>
        <w:keepLines w:val="0"/>
        <w:pageBreakBefore w:val="0"/>
        <w:kinsoku/>
        <w:wordWrap/>
        <w:overflowPunct/>
        <w:topLinePunct/>
        <w:autoSpaceDE/>
        <w:autoSpaceDN/>
        <w:bidi w:val="0"/>
        <w:spacing w:line="360" w:lineRule="auto"/>
        <w:ind w:firstLine="600"/>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(2)变更估价：①财评审定的工程量清单中有适用于变更工程项目的，采用该项目的单价；②财评审定的工程量清单中没有适用、但有类似于变更工程项目的，可采用询价或在合理范围内参照类似项目的单价;③财评审定的工程量清单中没有适用也没有类似于变更工程项目的，由承包人根据变更工程资料、计量规则及计价办法提出变更工程项目的单价，发包人或第三方造价咨询公司审核确认且符合补充条款21.1.1条价格水平相一致</w:t>
      </w:r>
      <w:r>
        <w:rPr>
          <w:rFonts w:hint="eastAsia" w:ascii="宋体" w:hAnsi="宋体" w:eastAsia="宋体" w:cs="宋体"/>
          <w:color w:val="auto"/>
          <w:sz w:val="21"/>
          <w:szCs w:val="21"/>
          <w:highlight w:val="none"/>
          <w:u w:val="none"/>
          <w:lang w:val="en-US" w:eastAsia="zh-CN"/>
        </w:rPr>
        <w:t xml:space="preserve">； </w:t>
      </w:r>
    </w:p>
    <w:p w14:paraId="702A7B14">
      <w:pPr>
        <w:keepNext w:val="0"/>
        <w:keepLines w:val="0"/>
        <w:pageBreakBefore w:val="0"/>
        <w:kinsoku/>
        <w:wordWrap/>
        <w:overflowPunct/>
        <w:topLinePunct/>
        <w:autoSpaceDE/>
        <w:autoSpaceDN/>
        <w:bidi w:val="0"/>
        <w:spacing w:line="360" w:lineRule="auto"/>
        <w:ind w:firstLine="600"/>
        <w:textAlignment w:val="auto"/>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highlight w:val="none"/>
          <w:u w:val="none"/>
          <w:lang w:val="en-US" w:eastAsia="zh-CN"/>
        </w:rPr>
        <w:t>21.1.8 市场价格波动引起的调整：</w:t>
      </w:r>
      <w:r>
        <w:rPr>
          <w:rFonts w:hint="eastAsia" w:ascii="宋体" w:hAnsi="宋体" w:eastAsia="宋体" w:cs="宋体"/>
          <w:color w:val="auto"/>
          <w:sz w:val="21"/>
          <w:szCs w:val="21"/>
          <w:highlight w:val="none"/>
          <w:u w:val="single"/>
          <w:lang w:val="en-US" w:eastAsia="zh-CN"/>
        </w:rPr>
        <w:t>（1）施工合同履行期间，国家出台的法律、法规、规章和有关政策在合同工程基准日之后</w:t>
      </w:r>
      <w:r>
        <w:rPr>
          <w:rFonts w:hint="eastAsia" w:ascii="宋体" w:hAnsi="宋体" w:eastAsia="宋体" w:cs="宋体"/>
          <w:color w:val="auto"/>
          <w:sz w:val="21"/>
          <w:szCs w:val="21"/>
          <w:u w:val="single"/>
          <w:lang w:val="en-US" w:eastAsia="zh-CN"/>
        </w:rPr>
        <w:t>发生变化，且因执行相应的法律、法规、规章和政策引起工程造价发生增减变化的，合同双方当事人应当依据法律、法规、规章和有关政策的规定调整合同价款。但有关价格的变化已经包含在物价波动事件的调价公式中，则不再予以考虑；（2）</w:t>
      </w:r>
      <w:r>
        <w:rPr>
          <w:rFonts w:hint="eastAsia" w:ascii="宋体" w:hAnsi="宋体" w:eastAsia="宋体" w:cs="宋体"/>
          <w:color w:val="auto"/>
          <w:sz w:val="21"/>
          <w:szCs w:val="21"/>
          <w:highlight w:val="none"/>
          <w:u w:val="single"/>
          <w:lang w:val="en-US" w:eastAsia="zh-CN"/>
        </w:rPr>
        <w:t>施工合同履行期间，仅在管材、钢筋、商品混凝土等主要材料市场价格发生变化时才对主要材料进行价格调整，其中主要材料以专用条款21.1.2约定的基期价格为基数，</w:t>
      </w:r>
      <w:r>
        <w:rPr>
          <w:rFonts w:hint="eastAsia" w:ascii="宋体" w:hAnsi="宋体" w:eastAsia="宋体" w:cs="宋体"/>
          <w:color w:val="auto"/>
          <w:sz w:val="21"/>
          <w:szCs w:val="21"/>
          <w:u w:val="single"/>
          <w:lang w:val="en-US" w:eastAsia="zh-CN"/>
        </w:rPr>
        <w:t>参照专用条款21.1.3目标价格进行调整，涨跌±5%以内的由承包人承担，超过±5%以上的部分由发包人承担；</w:t>
      </w:r>
      <w:r>
        <w:rPr>
          <w:rFonts w:hint="eastAsia" w:ascii="宋体" w:hAnsi="宋体" w:eastAsia="宋体" w:cs="宋体"/>
          <w:color w:val="auto"/>
          <w:sz w:val="21"/>
          <w:szCs w:val="21"/>
          <w:highlight w:val="none"/>
          <w:u w:val="single"/>
          <w:lang w:val="en-US" w:eastAsia="zh-CN"/>
        </w:rPr>
        <w:t>（3）《黄冈工程造价信息（英山）》中没有的材料，则通过市场调查等方式取得有合法依据的市场价格，作为结算的依据；无合适定额可适用的，根据市场询价协商确定综合价格，此部分价格不参与总价下浮；（4）施工合同履行期间，如发现施工图存在缺陷，需要进一步深化，发包人有权要求设计方进行优化，提供相应施工方案按程序审批，并按经批准的施工方案进行施工，由此发生的费用由设计方承担；（5）施工过程中，由于发包人优化品牌、提高标准等原因，导致设备单价超出清单报价或招标期间发包人询价的，由发包人、承包人、审计、监理共同询价确定设备价格，调整设备价差，此部分价格不参与总价下浮</w:t>
      </w:r>
      <w:r>
        <w:rPr>
          <w:rFonts w:hint="eastAsia" w:ascii="宋体" w:hAnsi="宋体" w:eastAsia="宋体" w:cs="宋体"/>
          <w:color w:val="auto"/>
          <w:sz w:val="21"/>
          <w:szCs w:val="21"/>
          <w:highlight w:val="none"/>
          <w:u w:val="none"/>
          <w:lang w:val="en-US" w:eastAsia="zh-CN"/>
        </w:rPr>
        <w:t>。</w:t>
      </w:r>
    </w:p>
    <w:p w14:paraId="78353C1C">
      <w:pPr>
        <w:keepNext w:val="0"/>
        <w:keepLines w:val="0"/>
        <w:pageBreakBefore w:val="0"/>
        <w:kinsoku/>
        <w:wordWrap/>
        <w:overflowPunct/>
        <w:topLinePunct/>
        <w:autoSpaceDE/>
        <w:autoSpaceDN/>
        <w:bidi w:val="0"/>
        <w:spacing w:line="360" w:lineRule="auto"/>
        <w:ind w:firstLine="6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21.1.</w:t>
      </w:r>
      <w:r>
        <w:rPr>
          <w:rFonts w:hint="eastAsia" w:ascii="宋体" w:hAnsi="宋体" w:eastAsia="宋体" w:cs="宋体"/>
          <w:color w:val="auto"/>
          <w:sz w:val="21"/>
          <w:szCs w:val="21"/>
          <w:lang w:val="en-US" w:eastAsia="zh-CN"/>
        </w:rPr>
        <w:t xml:space="preserve">9 </w:t>
      </w:r>
      <w:r>
        <w:rPr>
          <w:rFonts w:hint="eastAsia" w:ascii="宋体" w:hAnsi="宋体" w:eastAsia="宋体" w:cs="宋体"/>
          <w:color w:val="auto"/>
          <w:sz w:val="21"/>
          <w:szCs w:val="21"/>
        </w:rPr>
        <w:t>关于合同价格调整的约定：</w:t>
      </w:r>
    </w:p>
    <w:p w14:paraId="749F92A8">
      <w:pPr>
        <w:keepNext w:val="0"/>
        <w:keepLines w:val="0"/>
        <w:pageBreakBefore w:val="0"/>
        <w:kinsoku/>
        <w:wordWrap/>
        <w:overflowPunct/>
        <w:topLinePunct/>
        <w:autoSpaceDE/>
        <w:autoSpaceDN/>
        <w:bidi w:val="0"/>
        <w:spacing w:line="360" w:lineRule="auto"/>
        <w:ind w:firstLine="600"/>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u w:val="none"/>
        </w:rPr>
        <w:t>除以下因素外总价合同价格不作调整：</w:t>
      </w:r>
    </w:p>
    <w:p w14:paraId="511CDA8E">
      <w:pPr>
        <w:keepNext w:val="0"/>
        <w:keepLines w:val="0"/>
        <w:pageBreakBefore w:val="0"/>
        <w:kinsoku/>
        <w:wordWrap/>
        <w:overflowPunct/>
        <w:topLinePunct/>
        <w:autoSpaceDE/>
        <w:autoSpaceDN/>
        <w:bidi w:val="0"/>
        <w:spacing w:line="360" w:lineRule="auto"/>
        <w:ind w:firstLine="600"/>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（1）不可抗力因素</w:t>
      </w:r>
      <w:r>
        <w:rPr>
          <w:rFonts w:hint="eastAsia" w:ascii="宋体" w:hAnsi="宋体" w:eastAsia="宋体" w:cs="宋体"/>
          <w:color w:val="auto"/>
          <w:sz w:val="21"/>
          <w:szCs w:val="21"/>
          <w:u w:val="none"/>
        </w:rPr>
        <w:t>；</w:t>
      </w:r>
    </w:p>
    <w:p w14:paraId="57F80249">
      <w:pPr>
        <w:keepNext w:val="0"/>
        <w:keepLines w:val="0"/>
        <w:pageBreakBefore w:val="0"/>
        <w:kinsoku/>
        <w:wordWrap/>
        <w:overflowPunct/>
        <w:topLinePunct/>
        <w:autoSpaceDE/>
        <w:autoSpaceDN/>
        <w:bidi w:val="0"/>
        <w:spacing w:line="360" w:lineRule="auto"/>
        <w:ind w:firstLine="600"/>
        <w:textAlignment w:val="auto"/>
        <w:rPr>
          <w:rFonts w:hint="eastAsia" w:ascii="宋体" w:hAnsi="宋体" w:eastAsia="宋体" w:cs="宋体"/>
          <w:color w:val="auto"/>
          <w:sz w:val="21"/>
          <w:szCs w:val="21"/>
          <w:u w:val="none"/>
        </w:rPr>
      </w:pPr>
      <w:r>
        <w:rPr>
          <w:rFonts w:hint="eastAsia" w:ascii="宋体" w:hAnsi="宋体" w:eastAsia="宋体" w:cs="宋体"/>
          <w:color w:val="auto"/>
          <w:sz w:val="21"/>
          <w:szCs w:val="21"/>
          <w:u w:val="single"/>
        </w:rPr>
        <w:t>（2）发包人提出的变更</w:t>
      </w:r>
      <w:r>
        <w:rPr>
          <w:rFonts w:hint="eastAsia" w:ascii="宋体" w:hAnsi="宋体" w:eastAsia="宋体" w:cs="宋体"/>
          <w:color w:val="auto"/>
          <w:sz w:val="21"/>
          <w:szCs w:val="21"/>
          <w:u w:val="none"/>
        </w:rPr>
        <w:t>；</w:t>
      </w:r>
    </w:p>
    <w:p w14:paraId="0831413D">
      <w:pPr>
        <w:keepNext w:val="0"/>
        <w:keepLines w:val="0"/>
        <w:pageBreakBefore w:val="0"/>
        <w:kinsoku/>
        <w:wordWrap/>
        <w:overflowPunct/>
        <w:topLinePunct/>
        <w:autoSpaceDE/>
        <w:autoSpaceDN/>
        <w:bidi w:val="0"/>
        <w:spacing w:line="360" w:lineRule="auto"/>
        <w:ind w:firstLine="600"/>
        <w:textAlignment w:val="auto"/>
        <w:rPr>
          <w:rFonts w:hint="eastAsia" w:ascii="宋体" w:hAnsi="宋体" w:eastAsia="宋体" w:cs="宋体"/>
          <w:color w:val="auto"/>
          <w:sz w:val="21"/>
          <w:szCs w:val="21"/>
          <w:u w:val="none"/>
        </w:rPr>
      </w:pPr>
      <w:r>
        <w:rPr>
          <w:rFonts w:hint="eastAsia" w:ascii="宋体" w:hAnsi="宋体" w:eastAsia="宋体" w:cs="宋体"/>
          <w:color w:val="auto"/>
          <w:sz w:val="21"/>
          <w:szCs w:val="21"/>
          <w:u w:val="single"/>
        </w:rPr>
        <w:t>（3）“13.8市场价格波动引起的调整”约定的市场价格波动调整</w:t>
      </w:r>
      <w:r>
        <w:rPr>
          <w:rFonts w:hint="eastAsia" w:ascii="宋体" w:hAnsi="宋体" w:eastAsia="宋体" w:cs="宋体"/>
          <w:color w:val="auto"/>
          <w:sz w:val="21"/>
          <w:szCs w:val="21"/>
          <w:u w:val="none"/>
        </w:rPr>
        <w:t>；</w:t>
      </w:r>
    </w:p>
    <w:p w14:paraId="03F5FF66">
      <w:pPr>
        <w:keepNext w:val="0"/>
        <w:keepLines w:val="0"/>
        <w:pageBreakBefore w:val="0"/>
        <w:kinsoku/>
        <w:wordWrap/>
        <w:overflowPunct/>
        <w:topLinePunct/>
        <w:autoSpaceDE/>
        <w:autoSpaceDN/>
        <w:bidi w:val="0"/>
        <w:spacing w:line="360" w:lineRule="auto"/>
        <w:ind w:firstLine="600"/>
        <w:textAlignment w:val="auto"/>
        <w:rPr>
          <w:rFonts w:hint="eastAsia" w:ascii="宋体" w:hAnsi="宋体" w:eastAsia="宋体" w:cs="宋体"/>
          <w:color w:val="auto"/>
          <w:sz w:val="21"/>
          <w:szCs w:val="21"/>
          <w:u w:val="none"/>
        </w:rPr>
      </w:pPr>
      <w:r>
        <w:rPr>
          <w:rFonts w:hint="eastAsia" w:ascii="宋体" w:hAnsi="宋体" w:eastAsia="宋体" w:cs="宋体"/>
          <w:color w:val="auto"/>
          <w:sz w:val="21"/>
          <w:szCs w:val="21"/>
          <w:u w:val="single"/>
        </w:rPr>
        <w:t>（4）根据图审合格后的施工图由承包人编制施工图预算，经发包人审核确认，</w:t>
      </w:r>
      <w:r>
        <w:rPr>
          <w:rFonts w:hint="eastAsia" w:ascii="宋体" w:hAnsi="宋体" w:eastAsia="宋体" w:cs="宋体"/>
          <w:color w:val="auto"/>
          <w:sz w:val="21"/>
          <w:szCs w:val="21"/>
          <w:u w:val="single"/>
          <w:lang w:val="en-US" w:eastAsia="zh-CN"/>
        </w:rPr>
        <w:t>报送财政评审中心财评，审定后的财评清单单价</w:t>
      </w:r>
      <w:r>
        <w:rPr>
          <w:rFonts w:hint="eastAsia" w:ascii="宋体" w:hAnsi="宋体" w:eastAsia="宋体" w:cs="宋体"/>
          <w:color w:val="auto"/>
          <w:sz w:val="21"/>
          <w:szCs w:val="21"/>
          <w:u w:val="single"/>
        </w:rPr>
        <w:t>作为项目结算的依据</w:t>
      </w:r>
      <w:r>
        <w:rPr>
          <w:rFonts w:hint="eastAsia" w:ascii="宋体" w:hAnsi="宋体" w:eastAsia="宋体" w:cs="宋体"/>
          <w:color w:val="auto"/>
          <w:sz w:val="21"/>
          <w:szCs w:val="21"/>
          <w:u w:val="none"/>
        </w:rPr>
        <w:t>；</w:t>
      </w:r>
    </w:p>
    <w:p w14:paraId="4613C041">
      <w:pPr>
        <w:keepNext w:val="0"/>
        <w:keepLines w:val="0"/>
        <w:pageBreakBefore w:val="0"/>
        <w:kinsoku/>
        <w:wordWrap/>
        <w:overflowPunct/>
        <w:topLinePunct/>
        <w:autoSpaceDE/>
        <w:autoSpaceDN/>
        <w:bidi w:val="0"/>
        <w:spacing w:line="360" w:lineRule="auto"/>
        <w:ind w:firstLine="600"/>
        <w:textAlignment w:val="auto"/>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施工图预算计量计价原则：</w:t>
      </w:r>
    </w:p>
    <w:p w14:paraId="057A3B27">
      <w:pPr>
        <w:keepNext w:val="0"/>
        <w:keepLines w:val="0"/>
        <w:pageBreakBefore w:val="0"/>
        <w:kinsoku/>
        <w:wordWrap/>
        <w:overflowPunct/>
        <w:topLinePunct/>
        <w:autoSpaceDE/>
        <w:autoSpaceDN/>
        <w:bidi w:val="0"/>
        <w:spacing w:line="360" w:lineRule="auto"/>
        <w:ind w:firstLine="600"/>
        <w:jc w:val="both"/>
        <w:textAlignment w:val="auto"/>
        <w:rPr>
          <w:rFonts w:hint="eastAsia" w:ascii="宋体" w:hAnsi="宋体" w:eastAsia="宋体" w:cs="宋体"/>
          <w:color w:val="auto"/>
          <w:sz w:val="21"/>
          <w:szCs w:val="21"/>
          <w:u w:val="none"/>
          <w:lang w:eastAsia="zh-CN"/>
        </w:rPr>
      </w:pPr>
      <w:r>
        <w:rPr>
          <w:rFonts w:hint="eastAsia" w:ascii="宋体" w:hAnsi="宋体" w:eastAsia="宋体" w:cs="宋体"/>
          <w:color w:val="auto"/>
          <w:sz w:val="21"/>
          <w:szCs w:val="21"/>
          <w:u w:val="single"/>
        </w:rPr>
        <w:t>计量原则：依据施工图纸以及与建设工程有关的标准、规范、技术资料、经理监理人和发包人批准的《施工组织设计》（含专项施工方案）、按建设工程工程量清单计价规范（GB 50500-2013）、房屋建筑与装饰工程工程量计算规范（GB 50854-2013）、通用安装工程工程量计算规范（GB</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rPr>
        <w:t>50586-2013）、市政工程工程量计算规范（GB</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rPr>
        <w:t>50857-2013）、园林绿化工程工程量计算规（GB</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rPr>
        <w:t>50858-2013）等计算施工图预算工程量</w:t>
      </w:r>
      <w:r>
        <w:rPr>
          <w:rFonts w:hint="eastAsia" w:ascii="宋体" w:hAnsi="宋体" w:eastAsia="宋体" w:cs="宋体"/>
          <w:color w:val="auto"/>
          <w:sz w:val="21"/>
          <w:szCs w:val="21"/>
          <w:u w:val="none"/>
          <w:lang w:val="en-US" w:eastAsia="zh-CN"/>
        </w:rPr>
        <w:t>；</w:t>
      </w:r>
    </w:p>
    <w:p w14:paraId="1BE649BE">
      <w:pPr>
        <w:keepNext w:val="0"/>
        <w:keepLines w:val="0"/>
        <w:pageBreakBefore w:val="0"/>
        <w:kinsoku/>
        <w:wordWrap/>
        <w:overflowPunct/>
        <w:topLinePunct/>
        <w:autoSpaceDE/>
        <w:autoSpaceDN/>
        <w:bidi w:val="0"/>
        <w:spacing w:line="360" w:lineRule="auto"/>
        <w:ind w:firstLine="600"/>
        <w:textAlignment w:val="auto"/>
        <w:rPr>
          <w:rFonts w:hint="eastAsia" w:ascii="宋体" w:hAnsi="宋体" w:eastAsia="宋体" w:cs="宋体"/>
          <w:color w:val="auto"/>
          <w:sz w:val="21"/>
          <w:szCs w:val="21"/>
          <w:u w:val="none"/>
        </w:rPr>
      </w:pPr>
      <w:r>
        <w:rPr>
          <w:rFonts w:hint="eastAsia" w:ascii="宋体" w:hAnsi="宋体" w:eastAsia="宋体" w:cs="宋体"/>
          <w:color w:val="auto"/>
          <w:sz w:val="21"/>
          <w:szCs w:val="21"/>
          <w:u w:val="single"/>
        </w:rPr>
        <w:t>计价原则</w:t>
      </w:r>
      <w:r>
        <w:rPr>
          <w:rFonts w:hint="eastAsia" w:ascii="宋体" w:hAnsi="宋体" w:cs="宋体"/>
          <w:color w:val="auto"/>
          <w:sz w:val="21"/>
          <w:szCs w:val="21"/>
          <w:u w:val="single"/>
          <w:lang w:eastAsia="zh-CN"/>
        </w:rPr>
        <w:t>：</w:t>
      </w:r>
      <w:r>
        <w:rPr>
          <w:rFonts w:hint="eastAsia" w:ascii="宋体" w:hAnsi="宋体" w:eastAsia="宋体" w:cs="宋体"/>
          <w:color w:val="auto"/>
          <w:sz w:val="21"/>
          <w:szCs w:val="21"/>
          <w:u w:val="single"/>
        </w:rPr>
        <w:t>项目计价依据国家或省级、行业建设主管部门颁发的计价依据和办法、2024版《湖北省房屋建筑与装饰工程消耗量定额及全费用基价表》、《湖北省通用安装工程消耗量定额及全费用基价表》、《湖北省建设工程公共专业消耗量定额及全费用基价表》、《湖北省园林绿化工程消耗量定额及全费用基价表》、《湖北省市政工程消耗量定额及全费用基价表》、2024版《湖北省建筑安装工程费用定额》、2019版《湖北省房屋修缮工程预算定额统一基价表》、厅头〔2021〕2263号文、鄂建办〔2019〕93号《关于调整湖北省建设工程计价依据的通知》等、安全文明施工费、扬尘污染防治增加费按省、市有关规定计算，政策性调整按最新文件执行调整，且符合补充条款21.1.1条价格水平相一致</w:t>
      </w:r>
      <w:r>
        <w:rPr>
          <w:rFonts w:hint="eastAsia" w:ascii="宋体" w:hAnsi="宋体" w:eastAsia="宋体" w:cs="宋体"/>
          <w:color w:val="auto"/>
          <w:sz w:val="21"/>
          <w:szCs w:val="21"/>
          <w:u w:val="none"/>
        </w:rPr>
        <w:t>。</w:t>
      </w:r>
    </w:p>
    <w:p w14:paraId="5790C1DB">
      <w:pPr>
        <w:keepNext w:val="0"/>
        <w:keepLines w:val="0"/>
        <w:pageBreakBefore w:val="0"/>
        <w:kinsoku/>
        <w:wordWrap/>
        <w:overflowPunct/>
        <w:topLinePunct/>
        <w:autoSpaceDE/>
        <w:autoSpaceDN/>
        <w:bidi w:val="0"/>
        <w:spacing w:line="360" w:lineRule="auto"/>
        <w:ind w:firstLine="600"/>
        <w:textAlignment w:val="auto"/>
        <w:rPr>
          <w:rFonts w:hint="eastAsia" w:ascii="宋体" w:hAnsi="宋体" w:eastAsia="宋体" w:cs="宋体"/>
          <w:color w:val="auto"/>
          <w:sz w:val="21"/>
          <w:szCs w:val="21"/>
          <w:u w:val="none"/>
        </w:rPr>
      </w:pPr>
      <w:r>
        <w:rPr>
          <w:rFonts w:hint="eastAsia" w:ascii="宋体" w:hAnsi="宋体" w:eastAsia="宋体" w:cs="宋体"/>
          <w:color w:val="auto"/>
          <w:sz w:val="21"/>
          <w:szCs w:val="21"/>
          <w:u w:val="single"/>
        </w:rPr>
        <w:t>按实际完成的工程量支付工程价款的计量方法、定价方法：工程变更项目，必须按程序审批</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rPr>
        <w:t>否则增量部分不予计量。施工过程中因工程设计变更或其他原因造成项目增减，因此而产生的工程量应按程序要求签证到位。清单之外的项目价格需经第三方造价咨询公司确认</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rPr>
        <w:t>且符合补充条款 21.1.1 条价格水平相一致</w:t>
      </w:r>
      <w:r>
        <w:rPr>
          <w:rFonts w:hint="eastAsia" w:ascii="宋体" w:hAnsi="宋体" w:eastAsia="宋体" w:cs="宋体"/>
          <w:color w:val="auto"/>
          <w:sz w:val="21"/>
          <w:szCs w:val="21"/>
          <w:u w:val="none"/>
        </w:rPr>
        <w:t>。</w:t>
      </w:r>
    </w:p>
    <w:p w14:paraId="12DE3501">
      <w:pPr>
        <w:keepNext w:val="0"/>
        <w:keepLines w:val="0"/>
        <w:pageBreakBefore w:val="0"/>
        <w:kinsoku/>
        <w:wordWrap/>
        <w:overflowPunct/>
        <w:topLinePunct/>
        <w:autoSpaceDE/>
        <w:autoSpaceDN/>
        <w:bidi w:val="0"/>
        <w:spacing w:line="360" w:lineRule="auto"/>
        <w:ind w:firstLine="600"/>
        <w:textAlignment w:val="auto"/>
        <w:rPr>
          <w:rFonts w:hint="eastAsia" w:ascii="宋体" w:hAnsi="宋体" w:eastAsia="宋体" w:cs="宋体"/>
          <w:color w:val="auto"/>
          <w:sz w:val="21"/>
          <w:szCs w:val="21"/>
          <w:u w:val="none"/>
          <w:lang w:val="en-US" w:eastAsia="zh-CN"/>
        </w:rPr>
      </w:pPr>
      <w:r>
        <w:rPr>
          <w:rFonts w:hint="eastAsia" w:ascii="宋体" w:hAnsi="宋体" w:eastAsia="宋体" w:cs="宋体"/>
          <w:color w:val="auto"/>
          <w:sz w:val="21"/>
          <w:szCs w:val="21"/>
          <w:u w:val="none"/>
          <w:lang w:val="en-US" w:eastAsia="zh-CN"/>
        </w:rPr>
        <w:t>21.1.10 合同当事人对合同价格的其他约定：</w:t>
      </w:r>
      <w:r>
        <w:rPr>
          <w:rFonts w:hint="eastAsia" w:ascii="宋体" w:hAnsi="宋体" w:eastAsia="宋体" w:cs="宋体"/>
          <w:color w:val="auto"/>
          <w:sz w:val="21"/>
          <w:szCs w:val="21"/>
          <w:u w:val="single"/>
          <w:lang w:val="en-US" w:eastAsia="zh-CN"/>
        </w:rPr>
        <w:t>（1）审定的工程量清单综合</w:t>
      </w:r>
      <w:r>
        <w:rPr>
          <w:rFonts w:hint="eastAsia" w:ascii="宋体" w:hAnsi="宋体" w:eastAsia="宋体" w:cs="宋体"/>
          <w:color w:val="auto"/>
          <w:sz w:val="21"/>
          <w:szCs w:val="21"/>
          <w:highlight w:val="none"/>
          <w:u w:val="single"/>
          <w:lang w:val="en-US" w:eastAsia="zh-CN"/>
        </w:rPr>
        <w:t>单价所包含的设备购置及建筑安装工程费视为承包人为完成财评审定的</w:t>
      </w:r>
      <w:r>
        <w:rPr>
          <w:rFonts w:hint="eastAsia" w:ascii="宋体" w:hAnsi="宋体" w:eastAsia="宋体" w:cs="宋体"/>
          <w:strike w:val="0"/>
          <w:dstrike w:val="0"/>
          <w:color w:val="auto"/>
          <w:sz w:val="21"/>
          <w:szCs w:val="21"/>
          <w:highlight w:val="none"/>
          <w:u w:val="single"/>
          <w:lang w:val="en-US" w:eastAsia="zh-CN"/>
        </w:rPr>
        <w:t>工程量清单</w:t>
      </w:r>
      <w:r>
        <w:rPr>
          <w:rFonts w:hint="eastAsia" w:ascii="宋体" w:hAnsi="宋体" w:eastAsia="宋体" w:cs="宋体"/>
          <w:color w:val="auto"/>
          <w:sz w:val="21"/>
          <w:szCs w:val="21"/>
          <w:highlight w:val="none"/>
          <w:u w:val="single"/>
          <w:lang w:val="en-US" w:eastAsia="zh-CN"/>
        </w:rPr>
        <w:t>中该项工作全部内容的价格；（2）综合单价包含的风险范围和风险费用的计算方法，以及风险范围以外的合同价格的调整方法等详见专用合同条件及相关附件；（3）承包人按照投标文件提供的设计方案，根据项目实际需要及发包人的要求进行限额优化设计，确保招</w:t>
      </w:r>
      <w:r>
        <w:rPr>
          <w:rFonts w:hint="eastAsia" w:ascii="宋体" w:hAnsi="宋体" w:eastAsia="宋体" w:cs="宋体"/>
          <w:color w:val="auto"/>
          <w:sz w:val="21"/>
          <w:szCs w:val="21"/>
          <w:u w:val="single"/>
          <w:lang w:val="en-US" w:eastAsia="zh-CN"/>
        </w:rPr>
        <w:t>标范围内的工程投资不突破合同价</w:t>
      </w:r>
      <w:r>
        <w:rPr>
          <w:rFonts w:hint="eastAsia" w:ascii="宋体" w:hAnsi="宋体" w:eastAsia="宋体" w:cs="宋体"/>
          <w:color w:val="auto"/>
          <w:sz w:val="21"/>
          <w:szCs w:val="21"/>
          <w:u w:val="none"/>
          <w:lang w:val="en-US" w:eastAsia="zh-CN"/>
        </w:rPr>
        <w:t>。</w:t>
      </w:r>
    </w:p>
    <w:p w14:paraId="6872EFEB">
      <w:pPr>
        <w:keepNext w:val="0"/>
        <w:keepLines w:val="0"/>
        <w:pageBreakBefore w:val="0"/>
        <w:kinsoku/>
        <w:wordWrap/>
        <w:overflowPunct/>
        <w:topLinePunct/>
        <w:autoSpaceDE/>
        <w:autoSpaceDN/>
        <w:bidi w:val="0"/>
        <w:spacing w:line="360" w:lineRule="auto"/>
        <w:ind w:firstLine="600"/>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u w:val="none"/>
          <w:lang w:val="en-US" w:eastAsia="zh-CN"/>
        </w:rPr>
        <w:t>21.1.11进度付款的审核方式和支付的</w:t>
      </w:r>
      <w:r>
        <w:rPr>
          <w:rFonts w:hint="eastAsia" w:ascii="宋体" w:hAnsi="宋体" w:eastAsia="宋体" w:cs="宋体"/>
          <w:color w:val="auto"/>
          <w:sz w:val="21"/>
          <w:szCs w:val="21"/>
          <w:highlight w:val="none"/>
          <w:u w:val="none"/>
          <w:lang w:val="en-US" w:eastAsia="zh-CN"/>
        </w:rPr>
        <w:t>约定：</w:t>
      </w:r>
      <w:r>
        <w:rPr>
          <w:rFonts w:hint="eastAsia" w:ascii="宋体" w:hAnsi="宋体" w:eastAsia="宋体" w:cs="宋体"/>
          <w:color w:val="auto"/>
          <w:sz w:val="21"/>
          <w:szCs w:val="21"/>
          <w:u w:val="single"/>
          <w:lang w:val="en-US" w:eastAsia="zh-CN"/>
        </w:rPr>
        <w:t>原则上：预</w:t>
      </w:r>
      <w:r>
        <w:rPr>
          <w:rFonts w:hint="eastAsia" w:ascii="宋体" w:hAnsi="宋体" w:eastAsia="宋体" w:cs="宋体"/>
          <w:color w:val="auto"/>
          <w:sz w:val="21"/>
          <w:szCs w:val="21"/>
          <w:highlight w:val="none"/>
          <w:u w:val="single"/>
          <w:lang w:val="en-US" w:eastAsia="zh-CN"/>
        </w:rPr>
        <w:t>付款比例为合同额的30%，工程竣工验收，支付至工程完成总产值的80%；跟踪审计出具审核报告，支付至跟审报告金额的85%（无审计局终审的项目，支付至跟审报告金额的98.5%）；审计局终审后，支付至终审金额的 98.5%（剩余1.5%作为质量保证金）；其中，设计费付款方式为：合同签订后，根据项目情况协商支付预付款；提交施工图后，支付至施工图设计费用80%；工程竣工验收后，结清施工图设计费</w:t>
      </w:r>
      <w:r>
        <w:rPr>
          <w:rFonts w:hint="eastAsia" w:ascii="宋体" w:hAnsi="宋体" w:eastAsia="宋体" w:cs="宋体"/>
          <w:color w:val="auto"/>
          <w:sz w:val="21"/>
          <w:szCs w:val="21"/>
          <w:highlight w:val="none"/>
          <w:u w:val="none"/>
          <w:lang w:val="en-US" w:eastAsia="zh-CN"/>
        </w:rPr>
        <w:t>。</w:t>
      </w:r>
    </w:p>
    <w:p w14:paraId="233612C7">
      <w:pPr>
        <w:keepNext w:val="0"/>
        <w:keepLines w:val="0"/>
        <w:pageBreakBefore w:val="0"/>
        <w:kinsoku/>
        <w:wordWrap/>
        <w:overflowPunct/>
        <w:topLinePunct/>
        <w:autoSpaceDE/>
        <w:autoSpaceDN/>
        <w:bidi w:val="0"/>
        <w:spacing w:line="360" w:lineRule="auto"/>
        <w:ind w:firstLine="600"/>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21.1.12承包人提交竣工工程资料申请的时间：</w:t>
      </w:r>
      <w:r>
        <w:rPr>
          <w:rFonts w:hint="eastAsia" w:ascii="宋体" w:hAnsi="宋体" w:eastAsia="宋体" w:cs="宋体"/>
          <w:color w:val="auto"/>
          <w:sz w:val="21"/>
          <w:szCs w:val="21"/>
          <w:highlight w:val="none"/>
          <w:u w:val="single"/>
          <w:lang w:val="en-US" w:eastAsia="zh-CN"/>
        </w:rPr>
        <w:t>承包人应在工程办理竣工验收后2个月内，向发包人递交完整工程资料(包括施工合同补充协议、施工图纸、招标投标文件、工程变更、现场签证、工程索赔等相关资料)。若未在规定的时间内提交，发包人对承包人按逾期一天1000元进行罚款，处罚累计不超过合同金额的3%</w:t>
      </w:r>
      <w:r>
        <w:rPr>
          <w:rFonts w:hint="eastAsia" w:ascii="宋体" w:hAnsi="宋体" w:eastAsia="宋体" w:cs="宋体"/>
          <w:color w:val="auto"/>
          <w:sz w:val="21"/>
          <w:szCs w:val="21"/>
          <w:highlight w:val="none"/>
          <w:u w:val="none"/>
          <w:lang w:val="en-US" w:eastAsia="zh-CN"/>
        </w:rPr>
        <w:t>。</w:t>
      </w:r>
    </w:p>
    <w:p w14:paraId="2818EB35">
      <w:pPr>
        <w:keepNext w:val="0"/>
        <w:keepLines w:val="0"/>
        <w:pageBreakBefore w:val="0"/>
        <w:kinsoku/>
        <w:wordWrap/>
        <w:overflowPunct/>
        <w:topLinePunct/>
        <w:autoSpaceDE/>
        <w:autoSpaceDN/>
        <w:bidi w:val="0"/>
        <w:spacing w:line="360" w:lineRule="auto"/>
        <w:ind w:firstLine="600"/>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21.1.13承包人提交竣工经济资料申请的时间：</w:t>
      </w:r>
      <w:r>
        <w:rPr>
          <w:rFonts w:hint="eastAsia" w:ascii="宋体" w:hAnsi="宋体" w:eastAsia="宋体" w:cs="宋体"/>
          <w:color w:val="auto"/>
          <w:sz w:val="21"/>
          <w:szCs w:val="21"/>
          <w:highlight w:val="none"/>
          <w:u w:val="single"/>
          <w:lang w:val="en-US" w:eastAsia="zh-CN"/>
        </w:rPr>
        <w:t>工程资料提交后，承包人1个月内完成工程结算资料的提交，若未在规定的时间内提交，发包人对承包人按逾期一天1000元进行罚款，处罚累计不超过合同金额的3%</w:t>
      </w:r>
      <w:r>
        <w:rPr>
          <w:rFonts w:hint="eastAsia" w:ascii="宋体" w:hAnsi="宋体" w:eastAsia="宋体" w:cs="宋体"/>
          <w:color w:val="auto"/>
          <w:sz w:val="21"/>
          <w:szCs w:val="21"/>
          <w:highlight w:val="none"/>
          <w:u w:val="none"/>
          <w:lang w:val="en-US" w:eastAsia="zh-CN"/>
        </w:rPr>
        <w:t>。</w:t>
      </w:r>
    </w:p>
    <w:p w14:paraId="50F462D1">
      <w:pPr>
        <w:keepNext w:val="0"/>
        <w:keepLines w:val="0"/>
        <w:pageBreakBefore w:val="0"/>
        <w:kinsoku/>
        <w:wordWrap/>
        <w:overflowPunct/>
        <w:topLinePunct/>
        <w:autoSpaceDE/>
        <w:autoSpaceDN/>
        <w:bidi w:val="0"/>
        <w:spacing w:line="360" w:lineRule="auto"/>
        <w:ind w:firstLine="600"/>
        <w:textAlignment w:val="auto"/>
        <w:rPr>
          <w:rFonts w:hint="eastAsia" w:ascii="宋体" w:hAnsi="宋体" w:eastAsia="宋体" w:cs="宋体"/>
          <w:strike/>
          <w:dstrike w:val="0"/>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21.1.14承包人确定结算价的时间：</w:t>
      </w:r>
      <w:r>
        <w:rPr>
          <w:rFonts w:hint="eastAsia" w:ascii="宋体" w:hAnsi="宋体" w:eastAsia="宋体" w:cs="宋体"/>
          <w:color w:val="auto"/>
          <w:sz w:val="21"/>
          <w:szCs w:val="21"/>
          <w:highlight w:val="none"/>
          <w:u w:val="single"/>
          <w:lang w:val="en-US" w:eastAsia="zh-CN"/>
        </w:rPr>
        <w:t>工程经济资料提交后，承包人须在90日内与发包人或委托的第三方审计确认结算价。</w:t>
      </w:r>
      <w:r>
        <w:rPr>
          <w:rFonts w:hint="eastAsia" w:ascii="宋体" w:hAnsi="宋体" w:eastAsia="宋体" w:cs="宋体"/>
          <w:strike w:val="0"/>
          <w:dstrike w:val="0"/>
          <w:color w:val="auto"/>
          <w:sz w:val="21"/>
          <w:szCs w:val="21"/>
          <w:highlight w:val="none"/>
          <w:u w:val="single"/>
          <w:lang w:val="en-US" w:eastAsia="zh-CN"/>
        </w:rPr>
        <w:t>若承包人逾期不确认第三方审计合理的结算价，发包人可以直接通过第三方审计审核的结算金额作为结算价</w:t>
      </w:r>
      <w:r>
        <w:rPr>
          <w:rFonts w:hint="eastAsia" w:ascii="宋体" w:hAnsi="宋体" w:eastAsia="宋体" w:cs="宋体"/>
          <w:strike w:val="0"/>
          <w:dstrike w:val="0"/>
          <w:color w:val="auto"/>
          <w:sz w:val="21"/>
          <w:szCs w:val="21"/>
          <w:highlight w:val="none"/>
          <w:u w:val="none"/>
          <w:lang w:val="en-US" w:eastAsia="zh-CN"/>
        </w:rPr>
        <w:t>。</w:t>
      </w:r>
    </w:p>
    <w:p w14:paraId="57F99570">
      <w:pPr>
        <w:keepNext w:val="0"/>
        <w:keepLines w:val="0"/>
        <w:pageBreakBefore w:val="0"/>
        <w:kinsoku/>
        <w:wordWrap/>
        <w:overflowPunct/>
        <w:topLinePunct/>
        <w:autoSpaceDE/>
        <w:autoSpaceDN/>
        <w:bidi w:val="0"/>
        <w:spacing w:line="360" w:lineRule="auto"/>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承包人依法依规签订的专业工程分包、劳务分包、设备采购等合同，需要报发包人备案</w:t>
      </w:r>
      <w:r>
        <w:rPr>
          <w:rFonts w:hint="eastAsia" w:ascii="宋体" w:hAnsi="宋体" w:eastAsia="宋体" w:cs="宋体"/>
          <w:color w:val="auto"/>
          <w:sz w:val="21"/>
          <w:szCs w:val="21"/>
          <w:highlight w:val="none"/>
          <w:u w:val="none"/>
        </w:rPr>
        <w:t>。</w:t>
      </w:r>
    </w:p>
    <w:p w14:paraId="58DE0C3C">
      <w:pPr>
        <w:keepNext w:val="0"/>
        <w:keepLines w:val="0"/>
        <w:pageBreakBefore w:val="0"/>
        <w:kinsoku/>
        <w:wordWrap/>
        <w:overflowPunct/>
        <w:topLinePunct/>
        <w:autoSpaceDE/>
        <w:autoSpaceDN/>
        <w:bidi w:val="0"/>
        <w:spacing w:line="360" w:lineRule="auto"/>
        <w:ind w:firstLine="600"/>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highlight w:val="none"/>
        </w:rPr>
        <w:t>21.1.</w:t>
      </w: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关于介入条件的约定：</w:t>
      </w:r>
      <w:r>
        <w:rPr>
          <w:rFonts w:hint="eastAsia" w:ascii="宋体" w:hAnsi="宋体" w:eastAsia="宋体" w:cs="宋体"/>
          <w:color w:val="auto"/>
          <w:sz w:val="21"/>
          <w:szCs w:val="21"/>
          <w:highlight w:val="none"/>
          <w:u w:val="single"/>
        </w:rPr>
        <w:t>（1）发包人在</w:t>
      </w:r>
      <w:r>
        <w:rPr>
          <w:rFonts w:hint="eastAsia" w:ascii="宋体" w:hAnsi="宋体" w:eastAsia="宋体" w:cs="宋体"/>
          <w:color w:val="auto"/>
          <w:sz w:val="21"/>
          <w:szCs w:val="21"/>
          <w:u w:val="single"/>
        </w:rPr>
        <w:t>行使监督时发现承包人违约或有违约迹象，发包人认为有可能需要介入的。（2）法律法规及本协议约定其他承包人（含分包人）违约，发包人在行使监督时认为需要介入的。如果发生上述情形，发包人有权选择介入项目管理，但发包人在介入项目前须提前通知承包人，并遵守适用法律法规及本协议约定关于行使介入权的要求</w:t>
      </w:r>
      <w:r>
        <w:rPr>
          <w:rFonts w:hint="eastAsia" w:ascii="宋体" w:hAnsi="宋体" w:eastAsia="宋体" w:cs="宋体"/>
          <w:color w:val="auto"/>
          <w:sz w:val="21"/>
          <w:szCs w:val="21"/>
          <w:u w:val="none"/>
        </w:rPr>
        <w:t>。</w:t>
      </w:r>
    </w:p>
    <w:p w14:paraId="7C047549">
      <w:pPr>
        <w:keepNext w:val="0"/>
        <w:keepLines w:val="0"/>
        <w:pageBreakBefore w:val="0"/>
        <w:kinsoku/>
        <w:wordWrap/>
        <w:overflowPunct/>
        <w:topLinePunct/>
        <w:autoSpaceDE/>
        <w:autoSpaceDN/>
        <w:bidi w:val="0"/>
        <w:spacing w:line="360" w:lineRule="auto"/>
        <w:ind w:firstLine="6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u w:val="single"/>
        </w:rPr>
        <w:t>21.1.</w:t>
      </w:r>
      <w:r>
        <w:rPr>
          <w:rFonts w:hint="eastAsia" w:ascii="宋体" w:hAnsi="宋体" w:eastAsia="宋体" w:cs="宋体"/>
          <w:color w:val="auto"/>
          <w:sz w:val="21"/>
          <w:szCs w:val="21"/>
          <w:u w:val="single"/>
          <w:lang w:val="en-US" w:eastAsia="zh-CN"/>
        </w:rPr>
        <w:t>17</w:t>
      </w:r>
      <w:r>
        <w:rPr>
          <w:rFonts w:hint="eastAsia" w:ascii="宋体" w:hAnsi="宋体" w:eastAsia="宋体" w:cs="宋体"/>
          <w:color w:val="auto"/>
          <w:sz w:val="21"/>
          <w:szCs w:val="21"/>
          <w:u w:val="single"/>
        </w:rPr>
        <w:t xml:space="preserve"> 发包人有权依据承包人的《关于同意发包人介入项目管理后工程款委托支</w:t>
      </w:r>
      <w:r>
        <w:rPr>
          <w:rFonts w:hint="eastAsia" w:ascii="宋体" w:hAnsi="宋体" w:eastAsia="宋体" w:cs="宋体"/>
          <w:color w:val="auto"/>
          <w:sz w:val="21"/>
          <w:szCs w:val="21"/>
          <w:highlight w:val="none"/>
          <w:u w:val="single"/>
        </w:rPr>
        <w:t>付承诺函》，依法依规管理或支付资金解决本项目的相关问题</w:t>
      </w:r>
      <w:r>
        <w:rPr>
          <w:rFonts w:hint="eastAsia" w:ascii="宋体" w:hAnsi="宋体" w:eastAsia="宋体" w:cs="宋体"/>
          <w:color w:val="auto"/>
          <w:sz w:val="21"/>
          <w:szCs w:val="21"/>
          <w:highlight w:val="none"/>
          <w:u w:val="none"/>
        </w:rPr>
        <w:t>。</w:t>
      </w:r>
    </w:p>
    <w:p w14:paraId="5D8110DE">
      <w:pPr>
        <w:keepNext w:val="0"/>
        <w:keepLines w:val="0"/>
        <w:pageBreakBefore w:val="0"/>
        <w:widowControl w:val="0"/>
        <w:kinsoku/>
        <w:wordWrap/>
        <w:overflowPunct/>
        <w:topLinePunct/>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highlight w:val="none"/>
          <w:u w:val="single"/>
        </w:rPr>
        <w:t>21.1.</w:t>
      </w:r>
      <w:r>
        <w:rPr>
          <w:rFonts w:hint="eastAsia" w:ascii="宋体" w:hAnsi="宋体" w:eastAsia="宋体" w:cs="宋体"/>
          <w:color w:val="auto"/>
          <w:sz w:val="21"/>
          <w:szCs w:val="21"/>
          <w:highlight w:val="none"/>
          <w:u w:val="single"/>
          <w:lang w:val="en-US" w:eastAsia="zh-CN"/>
        </w:rPr>
        <w:t>18</w:t>
      </w:r>
      <w:r>
        <w:rPr>
          <w:rFonts w:hint="eastAsia" w:ascii="宋体" w:hAnsi="宋体" w:eastAsia="宋体" w:cs="宋体"/>
          <w:color w:val="auto"/>
          <w:sz w:val="21"/>
          <w:szCs w:val="21"/>
          <w:highlight w:val="none"/>
          <w:u w:val="single"/>
        </w:rPr>
        <w:t xml:space="preserve"> 合同签订后由发包人和联合体</w:t>
      </w:r>
      <w:r>
        <w:rPr>
          <w:rFonts w:hint="eastAsia" w:ascii="宋体" w:hAnsi="宋体" w:eastAsia="宋体" w:cs="宋体"/>
          <w:color w:val="auto"/>
          <w:sz w:val="21"/>
          <w:szCs w:val="21"/>
          <w:highlight w:val="none"/>
          <w:u w:val="single"/>
          <w:lang w:eastAsia="zh-CN"/>
        </w:rPr>
        <w:t>牵头</w:t>
      </w:r>
      <w:r>
        <w:rPr>
          <w:rFonts w:hint="eastAsia" w:ascii="宋体" w:hAnsi="宋体" w:eastAsia="宋体" w:cs="宋体"/>
          <w:color w:val="auto"/>
          <w:sz w:val="21"/>
          <w:szCs w:val="21"/>
          <w:highlight w:val="none"/>
          <w:u w:val="single"/>
        </w:rPr>
        <w:t>单位设立监管账户，双方共同监管。联合体成员工程款支付可依据联合体协议约定的各方责任分工及完成工作内容情况</w:t>
      </w:r>
      <w:r>
        <w:rPr>
          <w:rFonts w:hint="eastAsia" w:ascii="宋体" w:hAnsi="宋体" w:eastAsia="宋体" w:cs="宋体"/>
          <w:color w:val="auto"/>
          <w:sz w:val="21"/>
          <w:szCs w:val="21"/>
          <w:highlight w:val="none"/>
          <w:u w:val="single"/>
          <w:lang w:eastAsia="zh-CN"/>
        </w:rPr>
        <w:t>申报</w:t>
      </w:r>
      <w:r>
        <w:rPr>
          <w:rFonts w:hint="eastAsia" w:ascii="宋体" w:hAnsi="宋体" w:eastAsia="宋体" w:cs="宋体"/>
          <w:color w:val="auto"/>
          <w:sz w:val="21"/>
          <w:szCs w:val="21"/>
          <w:highlight w:val="none"/>
          <w:u w:val="single"/>
        </w:rPr>
        <w:t>，所有款项申请，均由联合体牵头人向发包人申报</w:t>
      </w:r>
      <w:r>
        <w:rPr>
          <w:rFonts w:hint="eastAsia" w:ascii="宋体" w:hAnsi="宋体" w:eastAsia="宋体" w:cs="宋体"/>
          <w:color w:val="auto"/>
          <w:sz w:val="21"/>
          <w:szCs w:val="21"/>
          <w:highlight w:val="none"/>
          <w:u w:val="none"/>
        </w:rPr>
        <w:t>。</w:t>
      </w:r>
    </w:p>
    <w:p w14:paraId="6E13BE83">
      <w:pPr>
        <w:spacing w:line="360" w:lineRule="auto"/>
        <w:rPr>
          <w:rFonts w:ascii="宋体" w:hAnsi="宋体"/>
          <w:color w:val="auto"/>
          <w:szCs w:val="21"/>
        </w:rPr>
      </w:pPr>
    </w:p>
    <w:p w14:paraId="34BDBA07">
      <w:pPr>
        <w:spacing w:line="360" w:lineRule="auto"/>
        <w:rPr>
          <w:rFonts w:ascii="宋体" w:hAnsi="宋体"/>
          <w:color w:val="auto"/>
          <w:szCs w:val="21"/>
        </w:rPr>
      </w:pPr>
    </w:p>
    <w:p w14:paraId="09EE0355">
      <w:pPr>
        <w:spacing w:line="360" w:lineRule="auto"/>
        <w:rPr>
          <w:rFonts w:ascii="宋体" w:hAnsi="宋体"/>
          <w:color w:val="auto"/>
          <w:szCs w:val="21"/>
        </w:rPr>
      </w:pPr>
    </w:p>
    <w:p w14:paraId="7282BB41">
      <w:pPr>
        <w:spacing w:line="360" w:lineRule="auto"/>
        <w:rPr>
          <w:rFonts w:ascii="宋体" w:hAnsi="宋体"/>
          <w:color w:val="auto"/>
          <w:szCs w:val="21"/>
        </w:rPr>
      </w:pPr>
    </w:p>
    <w:p w14:paraId="26E569D1">
      <w:pPr>
        <w:ind w:firstLine="600"/>
        <w:rPr>
          <w:rFonts w:ascii="宋体" w:hAnsi="宋体"/>
          <w:color w:val="auto"/>
          <w:szCs w:val="21"/>
        </w:rPr>
        <w:sectPr>
          <w:headerReference r:id="rId8" w:type="default"/>
          <w:pgSz w:w="11906" w:h="16838"/>
          <w:pgMar w:top="1417" w:right="1463" w:bottom="1417" w:left="1463" w:header="720" w:footer="998" w:gutter="0"/>
          <w:cols w:space="720" w:num="1"/>
          <w:docGrid w:linePitch="326" w:charSpace="0"/>
        </w:sectPr>
      </w:pPr>
    </w:p>
    <w:p w14:paraId="3E7BDA5B">
      <w:pPr>
        <w:pStyle w:val="139"/>
        <w:numPr>
          <w:ilvl w:val="0"/>
          <w:numId w:val="0"/>
        </w:numPr>
        <w:rPr>
          <w:rFonts w:ascii="宋体" w:hAnsi="宋体" w:eastAsia="宋体"/>
          <w:color w:val="auto"/>
          <w:sz w:val="21"/>
          <w:szCs w:val="21"/>
        </w:rPr>
      </w:pPr>
      <w:bookmarkStart w:id="2015" w:name="_Toc154063753"/>
      <w:bookmarkStart w:id="2016" w:name="_Toc54862351"/>
      <w:r>
        <w:rPr>
          <w:rFonts w:hint="eastAsia" w:ascii="宋体" w:hAnsi="宋体" w:eastAsia="宋体"/>
          <w:color w:val="auto"/>
          <w:sz w:val="21"/>
          <w:szCs w:val="21"/>
        </w:rPr>
        <w:t>专用合同条件附件</w:t>
      </w:r>
      <w:bookmarkEnd w:id="2015"/>
      <w:bookmarkEnd w:id="2016"/>
    </w:p>
    <w:p w14:paraId="5702FE99">
      <w:pPr>
        <w:rPr>
          <w:rFonts w:ascii="宋体" w:hAnsi="宋体"/>
          <w:color w:val="auto"/>
          <w:szCs w:val="21"/>
        </w:rPr>
      </w:pPr>
    </w:p>
    <w:p w14:paraId="324A8D63">
      <w:pPr>
        <w:spacing w:line="360" w:lineRule="auto"/>
        <w:ind w:firstLine="601"/>
        <w:rPr>
          <w:rFonts w:hint="eastAsia" w:ascii="宋体" w:hAnsi="宋体" w:cs="仿宋_GB2312"/>
          <w:color w:val="auto"/>
          <w:szCs w:val="21"/>
        </w:rPr>
      </w:pPr>
      <w:r>
        <w:rPr>
          <w:rFonts w:hint="eastAsia" w:ascii="宋体" w:hAnsi="宋体" w:cs="仿宋_GB2312"/>
          <w:color w:val="auto"/>
          <w:szCs w:val="21"/>
        </w:rPr>
        <w:t>附件1：工程质量保修书</w:t>
      </w:r>
    </w:p>
    <w:p w14:paraId="223A236E">
      <w:pPr>
        <w:spacing w:line="360" w:lineRule="auto"/>
        <w:ind w:firstLine="601"/>
        <w:rPr>
          <w:rFonts w:hint="eastAsia" w:ascii="宋体" w:hAnsi="宋体" w:cs="仿宋_GB2312"/>
          <w:color w:val="auto"/>
          <w:szCs w:val="21"/>
        </w:rPr>
      </w:pPr>
      <w:r>
        <w:rPr>
          <w:rFonts w:hint="eastAsia" w:ascii="宋体" w:hAnsi="宋体" w:cs="仿宋_GB2312"/>
          <w:color w:val="auto"/>
          <w:szCs w:val="21"/>
        </w:rPr>
        <w:t>附件2：安全施工责任书</w:t>
      </w:r>
    </w:p>
    <w:p w14:paraId="31BD3519">
      <w:pPr>
        <w:spacing w:line="360" w:lineRule="auto"/>
        <w:ind w:firstLine="601"/>
        <w:rPr>
          <w:rFonts w:hint="eastAsia" w:ascii="宋体" w:hAnsi="宋体" w:cs="仿宋_GB2312"/>
          <w:color w:val="auto"/>
          <w:szCs w:val="21"/>
        </w:rPr>
      </w:pPr>
      <w:r>
        <w:rPr>
          <w:rFonts w:hint="eastAsia" w:ascii="宋体" w:hAnsi="宋体" w:cs="仿宋_GB2312"/>
          <w:color w:val="auto"/>
          <w:szCs w:val="21"/>
        </w:rPr>
        <w:t>附件3：湖北省房屋建筑和市政工程建设廉洁协议书</w:t>
      </w:r>
    </w:p>
    <w:p w14:paraId="54611B71">
      <w:pPr>
        <w:spacing w:line="360" w:lineRule="auto"/>
        <w:ind w:firstLine="601"/>
        <w:rPr>
          <w:rFonts w:hint="eastAsia" w:ascii="宋体" w:hAnsi="宋体" w:cs="仿宋_GB2312"/>
          <w:color w:val="auto"/>
          <w:szCs w:val="21"/>
        </w:rPr>
      </w:pPr>
      <w:r>
        <w:rPr>
          <w:rFonts w:hint="eastAsia" w:ascii="宋体" w:hAnsi="宋体" w:cs="仿宋_GB2312"/>
          <w:color w:val="auto"/>
          <w:szCs w:val="21"/>
        </w:rPr>
        <w:t>附件4：关于同意发包人介入项目管理后工程款委托支付承诺函</w:t>
      </w:r>
    </w:p>
    <w:p w14:paraId="18A8E877">
      <w:pPr>
        <w:spacing w:line="360" w:lineRule="auto"/>
        <w:ind w:firstLine="601"/>
        <w:rPr>
          <w:rFonts w:hint="eastAsia" w:ascii="宋体" w:hAnsi="宋体" w:cs="仿宋_GB2312"/>
          <w:color w:val="auto"/>
          <w:szCs w:val="21"/>
        </w:rPr>
      </w:pPr>
      <w:r>
        <w:rPr>
          <w:rFonts w:hint="eastAsia" w:ascii="宋体" w:hAnsi="宋体" w:cs="仿宋_GB2312"/>
          <w:color w:val="auto"/>
          <w:szCs w:val="21"/>
        </w:rPr>
        <w:t>附件5：联合体协议书</w:t>
      </w:r>
    </w:p>
    <w:p w14:paraId="44CCC084">
      <w:pPr>
        <w:spacing w:line="360" w:lineRule="auto"/>
        <w:ind w:firstLine="601"/>
        <w:rPr>
          <w:rFonts w:ascii="宋体" w:hAnsi="宋体" w:cs="仿宋_GB2312"/>
          <w:color w:val="auto"/>
          <w:szCs w:val="21"/>
        </w:rPr>
      </w:pPr>
      <w:r>
        <w:rPr>
          <w:rFonts w:hint="eastAsia" w:ascii="宋体" w:hAnsi="宋体" w:cs="仿宋_GB2312"/>
          <w:color w:val="auto"/>
          <w:szCs w:val="21"/>
        </w:rPr>
        <w:t>附件6：中标候选人答辩记录表</w:t>
      </w:r>
    </w:p>
    <w:p w14:paraId="25D7BB9D">
      <w:pPr>
        <w:rPr>
          <w:rFonts w:ascii="宋体" w:hAnsi="宋体"/>
          <w:color w:val="auto"/>
          <w:szCs w:val="21"/>
        </w:rPr>
      </w:pPr>
    </w:p>
    <w:p w14:paraId="04EA02A6">
      <w:pPr>
        <w:rPr>
          <w:rFonts w:ascii="宋体" w:hAnsi="宋体"/>
          <w:color w:val="auto"/>
          <w:szCs w:val="21"/>
        </w:rPr>
      </w:pPr>
    </w:p>
    <w:p w14:paraId="458DFA86">
      <w:pPr>
        <w:rPr>
          <w:rFonts w:ascii="宋体" w:hAnsi="宋体"/>
          <w:color w:val="auto"/>
          <w:szCs w:val="21"/>
        </w:rPr>
      </w:pPr>
    </w:p>
    <w:p w14:paraId="679096F3">
      <w:pPr>
        <w:spacing w:line="240" w:lineRule="auto"/>
        <w:jc w:val="left"/>
        <w:rPr>
          <w:rFonts w:ascii="宋体" w:hAnsi="宋体"/>
          <w:color w:val="auto"/>
          <w:szCs w:val="21"/>
        </w:rPr>
      </w:pPr>
      <w:r>
        <w:rPr>
          <w:rFonts w:ascii="宋体" w:hAnsi="宋体"/>
          <w:color w:val="auto"/>
          <w:szCs w:val="21"/>
        </w:rPr>
        <w:br w:type="page"/>
      </w:r>
    </w:p>
    <w:p w14:paraId="67EC36E9">
      <w:pPr>
        <w:pStyle w:val="139"/>
        <w:numPr>
          <w:ilvl w:val="0"/>
          <w:numId w:val="0"/>
        </w:numPr>
        <w:rPr>
          <w:rFonts w:ascii="宋体" w:hAnsi="宋体" w:eastAsia="宋体"/>
          <w:color w:val="auto"/>
          <w:sz w:val="21"/>
          <w:szCs w:val="21"/>
        </w:rPr>
      </w:pPr>
      <w:bookmarkStart w:id="2017" w:name="_Toc20171895"/>
      <w:bookmarkStart w:id="2018" w:name="_Toc154063756"/>
      <w:bookmarkStart w:id="2019" w:name="_Toc54862354"/>
      <w:bookmarkStart w:id="2020" w:name="_Toc78046832"/>
      <w:r>
        <w:rPr>
          <w:rFonts w:hint="eastAsia" w:ascii="宋体" w:hAnsi="宋体" w:eastAsia="宋体"/>
          <w:color w:val="auto"/>
          <w:sz w:val="21"/>
          <w:szCs w:val="21"/>
        </w:rPr>
        <w:t>附件</w:t>
      </w:r>
      <w:r>
        <w:rPr>
          <w:rFonts w:hint="eastAsia" w:ascii="宋体" w:hAnsi="宋体" w:eastAsia="宋体"/>
          <w:color w:val="auto"/>
          <w:sz w:val="21"/>
          <w:szCs w:val="21"/>
          <w:lang w:val="en-US" w:eastAsia="zh-CN"/>
        </w:rPr>
        <w:t>1</w:t>
      </w:r>
      <w:r>
        <w:rPr>
          <w:rFonts w:ascii="宋体" w:hAnsi="宋体" w:eastAsia="宋体"/>
          <w:color w:val="auto"/>
          <w:sz w:val="21"/>
          <w:szCs w:val="21"/>
        </w:rPr>
        <w:t xml:space="preserve"> 工程质量保修书</w:t>
      </w:r>
      <w:bookmarkEnd w:id="2017"/>
      <w:bookmarkEnd w:id="2018"/>
      <w:bookmarkEnd w:id="2019"/>
      <w:bookmarkEnd w:id="2020"/>
    </w:p>
    <w:p w14:paraId="64E2D66B">
      <w:pPr>
        <w:spacing w:line="360" w:lineRule="auto"/>
        <w:rPr>
          <w:rFonts w:ascii="宋体" w:hAnsi="宋体"/>
          <w:color w:val="auto"/>
          <w:szCs w:val="21"/>
        </w:rPr>
      </w:pPr>
      <w:r>
        <w:rPr>
          <w:rFonts w:hint="eastAsia" w:ascii="宋体" w:hAnsi="宋体"/>
          <w:color w:val="auto"/>
          <w:szCs w:val="21"/>
        </w:rPr>
        <w:t>发包人（全称）：</w:t>
      </w:r>
      <w:r>
        <w:rPr>
          <w:rFonts w:hint="eastAsia" w:ascii="宋体" w:hAnsi="宋体"/>
          <w:color w:val="auto"/>
          <w:szCs w:val="21"/>
          <w:u w:val="single"/>
          <w:lang w:val="en-US" w:eastAsia="zh-CN"/>
        </w:rPr>
        <w:t>英山县市政工程建设管理中心</w:t>
      </w:r>
      <w:r>
        <w:rPr>
          <w:rFonts w:ascii="宋体" w:hAnsi="宋体"/>
          <w:color w:val="auto"/>
          <w:szCs w:val="21"/>
          <w:u w:val="single"/>
        </w:rPr>
        <w:t xml:space="preserve"> </w:t>
      </w:r>
    </w:p>
    <w:p w14:paraId="18583EF7">
      <w:pPr>
        <w:spacing w:line="360" w:lineRule="auto"/>
        <w:rPr>
          <w:rFonts w:ascii="宋体" w:hAnsi="宋体"/>
          <w:color w:val="auto"/>
          <w:szCs w:val="21"/>
        </w:rPr>
      </w:pPr>
      <w:r>
        <w:rPr>
          <w:rFonts w:hint="eastAsia" w:ascii="宋体" w:hAnsi="宋体"/>
          <w:color w:val="auto"/>
          <w:szCs w:val="21"/>
        </w:rPr>
        <w:t>承包人（全称）：</w:t>
      </w:r>
      <w:r>
        <w:rPr>
          <w:rFonts w:ascii="宋体" w:hAnsi="宋体"/>
          <w:color w:val="auto"/>
          <w:szCs w:val="21"/>
          <w:u w:val="single"/>
        </w:rPr>
        <w:t xml:space="preserve">                           </w:t>
      </w:r>
    </w:p>
    <w:p w14:paraId="4CFAFFFC">
      <w:pPr>
        <w:spacing w:line="360" w:lineRule="auto"/>
        <w:ind w:firstLine="420" w:firstLineChars="200"/>
        <w:rPr>
          <w:rFonts w:ascii="宋体" w:hAnsi="宋体"/>
          <w:color w:val="auto"/>
          <w:szCs w:val="21"/>
        </w:rPr>
      </w:pPr>
      <w:r>
        <w:rPr>
          <w:rFonts w:hint="eastAsia" w:ascii="宋体" w:hAnsi="宋体"/>
          <w:color w:val="auto"/>
          <w:szCs w:val="21"/>
        </w:rPr>
        <w:t>发包人和承包人根据《中华人民共和国建筑法》和《建设工程质量管理条例》，经协商一致就</w:t>
      </w:r>
      <w:r>
        <w:rPr>
          <w:rFonts w:ascii="宋体" w:hAnsi="宋体"/>
          <w:color w:val="auto"/>
          <w:szCs w:val="21"/>
          <w:u w:val="single"/>
        </w:rPr>
        <w:t xml:space="preserve"> </w:t>
      </w:r>
      <w:r>
        <w:rPr>
          <w:rFonts w:hint="eastAsia" w:ascii="宋体" w:hAnsi="宋体"/>
          <w:color w:val="auto"/>
          <w:szCs w:val="21"/>
          <w:u w:val="single"/>
        </w:rPr>
        <w:t>英山县城区排涝系统完善工程（二期）EPC总承包</w:t>
      </w:r>
      <w:r>
        <w:rPr>
          <w:rFonts w:ascii="宋体" w:hAnsi="宋体"/>
          <w:color w:val="auto"/>
          <w:szCs w:val="21"/>
          <w:u w:val="single"/>
        </w:rPr>
        <w:t xml:space="preserve"> </w:t>
      </w:r>
      <w:r>
        <w:rPr>
          <w:rFonts w:hint="eastAsia" w:ascii="宋体" w:hAnsi="宋体"/>
          <w:color w:val="auto"/>
          <w:szCs w:val="21"/>
        </w:rPr>
        <w:t>（工程全称）订立工程质量保修书。</w:t>
      </w:r>
    </w:p>
    <w:p w14:paraId="415DA793">
      <w:pPr>
        <w:spacing w:line="360" w:lineRule="auto"/>
        <w:ind w:firstLine="420" w:firstLineChars="200"/>
        <w:rPr>
          <w:rFonts w:ascii="宋体" w:hAnsi="宋体"/>
          <w:color w:val="auto"/>
          <w:szCs w:val="21"/>
        </w:rPr>
      </w:pPr>
      <w:r>
        <w:rPr>
          <w:rFonts w:hint="eastAsia" w:ascii="宋体" w:hAnsi="宋体"/>
          <w:color w:val="auto"/>
          <w:szCs w:val="21"/>
        </w:rPr>
        <w:t>一、工程质量保修范围和内容</w:t>
      </w:r>
    </w:p>
    <w:p w14:paraId="4C529CA0">
      <w:pPr>
        <w:spacing w:line="360" w:lineRule="auto"/>
        <w:ind w:firstLine="420" w:firstLineChars="200"/>
        <w:rPr>
          <w:rFonts w:ascii="宋体" w:hAnsi="宋体"/>
          <w:color w:val="auto"/>
          <w:szCs w:val="21"/>
        </w:rPr>
      </w:pPr>
      <w:r>
        <w:rPr>
          <w:rFonts w:hint="eastAsia" w:ascii="宋体" w:hAnsi="宋体"/>
          <w:color w:val="auto"/>
          <w:szCs w:val="21"/>
        </w:rPr>
        <w:t>承包人在质量保修期内，按照有关法律规定和合同约定，承担工程质量保修责任。</w:t>
      </w:r>
    </w:p>
    <w:p w14:paraId="688DF8E5">
      <w:pPr>
        <w:spacing w:line="360" w:lineRule="auto"/>
        <w:ind w:firstLine="420" w:firstLineChars="200"/>
        <w:rPr>
          <w:rFonts w:ascii="宋体" w:hAnsi="宋体"/>
          <w:color w:val="auto"/>
          <w:szCs w:val="21"/>
        </w:rPr>
      </w:pPr>
      <w:r>
        <w:rPr>
          <w:rFonts w:hint="eastAsia" w:ascii="宋体" w:hAnsi="宋体"/>
          <w:color w:val="auto"/>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auto"/>
          <w:szCs w:val="21"/>
          <w:u w:val="single"/>
        </w:rPr>
        <w:t>承包合同内所有工作内容</w:t>
      </w:r>
      <w:r>
        <w:rPr>
          <w:rFonts w:ascii="宋体" w:hAnsi="宋体"/>
          <w:color w:val="auto"/>
          <w:szCs w:val="21"/>
          <w:u w:val="single"/>
        </w:rPr>
        <w:t xml:space="preserve"> </w:t>
      </w:r>
      <w:r>
        <w:rPr>
          <w:rFonts w:hint="eastAsia" w:ascii="宋体" w:hAnsi="宋体"/>
          <w:color w:val="auto"/>
          <w:szCs w:val="21"/>
        </w:rPr>
        <w:t>。</w:t>
      </w:r>
    </w:p>
    <w:p w14:paraId="36F6996D">
      <w:pPr>
        <w:spacing w:line="360" w:lineRule="auto"/>
        <w:ind w:firstLine="420" w:firstLineChars="200"/>
        <w:rPr>
          <w:rFonts w:ascii="宋体" w:hAnsi="宋体"/>
          <w:color w:val="auto"/>
          <w:szCs w:val="21"/>
        </w:rPr>
      </w:pPr>
      <w:r>
        <w:rPr>
          <w:rFonts w:hint="eastAsia" w:ascii="宋体" w:hAnsi="宋体"/>
          <w:color w:val="auto"/>
          <w:szCs w:val="21"/>
        </w:rPr>
        <w:t>二、质量保修期</w:t>
      </w:r>
    </w:p>
    <w:p w14:paraId="69F6CD40">
      <w:pPr>
        <w:spacing w:line="360" w:lineRule="auto"/>
        <w:ind w:firstLine="420" w:firstLineChars="200"/>
        <w:rPr>
          <w:rFonts w:ascii="宋体" w:hAnsi="宋体"/>
          <w:color w:val="auto"/>
          <w:szCs w:val="21"/>
        </w:rPr>
      </w:pPr>
      <w:r>
        <w:rPr>
          <w:rFonts w:hint="eastAsia" w:ascii="宋体" w:hAnsi="宋体"/>
          <w:color w:val="auto"/>
          <w:szCs w:val="21"/>
        </w:rPr>
        <w:t>根据《建设工程质量管理条例》及有关规定，工程的质量保修期如下：</w:t>
      </w:r>
    </w:p>
    <w:p w14:paraId="69E95B50">
      <w:pPr>
        <w:spacing w:line="360" w:lineRule="auto"/>
        <w:ind w:firstLine="420" w:firstLineChars="200"/>
        <w:rPr>
          <w:rFonts w:ascii="宋体" w:hAnsi="宋体"/>
          <w:color w:val="auto"/>
          <w:szCs w:val="21"/>
        </w:rPr>
      </w:pPr>
      <w:r>
        <w:rPr>
          <w:rFonts w:hint="eastAsia" w:ascii="宋体" w:hAnsi="宋体"/>
          <w:color w:val="auto"/>
          <w:szCs w:val="21"/>
        </w:rPr>
        <w:t>1．地基基础工程和主体结构工程为设计文件规定的工程合理使用年限；</w:t>
      </w:r>
    </w:p>
    <w:p w14:paraId="102CD5BA">
      <w:pPr>
        <w:spacing w:line="360" w:lineRule="auto"/>
        <w:ind w:firstLine="420" w:firstLineChars="200"/>
        <w:rPr>
          <w:rFonts w:ascii="宋体" w:hAnsi="宋体"/>
          <w:color w:val="auto"/>
          <w:szCs w:val="21"/>
        </w:rPr>
      </w:pPr>
      <w:r>
        <w:rPr>
          <w:rFonts w:hint="eastAsia" w:ascii="宋体" w:hAnsi="宋体"/>
          <w:color w:val="auto"/>
          <w:szCs w:val="21"/>
        </w:rPr>
        <w:t>2．屋面防水工程、有防水要求的卫生间、房间和外墙面的防渗为</w:t>
      </w:r>
      <w:r>
        <w:rPr>
          <w:rFonts w:ascii="宋体" w:hAnsi="宋体"/>
          <w:color w:val="auto"/>
          <w:szCs w:val="21"/>
          <w:u w:val="single"/>
        </w:rPr>
        <w:t xml:space="preserve">  </w:t>
      </w:r>
      <w:r>
        <w:rPr>
          <w:rFonts w:hint="eastAsia" w:ascii="宋体" w:hAnsi="宋体"/>
          <w:color w:val="auto"/>
          <w:szCs w:val="21"/>
          <w:u w:val="single"/>
          <w:lang w:val="en-US" w:eastAsia="zh-CN"/>
        </w:rPr>
        <w:t>5</w:t>
      </w:r>
      <w:r>
        <w:rPr>
          <w:rFonts w:ascii="宋体" w:hAnsi="宋体"/>
          <w:color w:val="auto"/>
          <w:szCs w:val="21"/>
          <w:u w:val="single"/>
        </w:rPr>
        <w:t xml:space="preserve">  </w:t>
      </w:r>
      <w:r>
        <w:rPr>
          <w:rFonts w:hint="eastAsia" w:ascii="宋体" w:hAnsi="宋体"/>
          <w:color w:val="auto"/>
          <w:szCs w:val="21"/>
        </w:rPr>
        <w:t>年；</w:t>
      </w:r>
    </w:p>
    <w:p w14:paraId="4DE67794">
      <w:pPr>
        <w:spacing w:line="360" w:lineRule="auto"/>
        <w:ind w:firstLine="420" w:firstLineChars="200"/>
        <w:rPr>
          <w:rFonts w:ascii="宋体" w:hAnsi="宋体"/>
          <w:color w:val="auto"/>
          <w:szCs w:val="21"/>
        </w:rPr>
      </w:pPr>
      <w:r>
        <w:rPr>
          <w:rFonts w:hint="eastAsia" w:ascii="宋体" w:hAnsi="宋体"/>
          <w:color w:val="auto"/>
          <w:szCs w:val="21"/>
        </w:rPr>
        <w:t>3．装修工程为</w:t>
      </w:r>
      <w:r>
        <w:rPr>
          <w:rFonts w:ascii="宋体" w:hAnsi="宋体"/>
          <w:color w:val="auto"/>
          <w:szCs w:val="21"/>
          <w:u w:val="single"/>
        </w:rPr>
        <w:t xml:space="preserve">  </w:t>
      </w:r>
      <w:r>
        <w:rPr>
          <w:rFonts w:hint="eastAsia" w:ascii="宋体" w:hAnsi="宋体"/>
          <w:color w:val="auto"/>
          <w:szCs w:val="21"/>
          <w:u w:val="single"/>
          <w:lang w:val="en-US" w:eastAsia="zh-CN"/>
        </w:rPr>
        <w:t>2</w:t>
      </w:r>
      <w:r>
        <w:rPr>
          <w:rFonts w:ascii="宋体" w:hAnsi="宋体"/>
          <w:color w:val="auto"/>
          <w:szCs w:val="21"/>
          <w:u w:val="single"/>
        </w:rPr>
        <w:t xml:space="preserve">  </w:t>
      </w:r>
      <w:r>
        <w:rPr>
          <w:rFonts w:hint="eastAsia" w:ascii="宋体" w:hAnsi="宋体"/>
          <w:color w:val="auto"/>
          <w:szCs w:val="21"/>
        </w:rPr>
        <w:t>年；</w:t>
      </w:r>
    </w:p>
    <w:p w14:paraId="1B102D54">
      <w:pPr>
        <w:spacing w:line="360" w:lineRule="auto"/>
        <w:ind w:firstLine="420" w:firstLineChars="200"/>
        <w:rPr>
          <w:rFonts w:ascii="宋体" w:hAnsi="宋体"/>
          <w:color w:val="auto"/>
          <w:szCs w:val="21"/>
        </w:rPr>
      </w:pPr>
      <w:r>
        <w:rPr>
          <w:rFonts w:hint="eastAsia" w:ascii="宋体" w:hAnsi="宋体"/>
          <w:color w:val="auto"/>
          <w:szCs w:val="21"/>
        </w:rPr>
        <w:t>4．电气管线、给排水管道、设备安装工程为</w:t>
      </w:r>
      <w:r>
        <w:rPr>
          <w:rFonts w:ascii="宋体" w:hAnsi="宋体"/>
          <w:color w:val="auto"/>
          <w:szCs w:val="21"/>
          <w:u w:val="single"/>
        </w:rPr>
        <w:t xml:space="preserve">  </w:t>
      </w:r>
      <w:r>
        <w:rPr>
          <w:rFonts w:hint="eastAsia" w:ascii="宋体" w:hAnsi="宋体"/>
          <w:color w:val="auto"/>
          <w:szCs w:val="21"/>
          <w:u w:val="single"/>
          <w:lang w:val="en-US" w:eastAsia="zh-CN"/>
        </w:rPr>
        <w:t>2</w:t>
      </w:r>
      <w:r>
        <w:rPr>
          <w:rFonts w:ascii="宋体" w:hAnsi="宋体"/>
          <w:color w:val="auto"/>
          <w:szCs w:val="21"/>
          <w:u w:val="single"/>
        </w:rPr>
        <w:t xml:space="preserve">  </w:t>
      </w:r>
      <w:r>
        <w:rPr>
          <w:rFonts w:hint="eastAsia" w:ascii="宋体" w:hAnsi="宋体"/>
          <w:color w:val="auto"/>
          <w:szCs w:val="21"/>
        </w:rPr>
        <w:t>年；</w:t>
      </w:r>
    </w:p>
    <w:p w14:paraId="71F7FB30">
      <w:pPr>
        <w:spacing w:line="360" w:lineRule="auto"/>
        <w:ind w:firstLine="420" w:firstLineChars="200"/>
        <w:rPr>
          <w:rFonts w:ascii="宋体" w:hAnsi="宋体"/>
          <w:color w:val="auto"/>
          <w:szCs w:val="21"/>
        </w:rPr>
      </w:pPr>
      <w:r>
        <w:rPr>
          <w:rFonts w:hint="eastAsia" w:ascii="宋体" w:hAnsi="宋体"/>
          <w:color w:val="auto"/>
          <w:szCs w:val="21"/>
        </w:rPr>
        <w:t>5．供热与供冷系统为</w:t>
      </w:r>
      <w:r>
        <w:rPr>
          <w:rFonts w:ascii="宋体" w:hAnsi="宋体"/>
          <w:color w:val="auto"/>
          <w:szCs w:val="21"/>
          <w:u w:val="single"/>
        </w:rPr>
        <w:t xml:space="preserve">  </w:t>
      </w:r>
      <w:r>
        <w:rPr>
          <w:rFonts w:hint="eastAsia" w:ascii="宋体" w:hAnsi="宋体"/>
          <w:color w:val="auto"/>
          <w:szCs w:val="21"/>
          <w:u w:val="single"/>
          <w:lang w:val="en-US" w:eastAsia="zh-CN"/>
        </w:rPr>
        <w:t>2</w:t>
      </w:r>
      <w:r>
        <w:rPr>
          <w:rFonts w:ascii="宋体" w:hAnsi="宋体"/>
          <w:color w:val="auto"/>
          <w:szCs w:val="21"/>
          <w:u w:val="single"/>
        </w:rPr>
        <w:t xml:space="preserve">  </w:t>
      </w:r>
      <w:r>
        <w:rPr>
          <w:rFonts w:hint="eastAsia" w:ascii="宋体" w:hAnsi="宋体"/>
          <w:color w:val="auto"/>
          <w:szCs w:val="21"/>
        </w:rPr>
        <w:t>个采暖期、供冷期；</w:t>
      </w:r>
    </w:p>
    <w:p w14:paraId="5DA82F81">
      <w:pPr>
        <w:spacing w:line="360" w:lineRule="auto"/>
        <w:ind w:firstLine="420" w:firstLineChars="200"/>
        <w:rPr>
          <w:rFonts w:ascii="宋体" w:hAnsi="宋体"/>
          <w:color w:val="auto"/>
          <w:szCs w:val="21"/>
        </w:rPr>
      </w:pPr>
      <w:r>
        <w:rPr>
          <w:rFonts w:hint="eastAsia" w:ascii="宋体" w:hAnsi="宋体"/>
          <w:color w:val="auto"/>
          <w:szCs w:val="21"/>
        </w:rPr>
        <w:t>6．住宅小区内的给排水设施、道路等配套工程为</w:t>
      </w:r>
      <w:r>
        <w:rPr>
          <w:rFonts w:ascii="宋体" w:hAnsi="宋体"/>
          <w:color w:val="auto"/>
          <w:szCs w:val="21"/>
          <w:u w:val="single"/>
        </w:rPr>
        <w:t xml:space="preserve">  </w:t>
      </w:r>
      <w:r>
        <w:rPr>
          <w:rFonts w:hint="eastAsia" w:ascii="宋体" w:hAnsi="宋体"/>
          <w:color w:val="auto"/>
          <w:szCs w:val="21"/>
          <w:u w:val="single"/>
          <w:lang w:val="en-US" w:eastAsia="zh-CN"/>
        </w:rPr>
        <w:t>2</w:t>
      </w:r>
      <w:r>
        <w:rPr>
          <w:rFonts w:ascii="宋体" w:hAnsi="宋体"/>
          <w:color w:val="auto"/>
          <w:szCs w:val="21"/>
          <w:u w:val="single"/>
        </w:rPr>
        <w:t xml:space="preserve">  </w:t>
      </w:r>
      <w:r>
        <w:rPr>
          <w:rFonts w:hint="eastAsia" w:ascii="宋体" w:hAnsi="宋体"/>
          <w:color w:val="auto"/>
          <w:szCs w:val="21"/>
        </w:rPr>
        <w:t>年；</w:t>
      </w:r>
    </w:p>
    <w:p w14:paraId="0BEE2773">
      <w:pPr>
        <w:spacing w:line="360" w:lineRule="auto"/>
        <w:ind w:firstLine="420" w:firstLineChars="200"/>
        <w:rPr>
          <w:rFonts w:ascii="宋体" w:hAnsi="宋体"/>
          <w:color w:val="auto"/>
          <w:szCs w:val="21"/>
        </w:rPr>
      </w:pPr>
      <w:r>
        <w:rPr>
          <w:rFonts w:hint="eastAsia" w:ascii="宋体" w:hAnsi="宋体"/>
          <w:color w:val="auto"/>
          <w:szCs w:val="21"/>
        </w:rPr>
        <w:t>7．其他项目保修期限约定如下：</w:t>
      </w:r>
      <w:r>
        <w:rPr>
          <w:rFonts w:ascii="宋体" w:hAnsi="宋体"/>
          <w:color w:val="auto"/>
          <w:szCs w:val="21"/>
          <w:u w:val="single"/>
        </w:rPr>
        <w:t xml:space="preserve"> </w:t>
      </w:r>
      <w:r>
        <w:rPr>
          <w:rFonts w:hint="eastAsia" w:ascii="宋体" w:hAnsi="宋体"/>
          <w:color w:val="auto"/>
          <w:szCs w:val="21"/>
          <w:u w:val="single"/>
        </w:rPr>
        <w:t>按相关规定执行</w:t>
      </w:r>
      <w:r>
        <w:rPr>
          <w:rFonts w:ascii="宋体" w:hAnsi="宋体"/>
          <w:color w:val="auto"/>
          <w:szCs w:val="21"/>
          <w:u w:val="single"/>
        </w:rPr>
        <w:t xml:space="preserve"> </w:t>
      </w:r>
      <w:r>
        <w:rPr>
          <w:rFonts w:hint="eastAsia" w:ascii="宋体" w:hAnsi="宋体"/>
          <w:color w:val="auto"/>
          <w:szCs w:val="21"/>
        </w:rPr>
        <w:t>。</w:t>
      </w:r>
    </w:p>
    <w:p w14:paraId="7336508F">
      <w:pPr>
        <w:spacing w:line="360" w:lineRule="auto"/>
        <w:ind w:firstLine="420" w:firstLineChars="200"/>
        <w:rPr>
          <w:rFonts w:ascii="宋体" w:hAnsi="宋体"/>
          <w:color w:val="auto"/>
          <w:szCs w:val="21"/>
        </w:rPr>
      </w:pPr>
      <w:r>
        <w:rPr>
          <w:rFonts w:hint="eastAsia" w:ascii="宋体" w:hAnsi="宋体"/>
          <w:color w:val="auto"/>
          <w:szCs w:val="21"/>
        </w:rPr>
        <w:t>质量保修期自工程竣工验收合格之日起计算。</w:t>
      </w:r>
    </w:p>
    <w:p w14:paraId="16B1B946">
      <w:pPr>
        <w:spacing w:line="360" w:lineRule="auto"/>
        <w:ind w:firstLine="420" w:firstLineChars="200"/>
        <w:rPr>
          <w:rFonts w:ascii="宋体" w:hAnsi="宋体"/>
          <w:color w:val="auto"/>
          <w:szCs w:val="21"/>
        </w:rPr>
      </w:pPr>
      <w:r>
        <w:rPr>
          <w:rFonts w:hint="eastAsia" w:ascii="宋体" w:hAnsi="宋体"/>
          <w:color w:val="auto"/>
          <w:szCs w:val="21"/>
        </w:rPr>
        <w:t>三、缺陷责任期</w:t>
      </w:r>
    </w:p>
    <w:p w14:paraId="78999ED9">
      <w:pPr>
        <w:spacing w:line="360" w:lineRule="auto"/>
        <w:ind w:firstLine="420" w:firstLineChars="200"/>
        <w:rPr>
          <w:rFonts w:ascii="宋体" w:hAnsi="宋体"/>
          <w:color w:val="auto"/>
          <w:szCs w:val="21"/>
        </w:rPr>
      </w:pPr>
      <w:r>
        <w:rPr>
          <w:rFonts w:hint="eastAsia" w:ascii="宋体" w:hAnsi="宋体"/>
          <w:color w:val="auto"/>
          <w:szCs w:val="21"/>
        </w:rPr>
        <w:t>工程缺陷责任期为</w:t>
      </w:r>
      <w:r>
        <w:rPr>
          <w:rFonts w:ascii="宋体" w:hAnsi="宋体"/>
          <w:color w:val="auto"/>
          <w:szCs w:val="21"/>
          <w:u w:val="single"/>
        </w:rPr>
        <w:t xml:space="preserve"> </w:t>
      </w:r>
      <w:r>
        <w:rPr>
          <w:rFonts w:hint="eastAsia" w:ascii="宋体" w:hAnsi="宋体"/>
          <w:color w:val="auto"/>
          <w:szCs w:val="21"/>
          <w:u w:val="single"/>
          <w:lang w:val="en-US" w:eastAsia="zh-CN"/>
        </w:rPr>
        <w:t>24</w:t>
      </w:r>
      <w:r>
        <w:rPr>
          <w:rFonts w:ascii="宋体" w:hAnsi="宋体"/>
          <w:color w:val="auto"/>
          <w:szCs w:val="21"/>
          <w:u w:val="single"/>
        </w:rPr>
        <w:t xml:space="preserve"> </w:t>
      </w:r>
      <w:r>
        <w:rPr>
          <w:rFonts w:hint="eastAsia" w:ascii="宋体" w:hAnsi="宋体"/>
          <w:color w:val="auto"/>
          <w:szCs w:val="21"/>
        </w:rPr>
        <w:t>个月，缺陷责任期自工程通过竣工验收之日起计算。单位/区段工程先于全部工程进行验收，单位/区段工程缺陷责任期自单位/区段工程验收合格之日起算。</w:t>
      </w:r>
    </w:p>
    <w:p w14:paraId="4F83DE3F">
      <w:pPr>
        <w:spacing w:line="360" w:lineRule="auto"/>
        <w:ind w:firstLine="420" w:firstLineChars="200"/>
        <w:rPr>
          <w:rFonts w:ascii="宋体" w:hAnsi="宋体"/>
          <w:color w:val="auto"/>
          <w:szCs w:val="21"/>
        </w:rPr>
      </w:pPr>
      <w:r>
        <w:rPr>
          <w:rFonts w:hint="eastAsia" w:ascii="宋体" w:hAnsi="宋体"/>
          <w:color w:val="auto"/>
          <w:szCs w:val="21"/>
        </w:rPr>
        <w:t>缺陷责任期终止后，发包人应返还剩余的质量保证金。</w:t>
      </w:r>
    </w:p>
    <w:p w14:paraId="706AD08C">
      <w:pPr>
        <w:spacing w:line="360" w:lineRule="auto"/>
        <w:ind w:firstLine="420" w:firstLineChars="200"/>
        <w:rPr>
          <w:rFonts w:ascii="宋体" w:hAnsi="宋体"/>
          <w:color w:val="auto"/>
          <w:szCs w:val="21"/>
        </w:rPr>
      </w:pPr>
      <w:r>
        <w:rPr>
          <w:rFonts w:hint="eastAsia" w:ascii="宋体" w:hAnsi="宋体"/>
          <w:color w:val="auto"/>
          <w:szCs w:val="21"/>
        </w:rPr>
        <w:t>四、质量保修责任</w:t>
      </w:r>
    </w:p>
    <w:p w14:paraId="4D8F796A">
      <w:pPr>
        <w:spacing w:line="360" w:lineRule="auto"/>
        <w:ind w:firstLine="420" w:firstLineChars="200"/>
        <w:rPr>
          <w:rFonts w:ascii="宋体" w:hAnsi="宋体"/>
          <w:color w:val="auto"/>
          <w:szCs w:val="21"/>
        </w:rPr>
      </w:pPr>
      <w:r>
        <w:rPr>
          <w:rFonts w:hint="eastAsia" w:ascii="宋体" w:hAnsi="宋体"/>
          <w:color w:val="auto"/>
          <w:szCs w:val="21"/>
        </w:rPr>
        <w:t>1．属于保修范围、内容的项目，承包人应当在接到保修通知之日起7天内派人保修。承包人不在约定期限内派人保修的，发包人可以委托他人修理。</w:t>
      </w:r>
    </w:p>
    <w:p w14:paraId="0BF25288">
      <w:pPr>
        <w:spacing w:line="360" w:lineRule="auto"/>
        <w:ind w:firstLine="420" w:firstLineChars="200"/>
        <w:rPr>
          <w:rFonts w:ascii="宋体" w:hAnsi="宋体"/>
          <w:color w:val="auto"/>
          <w:szCs w:val="21"/>
        </w:rPr>
      </w:pPr>
      <w:r>
        <w:rPr>
          <w:rFonts w:hint="eastAsia" w:ascii="宋体" w:hAnsi="宋体"/>
          <w:color w:val="auto"/>
          <w:szCs w:val="21"/>
        </w:rPr>
        <w:t>2．发生紧急事故需抢修的，承包人在接到事故通知后，应当立即到达事故现场抢修。</w:t>
      </w:r>
    </w:p>
    <w:p w14:paraId="542F2903">
      <w:pPr>
        <w:spacing w:line="360" w:lineRule="auto"/>
        <w:ind w:firstLine="420" w:firstLineChars="200"/>
        <w:rPr>
          <w:rFonts w:ascii="宋体" w:hAnsi="宋体"/>
          <w:color w:val="auto"/>
          <w:szCs w:val="21"/>
        </w:rPr>
      </w:pPr>
      <w:r>
        <w:rPr>
          <w:rFonts w:hint="eastAsia" w:ascii="宋体" w:hAnsi="宋体"/>
          <w:color w:val="auto"/>
          <w:szCs w:val="21"/>
        </w:rPr>
        <w:t>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p>
    <w:p w14:paraId="66CDDDB5">
      <w:pPr>
        <w:spacing w:line="360" w:lineRule="auto"/>
        <w:ind w:firstLine="420" w:firstLineChars="200"/>
        <w:rPr>
          <w:rFonts w:ascii="宋体" w:hAnsi="宋体"/>
          <w:color w:val="auto"/>
          <w:szCs w:val="21"/>
        </w:rPr>
      </w:pPr>
      <w:r>
        <w:rPr>
          <w:rFonts w:hint="eastAsia" w:ascii="宋体" w:hAnsi="宋体"/>
          <w:color w:val="auto"/>
          <w:szCs w:val="21"/>
        </w:rPr>
        <w:t>4．质量保修完成后，由发包人组织验收。</w:t>
      </w:r>
    </w:p>
    <w:p w14:paraId="6403784A">
      <w:pPr>
        <w:spacing w:line="360" w:lineRule="auto"/>
        <w:ind w:firstLine="420" w:firstLineChars="200"/>
        <w:rPr>
          <w:rFonts w:ascii="宋体" w:hAnsi="宋体"/>
          <w:color w:val="auto"/>
          <w:szCs w:val="21"/>
        </w:rPr>
      </w:pPr>
      <w:r>
        <w:rPr>
          <w:rFonts w:hint="eastAsia" w:ascii="宋体" w:hAnsi="宋体"/>
          <w:color w:val="auto"/>
          <w:szCs w:val="21"/>
        </w:rPr>
        <w:t>五、保修费用</w:t>
      </w:r>
    </w:p>
    <w:p w14:paraId="52F3FE8F">
      <w:pPr>
        <w:spacing w:line="360" w:lineRule="auto"/>
        <w:ind w:firstLine="420" w:firstLineChars="200"/>
        <w:rPr>
          <w:rFonts w:ascii="宋体" w:hAnsi="宋体"/>
          <w:color w:val="auto"/>
          <w:szCs w:val="21"/>
        </w:rPr>
      </w:pPr>
      <w:r>
        <w:rPr>
          <w:rFonts w:hint="eastAsia" w:ascii="宋体" w:hAnsi="宋体"/>
          <w:color w:val="auto"/>
          <w:szCs w:val="21"/>
        </w:rPr>
        <w:t>保修费用由造成质量缺陷的责任方承担。</w:t>
      </w:r>
    </w:p>
    <w:p w14:paraId="53421D74">
      <w:pPr>
        <w:spacing w:line="360" w:lineRule="auto"/>
        <w:ind w:firstLine="420" w:firstLineChars="200"/>
        <w:rPr>
          <w:rFonts w:ascii="宋体" w:hAnsi="宋体"/>
          <w:color w:val="auto"/>
          <w:szCs w:val="21"/>
          <w:u w:val="single"/>
        </w:rPr>
      </w:pPr>
      <w:r>
        <w:rPr>
          <w:rFonts w:hint="eastAsia" w:ascii="宋体" w:hAnsi="宋体"/>
          <w:color w:val="auto"/>
          <w:szCs w:val="21"/>
        </w:rPr>
        <w:t>六、双方约定的其他工程质量保修事项：</w:t>
      </w:r>
      <w:r>
        <w:rPr>
          <w:rFonts w:ascii="宋体" w:hAnsi="宋体"/>
          <w:color w:val="auto"/>
          <w:szCs w:val="21"/>
          <w:u w:val="single"/>
        </w:rPr>
        <w:t xml:space="preserve"> </w:t>
      </w:r>
      <w:r>
        <w:rPr>
          <w:rFonts w:hint="eastAsia" w:ascii="宋体" w:hAnsi="宋体"/>
          <w:color w:val="auto"/>
          <w:szCs w:val="21"/>
          <w:u w:val="single"/>
          <w:lang w:val="en-US" w:eastAsia="zh-CN"/>
        </w:rPr>
        <w:t>无</w:t>
      </w:r>
      <w:r>
        <w:rPr>
          <w:rFonts w:ascii="宋体" w:hAnsi="宋体"/>
          <w:color w:val="auto"/>
          <w:szCs w:val="21"/>
          <w:u w:val="single"/>
        </w:rPr>
        <w:t xml:space="preserve"> </w:t>
      </w:r>
      <w:r>
        <w:rPr>
          <w:rFonts w:hint="eastAsia" w:ascii="宋体" w:hAnsi="宋体"/>
          <w:color w:val="auto"/>
          <w:szCs w:val="21"/>
        </w:rPr>
        <w:t>。</w:t>
      </w:r>
    </w:p>
    <w:p w14:paraId="4AA118D0">
      <w:pPr>
        <w:spacing w:line="360" w:lineRule="auto"/>
        <w:ind w:firstLine="420" w:firstLineChars="200"/>
        <w:rPr>
          <w:rFonts w:ascii="宋体" w:hAnsi="宋体"/>
          <w:color w:val="auto"/>
          <w:szCs w:val="21"/>
        </w:rPr>
      </w:pPr>
      <w:r>
        <w:rPr>
          <w:rFonts w:hint="eastAsia" w:ascii="宋体" w:hAnsi="宋体"/>
          <w:color w:val="auto"/>
          <w:szCs w:val="21"/>
        </w:rPr>
        <w:t>工程质量保修书由发包人、承包人在工程竣工验收前共同签署，作为工程总承包合同附件，其有效期限至保修期满。</w:t>
      </w:r>
    </w:p>
    <w:p w14:paraId="73279D5A">
      <w:pPr>
        <w:spacing w:line="360" w:lineRule="auto"/>
        <w:ind w:firstLine="600"/>
        <w:rPr>
          <w:rFonts w:ascii="宋体" w:hAnsi="宋体"/>
          <w:color w:val="auto"/>
          <w:szCs w:val="21"/>
        </w:rPr>
      </w:pPr>
    </w:p>
    <w:p w14:paraId="036E4E0C">
      <w:pPr>
        <w:spacing w:line="360" w:lineRule="auto"/>
        <w:ind w:firstLine="600"/>
        <w:rPr>
          <w:rFonts w:ascii="宋体" w:hAnsi="宋体"/>
          <w:color w:val="auto"/>
          <w:szCs w:val="21"/>
        </w:rPr>
      </w:pPr>
      <w:r>
        <w:rPr>
          <w:rFonts w:hint="eastAsia" w:ascii="宋体" w:hAnsi="宋体"/>
          <w:color w:val="auto"/>
          <w:szCs w:val="21"/>
        </w:rPr>
        <w:t xml:space="preserve">发包人(公章)：               承包人(公章)：          </w:t>
      </w:r>
    </w:p>
    <w:p w14:paraId="3C6F3C8E">
      <w:pPr>
        <w:spacing w:line="360" w:lineRule="auto"/>
        <w:ind w:firstLine="600"/>
        <w:rPr>
          <w:rFonts w:ascii="宋体" w:hAnsi="宋体"/>
          <w:color w:val="auto"/>
          <w:szCs w:val="21"/>
        </w:rPr>
      </w:pPr>
      <w:r>
        <w:rPr>
          <w:rFonts w:hint="eastAsia" w:ascii="宋体" w:hAnsi="宋体"/>
          <w:color w:val="auto"/>
          <w:szCs w:val="21"/>
        </w:rPr>
        <w:t xml:space="preserve">地  址：                     地  址：       </w:t>
      </w:r>
    </w:p>
    <w:p w14:paraId="35DF7A8B">
      <w:pPr>
        <w:spacing w:line="360" w:lineRule="auto"/>
        <w:ind w:firstLine="600"/>
        <w:rPr>
          <w:rFonts w:ascii="宋体" w:hAnsi="宋体"/>
          <w:color w:val="auto"/>
          <w:szCs w:val="21"/>
        </w:rPr>
      </w:pPr>
      <w:r>
        <w:rPr>
          <w:rFonts w:hint="eastAsia" w:ascii="宋体" w:hAnsi="宋体"/>
          <w:color w:val="auto"/>
          <w:szCs w:val="21"/>
        </w:rPr>
        <w:t xml:space="preserve">法定代表人(签字)：           法定代表人(签字)：       </w:t>
      </w:r>
    </w:p>
    <w:p w14:paraId="52A050DC">
      <w:pPr>
        <w:spacing w:line="360" w:lineRule="auto"/>
        <w:ind w:firstLine="600"/>
        <w:rPr>
          <w:rFonts w:ascii="宋体" w:hAnsi="宋体"/>
          <w:color w:val="auto"/>
          <w:szCs w:val="21"/>
        </w:rPr>
      </w:pPr>
      <w:r>
        <w:rPr>
          <w:rFonts w:hint="eastAsia" w:ascii="宋体" w:hAnsi="宋体"/>
          <w:color w:val="auto"/>
          <w:szCs w:val="21"/>
        </w:rPr>
        <w:t xml:space="preserve">委托代理人(签字)：           委托代理人(签字)：       </w:t>
      </w:r>
    </w:p>
    <w:p w14:paraId="711E408A">
      <w:pPr>
        <w:spacing w:line="360" w:lineRule="auto"/>
        <w:ind w:firstLine="600"/>
        <w:rPr>
          <w:rFonts w:ascii="宋体" w:hAnsi="宋体"/>
          <w:color w:val="auto"/>
          <w:szCs w:val="21"/>
        </w:rPr>
      </w:pPr>
      <w:r>
        <w:rPr>
          <w:rFonts w:hint="eastAsia" w:ascii="宋体" w:hAnsi="宋体"/>
          <w:color w:val="auto"/>
          <w:szCs w:val="21"/>
        </w:rPr>
        <w:t>电  话：                     电  话：</w:t>
      </w:r>
    </w:p>
    <w:p w14:paraId="66E61F3D">
      <w:pPr>
        <w:spacing w:line="360" w:lineRule="auto"/>
        <w:ind w:firstLine="600"/>
        <w:rPr>
          <w:rFonts w:ascii="宋体" w:hAnsi="宋体"/>
          <w:color w:val="auto"/>
          <w:szCs w:val="21"/>
        </w:rPr>
      </w:pPr>
      <w:r>
        <w:rPr>
          <w:rFonts w:hint="eastAsia" w:ascii="宋体" w:hAnsi="宋体"/>
          <w:color w:val="auto"/>
          <w:szCs w:val="21"/>
        </w:rPr>
        <w:t xml:space="preserve">传  真：                     传  真：  </w:t>
      </w:r>
    </w:p>
    <w:p w14:paraId="428E53E8">
      <w:pPr>
        <w:spacing w:line="360" w:lineRule="auto"/>
        <w:ind w:firstLine="600"/>
        <w:rPr>
          <w:rFonts w:ascii="宋体" w:hAnsi="宋体"/>
          <w:color w:val="auto"/>
          <w:szCs w:val="21"/>
        </w:rPr>
      </w:pPr>
      <w:r>
        <w:rPr>
          <w:rFonts w:hint="eastAsia" w:ascii="宋体" w:hAnsi="宋体"/>
          <w:color w:val="auto"/>
          <w:szCs w:val="21"/>
        </w:rPr>
        <w:t>开户银行：                   开户银行：</w:t>
      </w:r>
    </w:p>
    <w:p w14:paraId="5443BE1E">
      <w:pPr>
        <w:spacing w:line="360" w:lineRule="auto"/>
        <w:ind w:firstLine="600"/>
        <w:rPr>
          <w:rFonts w:hint="eastAsia" w:ascii="宋体" w:hAnsi="宋体"/>
          <w:color w:val="auto"/>
          <w:szCs w:val="21"/>
        </w:rPr>
      </w:pPr>
      <w:r>
        <w:rPr>
          <w:rFonts w:hint="eastAsia" w:ascii="宋体" w:hAnsi="宋体"/>
          <w:color w:val="auto"/>
          <w:szCs w:val="21"/>
        </w:rPr>
        <w:t xml:space="preserve">账  号：                     账  号： </w:t>
      </w:r>
    </w:p>
    <w:p w14:paraId="116C8361">
      <w:pPr>
        <w:spacing w:line="360" w:lineRule="auto"/>
        <w:ind w:firstLine="600"/>
        <w:rPr>
          <w:rFonts w:ascii="宋体" w:hAnsi="宋体"/>
          <w:color w:val="auto"/>
          <w:szCs w:val="21"/>
        </w:rPr>
      </w:pPr>
      <w:r>
        <w:rPr>
          <w:rFonts w:hint="eastAsia" w:ascii="宋体" w:hAnsi="宋体"/>
          <w:color w:val="auto"/>
          <w:szCs w:val="21"/>
        </w:rPr>
        <w:t xml:space="preserve">邮政编码：                   邮政编码：   </w:t>
      </w:r>
    </w:p>
    <w:p w14:paraId="63CF733E">
      <w:pPr>
        <w:spacing w:line="240" w:lineRule="auto"/>
        <w:jc w:val="left"/>
        <w:rPr>
          <w:rFonts w:ascii="宋体" w:hAnsi="宋体"/>
          <w:color w:val="auto"/>
          <w:szCs w:val="21"/>
        </w:rPr>
      </w:pPr>
      <w:r>
        <w:rPr>
          <w:rFonts w:ascii="宋体" w:hAnsi="宋体"/>
          <w:color w:val="auto"/>
          <w:szCs w:val="21"/>
        </w:rPr>
        <w:br w:type="page"/>
      </w:r>
    </w:p>
    <w:p w14:paraId="0B590712">
      <w:pPr>
        <w:pStyle w:val="139"/>
        <w:numPr>
          <w:ilvl w:val="0"/>
          <w:numId w:val="0"/>
        </w:numPr>
        <w:rPr>
          <w:rFonts w:ascii="宋体" w:hAnsi="宋体" w:eastAsia="宋体"/>
          <w:color w:val="auto"/>
          <w:sz w:val="21"/>
          <w:szCs w:val="21"/>
        </w:rPr>
      </w:pPr>
      <w:bookmarkStart w:id="2021" w:name="_Toc20171896"/>
      <w:bookmarkStart w:id="2022" w:name="_Toc54862355"/>
      <w:bookmarkStart w:id="2023" w:name="_Toc78046833"/>
      <w:bookmarkStart w:id="2024" w:name="_Toc154063757"/>
      <w:r>
        <w:rPr>
          <w:rFonts w:hint="eastAsia" w:ascii="宋体" w:hAnsi="宋体" w:eastAsia="宋体"/>
          <w:color w:val="auto"/>
          <w:sz w:val="21"/>
          <w:szCs w:val="21"/>
        </w:rPr>
        <w:t>附件</w:t>
      </w:r>
      <w:r>
        <w:rPr>
          <w:rFonts w:hint="eastAsia" w:ascii="宋体" w:hAnsi="宋体" w:eastAsia="宋体"/>
          <w:color w:val="auto"/>
          <w:sz w:val="21"/>
          <w:szCs w:val="21"/>
          <w:lang w:val="en-US" w:eastAsia="zh-CN"/>
        </w:rPr>
        <w:t>2</w:t>
      </w:r>
      <w:r>
        <w:rPr>
          <w:rFonts w:ascii="宋体" w:hAnsi="宋体" w:eastAsia="宋体"/>
          <w:color w:val="auto"/>
          <w:sz w:val="21"/>
          <w:szCs w:val="21"/>
        </w:rPr>
        <w:t xml:space="preserve"> </w:t>
      </w:r>
      <w:bookmarkEnd w:id="2021"/>
      <w:bookmarkEnd w:id="2022"/>
      <w:bookmarkEnd w:id="2023"/>
      <w:bookmarkEnd w:id="2024"/>
      <w:r>
        <w:rPr>
          <w:rFonts w:hint="eastAsia" w:ascii="宋体" w:hAnsi="宋体" w:eastAsia="宋体"/>
          <w:color w:val="auto"/>
          <w:sz w:val="21"/>
          <w:szCs w:val="21"/>
        </w:rPr>
        <w:t>安全施工责任书</w:t>
      </w:r>
    </w:p>
    <w:p w14:paraId="5C0A464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val="en-US" w:eastAsia="zh-CN"/>
        </w:rPr>
        <w:t>发包人</w:t>
      </w:r>
      <w:r>
        <w:rPr>
          <w:rFonts w:hint="eastAsia" w:ascii="宋体" w:hAnsi="宋体" w:eastAsia="宋体" w:cs="宋体"/>
          <w:color w:val="auto"/>
          <w:sz w:val="21"/>
          <w:szCs w:val="21"/>
          <w:highlight w:val="none"/>
        </w:rPr>
        <w:t>（全称）：</w:t>
      </w:r>
      <w:r>
        <w:rPr>
          <w:rFonts w:hint="eastAsia" w:ascii="宋体" w:hAnsi="宋体" w:eastAsia="宋体" w:cs="宋体"/>
          <w:color w:val="auto"/>
          <w:sz w:val="21"/>
          <w:szCs w:val="21"/>
          <w:highlight w:val="none"/>
          <w:u w:val="single"/>
          <w:lang w:eastAsia="zh-CN"/>
        </w:rPr>
        <w:t xml:space="preserve">英山县市政工程建设管理中心  </w:t>
      </w:r>
    </w:p>
    <w:p w14:paraId="6DB7411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color w:val="auto"/>
          <w:sz w:val="21"/>
          <w:szCs w:val="21"/>
          <w:u w:val="single"/>
          <w:lang w:val="en-US"/>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u w:val="single"/>
          <w:lang w:val="en-US" w:eastAsia="zh-CN"/>
        </w:rPr>
        <w:t xml:space="preserve">                            </w:t>
      </w:r>
    </w:p>
    <w:p w14:paraId="1C01F44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为进一步促进</w:t>
      </w:r>
      <w:r>
        <w:rPr>
          <w:rFonts w:hint="eastAsia" w:ascii="宋体" w:hAnsi="宋体" w:eastAsia="宋体" w:cs="宋体"/>
          <w:color w:val="auto"/>
          <w:sz w:val="21"/>
          <w:szCs w:val="21"/>
          <w:u w:val="single"/>
          <w:lang w:val="en-US" w:eastAsia="zh-CN"/>
        </w:rPr>
        <w:t xml:space="preserve"> 英山县城区排涝系统完善工程（二期）EPC总承包 </w:t>
      </w:r>
      <w:r>
        <w:rPr>
          <w:rFonts w:hint="eastAsia" w:ascii="宋体" w:hAnsi="宋体" w:eastAsia="宋体" w:cs="宋体"/>
          <w:color w:val="auto"/>
          <w:sz w:val="21"/>
          <w:szCs w:val="21"/>
        </w:rPr>
        <w:t>的安全施工管理工作，切实贯彻落实“安全第一，预防为主”的方针，保障在施工生产过程中人员生命和财产安全，根据国家安全生产的法规、条例和有关规定，双方经协商一致，签订本安全施工责任书。</w:t>
      </w:r>
    </w:p>
    <w:p w14:paraId="7D74F1C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一、安全生产事故控制目标</w:t>
      </w:r>
    </w:p>
    <w:p w14:paraId="228DF3D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1、建设工程不发生火灾、爆炸、环境污染、机械设备损失或工程质量缺陷等造成的安全生产事故；</w:t>
      </w:r>
    </w:p>
    <w:p w14:paraId="0104288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2、施工场内及邻近地区的</w:t>
      </w:r>
      <w:r>
        <w:rPr>
          <w:rFonts w:hint="eastAsia" w:ascii="宋体" w:hAnsi="宋体" w:eastAsia="宋体" w:cs="宋体"/>
          <w:color w:val="auto"/>
          <w:sz w:val="21"/>
          <w:szCs w:val="21"/>
          <w:lang w:eastAsia="zh-CN"/>
        </w:rPr>
        <w:t>发包人、承包人</w:t>
      </w:r>
      <w:r>
        <w:rPr>
          <w:rFonts w:hint="eastAsia" w:ascii="宋体" w:hAnsi="宋体" w:eastAsia="宋体" w:cs="宋体"/>
          <w:color w:val="auto"/>
          <w:sz w:val="21"/>
          <w:szCs w:val="21"/>
        </w:rPr>
        <w:t>自有人员、第三人不发生中毒、伤亡事故。</w:t>
      </w:r>
    </w:p>
    <w:p w14:paraId="6A8CC4F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二、 </w:t>
      </w:r>
      <w:r>
        <w:rPr>
          <w:rFonts w:hint="eastAsia" w:ascii="宋体" w:hAnsi="宋体" w:eastAsia="宋体" w:cs="宋体"/>
          <w:b/>
          <w:bCs/>
          <w:color w:val="auto"/>
          <w:sz w:val="21"/>
          <w:szCs w:val="21"/>
          <w:lang w:eastAsia="zh-CN"/>
        </w:rPr>
        <w:t>发包人责任</w:t>
      </w:r>
    </w:p>
    <w:p w14:paraId="48F98FA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1、掌握安全管理信息，及时了解上级有关部门的管理动态，预先通知工地，做好学习、贯彻、迎检工作。</w:t>
      </w:r>
    </w:p>
    <w:p w14:paraId="016E6A2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2、定期组织</w:t>
      </w:r>
      <w:r>
        <w:rPr>
          <w:rFonts w:hint="eastAsia" w:ascii="宋体" w:hAnsi="宋体" w:eastAsia="宋体" w:cs="宋体"/>
          <w:color w:val="auto"/>
          <w:sz w:val="21"/>
          <w:szCs w:val="21"/>
          <w:lang w:eastAsia="zh-CN"/>
        </w:rPr>
        <w:t>承包人</w:t>
      </w:r>
      <w:r>
        <w:rPr>
          <w:rFonts w:hint="eastAsia" w:ascii="宋体" w:hAnsi="宋体" w:eastAsia="宋体" w:cs="宋体"/>
          <w:color w:val="auto"/>
          <w:sz w:val="21"/>
          <w:szCs w:val="21"/>
        </w:rPr>
        <w:t>和有关方面人员召开安全生产会议，分析安全隐患，研究并制定安全措施，检查执行情况。</w:t>
      </w:r>
    </w:p>
    <w:p w14:paraId="313CABA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3、检查督促</w:t>
      </w:r>
      <w:r>
        <w:rPr>
          <w:rFonts w:hint="eastAsia" w:ascii="宋体" w:hAnsi="宋体" w:eastAsia="宋体" w:cs="宋体"/>
          <w:color w:val="auto"/>
          <w:sz w:val="21"/>
          <w:szCs w:val="21"/>
          <w:lang w:eastAsia="zh-CN"/>
        </w:rPr>
        <w:t>承包人</w:t>
      </w:r>
      <w:r>
        <w:rPr>
          <w:rFonts w:hint="eastAsia" w:ascii="宋体" w:hAnsi="宋体" w:eastAsia="宋体" w:cs="宋体"/>
          <w:color w:val="auto"/>
          <w:sz w:val="21"/>
          <w:szCs w:val="21"/>
        </w:rPr>
        <w:t>执行有关安全生产工作规定，对其不符合安全文明施工的行为进行制止、纠正并发出安全整改通知书，直至清退出场。</w:t>
      </w:r>
    </w:p>
    <w:p w14:paraId="68EB654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4、如施工中发生事故，</w:t>
      </w:r>
      <w:r>
        <w:rPr>
          <w:rFonts w:hint="eastAsia" w:ascii="宋体" w:hAnsi="宋体" w:eastAsia="宋体" w:cs="宋体"/>
          <w:color w:val="auto"/>
          <w:sz w:val="21"/>
          <w:szCs w:val="21"/>
          <w:lang w:eastAsia="zh-CN"/>
        </w:rPr>
        <w:t>发包人有权</w:t>
      </w:r>
      <w:r>
        <w:rPr>
          <w:rFonts w:hint="eastAsia" w:ascii="宋体" w:hAnsi="宋体" w:eastAsia="宋体" w:cs="宋体"/>
          <w:color w:val="auto"/>
          <w:sz w:val="21"/>
          <w:szCs w:val="21"/>
        </w:rPr>
        <w:t>督促</w:t>
      </w:r>
      <w:r>
        <w:rPr>
          <w:rFonts w:hint="eastAsia" w:ascii="宋体" w:hAnsi="宋体" w:eastAsia="宋体" w:cs="宋体"/>
          <w:color w:val="auto"/>
          <w:sz w:val="21"/>
          <w:szCs w:val="21"/>
          <w:lang w:eastAsia="zh-CN"/>
        </w:rPr>
        <w:t>承包人</w:t>
      </w:r>
      <w:r>
        <w:rPr>
          <w:rFonts w:hint="eastAsia" w:ascii="宋体" w:hAnsi="宋体" w:eastAsia="宋体" w:cs="宋体"/>
          <w:color w:val="auto"/>
          <w:sz w:val="21"/>
          <w:szCs w:val="21"/>
        </w:rPr>
        <w:t>立即通知当地安全管理部门并派人保护现场；有权要求</w:t>
      </w:r>
      <w:r>
        <w:rPr>
          <w:rFonts w:hint="eastAsia" w:ascii="宋体" w:hAnsi="宋体" w:eastAsia="宋体" w:cs="宋体"/>
          <w:color w:val="auto"/>
          <w:sz w:val="21"/>
          <w:szCs w:val="21"/>
          <w:lang w:eastAsia="zh-CN"/>
        </w:rPr>
        <w:t>承包人</w:t>
      </w:r>
      <w:r>
        <w:rPr>
          <w:rFonts w:hint="eastAsia" w:ascii="宋体" w:hAnsi="宋体" w:eastAsia="宋体" w:cs="宋体"/>
          <w:color w:val="auto"/>
          <w:sz w:val="21"/>
          <w:szCs w:val="21"/>
        </w:rPr>
        <w:t>提供事故调查书面结论及处理意见。</w:t>
      </w:r>
    </w:p>
    <w:p w14:paraId="3495FCD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5、不得向</w:t>
      </w:r>
      <w:r>
        <w:rPr>
          <w:rFonts w:hint="eastAsia" w:ascii="宋体" w:hAnsi="宋体" w:eastAsia="宋体" w:cs="宋体"/>
          <w:color w:val="auto"/>
          <w:sz w:val="21"/>
          <w:szCs w:val="21"/>
          <w:lang w:eastAsia="zh-CN"/>
        </w:rPr>
        <w:t>承包人</w:t>
      </w:r>
      <w:r>
        <w:rPr>
          <w:rFonts w:hint="eastAsia" w:ascii="宋体" w:hAnsi="宋体" w:eastAsia="宋体" w:cs="宋体"/>
          <w:color w:val="auto"/>
          <w:sz w:val="21"/>
          <w:szCs w:val="21"/>
        </w:rPr>
        <w:t>提出不符合建设工程安全生产法律、法规和强制性标准规定的要求，因</w:t>
      </w:r>
      <w:r>
        <w:rPr>
          <w:rFonts w:hint="eastAsia" w:ascii="宋体" w:hAnsi="宋体" w:eastAsia="宋体" w:cs="宋体"/>
          <w:color w:val="auto"/>
          <w:sz w:val="21"/>
          <w:szCs w:val="21"/>
          <w:lang w:eastAsia="zh-CN"/>
        </w:rPr>
        <w:t>发包人原因</w:t>
      </w:r>
      <w:r>
        <w:rPr>
          <w:rFonts w:hint="eastAsia" w:ascii="宋体" w:hAnsi="宋体" w:eastAsia="宋体" w:cs="宋体"/>
          <w:color w:val="auto"/>
          <w:sz w:val="21"/>
          <w:szCs w:val="21"/>
        </w:rPr>
        <w:t>导致的事故由</w:t>
      </w:r>
      <w:r>
        <w:rPr>
          <w:rFonts w:hint="eastAsia" w:ascii="宋体" w:hAnsi="宋体" w:eastAsia="宋体" w:cs="宋体"/>
          <w:color w:val="auto"/>
          <w:sz w:val="21"/>
          <w:szCs w:val="21"/>
          <w:lang w:eastAsia="zh-CN"/>
        </w:rPr>
        <w:t>发包人承担</w:t>
      </w:r>
      <w:r>
        <w:rPr>
          <w:rFonts w:hint="eastAsia" w:ascii="宋体" w:hAnsi="宋体" w:eastAsia="宋体" w:cs="宋体"/>
          <w:color w:val="auto"/>
          <w:sz w:val="21"/>
          <w:szCs w:val="21"/>
        </w:rPr>
        <w:t>责任。</w:t>
      </w:r>
    </w:p>
    <w:p w14:paraId="440BBB8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三、</w:t>
      </w:r>
      <w:r>
        <w:rPr>
          <w:rFonts w:hint="eastAsia" w:ascii="宋体" w:hAnsi="宋体" w:eastAsia="宋体" w:cs="宋体"/>
          <w:b/>
          <w:bCs/>
          <w:color w:val="auto"/>
          <w:sz w:val="21"/>
          <w:szCs w:val="21"/>
          <w:lang w:eastAsia="zh-CN"/>
        </w:rPr>
        <w:t>承包人</w:t>
      </w:r>
      <w:r>
        <w:rPr>
          <w:rFonts w:hint="eastAsia" w:ascii="宋体" w:hAnsi="宋体" w:eastAsia="宋体" w:cs="宋体"/>
          <w:b/>
          <w:bCs/>
          <w:color w:val="auto"/>
          <w:sz w:val="21"/>
          <w:szCs w:val="21"/>
        </w:rPr>
        <w:t>责任</w:t>
      </w:r>
    </w:p>
    <w:p w14:paraId="0538CA9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1、遵守《建设工程安全生产管理条例》（国务院令第３９３号）、《建筑施工安全检查标准》（JGJ59-2011）《中华人民共和国民用爆炸物品管理条例》及其他有关管理规定，在</w:t>
      </w:r>
      <w:r>
        <w:rPr>
          <w:rFonts w:hint="eastAsia" w:ascii="宋体" w:hAnsi="宋体" w:eastAsia="宋体" w:cs="宋体"/>
          <w:color w:val="auto"/>
          <w:sz w:val="21"/>
          <w:szCs w:val="21"/>
          <w:lang w:eastAsia="zh-CN"/>
        </w:rPr>
        <w:t>承包人</w:t>
      </w:r>
      <w:r>
        <w:rPr>
          <w:rFonts w:hint="eastAsia" w:ascii="宋体" w:hAnsi="宋体" w:eastAsia="宋体" w:cs="宋体"/>
          <w:color w:val="auto"/>
          <w:sz w:val="21"/>
          <w:szCs w:val="21"/>
        </w:rPr>
        <w:t>资质等级许可范围内，严格按安全标准组织施工，采取必要的安全防护措施，消除事故隐患。因</w:t>
      </w:r>
      <w:r>
        <w:rPr>
          <w:rFonts w:hint="eastAsia" w:ascii="宋体" w:hAnsi="宋体" w:eastAsia="宋体" w:cs="宋体"/>
          <w:color w:val="auto"/>
          <w:sz w:val="21"/>
          <w:szCs w:val="21"/>
          <w:lang w:eastAsia="zh-CN"/>
        </w:rPr>
        <w:t>承包人</w:t>
      </w:r>
      <w:r>
        <w:rPr>
          <w:rFonts w:hint="eastAsia" w:ascii="宋体" w:hAnsi="宋体" w:eastAsia="宋体" w:cs="宋体"/>
          <w:color w:val="auto"/>
          <w:sz w:val="21"/>
          <w:szCs w:val="21"/>
        </w:rPr>
        <w:t>责任造成安全生产事故的，其损失由</w:t>
      </w:r>
      <w:r>
        <w:rPr>
          <w:rFonts w:hint="eastAsia" w:ascii="宋体" w:hAnsi="宋体" w:eastAsia="宋体" w:cs="宋体"/>
          <w:color w:val="auto"/>
          <w:sz w:val="21"/>
          <w:szCs w:val="21"/>
          <w:lang w:eastAsia="zh-CN"/>
        </w:rPr>
        <w:t>承包人</w:t>
      </w:r>
      <w:r>
        <w:rPr>
          <w:rFonts w:hint="eastAsia" w:ascii="宋体" w:hAnsi="宋体" w:eastAsia="宋体" w:cs="宋体"/>
          <w:color w:val="auto"/>
          <w:sz w:val="21"/>
          <w:szCs w:val="21"/>
        </w:rPr>
        <w:t>承担。</w:t>
      </w:r>
    </w:p>
    <w:p w14:paraId="35BFED8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2、制订项目部安全管理目标及安全施工组织专项方案，建立各级安全生产责任制，确保安全设施的资金投入，并配备相应的专职安全人员，项目负责人为项目安全生产第一责任人。</w:t>
      </w:r>
    </w:p>
    <w:p w14:paraId="364CFFC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3、随时接受行业安全检查人员依法实施的监督检查，以及甲方现场代表及其他管理机构人员的安全管理。</w:t>
      </w:r>
    </w:p>
    <w:p w14:paraId="698FD5F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4、按国家有关规定，为工人配备合格的劳动防护用品、安全用具；用于本项目的施工机械、工器具及安全防护用具的数量和质量满足施工需要，并经有资质检验单位检验符合安全规定，</w:t>
      </w:r>
      <w:r>
        <w:rPr>
          <w:rFonts w:hint="eastAsia" w:ascii="宋体" w:hAnsi="宋体" w:eastAsia="宋体" w:cs="宋体"/>
          <w:color w:val="auto"/>
          <w:sz w:val="21"/>
          <w:szCs w:val="21"/>
          <w:lang w:eastAsia="zh-CN"/>
        </w:rPr>
        <w:t>承包人</w:t>
      </w:r>
      <w:r>
        <w:rPr>
          <w:rFonts w:hint="eastAsia" w:ascii="宋体" w:hAnsi="宋体" w:eastAsia="宋体" w:cs="宋体"/>
          <w:color w:val="auto"/>
          <w:sz w:val="21"/>
          <w:szCs w:val="21"/>
        </w:rPr>
        <w:t>对因使用工器具不当所造成的人员伤害及设备损坏负责。</w:t>
      </w:r>
    </w:p>
    <w:p w14:paraId="76F7A05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5、按规定购买特种作业人员人身意外伤害保险及其它现场施工人员、机械、材料等相关保险并支付保险费。特种作业人员须持证上岗，杜绝无证操作；</w:t>
      </w:r>
    </w:p>
    <w:p w14:paraId="272204A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6、按规定对达到一定规模的危险性较大的专项施工方案，须由专人设计并经</w:t>
      </w:r>
      <w:r>
        <w:rPr>
          <w:rFonts w:hint="eastAsia" w:ascii="宋体" w:hAnsi="宋体" w:eastAsia="宋体" w:cs="宋体"/>
          <w:color w:val="auto"/>
          <w:sz w:val="21"/>
          <w:szCs w:val="21"/>
          <w:lang w:eastAsia="zh-CN"/>
        </w:rPr>
        <w:t>承包人</w:t>
      </w:r>
      <w:r>
        <w:rPr>
          <w:rFonts w:hint="eastAsia" w:ascii="宋体" w:hAnsi="宋体" w:eastAsia="宋体" w:cs="宋体"/>
          <w:color w:val="auto"/>
          <w:sz w:val="21"/>
          <w:szCs w:val="21"/>
        </w:rPr>
        <w:t>技术负责人、总监理工程师批准后实施。</w:t>
      </w:r>
    </w:p>
    <w:p w14:paraId="0CEADC9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按规定在施工区域、出入口及场地周边等危险隐患部位设置明显的、符合标准的安全警示标志；并根据不同施工阶段和周围环境及季节变化，在施工现场采取相应的安全施工措施；施工现场暂时停止施工的，应当做好现场防护和警示。</w:t>
      </w:r>
    </w:p>
    <w:p w14:paraId="5F79DE7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8、对因建设工程施工可能造成损害的毗邻建筑物、构筑物和地下管线等，采取专项防护措施，费用自理；采取必要的环境保护、消防安全、用电安全措施，费用自理。</w:t>
      </w:r>
    </w:p>
    <w:p w14:paraId="48C165C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9、组织学习安全检查标准及法规，开展安全施工技术</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"http://www.aqpx.cn" \t "_blank"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培训</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；开展经常性的安全检查，做好安全日志，对查出的隐患及时整改。</w:t>
      </w:r>
    </w:p>
    <w:p w14:paraId="5148828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四、安全生产事故处理</w:t>
      </w:r>
    </w:p>
    <w:p w14:paraId="10E04CC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1、发生安全生产事故，</w:t>
      </w:r>
      <w:r>
        <w:rPr>
          <w:rFonts w:hint="eastAsia" w:ascii="宋体" w:hAnsi="宋体" w:eastAsia="宋体" w:cs="宋体"/>
          <w:color w:val="auto"/>
          <w:sz w:val="21"/>
          <w:szCs w:val="21"/>
          <w:lang w:eastAsia="zh-CN"/>
        </w:rPr>
        <w:t>承包人</w:t>
      </w:r>
      <w:r>
        <w:rPr>
          <w:rFonts w:hint="eastAsia" w:ascii="宋体" w:hAnsi="宋体" w:eastAsia="宋体" w:cs="宋体"/>
          <w:color w:val="auto"/>
          <w:sz w:val="21"/>
          <w:szCs w:val="21"/>
        </w:rPr>
        <w:t>应按照国家有关伤亡事故报告和调查处理的规定，及时、如实地向安全生产监督管理部门、建设行政主管部门或者其他有关部门报告；特种设备发生事故的，还应向特种设备安全监督管理部门报告。</w:t>
      </w:r>
    </w:p>
    <w:p w14:paraId="43AF674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2、发生安全生产事故后，</w:t>
      </w:r>
      <w:r>
        <w:rPr>
          <w:rFonts w:hint="eastAsia" w:ascii="宋体" w:hAnsi="宋体" w:eastAsia="宋体" w:cs="宋体"/>
          <w:color w:val="auto"/>
          <w:sz w:val="21"/>
          <w:szCs w:val="21"/>
          <w:lang w:eastAsia="zh-CN"/>
        </w:rPr>
        <w:t>承包人</w:t>
      </w:r>
      <w:r>
        <w:rPr>
          <w:rFonts w:hint="eastAsia" w:ascii="宋体" w:hAnsi="宋体" w:eastAsia="宋体" w:cs="宋体"/>
          <w:color w:val="auto"/>
          <w:sz w:val="21"/>
          <w:szCs w:val="21"/>
        </w:rPr>
        <w:t xml:space="preserve">应采取措施防止事故扩大，保护现场。对事故责任单位和责任人的处罚与处理，按照有关法律、法规的规定执行。 </w:t>
      </w:r>
    </w:p>
    <w:p w14:paraId="25C30C4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lang w:eastAsia="zh-CN"/>
        </w:rPr>
        <w:t>承包人</w:t>
      </w:r>
      <w:r>
        <w:rPr>
          <w:rFonts w:hint="eastAsia" w:ascii="宋体" w:hAnsi="宋体" w:eastAsia="宋体" w:cs="宋体"/>
          <w:color w:val="auto"/>
          <w:sz w:val="21"/>
          <w:szCs w:val="21"/>
        </w:rPr>
        <w:t>对事故隐瞒不报或处理不及时、不周全等造成的一切损失均由</w:t>
      </w:r>
      <w:r>
        <w:rPr>
          <w:rFonts w:hint="eastAsia" w:ascii="宋体" w:hAnsi="宋体" w:eastAsia="宋体" w:cs="宋体"/>
          <w:color w:val="auto"/>
          <w:sz w:val="21"/>
          <w:szCs w:val="21"/>
          <w:lang w:eastAsia="zh-CN"/>
        </w:rPr>
        <w:t>承包人</w:t>
      </w:r>
      <w:r>
        <w:rPr>
          <w:rFonts w:hint="eastAsia" w:ascii="宋体" w:hAnsi="宋体" w:eastAsia="宋体" w:cs="宋体"/>
          <w:color w:val="auto"/>
          <w:sz w:val="21"/>
          <w:szCs w:val="21"/>
        </w:rPr>
        <w:t>承担；造成恶劣影响的，</w:t>
      </w:r>
      <w:r>
        <w:rPr>
          <w:rFonts w:hint="eastAsia" w:ascii="宋体" w:hAnsi="宋体" w:eastAsia="宋体" w:cs="宋体"/>
          <w:color w:val="auto"/>
          <w:sz w:val="21"/>
          <w:szCs w:val="21"/>
          <w:lang w:eastAsia="zh-CN"/>
        </w:rPr>
        <w:t>发包人视</w:t>
      </w:r>
      <w:r>
        <w:rPr>
          <w:rFonts w:hint="eastAsia" w:ascii="宋体" w:hAnsi="宋体" w:eastAsia="宋体" w:cs="宋体"/>
          <w:color w:val="auto"/>
          <w:sz w:val="21"/>
          <w:szCs w:val="21"/>
        </w:rPr>
        <w:t>具体情况对</w:t>
      </w:r>
      <w:r>
        <w:rPr>
          <w:rFonts w:hint="eastAsia" w:ascii="宋体" w:hAnsi="宋体" w:eastAsia="宋体" w:cs="宋体"/>
          <w:color w:val="auto"/>
          <w:sz w:val="21"/>
          <w:szCs w:val="21"/>
          <w:lang w:eastAsia="zh-CN"/>
        </w:rPr>
        <w:t>承包人</w:t>
      </w:r>
      <w:r>
        <w:rPr>
          <w:rFonts w:hint="eastAsia" w:ascii="宋体" w:hAnsi="宋体" w:eastAsia="宋体" w:cs="宋体"/>
          <w:color w:val="auto"/>
          <w:sz w:val="21"/>
          <w:szCs w:val="21"/>
        </w:rPr>
        <w:t>按3000</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50000元予以罚款。</w:t>
      </w:r>
    </w:p>
    <w:p w14:paraId="124C84E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五、其他</w:t>
      </w:r>
    </w:p>
    <w:p w14:paraId="4C3D9F5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1、本责任书有效期为本责任书签字盖章之日起至工程竣工验收通过止。</w:t>
      </w:r>
    </w:p>
    <w:p w14:paraId="7ADBB68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2、本安全施工责任书作为施工合同附件，由</w:t>
      </w:r>
      <w:r>
        <w:rPr>
          <w:rFonts w:hint="eastAsia" w:ascii="宋体" w:hAnsi="宋体" w:eastAsia="宋体" w:cs="宋体"/>
          <w:color w:val="auto"/>
          <w:sz w:val="21"/>
          <w:szCs w:val="21"/>
          <w:lang w:val="en-US" w:eastAsia="zh-CN"/>
        </w:rPr>
        <w:t>相关责任方</w:t>
      </w:r>
      <w:r>
        <w:rPr>
          <w:rFonts w:hint="eastAsia" w:ascii="宋体" w:hAnsi="宋体" w:eastAsia="宋体" w:cs="宋体"/>
          <w:color w:val="auto"/>
          <w:sz w:val="21"/>
          <w:szCs w:val="21"/>
        </w:rPr>
        <w:t>共同签署。</w:t>
      </w:r>
    </w:p>
    <w:p w14:paraId="3FECB277">
      <w:pPr>
        <w:spacing w:line="360" w:lineRule="auto"/>
        <w:ind w:firstLine="600"/>
        <w:rPr>
          <w:rFonts w:ascii="宋体" w:hAnsi="宋体"/>
          <w:color w:val="auto"/>
          <w:szCs w:val="21"/>
        </w:rPr>
      </w:pPr>
    </w:p>
    <w:p w14:paraId="4E249E5E">
      <w:pPr>
        <w:spacing w:line="360" w:lineRule="auto"/>
        <w:ind w:firstLine="600"/>
        <w:rPr>
          <w:rFonts w:ascii="宋体" w:hAnsi="宋体"/>
          <w:color w:val="auto"/>
          <w:szCs w:val="21"/>
        </w:rPr>
      </w:pPr>
      <w:r>
        <w:rPr>
          <w:rFonts w:hint="eastAsia" w:ascii="宋体" w:hAnsi="宋体"/>
          <w:color w:val="auto"/>
          <w:szCs w:val="21"/>
        </w:rPr>
        <w:t xml:space="preserve">发包人(公章)：               承包人(公章)：          </w:t>
      </w:r>
    </w:p>
    <w:p w14:paraId="3752380B">
      <w:pPr>
        <w:spacing w:line="360" w:lineRule="auto"/>
        <w:ind w:firstLine="600"/>
        <w:rPr>
          <w:rFonts w:ascii="宋体" w:hAnsi="宋体"/>
          <w:color w:val="auto"/>
          <w:szCs w:val="21"/>
        </w:rPr>
      </w:pPr>
      <w:r>
        <w:rPr>
          <w:rFonts w:hint="eastAsia" w:ascii="宋体" w:hAnsi="宋体"/>
          <w:color w:val="auto"/>
          <w:szCs w:val="21"/>
        </w:rPr>
        <w:t xml:space="preserve">地  址：                     地  址：       </w:t>
      </w:r>
    </w:p>
    <w:p w14:paraId="24F924B4">
      <w:pPr>
        <w:spacing w:line="360" w:lineRule="auto"/>
        <w:ind w:firstLine="600"/>
        <w:rPr>
          <w:rFonts w:ascii="宋体" w:hAnsi="宋体"/>
          <w:color w:val="auto"/>
          <w:szCs w:val="21"/>
        </w:rPr>
      </w:pPr>
      <w:r>
        <w:rPr>
          <w:rFonts w:hint="eastAsia" w:ascii="宋体" w:hAnsi="宋体"/>
          <w:color w:val="auto"/>
          <w:szCs w:val="21"/>
        </w:rPr>
        <w:t xml:space="preserve">法定代表人(签字)：           法定代表人(签字)：       </w:t>
      </w:r>
    </w:p>
    <w:p w14:paraId="6301CB6B">
      <w:pPr>
        <w:spacing w:line="360" w:lineRule="auto"/>
        <w:ind w:firstLine="600"/>
        <w:rPr>
          <w:rFonts w:ascii="宋体" w:hAnsi="宋体"/>
          <w:color w:val="auto"/>
          <w:szCs w:val="21"/>
        </w:rPr>
      </w:pPr>
      <w:r>
        <w:rPr>
          <w:rFonts w:hint="eastAsia" w:ascii="宋体" w:hAnsi="宋体"/>
          <w:color w:val="auto"/>
          <w:szCs w:val="21"/>
        </w:rPr>
        <w:t xml:space="preserve">委托代理人(签字)：           委托代理人(签字)：       </w:t>
      </w:r>
    </w:p>
    <w:p w14:paraId="464D06F0">
      <w:pPr>
        <w:spacing w:line="360" w:lineRule="auto"/>
        <w:ind w:firstLine="600"/>
        <w:rPr>
          <w:rFonts w:ascii="宋体" w:hAnsi="宋体"/>
          <w:color w:val="auto"/>
          <w:szCs w:val="21"/>
        </w:rPr>
      </w:pPr>
      <w:r>
        <w:rPr>
          <w:rFonts w:hint="eastAsia" w:ascii="宋体" w:hAnsi="宋体"/>
          <w:color w:val="auto"/>
          <w:szCs w:val="21"/>
        </w:rPr>
        <w:t>电  话：                     电  话：</w:t>
      </w:r>
    </w:p>
    <w:p w14:paraId="5EC878A9">
      <w:pPr>
        <w:spacing w:line="360" w:lineRule="auto"/>
        <w:ind w:firstLine="600"/>
        <w:rPr>
          <w:rFonts w:ascii="宋体" w:hAnsi="宋体"/>
          <w:color w:val="auto"/>
          <w:szCs w:val="21"/>
        </w:rPr>
      </w:pPr>
      <w:r>
        <w:rPr>
          <w:rFonts w:hint="eastAsia" w:ascii="宋体" w:hAnsi="宋体"/>
          <w:color w:val="auto"/>
          <w:szCs w:val="21"/>
        </w:rPr>
        <w:t xml:space="preserve">传  真：                     传  真：  </w:t>
      </w:r>
    </w:p>
    <w:p w14:paraId="6B742BDA">
      <w:pPr>
        <w:spacing w:line="360" w:lineRule="auto"/>
        <w:ind w:firstLine="600"/>
        <w:rPr>
          <w:rFonts w:ascii="宋体" w:hAnsi="宋体"/>
          <w:color w:val="auto"/>
          <w:szCs w:val="21"/>
        </w:rPr>
      </w:pPr>
      <w:r>
        <w:rPr>
          <w:rFonts w:hint="eastAsia" w:ascii="宋体" w:hAnsi="宋体"/>
          <w:color w:val="auto"/>
          <w:szCs w:val="21"/>
        </w:rPr>
        <w:t>开户银行：                   开户银行：</w:t>
      </w:r>
    </w:p>
    <w:p w14:paraId="14EA2CB7">
      <w:pPr>
        <w:spacing w:line="360" w:lineRule="auto"/>
        <w:ind w:firstLine="600"/>
        <w:rPr>
          <w:rFonts w:hint="eastAsia" w:ascii="宋体" w:hAnsi="宋体"/>
          <w:color w:val="auto"/>
          <w:szCs w:val="21"/>
        </w:rPr>
      </w:pPr>
      <w:r>
        <w:rPr>
          <w:rFonts w:hint="eastAsia" w:ascii="宋体" w:hAnsi="宋体"/>
          <w:color w:val="auto"/>
          <w:szCs w:val="21"/>
        </w:rPr>
        <w:t xml:space="preserve">账  号：                     账  号： </w:t>
      </w:r>
    </w:p>
    <w:p w14:paraId="09087780">
      <w:pPr>
        <w:spacing w:line="360" w:lineRule="auto"/>
        <w:ind w:firstLine="600"/>
        <w:rPr>
          <w:rFonts w:ascii="宋体" w:hAnsi="宋体"/>
          <w:color w:val="auto"/>
          <w:szCs w:val="21"/>
        </w:rPr>
      </w:pPr>
      <w:r>
        <w:rPr>
          <w:rFonts w:hint="eastAsia" w:ascii="宋体" w:hAnsi="宋体"/>
          <w:color w:val="auto"/>
          <w:szCs w:val="21"/>
        </w:rPr>
        <w:t xml:space="preserve">邮政编码：                   邮政编码：   </w:t>
      </w:r>
    </w:p>
    <w:p w14:paraId="403CF27F">
      <w:pPr>
        <w:rPr>
          <w:rFonts w:ascii="宋体" w:hAnsi="宋体"/>
          <w:color w:val="auto"/>
          <w:szCs w:val="21"/>
        </w:rPr>
        <w:sectPr>
          <w:pgSz w:w="11906" w:h="16838"/>
          <w:pgMar w:top="1440" w:right="1800" w:bottom="1440" w:left="1800" w:header="720" w:footer="998" w:gutter="0"/>
          <w:cols w:space="720" w:num="1"/>
          <w:docGrid w:linePitch="326" w:charSpace="0"/>
        </w:sectPr>
      </w:pPr>
    </w:p>
    <w:p w14:paraId="40C3A8C7">
      <w:pPr>
        <w:pStyle w:val="139"/>
        <w:numPr>
          <w:ilvl w:val="0"/>
          <w:numId w:val="0"/>
        </w:numPr>
        <w:spacing w:after="159"/>
        <w:rPr>
          <w:rFonts w:ascii="宋体" w:hAnsi="宋体" w:eastAsia="宋体"/>
          <w:color w:val="auto"/>
          <w:sz w:val="21"/>
          <w:szCs w:val="21"/>
        </w:rPr>
      </w:pPr>
      <w:bookmarkStart w:id="2025" w:name="_Toc54862356"/>
      <w:bookmarkStart w:id="2026" w:name="_Toc154063758"/>
      <w:bookmarkStart w:id="2027" w:name="_Toc78046834"/>
      <w:bookmarkStart w:id="2028" w:name="_Toc20171897"/>
      <w:r>
        <w:rPr>
          <w:rFonts w:hint="eastAsia" w:ascii="宋体" w:hAnsi="宋体" w:eastAsia="宋体"/>
          <w:color w:val="auto"/>
          <w:sz w:val="21"/>
          <w:szCs w:val="21"/>
        </w:rPr>
        <w:t>附件</w:t>
      </w:r>
      <w:r>
        <w:rPr>
          <w:rFonts w:hint="eastAsia" w:ascii="宋体" w:hAnsi="宋体" w:eastAsia="宋体"/>
          <w:color w:val="auto"/>
          <w:sz w:val="21"/>
          <w:szCs w:val="21"/>
          <w:lang w:val="en-US" w:eastAsia="zh-CN"/>
        </w:rPr>
        <w:t>3</w:t>
      </w:r>
      <w:r>
        <w:rPr>
          <w:rFonts w:ascii="宋体" w:hAnsi="宋体" w:eastAsia="宋体"/>
          <w:color w:val="auto"/>
          <w:sz w:val="21"/>
          <w:szCs w:val="21"/>
        </w:rPr>
        <w:t xml:space="preserve"> </w:t>
      </w:r>
      <w:bookmarkEnd w:id="2025"/>
      <w:bookmarkEnd w:id="2026"/>
      <w:bookmarkEnd w:id="2027"/>
      <w:bookmarkEnd w:id="2028"/>
      <w:r>
        <w:rPr>
          <w:rFonts w:hint="eastAsia" w:ascii="宋体" w:hAnsi="宋体" w:eastAsia="宋体"/>
          <w:color w:val="auto"/>
          <w:sz w:val="21"/>
          <w:szCs w:val="21"/>
          <w:lang w:val="en-US" w:eastAsia="zh-CN"/>
        </w:rPr>
        <w:t xml:space="preserve"> </w:t>
      </w:r>
      <w:r>
        <w:rPr>
          <w:rFonts w:hint="eastAsia" w:ascii="宋体" w:hAnsi="宋体" w:eastAsia="宋体"/>
          <w:color w:val="auto"/>
          <w:sz w:val="21"/>
          <w:szCs w:val="21"/>
        </w:rPr>
        <w:t>湖北省房屋建筑和市政工程建设廉洁协议书</w:t>
      </w:r>
    </w:p>
    <w:p w14:paraId="58B59714">
      <w:pPr>
        <w:wordWrap/>
        <w:topLinePunct w:val="0"/>
        <w:spacing w:line="360" w:lineRule="auto"/>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发包人（全称）：</w:t>
      </w:r>
      <w:r>
        <w:rPr>
          <w:rFonts w:hint="eastAsia" w:ascii="宋体" w:hAnsi="宋体" w:eastAsia="宋体" w:cs="宋体"/>
          <w:color w:val="auto"/>
          <w:sz w:val="21"/>
          <w:szCs w:val="21"/>
          <w:highlight w:val="none"/>
          <w:u w:val="single"/>
          <w:lang w:val="en-US" w:eastAsia="zh-CN"/>
        </w:rPr>
        <w:t>英山县市政工程建设管理中心</w:t>
      </w:r>
      <w:r>
        <w:rPr>
          <w:rFonts w:hint="eastAsia" w:ascii="宋体" w:hAnsi="宋体" w:eastAsia="宋体" w:cs="宋体"/>
          <w:color w:val="auto"/>
          <w:sz w:val="21"/>
          <w:szCs w:val="21"/>
          <w:highlight w:val="none"/>
          <w:u w:val="single"/>
          <w:lang w:val="en-US" w:eastAsia="zh-CN"/>
        </w:rPr>
        <w:t xml:space="preserve">  </w:t>
      </w:r>
    </w:p>
    <w:p w14:paraId="785021AA">
      <w:pPr>
        <w:wordWrap/>
        <w:topLinePunct w:val="0"/>
        <w:spacing w:line="360" w:lineRule="auto"/>
        <w:ind w:firstLine="420" w:firstLineChars="200"/>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承包人（全称）：</w:t>
      </w:r>
      <w:r>
        <w:rPr>
          <w:rFonts w:hint="eastAsia" w:ascii="宋体" w:hAnsi="宋体" w:eastAsia="宋体" w:cs="宋体"/>
          <w:color w:val="auto"/>
          <w:sz w:val="21"/>
          <w:szCs w:val="21"/>
          <w:highlight w:val="none"/>
          <w:u w:val="single"/>
          <w:lang w:val="en-US" w:eastAsia="zh-CN"/>
        </w:rPr>
        <w:t xml:space="preserve">                            </w:t>
      </w:r>
    </w:p>
    <w:p w14:paraId="051DAA18">
      <w:pPr>
        <w:wordWrap/>
        <w:topLinePunct w:val="0"/>
        <w:spacing w:line="360" w:lineRule="auto"/>
        <w:ind w:left="0" w:leftChars="0"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工程项目名称</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u w:val="single"/>
          <w:lang w:val="en-US" w:eastAsia="zh-CN"/>
        </w:rPr>
        <w:t>英山县城区排涝系统完善工程（二期）EPC总承包</w:t>
      </w:r>
      <w:r>
        <w:rPr>
          <w:rFonts w:hint="eastAsia" w:ascii="宋体" w:hAnsi="宋体" w:eastAsia="宋体" w:cs="宋体"/>
          <w:color w:val="auto"/>
          <w:sz w:val="21"/>
          <w:szCs w:val="21"/>
          <w:highlight w:val="none"/>
          <w:u w:val="single"/>
          <w:lang w:val="en-US" w:eastAsia="zh-CN"/>
        </w:rPr>
        <w:t xml:space="preserve"> </w:t>
      </w:r>
    </w:p>
    <w:p w14:paraId="2CA6A1E9">
      <w:pPr>
        <w:wordWrap/>
        <w:topLinePunct w:val="0"/>
        <w:spacing w:line="360" w:lineRule="auto"/>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工程项目地址</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u w:val="single"/>
          <w:lang w:val="en-US" w:eastAsia="zh-CN"/>
        </w:rPr>
        <w:t>英山县城区</w:t>
      </w:r>
      <w:r>
        <w:rPr>
          <w:rFonts w:hint="eastAsia" w:ascii="宋体" w:hAnsi="宋体" w:eastAsia="宋体" w:cs="宋体"/>
          <w:color w:val="auto"/>
          <w:sz w:val="21"/>
          <w:szCs w:val="21"/>
          <w:highlight w:val="none"/>
          <w:u w:val="single"/>
          <w:lang w:val="en-US" w:eastAsia="zh-CN"/>
        </w:rPr>
        <w:t xml:space="preserve"> </w:t>
      </w:r>
    </w:p>
    <w:p w14:paraId="4AE5467B">
      <w:pPr>
        <w:wordWrap/>
        <w:topLinePunct w:val="0"/>
        <w:spacing w:line="360" w:lineRule="auto"/>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为加强廉洁建设，规范承发包双方的活动，防止发生各种谋取不正当利益的违法违纪行为，保护当事人的合法权益，根据省政府第308号令的有关规定，由甲方与乙方订立本协议书。</w:t>
      </w:r>
    </w:p>
    <w:p w14:paraId="5FE9F86F">
      <w:pPr>
        <w:wordWrap/>
        <w:topLinePunct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第一条</w:t>
      </w:r>
      <w:r>
        <w:rPr>
          <w:rFonts w:hint="eastAsia" w:ascii="宋体" w:hAnsi="宋体" w:cs="宋体"/>
          <w:b/>
          <w:color w:val="auto"/>
          <w:sz w:val="21"/>
          <w:szCs w:val="21"/>
          <w:lang w:val="en-US" w:eastAsia="zh-CN"/>
        </w:rPr>
        <w:t xml:space="preserve"> </w:t>
      </w:r>
      <w:r>
        <w:rPr>
          <w:rFonts w:hint="eastAsia" w:ascii="宋体" w:hAnsi="宋体" w:eastAsia="宋体" w:cs="宋体"/>
          <w:b/>
          <w:color w:val="auto"/>
          <w:sz w:val="21"/>
          <w:szCs w:val="21"/>
        </w:rPr>
        <w:t>甲乙双方责任</w:t>
      </w:r>
    </w:p>
    <w:p w14:paraId="161F68B1">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(一)严格遵守国家法律法规和省政府第308号令的有关规定。</w:t>
      </w:r>
    </w:p>
    <w:p w14:paraId="002F3ECB">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(二)严格执行一切合同文件，自觉按合同办事。</w:t>
      </w:r>
    </w:p>
    <w:p w14:paraId="75EC4FA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(三)双方的业务活动坚持公平、公开、公正和诚信的原则(法律法规另有规定除外)，不得损害国家、集体和对方利益，不得违反工程建设管理规章制度。</w:t>
      </w:r>
    </w:p>
    <w:p w14:paraId="4176D67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(四)建立健全廉洁制度，开展廉洁教育，设立廉洁告示牌，公布举报电话，监督并认真查处违法违纪行为。</w:t>
      </w:r>
    </w:p>
    <w:p w14:paraId="630C2FD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(五)发现对方在业务活动中有违反廉洁建设规定的行为，应及时给予提醒和纠正。</w:t>
      </w:r>
    </w:p>
    <w:p w14:paraId="1B93229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(六)发现对方严重违反廉洁建设的行为，应向其上级部门或纪检、监察等有关机关举报。影响合同履行的，可按合同中关于合同解除的约定处理。</w:t>
      </w:r>
    </w:p>
    <w:p w14:paraId="2F694E5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第二条</w:t>
      </w:r>
      <w:r>
        <w:rPr>
          <w:rFonts w:hint="eastAsia" w:ascii="宋体" w:hAnsi="宋体" w:cs="宋体"/>
          <w:b/>
          <w:color w:val="auto"/>
          <w:sz w:val="21"/>
          <w:szCs w:val="21"/>
          <w:lang w:val="en-US" w:eastAsia="zh-CN"/>
        </w:rPr>
        <w:t xml:space="preserve"> </w:t>
      </w:r>
      <w:r>
        <w:rPr>
          <w:rFonts w:hint="eastAsia" w:ascii="宋体" w:hAnsi="宋体" w:eastAsia="宋体" w:cs="宋体"/>
          <w:b/>
          <w:color w:val="auto"/>
          <w:sz w:val="21"/>
          <w:szCs w:val="21"/>
        </w:rPr>
        <w:t>甲方责任</w:t>
      </w:r>
    </w:p>
    <w:p w14:paraId="4CD2A8A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(一)甲方作为工程项目的</w:t>
      </w:r>
      <w:r>
        <w:rPr>
          <w:rFonts w:hint="eastAsia" w:ascii="宋体" w:hAnsi="宋体" w:eastAsia="宋体" w:cs="宋体"/>
          <w:color w:val="auto"/>
          <w:sz w:val="21"/>
          <w:szCs w:val="21"/>
          <w:lang w:eastAsia="zh-CN"/>
        </w:rPr>
        <w:t>发包人</w:t>
      </w:r>
      <w:r>
        <w:rPr>
          <w:rFonts w:hint="eastAsia" w:ascii="宋体" w:hAnsi="宋体" w:eastAsia="宋体" w:cs="宋体"/>
          <w:color w:val="auto"/>
          <w:sz w:val="21"/>
          <w:szCs w:val="21"/>
        </w:rPr>
        <w:t xml:space="preserve">，全面负责工程建设的进度、质量和资金管理，认真履行合同规定的甲方责任。    </w:t>
      </w:r>
    </w:p>
    <w:p w14:paraId="494BDFF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甲方人员不得索要或接受乙方的财物和其他利益。财物是指现金、有价证券和实物。包括促销费、宣传费、赞助费、科研费、劳务费、咨询费、佣金等，或者予以报销各种费用。其他利益是指提供国内外各种名义的旅游、考察等给付财物以外的其他手段。</w:t>
      </w:r>
    </w:p>
    <w:p w14:paraId="29FB8D7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(三)甲方人员不得参加乙方安排的宴请(工作餐除外)和娱乐活动；不得接受乙方提供的通讯工具、交通工具和高档办公用品等。</w:t>
      </w:r>
    </w:p>
    <w:p w14:paraId="17DA051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(四)甲方人员不得要求或者接受乙方为其住房装修、婚丧嫁娶活动、配偶子女的工作等安排提方便。</w:t>
      </w:r>
    </w:p>
    <w:p w14:paraId="7C120BD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(五)甲方人员及其配偶、子女等亲友不得从事与乙方有关的工程材料设备供应、工程分包、劳务等经济活动。</w:t>
      </w:r>
    </w:p>
    <w:p w14:paraId="049380D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(六)甲方人员不得以任何理由向乙方推荐分包单位或推销材料，不得要求乙方购买合同约定以外的材料和设备。</w:t>
      </w:r>
    </w:p>
    <w:p w14:paraId="41A330B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第三条</w:t>
      </w:r>
      <w:r>
        <w:rPr>
          <w:rFonts w:hint="eastAsia" w:ascii="宋体" w:hAnsi="宋体" w:cs="宋体"/>
          <w:b/>
          <w:color w:val="auto"/>
          <w:sz w:val="21"/>
          <w:szCs w:val="21"/>
          <w:lang w:val="en-US" w:eastAsia="zh-CN"/>
        </w:rPr>
        <w:t xml:space="preserve"> </w:t>
      </w:r>
      <w:r>
        <w:rPr>
          <w:rFonts w:hint="eastAsia" w:ascii="宋体" w:hAnsi="宋体" w:eastAsia="宋体" w:cs="宋体"/>
          <w:b/>
          <w:color w:val="auto"/>
          <w:sz w:val="21"/>
          <w:szCs w:val="21"/>
        </w:rPr>
        <w:t>乙方责任</w:t>
      </w:r>
    </w:p>
    <w:p w14:paraId="3B644392">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(一)乙方作为工程项目的施工责任主体，严格执行工程建设法律、法规和强制性标准与规范，依照合同负责承担工程建设的进度、质量、资金控制。</w:t>
      </w:r>
    </w:p>
    <w:p w14:paraId="2E6688AD">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乙方不得以任何理由向甲方人员给付财物和其他利益。财物是指现金、有价证券和实物。包括促销费、宣传费、赞助费、科研费、劳务费、咨询费、佣金等，或者予以报销各种费用。其他利益是指提供国内外各种名义的旅游、考察等给付财物以外的其他手段。</w:t>
      </w:r>
    </w:p>
    <w:p w14:paraId="119927E2">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(三)乙方不得以任何理由安排甲方人员参加宴请(工作餐除外)及娱乐活动，提供通讯工具、交通工具和高档办公用品。</w:t>
      </w:r>
    </w:p>
    <w:p w14:paraId="7813DE5D">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(四)乙方不向甲方人员的住房装修、婚丧嫁娶活动、配偶子女工作等安排提供便利。</w:t>
      </w:r>
    </w:p>
    <w:p w14:paraId="28BBDA4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(五)乙方不接受甲方人员及其配偶、子女等亲友从事或明示、暗示干涉工程材料设备供应、工程分包、劳务等经济活动的要求。</w:t>
      </w:r>
    </w:p>
    <w:p w14:paraId="0892A7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第四条</w:t>
      </w:r>
      <w:r>
        <w:rPr>
          <w:rFonts w:hint="eastAsia" w:ascii="宋体" w:hAnsi="宋体" w:cs="宋体"/>
          <w:b/>
          <w:color w:val="auto"/>
          <w:sz w:val="21"/>
          <w:szCs w:val="21"/>
          <w:lang w:val="en-US" w:eastAsia="zh-CN"/>
        </w:rPr>
        <w:t xml:space="preserve"> </w:t>
      </w:r>
      <w:r>
        <w:rPr>
          <w:rFonts w:hint="eastAsia" w:ascii="宋体" w:hAnsi="宋体" w:eastAsia="宋体" w:cs="宋体"/>
          <w:b/>
          <w:color w:val="auto"/>
          <w:sz w:val="21"/>
          <w:szCs w:val="21"/>
        </w:rPr>
        <w:t>违约责任</w:t>
      </w:r>
    </w:p>
    <w:p w14:paraId="3DEB9E4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(一)甲方人员违反本协议第一条和第二条规定的，按照管理权限，依据有关法律和规定给予党纪、政纪处分或组织处理，涉嫌犯罪的，移交司法机关追究刑事责任；给乙方造成经济损失的，应予赔偿。</w:t>
      </w:r>
    </w:p>
    <w:p w14:paraId="4AFF8F1E">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(二)乙方人员违反本协议第一条和第三条规定的，按照管理权限，依据有关法律和规定给予党纪、政纪处分或组织处理，涉嫌犯罪的，移交司法机关追究刑事责任；给甲方造成经济损失的，应予赔偿。</w:t>
      </w:r>
    </w:p>
    <w:p w14:paraId="2F3E444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第五条</w:t>
      </w:r>
      <w:r>
        <w:rPr>
          <w:rFonts w:hint="eastAsia" w:ascii="宋体" w:hAnsi="宋体" w:cs="宋体"/>
          <w:b/>
          <w:color w:val="auto"/>
          <w:sz w:val="21"/>
          <w:szCs w:val="21"/>
          <w:lang w:val="en-US" w:eastAsia="zh-CN"/>
        </w:rPr>
        <w:t xml:space="preserve"> </w:t>
      </w:r>
      <w:r>
        <w:rPr>
          <w:rFonts w:hint="eastAsia" w:ascii="宋体" w:hAnsi="宋体" w:eastAsia="宋体" w:cs="宋体"/>
          <w:b/>
          <w:color w:val="auto"/>
          <w:sz w:val="21"/>
          <w:szCs w:val="21"/>
        </w:rPr>
        <w:t>协议生效</w:t>
      </w:r>
    </w:p>
    <w:p w14:paraId="21CCB79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本协议的有效期，自双方签署之日起至该工程竣工验收合格之日止。</w:t>
      </w:r>
    </w:p>
    <w:p w14:paraId="36ED90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第六条</w:t>
      </w:r>
      <w:r>
        <w:rPr>
          <w:rFonts w:hint="eastAsia" w:ascii="宋体" w:hAnsi="宋体" w:cs="宋体"/>
          <w:b/>
          <w:color w:val="auto"/>
          <w:sz w:val="21"/>
          <w:szCs w:val="21"/>
          <w:lang w:val="en-US" w:eastAsia="zh-CN"/>
        </w:rPr>
        <w:t xml:space="preserve"> </w:t>
      </w:r>
      <w:r>
        <w:rPr>
          <w:rFonts w:hint="eastAsia" w:ascii="宋体" w:hAnsi="宋体" w:eastAsia="宋体" w:cs="宋体"/>
          <w:b/>
          <w:color w:val="auto"/>
          <w:sz w:val="21"/>
          <w:szCs w:val="21"/>
        </w:rPr>
        <w:t>协议法律效力</w:t>
      </w:r>
    </w:p>
    <w:p w14:paraId="3813ED60">
      <w:pPr>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jc w:val="left"/>
        <w:textAlignment w:val="auto"/>
        <w:outlineLvl w:val="2"/>
        <w:rPr>
          <w:rFonts w:hint="eastAsia" w:ascii="宋体" w:hAnsi="宋体" w:eastAsia="宋体" w:cs="宋体"/>
          <w:color w:val="auto"/>
          <w:sz w:val="21"/>
          <w:szCs w:val="21"/>
        </w:rPr>
      </w:pPr>
      <w:r>
        <w:rPr>
          <w:rFonts w:hint="eastAsia" w:ascii="宋体" w:hAnsi="宋体" w:eastAsia="宋体" w:cs="宋体"/>
          <w:color w:val="auto"/>
          <w:sz w:val="21"/>
          <w:szCs w:val="21"/>
        </w:rPr>
        <w:t>本协议书作为工程施工合同的附件，与施工合同具有同等的法律效力，经双方签署后生效。</w:t>
      </w:r>
    </w:p>
    <w:p w14:paraId="4ADD2688">
      <w:pPr>
        <w:spacing w:line="360" w:lineRule="auto"/>
        <w:ind w:firstLine="600"/>
        <w:rPr>
          <w:rFonts w:ascii="宋体" w:hAnsi="宋体"/>
          <w:color w:val="auto"/>
          <w:szCs w:val="21"/>
        </w:rPr>
      </w:pPr>
    </w:p>
    <w:p w14:paraId="28105AE1">
      <w:pPr>
        <w:spacing w:line="360" w:lineRule="auto"/>
        <w:ind w:firstLine="600"/>
        <w:rPr>
          <w:rFonts w:ascii="宋体" w:hAnsi="宋体"/>
          <w:color w:val="auto"/>
          <w:szCs w:val="21"/>
        </w:rPr>
      </w:pPr>
      <w:r>
        <w:rPr>
          <w:rFonts w:hint="eastAsia" w:ascii="宋体" w:hAnsi="宋体"/>
          <w:color w:val="auto"/>
          <w:szCs w:val="21"/>
        </w:rPr>
        <w:t xml:space="preserve">发包人(公章)：               承包人(公章)：          </w:t>
      </w:r>
    </w:p>
    <w:p w14:paraId="0652F9E7">
      <w:pPr>
        <w:spacing w:line="360" w:lineRule="auto"/>
        <w:ind w:firstLine="600"/>
        <w:rPr>
          <w:rFonts w:ascii="宋体" w:hAnsi="宋体"/>
          <w:color w:val="auto"/>
          <w:szCs w:val="21"/>
        </w:rPr>
      </w:pPr>
      <w:r>
        <w:rPr>
          <w:rFonts w:hint="eastAsia" w:ascii="宋体" w:hAnsi="宋体"/>
          <w:color w:val="auto"/>
          <w:szCs w:val="21"/>
        </w:rPr>
        <w:t xml:space="preserve">地  址：                     地  址：       </w:t>
      </w:r>
    </w:p>
    <w:p w14:paraId="6D2ADEAE">
      <w:pPr>
        <w:spacing w:line="360" w:lineRule="auto"/>
        <w:ind w:firstLine="600"/>
        <w:rPr>
          <w:rFonts w:ascii="宋体" w:hAnsi="宋体"/>
          <w:color w:val="auto"/>
          <w:szCs w:val="21"/>
        </w:rPr>
      </w:pPr>
      <w:r>
        <w:rPr>
          <w:rFonts w:hint="eastAsia" w:ascii="宋体" w:hAnsi="宋体"/>
          <w:color w:val="auto"/>
          <w:szCs w:val="21"/>
        </w:rPr>
        <w:t xml:space="preserve">法定代表人(签字)：           法定代表人(签字)：       </w:t>
      </w:r>
    </w:p>
    <w:p w14:paraId="5990FB7A">
      <w:pPr>
        <w:spacing w:line="360" w:lineRule="auto"/>
        <w:ind w:firstLine="600"/>
        <w:rPr>
          <w:rFonts w:ascii="宋体" w:hAnsi="宋体"/>
          <w:color w:val="auto"/>
          <w:szCs w:val="21"/>
        </w:rPr>
      </w:pPr>
      <w:r>
        <w:rPr>
          <w:rFonts w:hint="eastAsia" w:ascii="宋体" w:hAnsi="宋体"/>
          <w:color w:val="auto"/>
          <w:szCs w:val="21"/>
        </w:rPr>
        <w:t xml:space="preserve">委托代理人(签字)：           委托代理人(签字)：       </w:t>
      </w:r>
    </w:p>
    <w:p w14:paraId="5059FD3F">
      <w:pPr>
        <w:spacing w:line="360" w:lineRule="auto"/>
        <w:ind w:firstLine="600"/>
        <w:rPr>
          <w:rFonts w:ascii="宋体" w:hAnsi="宋体"/>
          <w:color w:val="auto"/>
          <w:szCs w:val="21"/>
        </w:rPr>
      </w:pPr>
      <w:r>
        <w:rPr>
          <w:rFonts w:hint="eastAsia" w:ascii="宋体" w:hAnsi="宋体"/>
          <w:color w:val="auto"/>
          <w:szCs w:val="21"/>
        </w:rPr>
        <w:t>电  话：                     电  话：</w:t>
      </w:r>
    </w:p>
    <w:p w14:paraId="3BCD28B0">
      <w:pPr>
        <w:spacing w:line="360" w:lineRule="auto"/>
        <w:ind w:firstLine="600"/>
        <w:rPr>
          <w:rFonts w:ascii="宋体" w:hAnsi="宋体"/>
          <w:color w:val="auto"/>
          <w:szCs w:val="21"/>
        </w:rPr>
      </w:pPr>
      <w:r>
        <w:rPr>
          <w:rFonts w:hint="eastAsia" w:ascii="宋体" w:hAnsi="宋体"/>
          <w:color w:val="auto"/>
          <w:szCs w:val="21"/>
        </w:rPr>
        <w:t xml:space="preserve">传  真：                     传  真：  </w:t>
      </w:r>
    </w:p>
    <w:p w14:paraId="793ADE22">
      <w:pPr>
        <w:spacing w:line="360" w:lineRule="auto"/>
        <w:ind w:firstLine="600"/>
        <w:rPr>
          <w:rFonts w:ascii="宋体" w:hAnsi="宋体"/>
          <w:color w:val="auto"/>
          <w:szCs w:val="21"/>
        </w:rPr>
      </w:pPr>
      <w:r>
        <w:rPr>
          <w:rFonts w:hint="eastAsia" w:ascii="宋体" w:hAnsi="宋体"/>
          <w:color w:val="auto"/>
          <w:szCs w:val="21"/>
        </w:rPr>
        <w:t>开户银行：                   开户银行：</w:t>
      </w:r>
    </w:p>
    <w:p w14:paraId="296B7217">
      <w:pPr>
        <w:spacing w:line="360" w:lineRule="auto"/>
        <w:ind w:firstLine="600"/>
        <w:rPr>
          <w:rFonts w:hint="eastAsia" w:ascii="宋体" w:hAnsi="宋体"/>
          <w:color w:val="auto"/>
          <w:szCs w:val="21"/>
        </w:rPr>
      </w:pPr>
      <w:r>
        <w:rPr>
          <w:rFonts w:hint="eastAsia" w:ascii="宋体" w:hAnsi="宋体"/>
          <w:color w:val="auto"/>
          <w:szCs w:val="21"/>
        </w:rPr>
        <w:t xml:space="preserve">账  号：                     账  号： </w:t>
      </w:r>
    </w:p>
    <w:p w14:paraId="46DABAD4">
      <w:pPr>
        <w:spacing w:line="360" w:lineRule="auto"/>
        <w:ind w:firstLine="600"/>
        <w:rPr>
          <w:rFonts w:ascii="宋体" w:hAnsi="宋体"/>
          <w:color w:val="auto"/>
          <w:szCs w:val="21"/>
        </w:rPr>
      </w:pPr>
      <w:r>
        <w:rPr>
          <w:rFonts w:hint="eastAsia" w:ascii="宋体" w:hAnsi="宋体"/>
          <w:color w:val="auto"/>
          <w:szCs w:val="21"/>
        </w:rPr>
        <w:t>邮政编码：                   邮政编码：</w:t>
      </w:r>
    </w:p>
    <w:p w14:paraId="559F5CCD">
      <w:pPr>
        <w:pStyle w:val="139"/>
        <w:keepNext/>
        <w:keepLines/>
        <w:pageBreakBefore w:val="0"/>
        <w:widowControl/>
        <w:numPr>
          <w:ilvl w:val="0"/>
          <w:numId w:val="0"/>
        </w:numPr>
        <w:kinsoku/>
        <w:wordWrap w:val="0"/>
        <w:overflowPunct/>
        <w:topLinePunct/>
        <w:autoSpaceDE/>
        <w:autoSpaceDN/>
        <w:bidi w:val="0"/>
        <w:adjustRightInd w:val="0"/>
        <w:snapToGrid w:val="0"/>
        <w:ind w:left="0" w:leftChars="0" w:firstLine="0" w:firstLineChars="0"/>
        <w:textAlignment w:val="auto"/>
        <w:rPr>
          <w:rFonts w:hint="eastAsia" w:ascii="Times New Roman" w:hAnsi="Times New Roman" w:eastAsia="黑体" w:cs="Times New Roman"/>
          <w:b w:val="0"/>
          <w:bCs w:val="0"/>
          <w:i w:val="0"/>
          <w:iCs w:val="0"/>
          <w:caps w:val="0"/>
          <w:smallCaps w:val="0"/>
          <w:strike w:val="0"/>
          <w:dstrike w:val="0"/>
          <w:outline w:val="0"/>
          <w:shadow w:val="0"/>
          <w:emboss w:val="0"/>
          <w:imprint w:val="0"/>
          <w:snapToGrid w:val="0"/>
          <w:vanish w:val="0"/>
          <w:color w:val="auto"/>
          <w:spacing w:val="0"/>
          <w:w w:val="0"/>
          <w:kern w:val="0"/>
          <w:position w:val="0"/>
          <w:sz w:val="16"/>
          <w:szCs w:val="0"/>
          <w:u w:val="none" w:color="000000"/>
          <w:shd w:val="clear" w:color="000000" w:fill="000000"/>
          <w:vertAlign w:val="baseline"/>
          <w:lang w:val="zh-CN" w:eastAsia="zh-CN" w:bidi="zh-CN"/>
        </w:rPr>
        <w:sectPr>
          <w:footerReference r:id="rId9" w:type="default"/>
          <w:pgSz w:w="12240" w:h="15840"/>
          <w:pgMar w:top="1434" w:right="1680" w:bottom="1429" w:left="1700" w:header="850" w:footer="720" w:gutter="0"/>
          <w:cols w:space="0" w:num="1"/>
          <w:rtlGutter w:val="0"/>
          <w:docGrid w:linePitch="0" w:charSpace="0"/>
        </w:sectPr>
      </w:pPr>
    </w:p>
    <w:p w14:paraId="55D0524D">
      <w:pPr>
        <w:pStyle w:val="139"/>
        <w:keepNext/>
        <w:keepLines/>
        <w:pageBreakBefore w:val="0"/>
        <w:widowControl/>
        <w:numPr>
          <w:ilvl w:val="0"/>
          <w:numId w:val="0"/>
        </w:numPr>
        <w:kinsoku/>
        <w:wordWrap w:val="0"/>
        <w:overflowPunct/>
        <w:topLinePunct/>
        <w:autoSpaceDE/>
        <w:autoSpaceDN/>
        <w:bidi w:val="0"/>
        <w:adjustRightInd w:val="0"/>
        <w:snapToGrid w:val="0"/>
        <w:ind w:left="0" w:leftChars="0" w:firstLine="0" w:firstLineChars="0"/>
        <w:textAlignment w:val="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附件</w:t>
      </w:r>
      <w:r>
        <w:rPr>
          <w:rFonts w:hint="eastAsia" w:ascii="宋体" w:hAnsi="宋体" w:eastAsia="宋体" w:cs="宋体"/>
          <w:color w:val="auto"/>
          <w:sz w:val="22"/>
          <w:szCs w:val="22"/>
          <w:lang w:val="en-US" w:eastAsia="zh-CN"/>
        </w:rPr>
        <w:t>4  关于同意发包人介入项目管理后工程款委托支付承诺函</w:t>
      </w:r>
    </w:p>
    <w:p w14:paraId="77D597DE">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left="0" w:leftChars="0" w:firstLine="0" w:firstLineChars="0"/>
        <w:jc w:val="both"/>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英山县市政工程建设管理中心：</w:t>
      </w:r>
    </w:p>
    <w:p w14:paraId="38EE9FB5">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420" w:firstLineChars="200"/>
        <w:jc w:val="both"/>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我公司承诺，中标后同意贵单位（发包人）根据签订的合同约定的介入条款生效，发包人可以直接向本项目合法的承包分包下游企业支付相应费用。</w:t>
      </w:r>
    </w:p>
    <w:p w14:paraId="57CB1827">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560"/>
        <w:jc w:val="both"/>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发包人代我司向分包单位支付工程款后</w:t>
      </w:r>
      <w:r>
        <w:rPr>
          <w:rFonts w:hint="eastAsia" w:ascii="宋体" w:hAnsi="宋体" w:cs="宋体"/>
          <w:b w:val="0"/>
          <w:bCs w:val="0"/>
          <w:color w:val="auto"/>
          <w:sz w:val="21"/>
          <w:szCs w:val="21"/>
          <w:lang w:val="en-US" w:eastAsia="zh-CN"/>
        </w:rPr>
        <w:t>，</w:t>
      </w:r>
      <w:r>
        <w:rPr>
          <w:rFonts w:hint="eastAsia" w:ascii="宋体" w:hAnsi="宋体" w:eastAsia="宋体" w:cs="宋体"/>
          <w:b w:val="0"/>
          <w:bCs w:val="0"/>
          <w:color w:val="auto"/>
          <w:sz w:val="21"/>
          <w:szCs w:val="21"/>
          <w:lang w:val="en-US" w:eastAsia="zh-CN"/>
        </w:rPr>
        <w:t>即视为发包人已经向我司履行了支付本项目同等金额工程款的义务，我司承诺在发包人代我司支付工程款的同时因该委托支付事宜产生的一切法律纠纷，均由我司自行承担，与贵单位无关。</w:t>
      </w:r>
    </w:p>
    <w:p w14:paraId="5CAD2CD7">
      <w:pPr>
        <w:keepNext w:val="0"/>
        <w:keepLines w:val="0"/>
        <w:pageBreakBefore w:val="0"/>
        <w:widowControl w:val="0"/>
        <w:kinsoku/>
        <w:wordWrap/>
        <w:overflowPunct/>
        <w:topLinePunct w:val="0"/>
        <w:autoSpaceDE/>
        <w:autoSpaceDN/>
        <w:bidi w:val="0"/>
        <w:adjustRightInd/>
        <w:snapToGrid/>
        <w:spacing w:before="157" w:beforeLines="50" w:after="157" w:afterLines="50"/>
        <w:ind w:firstLine="560"/>
        <w:jc w:val="both"/>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  </w:t>
      </w:r>
    </w:p>
    <w:p w14:paraId="51FF6E77">
      <w:pPr>
        <w:keepNext w:val="0"/>
        <w:keepLines w:val="0"/>
        <w:pageBreakBefore w:val="0"/>
        <w:widowControl w:val="0"/>
        <w:kinsoku/>
        <w:wordWrap/>
        <w:overflowPunct/>
        <w:topLinePunct w:val="0"/>
        <w:autoSpaceDE/>
        <w:autoSpaceDN/>
        <w:bidi w:val="0"/>
        <w:adjustRightInd/>
        <w:snapToGrid/>
        <w:spacing w:before="157" w:beforeLines="50" w:after="157" w:afterLines="50"/>
        <w:jc w:val="both"/>
        <w:textAlignment w:val="auto"/>
        <w:rPr>
          <w:rFonts w:hint="eastAsia" w:ascii="宋体" w:hAnsi="宋体" w:eastAsia="宋体" w:cs="宋体"/>
          <w:b/>
          <w:bCs/>
          <w:color w:val="auto"/>
          <w:sz w:val="21"/>
          <w:szCs w:val="21"/>
          <w:lang w:val="en-US" w:eastAsia="zh-CN"/>
        </w:rPr>
      </w:pPr>
    </w:p>
    <w:p w14:paraId="6E924F1E">
      <w:pPr>
        <w:keepNext w:val="0"/>
        <w:keepLines w:val="0"/>
        <w:pageBreakBefore w:val="0"/>
        <w:widowControl w:val="0"/>
        <w:kinsoku/>
        <w:wordWrap/>
        <w:overflowPunct/>
        <w:topLinePunct w:val="0"/>
        <w:autoSpaceDE/>
        <w:autoSpaceDN/>
        <w:bidi w:val="0"/>
        <w:adjustRightInd/>
        <w:snapToGrid/>
        <w:spacing w:before="157" w:beforeLines="50" w:after="157" w:afterLines="50"/>
        <w:jc w:val="both"/>
        <w:textAlignment w:val="auto"/>
        <w:rPr>
          <w:rFonts w:hint="eastAsia" w:ascii="宋体" w:hAnsi="宋体" w:eastAsia="宋体" w:cs="宋体"/>
          <w:b/>
          <w:bCs/>
          <w:color w:val="auto"/>
          <w:sz w:val="21"/>
          <w:szCs w:val="21"/>
          <w:lang w:val="en-US" w:eastAsia="zh-CN"/>
        </w:rPr>
      </w:pPr>
    </w:p>
    <w:p w14:paraId="1A5627B6">
      <w:pPr>
        <w:keepNext w:val="0"/>
        <w:keepLines w:val="0"/>
        <w:pageBreakBefore w:val="0"/>
        <w:widowControl w:val="0"/>
        <w:kinsoku/>
        <w:wordWrap/>
        <w:overflowPunct/>
        <w:topLinePunct w:val="0"/>
        <w:autoSpaceDE/>
        <w:autoSpaceDN/>
        <w:bidi w:val="0"/>
        <w:adjustRightInd/>
        <w:snapToGrid/>
        <w:spacing w:before="157" w:beforeLines="50" w:after="157" w:afterLines="50"/>
        <w:ind w:firstLine="3150" w:firstLineChars="1500"/>
        <w:jc w:val="both"/>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承包人（公章）：</w:t>
      </w:r>
    </w:p>
    <w:p w14:paraId="7C1E1E46">
      <w:pPr>
        <w:keepNext w:val="0"/>
        <w:keepLines w:val="0"/>
        <w:pageBreakBefore w:val="0"/>
        <w:widowControl w:val="0"/>
        <w:kinsoku/>
        <w:wordWrap/>
        <w:overflowPunct/>
        <w:topLinePunct w:val="0"/>
        <w:autoSpaceDE/>
        <w:autoSpaceDN/>
        <w:bidi w:val="0"/>
        <w:adjustRightInd/>
        <w:snapToGrid/>
        <w:spacing w:before="157" w:beforeLines="50" w:after="157" w:afterLines="50"/>
        <w:ind w:firstLine="3150" w:firstLineChars="1500"/>
        <w:jc w:val="both"/>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法定代表人（签字盖章）：</w:t>
      </w:r>
    </w:p>
    <w:p w14:paraId="5A829D74">
      <w:pPr>
        <w:keepNext w:val="0"/>
        <w:keepLines w:val="0"/>
        <w:pageBreakBefore w:val="0"/>
        <w:widowControl w:val="0"/>
        <w:kinsoku/>
        <w:wordWrap/>
        <w:overflowPunct/>
        <w:topLinePunct w:val="0"/>
        <w:autoSpaceDE/>
        <w:autoSpaceDN/>
        <w:bidi w:val="0"/>
        <w:adjustRightInd/>
        <w:snapToGrid/>
        <w:spacing w:before="157" w:beforeLines="50" w:after="157" w:afterLines="50"/>
        <w:ind w:firstLine="3150" w:firstLineChars="1500"/>
        <w:jc w:val="both"/>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日期：</w:t>
      </w:r>
    </w:p>
    <w:p w14:paraId="2BEBBEBF">
      <w:pPr>
        <w:pageBreakBefore w:val="0"/>
        <w:wordWrap/>
        <w:overflowPunct/>
        <w:topLinePunct w:val="0"/>
        <w:bidi w:val="0"/>
        <w:adjustRightInd/>
        <w:snapToGrid/>
        <w:spacing w:after="0" w:afterLines="0" w:line="240" w:lineRule="auto"/>
        <w:ind w:firstLine="420" w:firstLineChars="200"/>
        <w:jc w:val="left"/>
        <w:textAlignment w:val="auto"/>
        <w:outlineLvl w:val="2"/>
        <w:rPr>
          <w:rFonts w:hint="eastAsia" w:ascii="宋体" w:hAnsi="宋体" w:eastAsia="宋体" w:cs="宋体"/>
          <w:color w:val="auto"/>
          <w:sz w:val="21"/>
          <w:szCs w:val="21"/>
        </w:rPr>
      </w:pPr>
    </w:p>
    <w:p w14:paraId="245F4D8D">
      <w:pPr>
        <w:pageBreakBefore w:val="0"/>
        <w:wordWrap/>
        <w:overflowPunct/>
        <w:topLinePunct w:val="0"/>
        <w:bidi w:val="0"/>
        <w:adjustRightInd/>
        <w:snapToGrid/>
        <w:spacing w:after="0" w:afterLines="0" w:line="240" w:lineRule="auto"/>
        <w:ind w:firstLine="600" w:firstLineChars="200"/>
        <w:jc w:val="left"/>
        <w:textAlignment w:val="auto"/>
        <w:outlineLvl w:val="2"/>
        <w:rPr>
          <w:rFonts w:hint="eastAsia" w:ascii="仿宋_GB2312" w:eastAsia="仿宋_GB2312"/>
          <w:color w:val="auto"/>
          <w:sz w:val="30"/>
          <w:szCs w:val="30"/>
        </w:rPr>
      </w:pPr>
    </w:p>
    <w:p w14:paraId="580D200C">
      <w:pPr>
        <w:pageBreakBefore w:val="0"/>
        <w:wordWrap/>
        <w:overflowPunct/>
        <w:topLinePunct w:val="0"/>
        <w:bidi w:val="0"/>
        <w:adjustRightInd/>
        <w:snapToGrid/>
        <w:spacing w:after="0" w:afterLines="0" w:line="240" w:lineRule="auto"/>
        <w:ind w:firstLine="600" w:firstLineChars="200"/>
        <w:jc w:val="left"/>
        <w:textAlignment w:val="auto"/>
        <w:outlineLvl w:val="2"/>
        <w:rPr>
          <w:rFonts w:hint="eastAsia" w:ascii="仿宋_GB2312" w:eastAsia="仿宋_GB2312"/>
          <w:color w:val="auto"/>
          <w:sz w:val="30"/>
          <w:szCs w:val="30"/>
        </w:rPr>
      </w:pPr>
    </w:p>
    <w:p w14:paraId="3779FA91">
      <w:pPr>
        <w:pageBreakBefore w:val="0"/>
        <w:wordWrap/>
        <w:overflowPunct/>
        <w:topLinePunct w:val="0"/>
        <w:bidi w:val="0"/>
        <w:adjustRightInd/>
        <w:snapToGrid/>
        <w:spacing w:after="0" w:afterLines="0" w:line="240" w:lineRule="auto"/>
        <w:ind w:firstLine="600" w:firstLineChars="200"/>
        <w:jc w:val="left"/>
        <w:textAlignment w:val="auto"/>
        <w:outlineLvl w:val="2"/>
        <w:rPr>
          <w:rFonts w:hint="eastAsia" w:ascii="仿宋_GB2312" w:eastAsia="仿宋_GB2312"/>
          <w:color w:val="auto"/>
          <w:sz w:val="30"/>
          <w:szCs w:val="30"/>
        </w:rPr>
      </w:pPr>
    </w:p>
    <w:p w14:paraId="3BF39DC5">
      <w:pPr>
        <w:pageBreakBefore w:val="0"/>
        <w:wordWrap/>
        <w:overflowPunct/>
        <w:topLinePunct w:val="0"/>
        <w:bidi w:val="0"/>
        <w:adjustRightInd/>
        <w:snapToGrid/>
        <w:spacing w:after="0" w:afterLines="0" w:line="240" w:lineRule="auto"/>
        <w:ind w:firstLine="600" w:firstLineChars="200"/>
        <w:jc w:val="left"/>
        <w:textAlignment w:val="auto"/>
        <w:outlineLvl w:val="2"/>
        <w:rPr>
          <w:rFonts w:hint="eastAsia" w:ascii="仿宋_GB2312" w:eastAsia="仿宋_GB2312"/>
          <w:color w:val="auto"/>
          <w:sz w:val="30"/>
          <w:szCs w:val="30"/>
        </w:rPr>
      </w:pPr>
    </w:p>
    <w:p w14:paraId="340CB0B2">
      <w:pPr>
        <w:pageBreakBefore w:val="0"/>
        <w:wordWrap/>
        <w:overflowPunct/>
        <w:topLinePunct w:val="0"/>
        <w:bidi w:val="0"/>
        <w:adjustRightInd/>
        <w:snapToGrid/>
        <w:spacing w:after="0" w:afterLines="0" w:line="240" w:lineRule="auto"/>
        <w:ind w:firstLine="600" w:firstLineChars="200"/>
        <w:jc w:val="left"/>
        <w:textAlignment w:val="auto"/>
        <w:outlineLvl w:val="2"/>
        <w:rPr>
          <w:rFonts w:hint="eastAsia" w:ascii="仿宋_GB2312" w:eastAsia="仿宋_GB2312"/>
          <w:color w:val="auto"/>
          <w:sz w:val="30"/>
          <w:szCs w:val="30"/>
        </w:rPr>
      </w:pPr>
    </w:p>
    <w:p w14:paraId="7DFC66B1">
      <w:pPr>
        <w:pageBreakBefore w:val="0"/>
        <w:wordWrap/>
        <w:overflowPunct/>
        <w:topLinePunct w:val="0"/>
        <w:bidi w:val="0"/>
        <w:adjustRightInd/>
        <w:snapToGrid/>
        <w:spacing w:after="0" w:afterLines="0" w:line="240" w:lineRule="auto"/>
        <w:ind w:firstLine="600" w:firstLineChars="200"/>
        <w:jc w:val="left"/>
        <w:textAlignment w:val="auto"/>
        <w:outlineLvl w:val="2"/>
        <w:rPr>
          <w:rFonts w:hint="eastAsia" w:ascii="仿宋_GB2312" w:eastAsia="仿宋_GB2312"/>
          <w:color w:val="auto"/>
          <w:sz w:val="30"/>
          <w:szCs w:val="30"/>
        </w:rPr>
      </w:pPr>
    </w:p>
    <w:p w14:paraId="2BB5958E">
      <w:pPr>
        <w:pageBreakBefore w:val="0"/>
        <w:wordWrap/>
        <w:overflowPunct/>
        <w:topLinePunct w:val="0"/>
        <w:bidi w:val="0"/>
        <w:adjustRightInd/>
        <w:snapToGrid/>
        <w:spacing w:after="0" w:afterLines="0" w:line="240" w:lineRule="auto"/>
        <w:ind w:firstLine="600" w:firstLineChars="200"/>
        <w:jc w:val="left"/>
        <w:textAlignment w:val="auto"/>
        <w:outlineLvl w:val="2"/>
        <w:rPr>
          <w:rFonts w:hint="eastAsia" w:ascii="仿宋_GB2312" w:eastAsia="仿宋_GB2312"/>
          <w:color w:val="auto"/>
          <w:sz w:val="30"/>
          <w:szCs w:val="30"/>
        </w:rPr>
      </w:pPr>
    </w:p>
    <w:p w14:paraId="59F84BFE">
      <w:pPr>
        <w:pageBreakBefore w:val="0"/>
        <w:wordWrap/>
        <w:overflowPunct/>
        <w:topLinePunct w:val="0"/>
        <w:bidi w:val="0"/>
        <w:adjustRightInd/>
        <w:snapToGrid/>
        <w:spacing w:after="0" w:afterLines="0" w:line="240" w:lineRule="auto"/>
        <w:ind w:firstLine="600" w:firstLineChars="200"/>
        <w:jc w:val="left"/>
        <w:textAlignment w:val="auto"/>
        <w:outlineLvl w:val="2"/>
        <w:rPr>
          <w:rFonts w:hint="eastAsia" w:ascii="仿宋_GB2312" w:eastAsia="仿宋_GB2312"/>
          <w:color w:val="auto"/>
          <w:sz w:val="30"/>
          <w:szCs w:val="30"/>
        </w:rPr>
      </w:pPr>
    </w:p>
    <w:p w14:paraId="19B6DBDF">
      <w:pPr>
        <w:pageBreakBefore w:val="0"/>
        <w:wordWrap/>
        <w:overflowPunct/>
        <w:topLinePunct w:val="0"/>
        <w:bidi w:val="0"/>
        <w:adjustRightInd/>
        <w:snapToGrid/>
        <w:spacing w:after="0" w:afterLines="0" w:line="240" w:lineRule="auto"/>
        <w:ind w:firstLine="600" w:firstLineChars="200"/>
        <w:jc w:val="left"/>
        <w:textAlignment w:val="auto"/>
        <w:outlineLvl w:val="2"/>
        <w:rPr>
          <w:rFonts w:hint="eastAsia" w:ascii="仿宋_GB2312" w:eastAsia="仿宋_GB2312"/>
          <w:color w:val="auto"/>
          <w:sz w:val="30"/>
          <w:szCs w:val="30"/>
        </w:rPr>
      </w:pPr>
    </w:p>
    <w:p w14:paraId="20524DAE">
      <w:pPr>
        <w:pageBreakBefore w:val="0"/>
        <w:wordWrap/>
        <w:overflowPunct/>
        <w:topLinePunct w:val="0"/>
        <w:bidi w:val="0"/>
        <w:adjustRightInd/>
        <w:snapToGrid/>
        <w:spacing w:after="0" w:afterLines="0" w:line="240" w:lineRule="auto"/>
        <w:ind w:firstLine="600" w:firstLineChars="200"/>
        <w:jc w:val="left"/>
        <w:textAlignment w:val="auto"/>
        <w:outlineLvl w:val="2"/>
        <w:rPr>
          <w:rFonts w:hint="eastAsia" w:ascii="仿宋_GB2312" w:eastAsia="仿宋_GB2312"/>
          <w:color w:val="auto"/>
          <w:sz w:val="30"/>
          <w:szCs w:val="30"/>
        </w:rPr>
      </w:pPr>
    </w:p>
    <w:p w14:paraId="444156B1">
      <w:pPr>
        <w:pageBreakBefore w:val="0"/>
        <w:wordWrap/>
        <w:overflowPunct/>
        <w:topLinePunct w:val="0"/>
        <w:bidi w:val="0"/>
        <w:adjustRightInd/>
        <w:snapToGrid/>
        <w:spacing w:after="0" w:afterLines="0" w:line="240" w:lineRule="auto"/>
        <w:ind w:firstLine="600" w:firstLineChars="200"/>
        <w:jc w:val="left"/>
        <w:textAlignment w:val="auto"/>
        <w:outlineLvl w:val="2"/>
        <w:rPr>
          <w:rFonts w:hint="eastAsia" w:ascii="仿宋_GB2312" w:eastAsia="仿宋_GB2312"/>
          <w:color w:val="auto"/>
          <w:sz w:val="30"/>
          <w:szCs w:val="30"/>
        </w:rPr>
      </w:pPr>
    </w:p>
    <w:p w14:paraId="101DA708">
      <w:pPr>
        <w:pageBreakBefore w:val="0"/>
        <w:wordWrap/>
        <w:overflowPunct/>
        <w:topLinePunct w:val="0"/>
        <w:bidi w:val="0"/>
        <w:adjustRightInd/>
        <w:snapToGrid/>
        <w:spacing w:after="0" w:afterLines="0" w:line="240" w:lineRule="auto"/>
        <w:ind w:firstLine="600" w:firstLineChars="200"/>
        <w:jc w:val="left"/>
        <w:textAlignment w:val="auto"/>
        <w:outlineLvl w:val="2"/>
        <w:rPr>
          <w:rFonts w:hint="eastAsia" w:ascii="仿宋_GB2312" w:eastAsia="仿宋_GB2312"/>
          <w:color w:val="auto"/>
          <w:sz w:val="30"/>
          <w:szCs w:val="30"/>
        </w:rPr>
      </w:pPr>
    </w:p>
    <w:p w14:paraId="52D57DB5">
      <w:pPr>
        <w:pageBreakBefore w:val="0"/>
        <w:wordWrap/>
        <w:overflowPunct/>
        <w:topLinePunct w:val="0"/>
        <w:bidi w:val="0"/>
        <w:adjustRightInd/>
        <w:snapToGrid/>
        <w:spacing w:after="0" w:afterLines="0" w:line="240" w:lineRule="auto"/>
        <w:ind w:firstLine="600" w:firstLineChars="200"/>
        <w:jc w:val="left"/>
        <w:textAlignment w:val="auto"/>
        <w:outlineLvl w:val="2"/>
        <w:rPr>
          <w:rFonts w:hint="eastAsia" w:ascii="仿宋_GB2312" w:eastAsia="仿宋_GB2312"/>
          <w:color w:val="auto"/>
          <w:sz w:val="30"/>
          <w:szCs w:val="30"/>
        </w:rPr>
      </w:pPr>
    </w:p>
    <w:p w14:paraId="4CF9B50B">
      <w:pPr>
        <w:pageBreakBefore w:val="0"/>
        <w:wordWrap/>
        <w:overflowPunct/>
        <w:topLinePunct w:val="0"/>
        <w:bidi w:val="0"/>
        <w:adjustRightInd/>
        <w:snapToGrid/>
        <w:spacing w:after="0" w:afterLines="0" w:line="240" w:lineRule="auto"/>
        <w:ind w:firstLine="600" w:firstLineChars="200"/>
        <w:jc w:val="left"/>
        <w:textAlignment w:val="auto"/>
        <w:outlineLvl w:val="2"/>
        <w:rPr>
          <w:rFonts w:hint="eastAsia" w:ascii="仿宋_GB2312" w:eastAsia="仿宋_GB2312"/>
          <w:color w:val="auto"/>
          <w:sz w:val="30"/>
          <w:szCs w:val="30"/>
        </w:rPr>
      </w:pPr>
    </w:p>
    <w:p w14:paraId="08E6ACC6">
      <w:pPr>
        <w:pageBreakBefore w:val="0"/>
        <w:wordWrap/>
        <w:overflowPunct/>
        <w:topLinePunct w:val="0"/>
        <w:bidi w:val="0"/>
        <w:adjustRightInd/>
        <w:snapToGrid/>
        <w:spacing w:after="0" w:afterLines="0" w:line="240" w:lineRule="auto"/>
        <w:ind w:firstLine="600" w:firstLineChars="200"/>
        <w:jc w:val="left"/>
        <w:textAlignment w:val="auto"/>
        <w:outlineLvl w:val="2"/>
        <w:rPr>
          <w:rFonts w:hint="eastAsia" w:ascii="仿宋_GB2312" w:eastAsia="仿宋_GB2312"/>
          <w:color w:val="auto"/>
          <w:sz w:val="30"/>
          <w:szCs w:val="30"/>
        </w:rPr>
      </w:pPr>
    </w:p>
    <w:p w14:paraId="545E257B">
      <w:pPr>
        <w:pageBreakBefore w:val="0"/>
        <w:wordWrap/>
        <w:overflowPunct/>
        <w:topLinePunct w:val="0"/>
        <w:bidi w:val="0"/>
        <w:adjustRightInd/>
        <w:snapToGrid/>
        <w:spacing w:after="0" w:afterLines="0" w:line="240" w:lineRule="auto"/>
        <w:ind w:firstLine="600" w:firstLineChars="200"/>
        <w:jc w:val="left"/>
        <w:textAlignment w:val="auto"/>
        <w:outlineLvl w:val="2"/>
        <w:rPr>
          <w:rFonts w:hint="eastAsia" w:ascii="仿宋_GB2312" w:eastAsia="仿宋_GB2312"/>
          <w:color w:val="auto"/>
          <w:sz w:val="30"/>
          <w:szCs w:val="30"/>
        </w:rPr>
      </w:pPr>
    </w:p>
    <w:p w14:paraId="6C49FB83">
      <w:pPr>
        <w:pStyle w:val="139"/>
        <w:numPr>
          <w:ilvl w:val="0"/>
          <w:numId w:val="0"/>
        </w:numPr>
        <w:bidi w:val="0"/>
        <w:ind w:left="780" w:leftChars="0" w:hanging="360" w:firstLineChars="0"/>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附件5  联合体协议书</w:t>
      </w:r>
    </w:p>
    <w:p w14:paraId="389B87DC">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420" w:firstLineChars="200"/>
        <w:jc w:val="both"/>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同本招标文件第七章“联合体协议书”。</w:t>
      </w:r>
    </w:p>
    <w:p w14:paraId="5D9A6E3F">
      <w:pPr>
        <w:keepNext w:val="0"/>
        <w:keepLines w:val="0"/>
        <w:pageBreakBefore w:val="0"/>
        <w:widowControl w:val="0"/>
        <w:kinsoku/>
        <w:wordWrap/>
        <w:overflowPunct/>
        <w:topLinePunct w:val="0"/>
        <w:autoSpaceDE/>
        <w:autoSpaceDN/>
        <w:bidi w:val="0"/>
        <w:adjustRightInd/>
        <w:snapToGrid/>
        <w:spacing w:before="157" w:beforeLines="50" w:after="157" w:afterLines="50"/>
        <w:ind w:firstLine="420" w:firstLineChars="200"/>
        <w:jc w:val="both"/>
        <w:textAlignment w:val="auto"/>
        <w:rPr>
          <w:rFonts w:hint="eastAsia" w:ascii="宋体" w:hAnsi="宋体" w:eastAsia="宋体" w:cs="宋体"/>
          <w:b w:val="0"/>
          <w:bCs w:val="0"/>
          <w:color w:val="auto"/>
          <w:sz w:val="21"/>
          <w:szCs w:val="21"/>
          <w:lang w:val="en-US" w:eastAsia="zh-CN"/>
        </w:rPr>
      </w:pPr>
    </w:p>
    <w:p w14:paraId="47F6A74B">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343F4830">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30FE07D6">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35C9E544">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67428F66">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56B8170F">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2926FBDF">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36972E4B">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55230515">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572C3002">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630413F7">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3CB4AC25">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4ABDF9A1">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0D470E36">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59E83BC2">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22869E02">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7EA1B4AA">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50574B51">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49CBFA3F">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09BA421B">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3A5F189F">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63E67BE5">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119975D0">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5DC62391">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318BCE12">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470267B9">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300A4772">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6A327AF0">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6A7B8FC1">
      <w:pPr>
        <w:pageBreakBefore w:val="0"/>
        <w:wordWrap/>
        <w:overflowPunct/>
        <w:topLinePunct w:val="0"/>
        <w:bidi w:val="0"/>
        <w:adjustRightInd/>
        <w:snapToGrid/>
        <w:spacing w:after="0" w:afterLines="0" w:line="240" w:lineRule="auto"/>
        <w:ind w:firstLine="602" w:firstLineChars="200"/>
        <w:jc w:val="left"/>
        <w:textAlignment w:val="auto"/>
        <w:outlineLvl w:val="2"/>
        <w:rPr>
          <w:rFonts w:hint="eastAsia" w:ascii="黑体" w:hAnsi="黑体" w:eastAsia="黑体" w:cs="黑体"/>
          <w:b/>
          <w:color w:val="auto"/>
          <w:sz w:val="30"/>
          <w:szCs w:val="30"/>
          <w:lang w:val="en-US" w:eastAsia="zh-CN"/>
        </w:rPr>
      </w:pPr>
    </w:p>
    <w:p w14:paraId="505F1BF2">
      <w:pPr>
        <w:pStyle w:val="139"/>
        <w:numPr>
          <w:ilvl w:val="0"/>
          <w:numId w:val="0"/>
        </w:numPr>
        <w:bidi w:val="0"/>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附件6   答辩记录</w:t>
      </w:r>
    </w:p>
    <w:p w14:paraId="236AF044">
      <w:pPr>
        <w:pageBreakBefore w:val="0"/>
        <w:wordWrap/>
        <w:overflowPunct/>
        <w:topLinePunct w:val="0"/>
        <w:bidi w:val="0"/>
        <w:adjustRightInd/>
        <w:snapToGrid/>
        <w:spacing w:after="0" w:afterLines="0" w:line="240" w:lineRule="auto"/>
        <w:ind w:firstLine="600" w:firstLineChars="200"/>
        <w:jc w:val="left"/>
        <w:textAlignment w:val="auto"/>
        <w:outlineLvl w:val="2"/>
        <w:rPr>
          <w:rFonts w:hint="eastAsia" w:ascii="仿宋_GB2312" w:eastAsia="仿宋_GB2312"/>
          <w:color w:val="auto"/>
          <w:sz w:val="30"/>
          <w:szCs w:val="30"/>
        </w:rPr>
      </w:pPr>
    </w:p>
    <w:p w14:paraId="0056051B">
      <w:pPr>
        <w:pageBreakBefore w:val="0"/>
        <w:wordWrap/>
        <w:overflowPunct/>
        <w:topLinePunct w:val="0"/>
        <w:bidi w:val="0"/>
        <w:adjustRightInd/>
        <w:snapToGrid/>
        <w:spacing w:after="0" w:afterLines="0" w:line="240" w:lineRule="auto"/>
        <w:ind w:firstLine="600" w:firstLineChars="200"/>
        <w:jc w:val="left"/>
        <w:textAlignment w:val="auto"/>
        <w:outlineLvl w:val="2"/>
        <w:rPr>
          <w:rFonts w:hint="eastAsia" w:ascii="仿宋_GB2312" w:eastAsia="仿宋_GB2312"/>
          <w:color w:val="auto"/>
          <w:sz w:val="30"/>
          <w:szCs w:val="30"/>
        </w:rPr>
      </w:pPr>
    </w:p>
    <w:p w14:paraId="20C787E2">
      <w:pPr>
        <w:pageBreakBefore w:val="0"/>
        <w:wordWrap/>
        <w:overflowPunct/>
        <w:topLinePunct w:val="0"/>
        <w:bidi w:val="0"/>
        <w:adjustRightInd/>
        <w:snapToGrid/>
        <w:spacing w:after="0" w:afterLines="0" w:line="240" w:lineRule="auto"/>
        <w:ind w:firstLine="600" w:firstLineChars="200"/>
        <w:jc w:val="left"/>
        <w:textAlignment w:val="auto"/>
        <w:outlineLvl w:val="2"/>
        <w:rPr>
          <w:rFonts w:hint="eastAsia" w:ascii="仿宋_GB2312" w:eastAsia="仿宋_GB2312"/>
          <w:color w:val="auto"/>
          <w:sz w:val="30"/>
          <w:szCs w:val="30"/>
        </w:rPr>
      </w:pPr>
    </w:p>
    <w:p w14:paraId="10EDAA63">
      <w:pPr>
        <w:pageBreakBefore w:val="0"/>
        <w:wordWrap/>
        <w:overflowPunct/>
        <w:topLinePunct w:val="0"/>
        <w:bidi w:val="0"/>
        <w:adjustRightInd/>
        <w:snapToGrid/>
        <w:spacing w:after="0" w:afterLines="0" w:line="240" w:lineRule="auto"/>
        <w:ind w:firstLine="600" w:firstLineChars="200"/>
        <w:jc w:val="left"/>
        <w:textAlignment w:val="auto"/>
        <w:outlineLvl w:val="2"/>
        <w:rPr>
          <w:rFonts w:hint="eastAsia" w:ascii="仿宋_GB2312" w:eastAsia="仿宋_GB2312"/>
          <w:color w:val="auto"/>
          <w:sz w:val="30"/>
          <w:szCs w:val="30"/>
        </w:rPr>
      </w:pPr>
    </w:p>
    <w:p w14:paraId="0A9DFBDB">
      <w:pPr>
        <w:pageBreakBefore w:val="0"/>
        <w:wordWrap/>
        <w:overflowPunct/>
        <w:topLinePunct w:val="0"/>
        <w:bidi w:val="0"/>
        <w:adjustRightInd/>
        <w:snapToGrid/>
        <w:spacing w:after="0" w:afterLines="0" w:line="240" w:lineRule="auto"/>
        <w:ind w:left="0" w:leftChars="0" w:firstLine="0" w:firstLineChars="0"/>
        <w:jc w:val="both"/>
        <w:textAlignment w:val="auto"/>
        <w:outlineLvl w:val="2"/>
        <w:rPr>
          <w:rFonts w:hint="eastAsia" w:ascii="仿宋_GB2312" w:eastAsia="仿宋_GB2312"/>
          <w:color w:val="auto"/>
          <w:sz w:val="30"/>
          <w:szCs w:val="30"/>
          <w:lang w:eastAsia="zh-CN"/>
        </w:rPr>
      </w:pPr>
    </w:p>
    <w:p w14:paraId="1925F66C">
      <w:pPr>
        <w:rPr>
          <w:rFonts w:ascii="宋体" w:hAnsi="宋体" w:eastAsia="宋体"/>
          <w:color w:val="auto"/>
          <w:sz w:val="21"/>
          <w:szCs w:val="21"/>
        </w:rPr>
      </w:pPr>
    </w:p>
    <w:p w14:paraId="061B6026">
      <w:pPr>
        <w:rPr>
          <w:rFonts w:ascii="宋体" w:hAnsi="宋体" w:eastAsia="宋体"/>
          <w:color w:val="auto"/>
          <w:sz w:val="21"/>
          <w:szCs w:val="21"/>
        </w:rPr>
      </w:pPr>
    </w:p>
    <w:p w14:paraId="450663B4">
      <w:pPr>
        <w:rPr>
          <w:rFonts w:ascii="宋体" w:hAnsi="宋体" w:eastAsia="宋体"/>
          <w:color w:val="auto"/>
          <w:sz w:val="21"/>
          <w:szCs w:val="21"/>
        </w:rPr>
      </w:pPr>
    </w:p>
    <w:p w14:paraId="12EBA213">
      <w:pPr>
        <w:rPr>
          <w:rFonts w:ascii="宋体" w:hAnsi="宋体" w:eastAsia="宋体"/>
          <w:color w:val="auto"/>
          <w:sz w:val="21"/>
          <w:szCs w:val="21"/>
        </w:rPr>
      </w:pPr>
    </w:p>
    <w:p w14:paraId="5C7B6778">
      <w:pPr>
        <w:rPr>
          <w:rFonts w:ascii="宋体" w:hAnsi="宋体" w:eastAsia="宋体"/>
          <w:color w:val="auto"/>
          <w:sz w:val="21"/>
          <w:szCs w:val="21"/>
        </w:rPr>
      </w:pPr>
    </w:p>
    <w:p w14:paraId="1AE16C8A">
      <w:pPr>
        <w:rPr>
          <w:rFonts w:ascii="宋体" w:hAnsi="宋体"/>
          <w:color w:val="auto"/>
          <w:szCs w:val="21"/>
        </w:rPr>
      </w:pPr>
      <w:r>
        <w:rPr>
          <w:rFonts w:ascii="宋体" w:hAnsi="宋体"/>
          <w:color w:val="auto"/>
          <w:szCs w:val="21"/>
        </w:rPr>
        <w:br w:type="page"/>
      </w:r>
    </w:p>
    <w:bookmarkEnd w:id="980"/>
    <w:bookmarkEnd w:id="981"/>
    <w:bookmarkEnd w:id="982"/>
    <w:bookmarkEnd w:id="983"/>
    <w:bookmarkEnd w:id="984"/>
    <w:bookmarkEnd w:id="985"/>
    <w:p w14:paraId="4E0E1DA8">
      <w:pPr>
        <w:spacing w:line="440" w:lineRule="exact"/>
        <w:jc w:val="center"/>
        <w:rPr>
          <w:rFonts w:hint="eastAsia"/>
          <w:color w:val="auto"/>
          <w:sz w:val="20"/>
          <w:szCs w:val="20"/>
        </w:rPr>
      </w:pPr>
    </w:p>
    <w:p w14:paraId="7CE5A92A">
      <w:pPr>
        <w:pStyle w:val="100"/>
        <w:rPr>
          <w:color w:val="auto"/>
        </w:rPr>
      </w:pPr>
      <w:bookmarkStart w:id="2029" w:name="_Toc247514233"/>
      <w:bookmarkStart w:id="2030" w:name="_Toc152042571"/>
      <w:bookmarkStart w:id="2031" w:name="_Toc247527820"/>
      <w:bookmarkStart w:id="2032" w:name="_Toc152045782"/>
      <w:bookmarkStart w:id="2033" w:name="_Toc144974851"/>
      <w:bookmarkStart w:id="2034" w:name="_Toc24788"/>
      <w:bookmarkStart w:id="2035" w:name="_Toc519085627"/>
      <w:bookmarkStart w:id="2036" w:name="_Toc22294"/>
      <w:bookmarkStart w:id="2037" w:name="_Toc19587"/>
      <w:bookmarkStart w:id="2038" w:name="_Toc1763"/>
      <w:bookmarkStart w:id="2039" w:name="_Toc154064013"/>
      <w:r>
        <w:rPr>
          <w:rFonts w:hint="eastAsia"/>
          <w:color w:val="auto"/>
        </w:rPr>
        <w:t xml:space="preserve">第五章  </w:t>
      </w:r>
      <w:bookmarkEnd w:id="2029"/>
      <w:bookmarkEnd w:id="2030"/>
      <w:bookmarkEnd w:id="2031"/>
      <w:bookmarkEnd w:id="2032"/>
      <w:bookmarkEnd w:id="2033"/>
      <w:r>
        <w:rPr>
          <w:rFonts w:hint="eastAsia"/>
          <w:color w:val="auto"/>
        </w:rPr>
        <w:t>发包人要求</w:t>
      </w:r>
      <w:bookmarkEnd w:id="2034"/>
      <w:bookmarkEnd w:id="2035"/>
      <w:bookmarkEnd w:id="2036"/>
      <w:bookmarkEnd w:id="2037"/>
      <w:bookmarkEnd w:id="2038"/>
      <w:bookmarkEnd w:id="2039"/>
    </w:p>
    <w:p w14:paraId="0DD5A06D">
      <w:pPr>
        <w:topLinePunct/>
        <w:spacing w:line="440" w:lineRule="exact"/>
        <w:jc w:val="center"/>
        <w:rPr>
          <w:color w:val="auto"/>
        </w:rPr>
      </w:pPr>
    </w:p>
    <w:p w14:paraId="12BA2A38">
      <w:pPr>
        <w:spacing w:line="440" w:lineRule="exact"/>
        <w:jc w:val="center"/>
        <w:rPr>
          <w:rFonts w:hint="eastAsia" w:ascii="黑体" w:hAnsi="黑体" w:eastAsia="黑体"/>
          <w:color w:val="auto"/>
          <w:sz w:val="32"/>
          <w:szCs w:val="32"/>
        </w:rPr>
      </w:pPr>
      <w:r>
        <w:rPr>
          <w:color w:val="auto"/>
        </w:rPr>
        <w:br w:type="page"/>
      </w:r>
      <w:bookmarkStart w:id="2040" w:name="_Toc11025"/>
      <w:bookmarkStart w:id="2041" w:name="_Toc3590"/>
      <w:bookmarkStart w:id="2042" w:name="_Toc22525"/>
      <w:bookmarkStart w:id="2043" w:name="_Toc31412"/>
      <w:r>
        <w:rPr>
          <w:rFonts w:hint="eastAsia" w:ascii="黑体" w:hAnsi="黑体" w:eastAsia="黑体"/>
          <w:color w:val="auto"/>
          <w:sz w:val="32"/>
          <w:szCs w:val="32"/>
        </w:rPr>
        <w:t>发包人要求</w:t>
      </w:r>
      <w:bookmarkEnd w:id="2040"/>
      <w:bookmarkEnd w:id="2041"/>
      <w:bookmarkEnd w:id="2042"/>
      <w:bookmarkEnd w:id="2043"/>
    </w:p>
    <w:p w14:paraId="7C7A8FD4">
      <w:pPr>
        <w:spacing w:line="400" w:lineRule="exact"/>
        <w:rPr>
          <w:rFonts w:hint="eastAsia"/>
          <w:color w:val="auto"/>
        </w:rPr>
      </w:pPr>
    </w:p>
    <w:p w14:paraId="43B08EA4">
      <w:pPr>
        <w:spacing w:line="440" w:lineRule="exact"/>
        <w:ind w:firstLine="359" w:firstLineChars="171"/>
        <w:rPr>
          <w:rFonts w:hint="eastAsia" w:ascii="宋体" w:hAnsi="宋体"/>
          <w:color w:val="auto"/>
          <w:szCs w:val="21"/>
        </w:rPr>
      </w:pPr>
      <w:r>
        <w:rPr>
          <w:rFonts w:hint="eastAsia" w:ascii="宋体" w:hAnsi="宋体"/>
          <w:color w:val="auto"/>
          <w:szCs w:val="21"/>
        </w:rPr>
        <w:t>发包人要求应尽可能清晰准确，对于可以进行定量评估的工作，发包人要求不仅应明确规定其产能、功能、用途、质量、环境、安全，并且要规定偏离的范围和计算方法，以及检验、试验、试运行的具体要求。对于承包人负责提供的有关设备和服务，对发包人人员进行培训和提供一些消耗品等，在发包人要求中应一并明确规定。</w:t>
      </w:r>
    </w:p>
    <w:p w14:paraId="0CDC50AC">
      <w:pPr>
        <w:spacing w:line="440" w:lineRule="exact"/>
        <w:ind w:firstLine="359" w:firstLineChars="171"/>
        <w:rPr>
          <w:rFonts w:hint="eastAsia" w:ascii="宋体" w:hAnsi="宋体"/>
          <w:color w:val="auto"/>
          <w:szCs w:val="21"/>
        </w:rPr>
      </w:pPr>
      <w:r>
        <w:rPr>
          <w:rFonts w:hint="eastAsia" w:ascii="宋体" w:hAnsi="宋体"/>
          <w:color w:val="auto"/>
          <w:szCs w:val="21"/>
        </w:rPr>
        <w:t>发包人要求通常包括但不限于以下内容：</w:t>
      </w:r>
    </w:p>
    <w:p w14:paraId="5CFC3E15">
      <w:pPr>
        <w:spacing w:line="440" w:lineRule="exact"/>
        <w:ind w:firstLine="359" w:firstLineChars="171"/>
        <w:rPr>
          <w:rFonts w:hint="eastAsia" w:ascii="宋体" w:hAnsi="宋体"/>
          <w:color w:val="auto"/>
          <w:szCs w:val="21"/>
        </w:rPr>
      </w:pPr>
      <w:r>
        <w:rPr>
          <w:rFonts w:hint="eastAsia" w:ascii="宋体" w:hAnsi="宋体"/>
          <w:color w:val="auto"/>
          <w:szCs w:val="21"/>
        </w:rPr>
        <w:t>一、功能要求</w:t>
      </w:r>
    </w:p>
    <w:p w14:paraId="653396E7">
      <w:pPr>
        <w:spacing w:line="440" w:lineRule="exact"/>
        <w:ind w:firstLine="567" w:firstLineChars="270"/>
        <w:rPr>
          <w:rFonts w:hint="eastAsia" w:ascii="宋体" w:hAnsi="宋体"/>
          <w:color w:val="auto"/>
          <w:szCs w:val="21"/>
        </w:rPr>
      </w:pPr>
      <w:r>
        <w:rPr>
          <w:rFonts w:hint="eastAsia" w:ascii="宋体" w:hAnsi="宋体"/>
          <w:color w:val="auto"/>
          <w:szCs w:val="21"/>
        </w:rPr>
        <w:t>（一）工程的目的。</w:t>
      </w:r>
    </w:p>
    <w:p w14:paraId="03F14FA1">
      <w:pPr>
        <w:spacing w:line="440" w:lineRule="exact"/>
        <w:ind w:firstLine="567" w:firstLineChars="270"/>
        <w:rPr>
          <w:rFonts w:hint="eastAsia" w:ascii="宋体" w:hAnsi="宋体"/>
          <w:color w:val="auto"/>
          <w:szCs w:val="21"/>
        </w:rPr>
      </w:pPr>
      <w:r>
        <w:rPr>
          <w:rFonts w:hint="eastAsia" w:ascii="宋体" w:hAnsi="宋体"/>
          <w:color w:val="auto"/>
          <w:szCs w:val="21"/>
        </w:rPr>
        <w:t>（二）工程规模。</w:t>
      </w:r>
    </w:p>
    <w:p w14:paraId="227D2FD2">
      <w:pPr>
        <w:spacing w:line="440" w:lineRule="exact"/>
        <w:ind w:firstLine="567" w:firstLineChars="270"/>
        <w:rPr>
          <w:rFonts w:hint="eastAsia" w:ascii="宋体" w:hAnsi="宋体"/>
          <w:color w:val="auto"/>
          <w:szCs w:val="21"/>
        </w:rPr>
      </w:pPr>
      <w:r>
        <w:rPr>
          <w:rFonts w:hint="eastAsia" w:ascii="宋体" w:hAnsi="宋体"/>
          <w:color w:val="auto"/>
          <w:szCs w:val="21"/>
        </w:rPr>
        <w:t>（三）性能保证指标（性能保证表）。</w:t>
      </w:r>
    </w:p>
    <w:p w14:paraId="5083BEC0">
      <w:pPr>
        <w:spacing w:line="440" w:lineRule="exact"/>
        <w:ind w:firstLine="567" w:firstLineChars="270"/>
        <w:rPr>
          <w:rFonts w:hint="eastAsia" w:ascii="宋体" w:hAnsi="宋体"/>
          <w:color w:val="auto"/>
          <w:szCs w:val="21"/>
        </w:rPr>
      </w:pPr>
      <w:r>
        <w:rPr>
          <w:rFonts w:hint="eastAsia" w:ascii="宋体" w:hAnsi="宋体"/>
          <w:color w:val="auto"/>
          <w:szCs w:val="21"/>
        </w:rPr>
        <w:t>（四）产能保证指标。</w:t>
      </w:r>
    </w:p>
    <w:p w14:paraId="62A6DEED">
      <w:pPr>
        <w:spacing w:line="440" w:lineRule="exact"/>
        <w:ind w:firstLine="359" w:firstLineChars="171"/>
        <w:rPr>
          <w:rFonts w:hint="eastAsia" w:ascii="宋体" w:hAnsi="宋体"/>
          <w:color w:val="auto"/>
          <w:szCs w:val="21"/>
        </w:rPr>
      </w:pPr>
      <w:r>
        <w:rPr>
          <w:rFonts w:hint="eastAsia" w:ascii="宋体" w:hAnsi="宋体"/>
          <w:color w:val="auto"/>
          <w:szCs w:val="21"/>
        </w:rPr>
        <w:t>二、工程范围</w:t>
      </w:r>
    </w:p>
    <w:p w14:paraId="2145E2A9">
      <w:pPr>
        <w:spacing w:line="400" w:lineRule="exact"/>
        <w:ind w:firstLine="630" w:firstLineChars="300"/>
        <w:rPr>
          <w:rFonts w:hint="eastAsia" w:ascii="宋体" w:hAnsi="宋体"/>
          <w:color w:val="auto"/>
          <w:szCs w:val="21"/>
        </w:rPr>
      </w:pPr>
      <w:r>
        <w:rPr>
          <w:rFonts w:hint="eastAsia" w:ascii="宋体" w:hAnsi="宋体"/>
          <w:color w:val="auto"/>
          <w:szCs w:val="21"/>
        </w:rPr>
        <w:t>（一）概述</w:t>
      </w:r>
    </w:p>
    <w:p w14:paraId="7CD84488">
      <w:pPr>
        <w:spacing w:line="400" w:lineRule="exact"/>
        <w:ind w:firstLine="630" w:firstLineChars="300"/>
        <w:rPr>
          <w:rFonts w:hint="eastAsia" w:ascii="宋体" w:hAnsi="宋体"/>
          <w:color w:val="auto"/>
          <w:szCs w:val="21"/>
        </w:rPr>
      </w:pPr>
      <w:r>
        <w:rPr>
          <w:rFonts w:hint="eastAsia" w:ascii="宋体" w:hAnsi="宋体"/>
          <w:color w:val="auto"/>
          <w:szCs w:val="21"/>
        </w:rPr>
        <w:t>（二）包括的工作</w:t>
      </w:r>
    </w:p>
    <w:p w14:paraId="2A7E8F37">
      <w:pPr>
        <w:spacing w:line="440" w:lineRule="exact"/>
        <w:ind w:firstLine="987" w:firstLineChars="470"/>
        <w:rPr>
          <w:rFonts w:hint="eastAsia" w:ascii="宋体" w:hAnsi="宋体"/>
          <w:color w:val="auto"/>
          <w:szCs w:val="21"/>
        </w:rPr>
      </w:pPr>
      <w:r>
        <w:rPr>
          <w:rFonts w:hint="eastAsia"/>
          <w:color w:val="auto"/>
          <w:szCs w:val="21"/>
        </w:rPr>
        <w:t>1</w:t>
      </w:r>
      <w:r>
        <w:rPr>
          <w:rFonts w:hint="eastAsia" w:ascii="宋体" w:hAnsi="宋体"/>
          <w:color w:val="auto"/>
          <w:szCs w:val="21"/>
        </w:rPr>
        <w:t>. 永久工程的设计、采购、施工范围。</w:t>
      </w:r>
    </w:p>
    <w:p w14:paraId="5956BE08">
      <w:pPr>
        <w:spacing w:line="440" w:lineRule="exact"/>
        <w:ind w:firstLine="987" w:firstLineChars="470"/>
        <w:rPr>
          <w:rFonts w:hint="eastAsia" w:ascii="宋体" w:hAnsi="宋体"/>
          <w:color w:val="auto"/>
          <w:szCs w:val="21"/>
        </w:rPr>
      </w:pPr>
      <w:r>
        <w:rPr>
          <w:rFonts w:hint="eastAsia"/>
          <w:color w:val="auto"/>
          <w:szCs w:val="21"/>
        </w:rPr>
        <w:t>2</w:t>
      </w:r>
      <w:r>
        <w:rPr>
          <w:rFonts w:hint="eastAsia" w:ascii="宋体" w:hAnsi="宋体"/>
          <w:color w:val="auto"/>
          <w:szCs w:val="21"/>
        </w:rPr>
        <w:t>. 临时工程的设计与施工范围。</w:t>
      </w:r>
    </w:p>
    <w:p w14:paraId="312367A8">
      <w:pPr>
        <w:spacing w:line="440" w:lineRule="exact"/>
        <w:ind w:firstLine="987" w:firstLineChars="470"/>
        <w:rPr>
          <w:rFonts w:hint="eastAsia" w:ascii="宋体" w:hAnsi="宋体"/>
          <w:color w:val="auto"/>
          <w:szCs w:val="21"/>
        </w:rPr>
      </w:pPr>
      <w:r>
        <w:rPr>
          <w:rFonts w:hint="eastAsia"/>
          <w:color w:val="auto"/>
          <w:szCs w:val="21"/>
        </w:rPr>
        <w:t>3</w:t>
      </w:r>
      <w:r>
        <w:rPr>
          <w:rFonts w:hint="eastAsia" w:ascii="宋体" w:hAnsi="宋体"/>
          <w:color w:val="auto"/>
          <w:szCs w:val="21"/>
        </w:rPr>
        <w:t>. 竣工验收工作范围。</w:t>
      </w:r>
    </w:p>
    <w:p w14:paraId="7F333ED4">
      <w:pPr>
        <w:spacing w:line="440" w:lineRule="exact"/>
        <w:ind w:firstLine="987" w:firstLineChars="470"/>
        <w:rPr>
          <w:rFonts w:hint="eastAsia" w:ascii="宋体" w:hAnsi="宋体"/>
          <w:color w:val="auto"/>
          <w:szCs w:val="21"/>
        </w:rPr>
      </w:pPr>
      <w:r>
        <w:rPr>
          <w:rFonts w:hint="eastAsia"/>
          <w:color w:val="auto"/>
          <w:szCs w:val="21"/>
        </w:rPr>
        <w:t>4</w:t>
      </w:r>
      <w:r>
        <w:rPr>
          <w:rFonts w:hint="eastAsia" w:ascii="宋体" w:hAnsi="宋体"/>
          <w:color w:val="auto"/>
          <w:szCs w:val="21"/>
        </w:rPr>
        <w:t>. 技术服务工作范围。</w:t>
      </w:r>
    </w:p>
    <w:p w14:paraId="5BDE011A">
      <w:pPr>
        <w:spacing w:line="440" w:lineRule="exact"/>
        <w:ind w:firstLine="987" w:firstLineChars="470"/>
        <w:rPr>
          <w:rFonts w:hint="eastAsia" w:ascii="宋体" w:hAnsi="宋体"/>
          <w:color w:val="auto"/>
          <w:szCs w:val="21"/>
        </w:rPr>
      </w:pPr>
      <w:r>
        <w:rPr>
          <w:rFonts w:hint="eastAsia"/>
          <w:color w:val="auto"/>
          <w:szCs w:val="21"/>
        </w:rPr>
        <w:t>5</w:t>
      </w:r>
      <w:r>
        <w:rPr>
          <w:rFonts w:hint="eastAsia" w:ascii="宋体" w:hAnsi="宋体"/>
          <w:color w:val="auto"/>
          <w:szCs w:val="21"/>
        </w:rPr>
        <w:t>. 培训工作范围。</w:t>
      </w:r>
    </w:p>
    <w:p w14:paraId="0349F9AE">
      <w:pPr>
        <w:spacing w:line="440" w:lineRule="exact"/>
        <w:ind w:firstLine="987" w:firstLineChars="470"/>
        <w:rPr>
          <w:rFonts w:hint="eastAsia" w:ascii="宋体" w:hAnsi="宋体"/>
          <w:color w:val="auto"/>
          <w:szCs w:val="21"/>
        </w:rPr>
      </w:pPr>
      <w:r>
        <w:rPr>
          <w:rFonts w:hint="eastAsia"/>
          <w:color w:val="auto"/>
          <w:szCs w:val="21"/>
        </w:rPr>
        <w:t>6</w:t>
      </w:r>
      <w:r>
        <w:rPr>
          <w:rFonts w:hint="eastAsia" w:ascii="宋体" w:hAnsi="宋体"/>
          <w:color w:val="auto"/>
          <w:szCs w:val="21"/>
        </w:rPr>
        <w:t>. 保修工作范围。</w:t>
      </w:r>
    </w:p>
    <w:p w14:paraId="7C73A287">
      <w:pPr>
        <w:spacing w:line="440" w:lineRule="exact"/>
        <w:ind w:firstLine="539" w:firstLineChars="257"/>
        <w:rPr>
          <w:rFonts w:hint="eastAsia" w:ascii="宋体" w:hAnsi="宋体"/>
          <w:color w:val="auto"/>
          <w:szCs w:val="21"/>
        </w:rPr>
      </w:pPr>
      <w:r>
        <w:rPr>
          <w:rFonts w:hint="eastAsia" w:ascii="宋体" w:hAnsi="宋体"/>
          <w:color w:val="auto"/>
          <w:szCs w:val="21"/>
        </w:rPr>
        <w:t>（三）工作界区</w:t>
      </w:r>
    </w:p>
    <w:p w14:paraId="1A3416A3">
      <w:pPr>
        <w:spacing w:line="400" w:lineRule="exact"/>
        <w:ind w:firstLine="539" w:firstLineChars="257"/>
        <w:rPr>
          <w:rFonts w:hint="eastAsia" w:ascii="宋体" w:hAnsi="宋体"/>
          <w:color w:val="auto"/>
          <w:szCs w:val="21"/>
        </w:rPr>
      </w:pPr>
      <w:r>
        <w:rPr>
          <w:rFonts w:hint="eastAsia" w:ascii="宋体" w:hAnsi="宋体"/>
          <w:color w:val="auto"/>
          <w:szCs w:val="21"/>
        </w:rPr>
        <w:t>（四）发包人提供的现场条件</w:t>
      </w:r>
    </w:p>
    <w:p w14:paraId="621066D8">
      <w:pPr>
        <w:spacing w:line="440" w:lineRule="exact"/>
        <w:ind w:firstLine="987" w:firstLineChars="470"/>
        <w:rPr>
          <w:rFonts w:hint="eastAsia" w:ascii="宋体" w:hAnsi="宋体"/>
          <w:color w:val="auto"/>
          <w:szCs w:val="21"/>
        </w:rPr>
      </w:pPr>
      <w:r>
        <w:rPr>
          <w:rFonts w:hint="eastAsia"/>
          <w:color w:val="auto"/>
          <w:szCs w:val="21"/>
        </w:rPr>
        <w:t>1</w:t>
      </w:r>
      <w:r>
        <w:rPr>
          <w:rFonts w:hint="eastAsia" w:ascii="宋体" w:hAnsi="宋体"/>
          <w:color w:val="auto"/>
          <w:szCs w:val="21"/>
        </w:rPr>
        <w:t>. 施工用电。</w:t>
      </w:r>
    </w:p>
    <w:p w14:paraId="38542F57">
      <w:pPr>
        <w:spacing w:line="440" w:lineRule="exact"/>
        <w:ind w:firstLine="987" w:firstLineChars="470"/>
        <w:rPr>
          <w:rFonts w:hint="eastAsia" w:ascii="宋体" w:hAnsi="宋体"/>
          <w:color w:val="auto"/>
          <w:szCs w:val="21"/>
        </w:rPr>
      </w:pPr>
      <w:r>
        <w:rPr>
          <w:rFonts w:hint="eastAsia"/>
          <w:color w:val="auto"/>
          <w:szCs w:val="21"/>
        </w:rPr>
        <w:t>2</w:t>
      </w:r>
      <w:r>
        <w:rPr>
          <w:rFonts w:hint="eastAsia" w:ascii="宋体" w:hAnsi="宋体"/>
          <w:color w:val="auto"/>
          <w:szCs w:val="21"/>
        </w:rPr>
        <w:t>. 施工用水。</w:t>
      </w:r>
    </w:p>
    <w:p w14:paraId="49992653">
      <w:pPr>
        <w:spacing w:line="440" w:lineRule="exact"/>
        <w:ind w:firstLine="1003" w:firstLineChars="478"/>
        <w:rPr>
          <w:rFonts w:hint="eastAsia" w:ascii="宋体" w:hAnsi="宋体"/>
          <w:color w:val="auto"/>
          <w:szCs w:val="21"/>
        </w:rPr>
      </w:pPr>
      <w:r>
        <w:rPr>
          <w:rFonts w:hint="eastAsia"/>
          <w:color w:val="auto"/>
          <w:szCs w:val="21"/>
        </w:rPr>
        <w:t>3</w:t>
      </w:r>
      <w:r>
        <w:rPr>
          <w:rFonts w:hint="eastAsia" w:ascii="宋体" w:hAnsi="宋体"/>
          <w:color w:val="auto"/>
          <w:szCs w:val="21"/>
        </w:rPr>
        <w:t>. 施工排水。</w:t>
      </w:r>
      <w:r>
        <w:rPr>
          <w:rFonts w:hint="eastAsia" w:ascii="宋体" w:hAnsi="宋体"/>
          <w:color w:val="auto"/>
          <w:szCs w:val="21"/>
        </w:rPr>
        <w:tab/>
      </w:r>
    </w:p>
    <w:p w14:paraId="6D32135B">
      <w:pPr>
        <w:spacing w:line="440" w:lineRule="exact"/>
        <w:ind w:firstLine="987" w:firstLineChars="470"/>
        <w:rPr>
          <w:rFonts w:hint="eastAsia"/>
          <w:color w:val="auto"/>
          <w:szCs w:val="21"/>
        </w:rPr>
      </w:pPr>
      <w:r>
        <w:rPr>
          <w:color w:val="auto"/>
          <w:szCs w:val="21"/>
        </w:rPr>
        <w:t>4.</w:t>
      </w:r>
      <w:r>
        <w:rPr>
          <w:rFonts w:hint="eastAsia"/>
          <w:color w:val="auto"/>
          <w:szCs w:val="21"/>
        </w:rPr>
        <w:t xml:space="preserve"> 施工道路。</w:t>
      </w:r>
    </w:p>
    <w:p w14:paraId="511EEF79">
      <w:pPr>
        <w:spacing w:line="400" w:lineRule="exact"/>
        <w:rPr>
          <w:rFonts w:hint="eastAsia" w:ascii="宋体" w:hAnsi="宋体"/>
          <w:color w:val="auto"/>
          <w:szCs w:val="21"/>
        </w:rPr>
      </w:pPr>
      <w:r>
        <w:rPr>
          <w:rFonts w:hint="eastAsia" w:ascii="宋体" w:hAnsi="宋体"/>
          <w:color w:val="auto"/>
          <w:szCs w:val="21"/>
        </w:rPr>
        <w:t xml:space="preserve">     （五）发包人提供的技术文件</w:t>
      </w:r>
    </w:p>
    <w:p w14:paraId="4DFC2301">
      <w:pPr>
        <w:spacing w:line="440" w:lineRule="exact"/>
        <w:ind w:firstLine="898" w:firstLineChars="428"/>
        <w:rPr>
          <w:rFonts w:hint="eastAsia" w:ascii="宋体" w:hAnsi="宋体"/>
          <w:color w:val="auto"/>
          <w:szCs w:val="21"/>
        </w:rPr>
      </w:pPr>
      <w:r>
        <w:rPr>
          <w:rFonts w:hint="eastAsia" w:ascii="宋体" w:hAnsi="宋体"/>
          <w:color w:val="auto"/>
          <w:szCs w:val="21"/>
        </w:rPr>
        <w:t>除另有批准外，承包人的工作需要遵照发包人的下列技术文件:</w:t>
      </w:r>
    </w:p>
    <w:p w14:paraId="3B80353F">
      <w:pPr>
        <w:spacing w:line="440" w:lineRule="exact"/>
        <w:ind w:firstLine="898" w:firstLineChars="428"/>
        <w:rPr>
          <w:rFonts w:hint="eastAsia" w:ascii="宋体" w:hAnsi="宋体"/>
          <w:color w:val="auto"/>
          <w:szCs w:val="21"/>
        </w:rPr>
      </w:pPr>
      <w:r>
        <w:rPr>
          <w:rFonts w:hint="eastAsia"/>
          <w:color w:val="auto"/>
          <w:szCs w:val="21"/>
        </w:rPr>
        <w:t>1</w:t>
      </w:r>
      <w:r>
        <w:rPr>
          <w:rFonts w:hint="eastAsia" w:ascii="宋体" w:hAnsi="宋体"/>
          <w:color w:val="auto"/>
          <w:szCs w:val="21"/>
        </w:rPr>
        <w:t>. 发包人需求任务书。</w:t>
      </w:r>
    </w:p>
    <w:p w14:paraId="41901CA6">
      <w:pPr>
        <w:spacing w:line="440" w:lineRule="exact"/>
        <w:ind w:firstLine="898" w:firstLineChars="428"/>
        <w:rPr>
          <w:rFonts w:hint="eastAsia" w:ascii="宋体" w:hAnsi="宋体"/>
          <w:color w:val="auto"/>
          <w:szCs w:val="21"/>
        </w:rPr>
      </w:pPr>
      <w:r>
        <w:rPr>
          <w:rFonts w:hint="eastAsia"/>
          <w:color w:val="auto"/>
          <w:szCs w:val="21"/>
        </w:rPr>
        <w:t>2</w:t>
      </w:r>
      <w:r>
        <w:rPr>
          <w:rFonts w:hint="eastAsia" w:ascii="宋体" w:hAnsi="宋体"/>
          <w:color w:val="auto"/>
          <w:szCs w:val="21"/>
        </w:rPr>
        <w:t>. 发包人已完成的设计文件。</w:t>
      </w:r>
    </w:p>
    <w:p w14:paraId="23228ACE">
      <w:pPr>
        <w:spacing w:line="440" w:lineRule="exact"/>
        <w:ind w:firstLine="359" w:firstLineChars="171"/>
        <w:rPr>
          <w:rFonts w:hint="eastAsia" w:ascii="宋体" w:hAnsi="宋体"/>
          <w:color w:val="auto"/>
          <w:szCs w:val="21"/>
        </w:rPr>
      </w:pPr>
      <w:r>
        <w:rPr>
          <w:rFonts w:hint="eastAsia" w:ascii="宋体" w:hAnsi="宋体"/>
          <w:color w:val="auto"/>
          <w:szCs w:val="21"/>
        </w:rPr>
        <w:t>三、工艺安排或要求（如有）</w:t>
      </w:r>
    </w:p>
    <w:p w14:paraId="29EB2363">
      <w:pPr>
        <w:spacing w:line="440" w:lineRule="exact"/>
        <w:ind w:firstLine="359" w:firstLineChars="171"/>
        <w:rPr>
          <w:rFonts w:hint="eastAsia" w:ascii="宋体" w:hAnsi="宋体"/>
          <w:color w:val="auto"/>
          <w:szCs w:val="21"/>
        </w:rPr>
      </w:pPr>
      <w:r>
        <w:rPr>
          <w:rFonts w:hint="eastAsia" w:ascii="宋体" w:hAnsi="宋体"/>
          <w:color w:val="auto"/>
          <w:szCs w:val="21"/>
        </w:rPr>
        <w:t>四、时间要求</w:t>
      </w:r>
    </w:p>
    <w:p w14:paraId="61C67C69">
      <w:pPr>
        <w:spacing w:line="440" w:lineRule="exact"/>
        <w:ind w:firstLine="567" w:firstLineChars="270"/>
        <w:rPr>
          <w:rFonts w:hint="eastAsia" w:ascii="宋体" w:hAnsi="宋体"/>
          <w:color w:val="auto"/>
          <w:szCs w:val="21"/>
        </w:rPr>
      </w:pPr>
      <w:r>
        <w:rPr>
          <w:rFonts w:hint="eastAsia" w:ascii="宋体" w:hAnsi="宋体"/>
          <w:color w:val="auto"/>
          <w:szCs w:val="21"/>
        </w:rPr>
        <w:t>（一）开始工作时间。</w:t>
      </w:r>
    </w:p>
    <w:p w14:paraId="492D909C">
      <w:pPr>
        <w:spacing w:line="440" w:lineRule="exact"/>
        <w:ind w:firstLine="567" w:firstLineChars="270"/>
        <w:rPr>
          <w:rFonts w:hint="eastAsia" w:ascii="宋体" w:hAnsi="宋体"/>
          <w:color w:val="auto"/>
          <w:szCs w:val="21"/>
        </w:rPr>
      </w:pPr>
      <w:r>
        <w:rPr>
          <w:rFonts w:hint="eastAsia" w:ascii="宋体" w:hAnsi="宋体"/>
          <w:color w:val="auto"/>
          <w:szCs w:val="21"/>
        </w:rPr>
        <w:t>（二）设计完成时间。</w:t>
      </w:r>
    </w:p>
    <w:p w14:paraId="2484903E">
      <w:pPr>
        <w:spacing w:line="440" w:lineRule="exact"/>
        <w:ind w:firstLine="567" w:firstLineChars="270"/>
        <w:rPr>
          <w:rFonts w:hint="eastAsia" w:ascii="宋体" w:hAnsi="宋体"/>
          <w:color w:val="auto"/>
          <w:szCs w:val="21"/>
        </w:rPr>
      </w:pPr>
      <w:r>
        <w:rPr>
          <w:rFonts w:hint="eastAsia" w:ascii="宋体" w:hAnsi="宋体"/>
          <w:color w:val="auto"/>
          <w:szCs w:val="21"/>
        </w:rPr>
        <w:t>（三）进度计划。</w:t>
      </w:r>
    </w:p>
    <w:p w14:paraId="0838F85D">
      <w:pPr>
        <w:spacing w:line="440" w:lineRule="exact"/>
        <w:ind w:firstLine="567" w:firstLineChars="270"/>
        <w:rPr>
          <w:rFonts w:hint="eastAsia" w:ascii="宋体" w:hAnsi="宋体"/>
          <w:color w:val="auto"/>
          <w:szCs w:val="21"/>
        </w:rPr>
      </w:pPr>
      <w:r>
        <w:rPr>
          <w:rFonts w:hint="eastAsia" w:ascii="宋体" w:hAnsi="宋体"/>
          <w:color w:val="auto"/>
          <w:szCs w:val="21"/>
        </w:rPr>
        <w:t>（四）竣工时间。</w:t>
      </w:r>
    </w:p>
    <w:p w14:paraId="64B829AA">
      <w:pPr>
        <w:spacing w:line="440" w:lineRule="exact"/>
        <w:ind w:firstLine="567" w:firstLineChars="270"/>
        <w:rPr>
          <w:rFonts w:hint="eastAsia" w:ascii="宋体" w:hAnsi="宋体"/>
          <w:color w:val="auto"/>
          <w:szCs w:val="21"/>
        </w:rPr>
      </w:pPr>
      <w:r>
        <w:rPr>
          <w:rFonts w:hint="eastAsia" w:ascii="宋体" w:hAnsi="宋体"/>
          <w:color w:val="auto"/>
          <w:szCs w:val="21"/>
        </w:rPr>
        <w:t>（五）缺陷责任期。</w:t>
      </w:r>
    </w:p>
    <w:p w14:paraId="297832AD">
      <w:pPr>
        <w:spacing w:line="440" w:lineRule="exact"/>
        <w:ind w:firstLine="567" w:firstLineChars="270"/>
        <w:rPr>
          <w:rFonts w:hint="eastAsia" w:ascii="宋体" w:hAnsi="宋体"/>
          <w:color w:val="auto"/>
          <w:szCs w:val="21"/>
        </w:rPr>
      </w:pPr>
      <w:r>
        <w:rPr>
          <w:rFonts w:hint="eastAsia" w:ascii="宋体" w:hAnsi="宋体"/>
          <w:color w:val="auto"/>
          <w:szCs w:val="21"/>
        </w:rPr>
        <w:t>（六）其他时间要求。</w:t>
      </w:r>
    </w:p>
    <w:p w14:paraId="69AA241E">
      <w:pPr>
        <w:spacing w:line="440" w:lineRule="exact"/>
        <w:ind w:firstLine="359" w:firstLineChars="171"/>
        <w:rPr>
          <w:rFonts w:hint="eastAsia" w:ascii="宋体" w:hAnsi="宋体"/>
          <w:color w:val="auto"/>
          <w:szCs w:val="21"/>
        </w:rPr>
      </w:pPr>
      <w:r>
        <w:rPr>
          <w:rFonts w:hint="eastAsia" w:ascii="宋体" w:hAnsi="宋体"/>
          <w:color w:val="auto"/>
          <w:szCs w:val="21"/>
        </w:rPr>
        <w:t>五、技术要求</w:t>
      </w:r>
    </w:p>
    <w:p w14:paraId="72672DE0">
      <w:pPr>
        <w:spacing w:line="440" w:lineRule="exact"/>
        <w:ind w:firstLine="567" w:firstLineChars="270"/>
        <w:rPr>
          <w:rFonts w:hint="eastAsia" w:ascii="宋体" w:hAnsi="宋体"/>
          <w:color w:val="auto"/>
          <w:szCs w:val="21"/>
        </w:rPr>
      </w:pPr>
      <w:r>
        <w:rPr>
          <w:rFonts w:hint="eastAsia" w:ascii="宋体" w:hAnsi="宋体"/>
          <w:color w:val="auto"/>
          <w:szCs w:val="21"/>
        </w:rPr>
        <w:t>（一）设计阶段和设计任务。</w:t>
      </w:r>
    </w:p>
    <w:p w14:paraId="36AB190F">
      <w:pPr>
        <w:spacing w:line="440" w:lineRule="exact"/>
        <w:ind w:firstLine="567" w:firstLineChars="270"/>
        <w:rPr>
          <w:rFonts w:hint="eastAsia" w:ascii="宋体" w:hAnsi="宋体"/>
          <w:color w:val="auto"/>
          <w:szCs w:val="21"/>
        </w:rPr>
      </w:pPr>
      <w:r>
        <w:rPr>
          <w:rFonts w:hint="eastAsia" w:ascii="宋体" w:hAnsi="宋体"/>
          <w:color w:val="auto"/>
          <w:szCs w:val="21"/>
        </w:rPr>
        <w:t>（二）设计标准和规范。</w:t>
      </w:r>
    </w:p>
    <w:p w14:paraId="0BAEC1A1">
      <w:pPr>
        <w:spacing w:line="440" w:lineRule="exact"/>
        <w:ind w:firstLine="567" w:firstLineChars="270"/>
        <w:rPr>
          <w:rFonts w:hint="eastAsia" w:ascii="宋体" w:hAnsi="宋体"/>
          <w:color w:val="auto"/>
          <w:szCs w:val="21"/>
        </w:rPr>
      </w:pPr>
      <w:r>
        <w:rPr>
          <w:rFonts w:hint="eastAsia" w:ascii="宋体" w:hAnsi="宋体"/>
          <w:color w:val="auto"/>
          <w:szCs w:val="21"/>
        </w:rPr>
        <w:t>（三）技术标准和要求。</w:t>
      </w:r>
    </w:p>
    <w:p w14:paraId="647F9995">
      <w:pPr>
        <w:spacing w:line="440" w:lineRule="exact"/>
        <w:ind w:firstLine="567" w:firstLineChars="270"/>
        <w:rPr>
          <w:rFonts w:hint="eastAsia" w:ascii="宋体" w:hAnsi="宋体"/>
          <w:color w:val="auto"/>
          <w:szCs w:val="21"/>
        </w:rPr>
      </w:pPr>
      <w:r>
        <w:rPr>
          <w:rFonts w:hint="eastAsia" w:ascii="宋体" w:hAnsi="宋体"/>
          <w:color w:val="auto"/>
          <w:szCs w:val="21"/>
        </w:rPr>
        <w:t>（四）质量标准。</w:t>
      </w:r>
    </w:p>
    <w:p w14:paraId="23F0992E">
      <w:pPr>
        <w:spacing w:line="440" w:lineRule="exact"/>
        <w:ind w:firstLine="567" w:firstLineChars="270"/>
        <w:rPr>
          <w:rFonts w:hint="eastAsia" w:ascii="宋体" w:hAnsi="宋体"/>
          <w:color w:val="auto"/>
          <w:szCs w:val="21"/>
        </w:rPr>
      </w:pPr>
      <w:r>
        <w:rPr>
          <w:rFonts w:hint="eastAsia" w:ascii="宋体" w:hAnsi="宋体"/>
          <w:color w:val="auto"/>
          <w:szCs w:val="21"/>
        </w:rPr>
        <w:t>（五）设计、施工和设备监造、试验（如有）。</w:t>
      </w:r>
    </w:p>
    <w:p w14:paraId="5FF3E1B3">
      <w:pPr>
        <w:spacing w:line="440" w:lineRule="exact"/>
        <w:ind w:firstLine="567" w:firstLineChars="270"/>
        <w:rPr>
          <w:rFonts w:hint="eastAsia" w:ascii="宋体" w:hAnsi="宋体"/>
          <w:color w:val="auto"/>
          <w:szCs w:val="21"/>
        </w:rPr>
      </w:pPr>
      <w:r>
        <w:rPr>
          <w:rFonts w:hint="eastAsia" w:ascii="宋体" w:hAnsi="宋体"/>
          <w:color w:val="auto"/>
          <w:szCs w:val="21"/>
        </w:rPr>
        <w:t>（六）样品。</w:t>
      </w:r>
    </w:p>
    <w:p w14:paraId="6F20C529">
      <w:pPr>
        <w:spacing w:line="440" w:lineRule="exact"/>
        <w:ind w:firstLine="567" w:firstLineChars="270"/>
        <w:rPr>
          <w:rFonts w:hint="eastAsia" w:ascii="宋体" w:hAnsi="宋体"/>
          <w:color w:val="auto"/>
          <w:szCs w:val="21"/>
        </w:rPr>
      </w:pPr>
      <w:r>
        <w:rPr>
          <w:rFonts w:hint="eastAsia" w:ascii="宋体" w:hAnsi="宋体"/>
          <w:color w:val="auto"/>
          <w:szCs w:val="21"/>
        </w:rPr>
        <w:t>（七）发包人提供的其他条件，如发包人或其委托的第三人提供的设计、工艺包、用于试验检验的工器具等，以及据此对承包人提出的予以配套的要求。</w:t>
      </w:r>
    </w:p>
    <w:p w14:paraId="13C292A5">
      <w:pPr>
        <w:spacing w:line="440" w:lineRule="exact"/>
        <w:ind w:firstLine="359" w:firstLineChars="171"/>
        <w:rPr>
          <w:rFonts w:hint="eastAsia" w:ascii="宋体" w:hAnsi="宋体"/>
          <w:color w:val="auto"/>
          <w:szCs w:val="21"/>
        </w:rPr>
      </w:pPr>
      <w:r>
        <w:rPr>
          <w:rFonts w:hint="eastAsia" w:ascii="宋体" w:hAnsi="宋体"/>
          <w:color w:val="auto"/>
          <w:szCs w:val="21"/>
        </w:rPr>
        <w:t>六、竣工试验</w:t>
      </w:r>
    </w:p>
    <w:p w14:paraId="4BAB00CD">
      <w:pPr>
        <w:spacing w:line="440" w:lineRule="exact"/>
        <w:ind w:firstLine="567" w:firstLineChars="270"/>
        <w:rPr>
          <w:rFonts w:hint="eastAsia" w:ascii="宋体" w:hAnsi="宋体"/>
          <w:color w:val="auto"/>
          <w:szCs w:val="21"/>
        </w:rPr>
      </w:pPr>
      <w:r>
        <w:rPr>
          <w:rFonts w:hint="eastAsia" w:ascii="宋体" w:hAnsi="宋体"/>
          <w:color w:val="auto"/>
          <w:szCs w:val="21"/>
        </w:rPr>
        <w:t>（一）第一阶段，如对单车试验等的要求，包括试验前准备。</w:t>
      </w:r>
    </w:p>
    <w:p w14:paraId="2AB1F2A2">
      <w:pPr>
        <w:spacing w:line="440" w:lineRule="exact"/>
        <w:ind w:firstLine="567" w:firstLineChars="270"/>
        <w:rPr>
          <w:rFonts w:hint="eastAsia" w:ascii="宋体" w:hAnsi="宋体"/>
          <w:color w:val="auto"/>
          <w:szCs w:val="21"/>
        </w:rPr>
      </w:pPr>
      <w:r>
        <w:rPr>
          <w:rFonts w:hint="eastAsia" w:ascii="宋体" w:hAnsi="宋体"/>
          <w:color w:val="auto"/>
          <w:szCs w:val="21"/>
        </w:rPr>
        <w:t>（二）第二阶段，如对联动试车、投料试车等的要求，包括人员、设备、材料、燃料、电力、消耗品、工具等必要条件。</w:t>
      </w:r>
    </w:p>
    <w:p w14:paraId="01479AC6">
      <w:pPr>
        <w:spacing w:line="440" w:lineRule="exact"/>
        <w:ind w:firstLine="567" w:firstLineChars="270"/>
        <w:rPr>
          <w:rFonts w:hint="eastAsia" w:ascii="宋体" w:hAnsi="宋体"/>
          <w:color w:val="auto"/>
          <w:szCs w:val="21"/>
        </w:rPr>
      </w:pPr>
      <w:r>
        <w:rPr>
          <w:rFonts w:hint="eastAsia" w:ascii="宋体" w:hAnsi="宋体"/>
          <w:color w:val="auto"/>
          <w:szCs w:val="21"/>
        </w:rPr>
        <w:t>（三）第三阶段，如对性能测试及其他竣工试验的要求，包括产能指标、产品质量标准、运营指标、环保指标等。</w:t>
      </w:r>
    </w:p>
    <w:p w14:paraId="5EE18D26">
      <w:pPr>
        <w:spacing w:line="440" w:lineRule="exact"/>
        <w:ind w:firstLine="359" w:firstLineChars="171"/>
        <w:rPr>
          <w:rFonts w:hint="eastAsia" w:ascii="宋体" w:hAnsi="宋体"/>
          <w:color w:val="auto"/>
          <w:szCs w:val="21"/>
        </w:rPr>
      </w:pPr>
      <w:r>
        <w:rPr>
          <w:rFonts w:hint="eastAsia" w:ascii="宋体" w:hAnsi="宋体"/>
          <w:color w:val="auto"/>
          <w:szCs w:val="21"/>
        </w:rPr>
        <w:t>七、竣工验收</w:t>
      </w:r>
    </w:p>
    <w:p w14:paraId="49CE2C01">
      <w:pPr>
        <w:spacing w:line="440" w:lineRule="exact"/>
        <w:ind w:firstLine="359" w:firstLineChars="171"/>
        <w:rPr>
          <w:rFonts w:hint="eastAsia" w:ascii="宋体" w:hAnsi="宋体"/>
          <w:color w:val="auto"/>
          <w:szCs w:val="21"/>
        </w:rPr>
      </w:pPr>
      <w:r>
        <w:rPr>
          <w:rFonts w:hint="eastAsia" w:ascii="宋体" w:hAnsi="宋体"/>
          <w:color w:val="auto"/>
          <w:szCs w:val="21"/>
        </w:rPr>
        <w:t>八、竣工后试验（如有）</w:t>
      </w:r>
    </w:p>
    <w:p w14:paraId="05F59694">
      <w:pPr>
        <w:spacing w:line="440" w:lineRule="exact"/>
        <w:ind w:firstLine="359" w:firstLineChars="171"/>
        <w:rPr>
          <w:rFonts w:hint="eastAsia" w:ascii="宋体" w:hAnsi="宋体"/>
          <w:color w:val="auto"/>
          <w:szCs w:val="21"/>
        </w:rPr>
      </w:pPr>
      <w:r>
        <w:rPr>
          <w:rFonts w:hint="eastAsia" w:ascii="宋体" w:hAnsi="宋体"/>
          <w:color w:val="auto"/>
          <w:szCs w:val="21"/>
        </w:rPr>
        <w:t>九、文件要求</w:t>
      </w:r>
    </w:p>
    <w:p w14:paraId="414DDC25">
      <w:pPr>
        <w:spacing w:line="440" w:lineRule="exact"/>
        <w:ind w:firstLine="567" w:firstLineChars="270"/>
        <w:rPr>
          <w:rFonts w:hint="eastAsia" w:ascii="宋体" w:hAnsi="宋体"/>
          <w:color w:val="auto"/>
          <w:szCs w:val="21"/>
        </w:rPr>
      </w:pPr>
      <w:r>
        <w:rPr>
          <w:rFonts w:hint="eastAsia" w:ascii="宋体" w:hAnsi="宋体"/>
          <w:color w:val="auto"/>
          <w:szCs w:val="21"/>
        </w:rPr>
        <w:t>（一）设计文件，及其相关审批、核准、备案要求。</w:t>
      </w:r>
    </w:p>
    <w:p w14:paraId="5D91D268">
      <w:pPr>
        <w:spacing w:line="440" w:lineRule="exact"/>
        <w:ind w:firstLine="567" w:firstLineChars="270"/>
        <w:rPr>
          <w:rFonts w:hint="eastAsia" w:ascii="宋体" w:hAnsi="宋体"/>
          <w:color w:val="auto"/>
          <w:szCs w:val="21"/>
        </w:rPr>
      </w:pPr>
      <w:r>
        <w:rPr>
          <w:rFonts w:hint="eastAsia" w:ascii="宋体" w:hAnsi="宋体"/>
          <w:color w:val="auto"/>
          <w:szCs w:val="21"/>
        </w:rPr>
        <w:t>（二）沟通计划。</w:t>
      </w:r>
    </w:p>
    <w:p w14:paraId="39AE9013">
      <w:pPr>
        <w:spacing w:line="440" w:lineRule="exact"/>
        <w:ind w:firstLine="567" w:firstLineChars="270"/>
        <w:rPr>
          <w:rFonts w:hint="eastAsia" w:ascii="宋体" w:hAnsi="宋体"/>
          <w:color w:val="auto"/>
          <w:szCs w:val="21"/>
        </w:rPr>
      </w:pPr>
      <w:r>
        <w:rPr>
          <w:rFonts w:hint="eastAsia" w:ascii="宋体" w:hAnsi="宋体"/>
          <w:color w:val="auto"/>
          <w:szCs w:val="21"/>
        </w:rPr>
        <w:t>（三）风险管理计划。</w:t>
      </w:r>
    </w:p>
    <w:p w14:paraId="76FBD042">
      <w:pPr>
        <w:spacing w:line="440" w:lineRule="exact"/>
        <w:ind w:firstLine="567" w:firstLineChars="270"/>
        <w:rPr>
          <w:rFonts w:hint="eastAsia" w:ascii="宋体" w:hAnsi="宋体"/>
          <w:color w:val="auto"/>
          <w:szCs w:val="21"/>
        </w:rPr>
      </w:pPr>
      <w:r>
        <w:rPr>
          <w:rFonts w:hint="eastAsia" w:ascii="宋体" w:hAnsi="宋体"/>
          <w:color w:val="auto"/>
          <w:szCs w:val="21"/>
        </w:rPr>
        <w:t>（四）竣工文件和工程的其他记录。</w:t>
      </w:r>
    </w:p>
    <w:p w14:paraId="55A18D05">
      <w:pPr>
        <w:spacing w:line="440" w:lineRule="exact"/>
        <w:ind w:firstLine="567" w:firstLineChars="270"/>
        <w:rPr>
          <w:rFonts w:hint="eastAsia" w:ascii="宋体" w:hAnsi="宋体"/>
          <w:color w:val="auto"/>
          <w:szCs w:val="21"/>
        </w:rPr>
      </w:pPr>
      <w:r>
        <w:rPr>
          <w:rFonts w:hint="eastAsia" w:ascii="宋体" w:hAnsi="宋体"/>
          <w:color w:val="auto"/>
          <w:szCs w:val="21"/>
        </w:rPr>
        <w:t>（五）操作和维修手册。</w:t>
      </w:r>
    </w:p>
    <w:p w14:paraId="5B69C832">
      <w:pPr>
        <w:spacing w:line="440" w:lineRule="exact"/>
        <w:ind w:firstLine="567" w:firstLineChars="270"/>
        <w:rPr>
          <w:rFonts w:hint="eastAsia" w:ascii="宋体" w:hAnsi="宋体"/>
          <w:color w:val="auto"/>
          <w:szCs w:val="21"/>
        </w:rPr>
      </w:pPr>
      <w:r>
        <w:rPr>
          <w:rFonts w:hint="eastAsia" w:ascii="宋体" w:hAnsi="宋体"/>
          <w:color w:val="auto"/>
          <w:szCs w:val="21"/>
        </w:rPr>
        <w:t>（六）其他承包人文件。</w:t>
      </w:r>
    </w:p>
    <w:p w14:paraId="6926D3BC">
      <w:pPr>
        <w:spacing w:line="440" w:lineRule="exact"/>
        <w:ind w:firstLine="359" w:firstLineChars="171"/>
        <w:rPr>
          <w:rFonts w:hint="eastAsia" w:ascii="宋体" w:hAnsi="宋体"/>
          <w:color w:val="auto"/>
          <w:szCs w:val="21"/>
        </w:rPr>
      </w:pPr>
      <w:r>
        <w:rPr>
          <w:rFonts w:hint="eastAsia" w:ascii="宋体" w:hAnsi="宋体"/>
          <w:color w:val="auto"/>
          <w:szCs w:val="21"/>
        </w:rPr>
        <w:t>十、工程项目管理规定</w:t>
      </w:r>
    </w:p>
    <w:p w14:paraId="1E6ADF18">
      <w:pPr>
        <w:spacing w:line="400" w:lineRule="exact"/>
        <w:ind w:firstLine="525" w:firstLineChars="250"/>
        <w:rPr>
          <w:rFonts w:hint="eastAsia" w:ascii="宋体" w:hAnsi="宋体"/>
          <w:color w:val="auto"/>
          <w:szCs w:val="21"/>
        </w:rPr>
      </w:pPr>
      <w:r>
        <w:rPr>
          <w:rFonts w:hint="eastAsia" w:ascii="宋体" w:hAnsi="宋体"/>
          <w:color w:val="auto"/>
          <w:szCs w:val="21"/>
        </w:rPr>
        <w:t>（一）质量。</w:t>
      </w:r>
    </w:p>
    <w:p w14:paraId="4934C477">
      <w:pPr>
        <w:spacing w:line="400" w:lineRule="exact"/>
        <w:ind w:firstLine="525" w:firstLineChars="250"/>
        <w:rPr>
          <w:rFonts w:hint="eastAsia" w:ascii="宋体" w:hAnsi="宋体"/>
          <w:color w:val="auto"/>
          <w:szCs w:val="21"/>
        </w:rPr>
      </w:pPr>
      <w:r>
        <w:rPr>
          <w:rFonts w:hint="eastAsia" w:ascii="宋体" w:hAnsi="宋体"/>
          <w:color w:val="auto"/>
          <w:szCs w:val="21"/>
        </w:rPr>
        <w:t>（二）进度，包括里程碑进度计划（如果有）。</w:t>
      </w:r>
    </w:p>
    <w:p w14:paraId="50F44D4A">
      <w:pPr>
        <w:spacing w:line="400" w:lineRule="exact"/>
        <w:ind w:firstLine="525" w:firstLineChars="250"/>
        <w:rPr>
          <w:rFonts w:hint="eastAsia" w:ascii="宋体" w:hAnsi="宋体"/>
          <w:color w:val="auto"/>
          <w:szCs w:val="21"/>
        </w:rPr>
      </w:pPr>
      <w:r>
        <w:rPr>
          <w:rFonts w:hint="eastAsia" w:ascii="宋体" w:hAnsi="宋体"/>
          <w:color w:val="auto"/>
          <w:szCs w:val="21"/>
        </w:rPr>
        <w:t>（三）支付。</w:t>
      </w:r>
    </w:p>
    <w:p w14:paraId="3010A2C1">
      <w:pPr>
        <w:spacing w:line="400" w:lineRule="exact"/>
        <w:ind w:firstLine="525" w:firstLineChars="250"/>
        <w:rPr>
          <w:rFonts w:hint="eastAsia" w:ascii="宋体" w:hAnsi="宋体"/>
          <w:color w:val="auto"/>
          <w:szCs w:val="21"/>
        </w:rPr>
      </w:pPr>
      <w:r>
        <w:rPr>
          <w:rFonts w:hint="eastAsia" w:ascii="宋体" w:hAnsi="宋体"/>
          <w:color w:val="auto"/>
          <w:szCs w:val="21"/>
        </w:rPr>
        <w:t>（四）HSE（健康、安全与环境管理体系）。</w:t>
      </w:r>
    </w:p>
    <w:p w14:paraId="183DEDE6">
      <w:pPr>
        <w:spacing w:line="400" w:lineRule="exact"/>
        <w:ind w:firstLine="525" w:firstLineChars="250"/>
        <w:rPr>
          <w:rFonts w:hint="eastAsia" w:ascii="宋体" w:hAnsi="宋体"/>
          <w:color w:val="auto"/>
          <w:szCs w:val="21"/>
        </w:rPr>
      </w:pPr>
      <w:r>
        <w:rPr>
          <w:rFonts w:hint="eastAsia" w:ascii="宋体" w:hAnsi="宋体"/>
          <w:color w:val="auto"/>
          <w:szCs w:val="21"/>
        </w:rPr>
        <w:t>（五）沟通。</w:t>
      </w:r>
    </w:p>
    <w:p w14:paraId="50351FFB">
      <w:pPr>
        <w:spacing w:line="400" w:lineRule="exact"/>
        <w:ind w:firstLine="525" w:firstLineChars="250"/>
        <w:rPr>
          <w:rFonts w:hint="eastAsia" w:ascii="宋体" w:hAnsi="宋体"/>
          <w:color w:val="auto"/>
          <w:szCs w:val="21"/>
        </w:rPr>
      </w:pPr>
      <w:r>
        <w:rPr>
          <w:rFonts w:hint="eastAsia" w:ascii="宋体" w:hAnsi="宋体"/>
          <w:color w:val="auto"/>
          <w:szCs w:val="21"/>
        </w:rPr>
        <w:t>（六）变更。</w:t>
      </w:r>
    </w:p>
    <w:p w14:paraId="6E0FA63D">
      <w:pPr>
        <w:spacing w:line="440" w:lineRule="exact"/>
        <w:ind w:firstLine="359" w:firstLineChars="171"/>
        <w:rPr>
          <w:rFonts w:hint="eastAsia" w:ascii="宋体" w:hAnsi="宋体"/>
          <w:color w:val="auto"/>
          <w:szCs w:val="21"/>
        </w:rPr>
      </w:pPr>
      <w:r>
        <w:rPr>
          <w:rFonts w:hint="eastAsia" w:ascii="宋体" w:hAnsi="宋体"/>
          <w:color w:val="auto"/>
          <w:szCs w:val="21"/>
        </w:rPr>
        <w:t>十一、其他要求</w:t>
      </w:r>
    </w:p>
    <w:p w14:paraId="59CEB896">
      <w:pPr>
        <w:spacing w:line="440" w:lineRule="exact"/>
        <w:ind w:firstLine="567" w:firstLineChars="270"/>
        <w:rPr>
          <w:rFonts w:hint="eastAsia" w:ascii="宋体" w:hAnsi="宋体"/>
          <w:color w:val="auto"/>
          <w:szCs w:val="21"/>
        </w:rPr>
      </w:pPr>
      <w:r>
        <w:rPr>
          <w:rFonts w:hint="eastAsia" w:ascii="宋体" w:hAnsi="宋体"/>
          <w:color w:val="auto"/>
          <w:szCs w:val="21"/>
        </w:rPr>
        <w:t>（一）对承包人的主要人员资格要求。</w:t>
      </w:r>
    </w:p>
    <w:p w14:paraId="38EBB0AC">
      <w:pPr>
        <w:spacing w:line="440" w:lineRule="exact"/>
        <w:ind w:firstLine="567" w:firstLineChars="270"/>
        <w:rPr>
          <w:rFonts w:hint="eastAsia" w:ascii="宋体" w:hAnsi="宋体"/>
          <w:color w:val="auto"/>
          <w:szCs w:val="21"/>
        </w:rPr>
      </w:pPr>
      <w:r>
        <w:rPr>
          <w:rFonts w:hint="eastAsia" w:ascii="宋体" w:hAnsi="宋体"/>
          <w:color w:val="auto"/>
          <w:szCs w:val="21"/>
        </w:rPr>
        <w:t>（二）相关审批、核准和备案手续的办理。</w:t>
      </w:r>
    </w:p>
    <w:p w14:paraId="62EAED43">
      <w:pPr>
        <w:spacing w:line="440" w:lineRule="exact"/>
        <w:ind w:firstLine="567" w:firstLineChars="270"/>
        <w:rPr>
          <w:rFonts w:hint="eastAsia" w:ascii="宋体" w:hAnsi="宋体"/>
          <w:color w:val="auto"/>
          <w:szCs w:val="21"/>
        </w:rPr>
      </w:pPr>
      <w:r>
        <w:rPr>
          <w:rFonts w:hint="eastAsia" w:ascii="宋体" w:hAnsi="宋体"/>
          <w:color w:val="auto"/>
          <w:szCs w:val="21"/>
        </w:rPr>
        <w:t>（三）对项目业主人员的操作培训。</w:t>
      </w:r>
    </w:p>
    <w:p w14:paraId="30F114FD">
      <w:pPr>
        <w:spacing w:line="440" w:lineRule="exact"/>
        <w:ind w:firstLine="567" w:firstLineChars="270"/>
        <w:rPr>
          <w:rFonts w:hint="eastAsia" w:ascii="宋体" w:hAnsi="宋体"/>
          <w:color w:val="auto"/>
          <w:szCs w:val="21"/>
        </w:rPr>
      </w:pPr>
      <w:r>
        <w:rPr>
          <w:rFonts w:hint="eastAsia" w:ascii="宋体" w:hAnsi="宋体"/>
          <w:color w:val="auto"/>
          <w:szCs w:val="21"/>
        </w:rPr>
        <w:t>（四）分包。</w:t>
      </w:r>
    </w:p>
    <w:p w14:paraId="1433399E">
      <w:pPr>
        <w:spacing w:line="440" w:lineRule="exact"/>
        <w:ind w:firstLine="567" w:firstLineChars="270"/>
        <w:rPr>
          <w:rFonts w:hint="eastAsia" w:ascii="宋体" w:hAnsi="宋体"/>
          <w:color w:val="auto"/>
          <w:szCs w:val="21"/>
        </w:rPr>
      </w:pPr>
      <w:r>
        <w:rPr>
          <w:rFonts w:hint="eastAsia" w:ascii="宋体" w:hAnsi="宋体"/>
          <w:color w:val="auto"/>
          <w:szCs w:val="21"/>
        </w:rPr>
        <w:t>（五）设备供应商。</w:t>
      </w:r>
    </w:p>
    <w:p w14:paraId="7017EC4C">
      <w:pPr>
        <w:spacing w:line="440" w:lineRule="exact"/>
        <w:ind w:firstLine="567" w:firstLineChars="270"/>
        <w:rPr>
          <w:rFonts w:hint="eastAsia" w:ascii="宋体" w:hAnsi="宋体"/>
          <w:color w:val="auto"/>
          <w:szCs w:val="21"/>
        </w:rPr>
      </w:pPr>
      <w:r>
        <w:rPr>
          <w:rFonts w:hint="eastAsia" w:ascii="宋体" w:hAnsi="宋体"/>
          <w:color w:val="auto"/>
          <w:szCs w:val="21"/>
        </w:rPr>
        <w:t>（六）缺陷责任期的服务要求。</w:t>
      </w:r>
    </w:p>
    <w:p w14:paraId="05F878F3">
      <w:pPr>
        <w:spacing w:line="440" w:lineRule="exact"/>
        <w:ind w:firstLine="567" w:firstLineChars="270"/>
        <w:rPr>
          <w:rFonts w:hint="eastAsia" w:ascii="宋体" w:hAnsi="宋体"/>
          <w:color w:val="auto"/>
          <w:szCs w:val="21"/>
        </w:rPr>
      </w:pPr>
    </w:p>
    <w:p w14:paraId="56CC5A93">
      <w:pPr>
        <w:spacing w:line="440" w:lineRule="exact"/>
        <w:ind w:firstLine="567" w:firstLineChars="270"/>
        <w:rPr>
          <w:rFonts w:hint="eastAsia" w:ascii="宋体" w:hAnsi="宋体"/>
          <w:color w:val="auto"/>
          <w:szCs w:val="21"/>
        </w:rPr>
      </w:pPr>
    </w:p>
    <w:p w14:paraId="056B380E">
      <w:pPr>
        <w:spacing w:line="440" w:lineRule="exact"/>
        <w:ind w:firstLine="567" w:firstLineChars="270"/>
        <w:rPr>
          <w:rFonts w:hint="eastAsia" w:ascii="宋体" w:hAnsi="宋体"/>
          <w:color w:val="auto"/>
          <w:szCs w:val="21"/>
        </w:rPr>
      </w:pPr>
    </w:p>
    <w:p w14:paraId="21211F73">
      <w:pPr>
        <w:spacing w:line="440" w:lineRule="exact"/>
        <w:ind w:firstLine="567" w:firstLineChars="270"/>
        <w:rPr>
          <w:rFonts w:hint="eastAsia" w:ascii="宋体" w:hAnsi="宋体"/>
          <w:color w:val="auto"/>
          <w:szCs w:val="21"/>
        </w:rPr>
      </w:pPr>
    </w:p>
    <w:p w14:paraId="4102E9E8">
      <w:pPr>
        <w:spacing w:line="440" w:lineRule="exact"/>
        <w:ind w:firstLine="567" w:firstLineChars="270"/>
        <w:rPr>
          <w:rFonts w:hint="eastAsia" w:ascii="宋体" w:hAnsi="宋体"/>
          <w:color w:val="auto"/>
          <w:szCs w:val="21"/>
        </w:rPr>
      </w:pPr>
    </w:p>
    <w:p w14:paraId="591BDE6A">
      <w:pPr>
        <w:spacing w:line="440" w:lineRule="exact"/>
        <w:ind w:firstLine="567" w:firstLineChars="270"/>
        <w:rPr>
          <w:rFonts w:hint="eastAsia" w:ascii="宋体" w:hAnsi="宋体"/>
          <w:color w:val="auto"/>
          <w:szCs w:val="21"/>
        </w:rPr>
      </w:pPr>
    </w:p>
    <w:p w14:paraId="3351DBAA">
      <w:pPr>
        <w:spacing w:line="440" w:lineRule="exact"/>
        <w:ind w:firstLine="567" w:firstLineChars="270"/>
        <w:rPr>
          <w:rFonts w:hint="eastAsia" w:ascii="宋体" w:hAnsi="宋体"/>
          <w:color w:val="auto"/>
          <w:szCs w:val="21"/>
        </w:rPr>
      </w:pPr>
    </w:p>
    <w:p w14:paraId="4C7F7FD8">
      <w:pPr>
        <w:spacing w:line="440" w:lineRule="exact"/>
        <w:ind w:firstLine="567" w:firstLineChars="270"/>
        <w:rPr>
          <w:rFonts w:hint="eastAsia" w:ascii="宋体" w:hAnsi="宋体"/>
          <w:color w:val="auto"/>
          <w:szCs w:val="21"/>
        </w:rPr>
      </w:pPr>
    </w:p>
    <w:p w14:paraId="0C173C15">
      <w:pPr>
        <w:spacing w:line="440" w:lineRule="exact"/>
        <w:ind w:firstLine="567" w:firstLineChars="270"/>
        <w:rPr>
          <w:rFonts w:hint="eastAsia" w:ascii="宋体" w:hAnsi="宋体"/>
          <w:color w:val="auto"/>
          <w:szCs w:val="21"/>
        </w:rPr>
      </w:pPr>
    </w:p>
    <w:p w14:paraId="7E02B3BE">
      <w:pPr>
        <w:spacing w:line="440" w:lineRule="exact"/>
        <w:ind w:firstLine="567" w:firstLineChars="270"/>
        <w:rPr>
          <w:rFonts w:hint="eastAsia" w:ascii="宋体" w:hAnsi="宋体"/>
          <w:color w:val="auto"/>
          <w:szCs w:val="21"/>
        </w:rPr>
      </w:pPr>
    </w:p>
    <w:p w14:paraId="28CDBF93">
      <w:pPr>
        <w:spacing w:line="440" w:lineRule="exact"/>
        <w:ind w:firstLine="567" w:firstLineChars="270"/>
        <w:rPr>
          <w:rFonts w:hint="eastAsia" w:ascii="宋体" w:hAnsi="宋体"/>
          <w:color w:val="auto"/>
          <w:szCs w:val="21"/>
        </w:rPr>
      </w:pPr>
    </w:p>
    <w:p w14:paraId="1FBB7CA1">
      <w:pPr>
        <w:spacing w:line="440" w:lineRule="exact"/>
        <w:ind w:firstLine="567" w:firstLineChars="270"/>
        <w:rPr>
          <w:rFonts w:hint="eastAsia" w:ascii="宋体" w:hAnsi="宋体"/>
          <w:color w:val="auto"/>
          <w:szCs w:val="21"/>
        </w:rPr>
      </w:pPr>
    </w:p>
    <w:p w14:paraId="1F377B3F">
      <w:pPr>
        <w:spacing w:line="440" w:lineRule="exact"/>
        <w:ind w:firstLine="567" w:firstLineChars="270"/>
        <w:rPr>
          <w:rFonts w:hint="eastAsia" w:ascii="宋体" w:hAnsi="宋体"/>
          <w:color w:val="auto"/>
          <w:szCs w:val="21"/>
        </w:rPr>
      </w:pPr>
    </w:p>
    <w:p w14:paraId="1C9D7E77">
      <w:pPr>
        <w:pStyle w:val="3"/>
        <w:spacing w:before="48"/>
        <w:jc w:val="center"/>
        <w:rPr>
          <w:rFonts w:hint="eastAsia"/>
          <w:color w:val="auto"/>
        </w:rPr>
      </w:pPr>
      <w:bookmarkStart w:id="2044" w:name="_Toc14136"/>
      <w:bookmarkStart w:id="2045" w:name="_Toc78047090"/>
      <w:bookmarkStart w:id="2046" w:name="_Toc12068"/>
      <w:bookmarkStart w:id="2047" w:name="_Toc7167"/>
      <w:bookmarkStart w:id="2048" w:name="_Toc154064014"/>
      <w:bookmarkStart w:id="2049" w:name="_Toc11914"/>
      <w:r>
        <w:rPr>
          <w:rFonts w:hint="eastAsia"/>
          <w:color w:val="auto"/>
        </w:rPr>
        <w:t>发包人要求附件清单</w:t>
      </w:r>
      <w:bookmarkEnd w:id="2044"/>
      <w:bookmarkEnd w:id="2045"/>
      <w:bookmarkEnd w:id="2046"/>
      <w:bookmarkEnd w:id="2047"/>
      <w:bookmarkEnd w:id="2048"/>
      <w:bookmarkEnd w:id="2049"/>
    </w:p>
    <w:p w14:paraId="7DC932B0">
      <w:pPr>
        <w:spacing w:line="400" w:lineRule="exact"/>
        <w:jc w:val="center"/>
        <w:rPr>
          <w:rFonts w:hint="eastAsia"/>
          <w:color w:val="auto"/>
        </w:rPr>
      </w:pPr>
    </w:p>
    <w:p w14:paraId="63F93942">
      <w:pPr>
        <w:spacing w:line="400" w:lineRule="exact"/>
        <w:rPr>
          <w:rFonts w:hint="eastAsia"/>
          <w:color w:val="auto"/>
        </w:rPr>
      </w:pPr>
      <w:r>
        <w:rPr>
          <w:rFonts w:hint="eastAsia"/>
          <w:color w:val="auto"/>
        </w:rPr>
        <w:t>附件一：性能保证表</w:t>
      </w:r>
    </w:p>
    <w:p w14:paraId="604F98EF">
      <w:pPr>
        <w:spacing w:line="400" w:lineRule="exact"/>
        <w:rPr>
          <w:rFonts w:hint="eastAsia"/>
          <w:color w:val="auto"/>
        </w:rPr>
      </w:pPr>
      <w:r>
        <w:rPr>
          <w:rFonts w:hint="eastAsia"/>
          <w:color w:val="auto"/>
        </w:rPr>
        <w:t>附件二：工作界区图</w:t>
      </w:r>
    </w:p>
    <w:p w14:paraId="4EE7655F">
      <w:pPr>
        <w:spacing w:line="400" w:lineRule="exact"/>
        <w:rPr>
          <w:rFonts w:hint="eastAsia"/>
          <w:color w:val="auto"/>
        </w:rPr>
      </w:pPr>
      <w:r>
        <w:rPr>
          <w:rFonts w:hint="eastAsia"/>
          <w:color w:val="auto"/>
        </w:rPr>
        <w:t>附件三：发包人需求任务书</w:t>
      </w:r>
    </w:p>
    <w:p w14:paraId="68A30100">
      <w:pPr>
        <w:spacing w:line="400" w:lineRule="exact"/>
        <w:rPr>
          <w:rFonts w:hint="eastAsia"/>
          <w:color w:val="auto"/>
        </w:rPr>
      </w:pPr>
      <w:r>
        <w:rPr>
          <w:rFonts w:hint="eastAsia"/>
          <w:color w:val="auto"/>
        </w:rPr>
        <w:t>附件四：发包人已完成的设计文件</w:t>
      </w:r>
    </w:p>
    <w:p w14:paraId="4F39B3D8">
      <w:pPr>
        <w:spacing w:line="400" w:lineRule="exact"/>
        <w:rPr>
          <w:rFonts w:hint="eastAsia"/>
          <w:color w:val="auto"/>
        </w:rPr>
      </w:pPr>
      <w:r>
        <w:rPr>
          <w:rFonts w:hint="eastAsia"/>
          <w:color w:val="auto"/>
        </w:rPr>
        <w:t>附件五：承包人文件要求</w:t>
      </w:r>
    </w:p>
    <w:p w14:paraId="5EE8965B">
      <w:pPr>
        <w:spacing w:line="400" w:lineRule="exact"/>
        <w:rPr>
          <w:rFonts w:hint="eastAsia"/>
          <w:color w:val="auto"/>
        </w:rPr>
      </w:pPr>
      <w:r>
        <w:rPr>
          <w:rFonts w:hint="eastAsia"/>
          <w:color w:val="auto"/>
        </w:rPr>
        <w:t>附件六：承包人人员资格要求及审查规定</w:t>
      </w:r>
    </w:p>
    <w:p w14:paraId="29C9DC54">
      <w:pPr>
        <w:spacing w:line="400" w:lineRule="exact"/>
        <w:rPr>
          <w:rFonts w:hint="eastAsia"/>
          <w:color w:val="auto"/>
        </w:rPr>
      </w:pPr>
      <w:r>
        <w:rPr>
          <w:rFonts w:hint="eastAsia"/>
          <w:color w:val="auto"/>
        </w:rPr>
        <w:t>附件七：承包人设计文件审查规定</w:t>
      </w:r>
    </w:p>
    <w:p w14:paraId="10DE0E8F">
      <w:pPr>
        <w:spacing w:line="400" w:lineRule="exact"/>
        <w:rPr>
          <w:rFonts w:hint="eastAsia"/>
          <w:color w:val="auto"/>
        </w:rPr>
      </w:pPr>
      <w:r>
        <w:rPr>
          <w:rFonts w:hint="eastAsia"/>
          <w:color w:val="auto"/>
        </w:rPr>
        <w:t>附件八：承包人采购审查与批准规定</w:t>
      </w:r>
    </w:p>
    <w:p w14:paraId="413CCED1">
      <w:pPr>
        <w:spacing w:line="400" w:lineRule="exact"/>
        <w:rPr>
          <w:rFonts w:hint="eastAsia"/>
          <w:color w:val="auto"/>
        </w:rPr>
      </w:pPr>
      <w:r>
        <w:rPr>
          <w:rFonts w:hint="eastAsia"/>
          <w:color w:val="auto"/>
        </w:rPr>
        <w:t xml:space="preserve">附件九：材料、工程设备和工程试验规定 </w:t>
      </w:r>
    </w:p>
    <w:p w14:paraId="17D3B0A3">
      <w:pPr>
        <w:spacing w:line="400" w:lineRule="exact"/>
        <w:rPr>
          <w:rFonts w:hint="eastAsia"/>
          <w:color w:val="auto"/>
        </w:rPr>
      </w:pPr>
      <w:r>
        <w:rPr>
          <w:rFonts w:hint="eastAsia"/>
          <w:color w:val="auto"/>
        </w:rPr>
        <w:t>附件十：竣工试验规定</w:t>
      </w:r>
    </w:p>
    <w:p w14:paraId="734050E7">
      <w:pPr>
        <w:spacing w:line="400" w:lineRule="exact"/>
        <w:rPr>
          <w:rFonts w:hint="eastAsia"/>
          <w:color w:val="auto"/>
        </w:rPr>
      </w:pPr>
      <w:r>
        <w:rPr>
          <w:rFonts w:hint="eastAsia"/>
          <w:color w:val="auto"/>
        </w:rPr>
        <w:t>附件十一：竣工验收规定</w:t>
      </w:r>
    </w:p>
    <w:p w14:paraId="084B3F9F">
      <w:pPr>
        <w:spacing w:line="400" w:lineRule="exact"/>
        <w:rPr>
          <w:rFonts w:hint="eastAsia"/>
          <w:color w:val="auto"/>
        </w:rPr>
      </w:pPr>
      <w:r>
        <w:rPr>
          <w:rFonts w:hint="eastAsia"/>
          <w:color w:val="auto"/>
        </w:rPr>
        <w:t>附件十二：竣工后试验规定</w:t>
      </w:r>
    </w:p>
    <w:p w14:paraId="32D28C62">
      <w:pPr>
        <w:spacing w:line="400" w:lineRule="exact"/>
        <w:rPr>
          <w:rFonts w:ascii="宋体" w:hAnsi="宋体"/>
          <w:color w:val="auto"/>
          <w:szCs w:val="21"/>
        </w:rPr>
      </w:pPr>
      <w:r>
        <w:rPr>
          <w:rFonts w:hint="eastAsia"/>
          <w:color w:val="auto"/>
        </w:rPr>
        <w:t>附件十三：工程项目管理规定</w:t>
      </w:r>
      <w:r>
        <w:rPr>
          <w:rFonts w:ascii="宋体" w:hAnsi="宋体"/>
          <w:color w:val="auto"/>
          <w:szCs w:val="21"/>
        </w:rPr>
        <w:br w:type="page"/>
      </w:r>
    </w:p>
    <w:p w14:paraId="3F294A0E">
      <w:pPr>
        <w:spacing w:line="400" w:lineRule="exact"/>
        <w:rPr>
          <w:rFonts w:hint="eastAsia" w:ascii="宋体" w:hAnsi="宋体"/>
          <w:color w:val="auto"/>
          <w:szCs w:val="21"/>
        </w:rPr>
      </w:pPr>
    </w:p>
    <w:p w14:paraId="1DA84F53">
      <w:pPr>
        <w:spacing w:line="400" w:lineRule="exact"/>
        <w:rPr>
          <w:rFonts w:hint="eastAsia" w:ascii="宋体" w:hAnsi="宋体"/>
          <w:color w:val="auto"/>
          <w:szCs w:val="21"/>
        </w:rPr>
      </w:pPr>
    </w:p>
    <w:p w14:paraId="7F759A54">
      <w:pPr>
        <w:spacing w:line="400" w:lineRule="exact"/>
        <w:rPr>
          <w:rFonts w:hint="eastAsia" w:ascii="宋体" w:hAnsi="宋体"/>
          <w:color w:val="auto"/>
          <w:szCs w:val="21"/>
        </w:rPr>
      </w:pPr>
    </w:p>
    <w:p w14:paraId="4BCCF451">
      <w:pPr>
        <w:spacing w:line="400" w:lineRule="exact"/>
        <w:rPr>
          <w:rFonts w:hint="eastAsia" w:ascii="宋体" w:hAnsi="宋体"/>
          <w:color w:val="auto"/>
          <w:szCs w:val="21"/>
        </w:rPr>
      </w:pPr>
    </w:p>
    <w:p w14:paraId="669D7605">
      <w:pPr>
        <w:spacing w:line="360" w:lineRule="auto"/>
        <w:ind w:firstLine="420"/>
        <w:rPr>
          <w:rFonts w:hint="eastAsia" w:ascii="宋体" w:hAnsi="宋体"/>
          <w:color w:val="auto"/>
          <w:szCs w:val="21"/>
        </w:rPr>
      </w:pPr>
    </w:p>
    <w:p w14:paraId="2F7636D2">
      <w:pPr>
        <w:pStyle w:val="100"/>
        <w:rPr>
          <w:color w:val="auto"/>
        </w:rPr>
      </w:pPr>
      <w:bookmarkStart w:id="2050" w:name="_Toc519085628"/>
      <w:bookmarkStart w:id="2051" w:name="_Toc16487"/>
      <w:bookmarkStart w:id="2052" w:name="_Toc29597"/>
      <w:bookmarkStart w:id="2053" w:name="_Toc23576"/>
      <w:bookmarkStart w:id="2054" w:name="_Toc154064015"/>
      <w:bookmarkStart w:id="2055" w:name="_Toc8552"/>
      <w:r>
        <w:rPr>
          <w:rFonts w:hint="eastAsia"/>
          <w:color w:val="auto"/>
        </w:rPr>
        <w:t>第六章  发包人提供的资料</w:t>
      </w:r>
      <w:bookmarkEnd w:id="2050"/>
      <w:bookmarkEnd w:id="2051"/>
      <w:bookmarkEnd w:id="2052"/>
      <w:bookmarkEnd w:id="2053"/>
      <w:bookmarkEnd w:id="2054"/>
      <w:bookmarkEnd w:id="2055"/>
    </w:p>
    <w:p w14:paraId="1A996B2C">
      <w:pPr>
        <w:spacing w:line="360" w:lineRule="auto"/>
        <w:ind w:firstLine="420"/>
        <w:rPr>
          <w:rFonts w:hint="eastAsia"/>
          <w:color w:val="auto"/>
        </w:rPr>
      </w:pPr>
      <w:r>
        <w:rPr>
          <w:color w:val="auto"/>
        </w:rPr>
        <w:br w:type="page"/>
      </w:r>
    </w:p>
    <w:p w14:paraId="2B058058">
      <w:pPr>
        <w:pStyle w:val="3"/>
        <w:spacing w:before="48"/>
        <w:jc w:val="center"/>
        <w:rPr>
          <w:rFonts w:hint="eastAsia"/>
          <w:color w:val="auto"/>
        </w:rPr>
      </w:pPr>
      <w:bookmarkStart w:id="2056" w:name="_Toc154064016"/>
      <w:bookmarkStart w:id="2057" w:name="_Toc29735"/>
      <w:bookmarkStart w:id="2058" w:name="_Toc31518"/>
      <w:bookmarkStart w:id="2059" w:name="_Toc30230"/>
      <w:bookmarkStart w:id="2060" w:name="_Toc20457"/>
      <w:bookmarkStart w:id="2061" w:name="_Toc78047092"/>
      <w:r>
        <w:rPr>
          <w:rFonts w:hint="eastAsia"/>
          <w:color w:val="auto"/>
        </w:rPr>
        <w:t>发包人提供的资料</w:t>
      </w:r>
      <w:bookmarkEnd w:id="2056"/>
      <w:bookmarkEnd w:id="2057"/>
      <w:bookmarkEnd w:id="2058"/>
      <w:bookmarkEnd w:id="2059"/>
      <w:bookmarkEnd w:id="2060"/>
      <w:bookmarkEnd w:id="2061"/>
    </w:p>
    <w:p w14:paraId="54DFA7B0">
      <w:pPr>
        <w:rPr>
          <w:rFonts w:hint="eastAsia"/>
          <w:b/>
          <w:color w:val="auto"/>
          <w:sz w:val="30"/>
          <w:szCs w:val="30"/>
        </w:rPr>
      </w:pPr>
    </w:p>
    <w:p w14:paraId="47F11C4F">
      <w:pPr>
        <w:spacing w:line="360" w:lineRule="auto"/>
        <w:ind w:firstLine="420" w:firstLineChars="200"/>
        <w:rPr>
          <w:rFonts w:hint="eastAsia" w:ascii="宋体" w:hAnsi="宋体"/>
          <w:color w:val="auto"/>
          <w:szCs w:val="21"/>
        </w:rPr>
      </w:pPr>
      <w:r>
        <w:rPr>
          <w:rFonts w:hint="eastAsia" w:ascii="宋体" w:hAnsi="宋体"/>
          <w:color w:val="auto"/>
          <w:szCs w:val="21"/>
        </w:rPr>
        <w:t>一、项目概况</w:t>
      </w:r>
    </w:p>
    <w:p w14:paraId="71F3290D">
      <w:pPr>
        <w:spacing w:line="360" w:lineRule="auto"/>
        <w:ind w:firstLine="420" w:firstLineChars="200"/>
        <w:rPr>
          <w:rFonts w:hint="eastAsia" w:ascii="宋体" w:hAnsi="宋体"/>
          <w:color w:val="auto"/>
          <w:szCs w:val="21"/>
        </w:rPr>
      </w:pPr>
    </w:p>
    <w:p w14:paraId="76FCB762">
      <w:pPr>
        <w:spacing w:line="360" w:lineRule="auto"/>
        <w:ind w:firstLine="420" w:firstLineChars="200"/>
        <w:rPr>
          <w:rFonts w:hint="eastAsia" w:ascii="宋体" w:hAnsi="宋体"/>
          <w:color w:val="auto"/>
          <w:szCs w:val="21"/>
        </w:rPr>
      </w:pPr>
      <w:r>
        <w:rPr>
          <w:rFonts w:hint="eastAsia" w:ascii="宋体" w:hAnsi="宋体"/>
          <w:color w:val="auto"/>
          <w:szCs w:val="21"/>
        </w:rPr>
        <w:t>二、发包人提供的资料</w:t>
      </w:r>
    </w:p>
    <w:p w14:paraId="33FA576D">
      <w:pPr>
        <w:spacing w:line="360" w:lineRule="auto"/>
        <w:ind w:firstLine="420" w:firstLineChars="200"/>
        <w:rPr>
          <w:rFonts w:hint="eastAsia" w:ascii="宋体" w:hAnsi="宋体"/>
          <w:color w:val="auto"/>
          <w:szCs w:val="21"/>
        </w:rPr>
      </w:pPr>
      <w:r>
        <w:rPr>
          <w:rFonts w:hint="eastAsia"/>
          <w:color w:val="auto"/>
          <w:szCs w:val="21"/>
        </w:rPr>
        <w:t>1</w:t>
      </w:r>
      <w:r>
        <w:rPr>
          <w:rFonts w:hint="eastAsia" w:ascii="宋体" w:hAnsi="宋体"/>
          <w:color w:val="auto"/>
          <w:szCs w:val="21"/>
        </w:rPr>
        <w:t>. 施工场地及毗邻区域内的供水、排水、供电、供气、供热、通信、广播电视等地下管线资料、气象和水文观测资料，相邻建筑物和构筑物、地下工程的有关资料，以及其他与建设工程有关的原始资料。</w:t>
      </w:r>
    </w:p>
    <w:p w14:paraId="7D59ADA4">
      <w:pPr>
        <w:spacing w:line="360" w:lineRule="auto"/>
        <w:ind w:firstLine="420" w:firstLineChars="200"/>
        <w:rPr>
          <w:rFonts w:hint="eastAsia" w:ascii="宋体" w:hAnsi="宋体"/>
          <w:color w:val="auto"/>
          <w:szCs w:val="21"/>
        </w:rPr>
      </w:pPr>
      <w:r>
        <w:rPr>
          <w:rFonts w:hint="eastAsia"/>
          <w:color w:val="auto"/>
          <w:szCs w:val="21"/>
        </w:rPr>
        <w:t>2</w:t>
      </w:r>
      <w:r>
        <w:rPr>
          <w:rFonts w:hint="eastAsia" w:ascii="宋体" w:hAnsi="宋体"/>
          <w:color w:val="auto"/>
          <w:szCs w:val="21"/>
        </w:rPr>
        <w:t>. 定位放线的基准点、基准线和基准标高。</w:t>
      </w:r>
    </w:p>
    <w:p w14:paraId="58F6E3EB">
      <w:pPr>
        <w:spacing w:line="360" w:lineRule="auto"/>
        <w:ind w:firstLine="420" w:firstLineChars="200"/>
        <w:rPr>
          <w:rFonts w:hint="eastAsia" w:ascii="宋体" w:hAnsi="宋体"/>
          <w:color w:val="auto"/>
          <w:szCs w:val="21"/>
        </w:rPr>
      </w:pPr>
      <w:r>
        <w:rPr>
          <w:rFonts w:hint="eastAsia"/>
          <w:color w:val="auto"/>
          <w:szCs w:val="21"/>
        </w:rPr>
        <w:t>3</w:t>
      </w:r>
      <w:r>
        <w:rPr>
          <w:rFonts w:hint="eastAsia" w:ascii="宋体" w:hAnsi="宋体"/>
          <w:color w:val="auto"/>
          <w:szCs w:val="21"/>
        </w:rPr>
        <w:t>. 发包人取得的有关审批、核准和备案材料，如规划许可证。</w:t>
      </w:r>
    </w:p>
    <w:p w14:paraId="12754877">
      <w:pPr>
        <w:spacing w:line="360" w:lineRule="auto"/>
        <w:ind w:firstLine="420" w:firstLineChars="200"/>
        <w:rPr>
          <w:rFonts w:ascii="宋体" w:hAnsi="宋体"/>
          <w:color w:val="auto"/>
          <w:szCs w:val="21"/>
        </w:rPr>
      </w:pPr>
      <w:r>
        <w:rPr>
          <w:rFonts w:hint="eastAsia"/>
          <w:color w:val="auto"/>
          <w:szCs w:val="21"/>
        </w:rPr>
        <w:t>4</w:t>
      </w:r>
      <w:r>
        <w:rPr>
          <w:rFonts w:hint="eastAsia" w:ascii="宋体" w:hAnsi="宋体"/>
          <w:color w:val="auto"/>
          <w:szCs w:val="21"/>
        </w:rPr>
        <w:t>．其他资料。</w:t>
      </w:r>
      <w:bookmarkStart w:id="2062" w:name="_Toc152045786"/>
      <w:bookmarkStart w:id="2063" w:name="_Toc152042575"/>
      <w:bookmarkStart w:id="2064" w:name="_Toc144974855"/>
      <w:r>
        <w:rPr>
          <w:rFonts w:ascii="黑体" w:hAnsi="黑体" w:eastAsia="黑体"/>
          <w:b/>
          <w:bCs/>
          <w:color w:val="auto"/>
          <w:sz w:val="32"/>
        </w:rPr>
        <w:br w:type="page"/>
      </w:r>
    </w:p>
    <w:p w14:paraId="692384D0">
      <w:pPr>
        <w:spacing w:line="400" w:lineRule="exact"/>
        <w:jc w:val="center"/>
        <w:rPr>
          <w:rFonts w:hint="eastAsia"/>
          <w:color w:val="auto"/>
        </w:rPr>
      </w:pPr>
    </w:p>
    <w:p w14:paraId="0D159A0C">
      <w:pPr>
        <w:spacing w:line="400" w:lineRule="exact"/>
        <w:jc w:val="center"/>
        <w:rPr>
          <w:rFonts w:hint="eastAsia"/>
          <w:color w:val="auto"/>
        </w:rPr>
      </w:pPr>
    </w:p>
    <w:p w14:paraId="2F6EF997">
      <w:pPr>
        <w:spacing w:line="400" w:lineRule="exact"/>
        <w:jc w:val="center"/>
        <w:rPr>
          <w:rFonts w:hint="eastAsia"/>
          <w:color w:val="auto"/>
        </w:rPr>
      </w:pPr>
    </w:p>
    <w:p w14:paraId="173B3FB4">
      <w:pPr>
        <w:spacing w:line="400" w:lineRule="exact"/>
        <w:jc w:val="center"/>
        <w:rPr>
          <w:rFonts w:hint="eastAsia"/>
          <w:color w:val="auto"/>
        </w:rPr>
      </w:pPr>
    </w:p>
    <w:p w14:paraId="4ED91C91">
      <w:pPr>
        <w:spacing w:line="400" w:lineRule="exact"/>
        <w:jc w:val="center"/>
        <w:rPr>
          <w:color w:val="auto"/>
        </w:rPr>
      </w:pPr>
    </w:p>
    <w:p w14:paraId="1524AB42">
      <w:pPr>
        <w:pStyle w:val="100"/>
        <w:rPr>
          <w:color w:val="auto"/>
        </w:rPr>
      </w:pPr>
      <w:bookmarkStart w:id="2065" w:name="_Toc247527826"/>
      <w:bookmarkStart w:id="2066" w:name="_Toc16592"/>
      <w:bookmarkStart w:id="2067" w:name="_Toc247514245"/>
      <w:bookmarkStart w:id="2068" w:name="_Toc3521"/>
      <w:bookmarkStart w:id="2069" w:name="_Toc519085629"/>
      <w:bookmarkStart w:id="2070" w:name="_Toc154064017"/>
      <w:bookmarkStart w:id="2071" w:name="_Toc14329"/>
      <w:bookmarkStart w:id="2072" w:name="_Toc4651"/>
      <w:r>
        <w:rPr>
          <w:rFonts w:hint="eastAsia"/>
          <w:color w:val="auto"/>
        </w:rPr>
        <w:t>第七章  投标文件格式</w:t>
      </w:r>
      <w:bookmarkEnd w:id="2062"/>
      <w:bookmarkEnd w:id="2063"/>
      <w:bookmarkEnd w:id="2064"/>
      <w:bookmarkEnd w:id="2065"/>
      <w:bookmarkEnd w:id="2066"/>
      <w:bookmarkEnd w:id="2067"/>
      <w:bookmarkEnd w:id="2068"/>
      <w:bookmarkEnd w:id="2069"/>
      <w:bookmarkEnd w:id="2070"/>
      <w:bookmarkEnd w:id="2071"/>
      <w:bookmarkEnd w:id="2072"/>
    </w:p>
    <w:p w14:paraId="33D6F549">
      <w:pPr>
        <w:spacing w:line="400" w:lineRule="exact"/>
        <w:rPr>
          <w:color w:val="auto"/>
        </w:rPr>
      </w:pPr>
    </w:p>
    <w:p w14:paraId="7A7654D3">
      <w:pPr>
        <w:spacing w:line="400" w:lineRule="exact"/>
        <w:rPr>
          <w:rFonts w:hint="eastAsia"/>
          <w:color w:val="auto"/>
        </w:rPr>
      </w:pPr>
      <w:r>
        <w:rPr>
          <w:color w:val="auto"/>
        </w:rPr>
        <w:br w:type="page"/>
      </w:r>
    </w:p>
    <w:p w14:paraId="79B8F651">
      <w:pPr>
        <w:spacing w:line="400" w:lineRule="exact"/>
        <w:rPr>
          <w:rFonts w:hint="eastAsia"/>
          <w:color w:val="auto"/>
        </w:rPr>
      </w:pPr>
    </w:p>
    <w:p w14:paraId="6F2936EE">
      <w:pPr>
        <w:spacing w:line="400" w:lineRule="exact"/>
        <w:rPr>
          <w:rFonts w:hint="eastAsia"/>
          <w:color w:val="auto"/>
        </w:rPr>
      </w:pPr>
    </w:p>
    <w:p w14:paraId="5A001ADC">
      <w:pPr>
        <w:spacing w:line="400" w:lineRule="exact"/>
        <w:rPr>
          <w:rFonts w:hint="eastAsia"/>
          <w:color w:val="auto"/>
        </w:rPr>
      </w:pPr>
    </w:p>
    <w:p w14:paraId="7A362068">
      <w:pPr>
        <w:spacing w:line="400" w:lineRule="exact"/>
        <w:rPr>
          <w:rFonts w:hint="eastAsia"/>
          <w:color w:val="auto"/>
        </w:rPr>
      </w:pPr>
    </w:p>
    <w:p w14:paraId="7153FFAE">
      <w:pPr>
        <w:spacing w:line="400" w:lineRule="exact"/>
        <w:rPr>
          <w:rFonts w:hint="eastAsia"/>
          <w:color w:val="auto"/>
        </w:rPr>
      </w:pPr>
    </w:p>
    <w:p w14:paraId="5FCB6F42">
      <w:pPr>
        <w:spacing w:line="400" w:lineRule="exact"/>
        <w:jc w:val="center"/>
        <w:rPr>
          <w:rFonts w:ascii="黑体" w:hAnsi="黑体" w:eastAsia="黑体"/>
          <w:color w:val="auto"/>
          <w:sz w:val="28"/>
          <w:szCs w:val="28"/>
        </w:rPr>
      </w:pPr>
      <w:r>
        <w:rPr>
          <w:rFonts w:hint="eastAsia" w:ascii="黑体" w:hAnsi="黑体" w:eastAsia="黑体"/>
          <w:color w:val="auto"/>
          <w:sz w:val="28"/>
          <w:szCs w:val="28"/>
        </w:rPr>
        <w:t xml:space="preserve">   </w:t>
      </w:r>
      <w:r>
        <w:rPr>
          <w:rFonts w:hint="eastAsia" w:ascii="黑体" w:hAnsi="黑体" w:eastAsia="黑体"/>
          <w:color w:val="auto"/>
          <w:sz w:val="28"/>
          <w:szCs w:val="28"/>
          <w:u w:val="single"/>
        </w:rPr>
        <w:t xml:space="preserve">       </w:t>
      </w:r>
      <w:r>
        <w:rPr>
          <w:rFonts w:hint="eastAsia" w:ascii="黑体" w:hAnsi="黑体" w:eastAsia="黑体"/>
          <w:color w:val="auto"/>
          <w:sz w:val="28"/>
          <w:szCs w:val="28"/>
        </w:rPr>
        <w:t>（项目名称）</w:t>
      </w:r>
      <w:r>
        <w:rPr>
          <w:rFonts w:hint="eastAsia" w:ascii="黑体" w:hAnsi="黑体" w:eastAsia="黑体"/>
          <w:color w:val="auto"/>
          <w:sz w:val="28"/>
          <w:szCs w:val="28"/>
          <w:u w:val="single"/>
        </w:rPr>
        <w:t xml:space="preserve">    </w:t>
      </w:r>
      <w:r>
        <w:rPr>
          <w:rFonts w:hint="eastAsia" w:ascii="黑体" w:hAnsi="黑体" w:eastAsia="黑体"/>
          <w:color w:val="auto"/>
          <w:sz w:val="28"/>
          <w:szCs w:val="28"/>
        </w:rPr>
        <w:t>（标段名称）工程总承包</w:t>
      </w:r>
      <w:r>
        <w:rPr>
          <w:rFonts w:ascii="黑体" w:hAnsi="黑体" w:eastAsia="黑体"/>
          <w:color w:val="auto"/>
          <w:sz w:val="28"/>
          <w:szCs w:val="28"/>
        </w:rPr>
        <w:t>招标</w:t>
      </w:r>
    </w:p>
    <w:p w14:paraId="224A8ED8">
      <w:pPr>
        <w:rPr>
          <w:rFonts w:eastAsia="黑体"/>
          <w:color w:val="auto"/>
          <w:sz w:val="20"/>
          <w:szCs w:val="20"/>
        </w:rPr>
      </w:pPr>
    </w:p>
    <w:p w14:paraId="371501BF">
      <w:pPr>
        <w:rPr>
          <w:rFonts w:eastAsia="黑体"/>
          <w:color w:val="auto"/>
          <w:sz w:val="20"/>
          <w:szCs w:val="20"/>
        </w:rPr>
      </w:pPr>
    </w:p>
    <w:p w14:paraId="34544C11">
      <w:pPr>
        <w:jc w:val="center"/>
        <w:rPr>
          <w:rFonts w:eastAsia="黑体"/>
          <w:color w:val="auto"/>
          <w:sz w:val="48"/>
          <w:szCs w:val="48"/>
        </w:rPr>
      </w:pPr>
      <w:r>
        <w:rPr>
          <w:rFonts w:eastAsia="黑体"/>
          <w:color w:val="auto"/>
          <w:sz w:val="48"/>
          <w:szCs w:val="48"/>
        </w:rPr>
        <w:t>投  标  文  件</w:t>
      </w:r>
    </w:p>
    <w:p w14:paraId="3B733899">
      <w:pPr>
        <w:rPr>
          <w:rFonts w:eastAsia="黑体"/>
          <w:color w:val="auto"/>
          <w:sz w:val="28"/>
          <w:szCs w:val="28"/>
        </w:rPr>
      </w:pPr>
    </w:p>
    <w:p w14:paraId="2FE5FEAC">
      <w:pPr>
        <w:rPr>
          <w:rFonts w:eastAsia="黑体"/>
          <w:color w:val="auto"/>
          <w:sz w:val="28"/>
          <w:szCs w:val="28"/>
        </w:rPr>
      </w:pPr>
    </w:p>
    <w:p w14:paraId="23F3B5FA">
      <w:pPr>
        <w:rPr>
          <w:rFonts w:eastAsia="黑体"/>
          <w:color w:val="auto"/>
          <w:sz w:val="28"/>
          <w:szCs w:val="28"/>
        </w:rPr>
      </w:pPr>
    </w:p>
    <w:p w14:paraId="2CFDCB5F">
      <w:pPr>
        <w:rPr>
          <w:rFonts w:eastAsia="黑体"/>
          <w:color w:val="auto"/>
          <w:sz w:val="28"/>
          <w:szCs w:val="28"/>
        </w:rPr>
      </w:pPr>
    </w:p>
    <w:p w14:paraId="3C9F7AA5">
      <w:pPr>
        <w:rPr>
          <w:rFonts w:eastAsia="黑体"/>
          <w:color w:val="auto"/>
          <w:sz w:val="28"/>
          <w:szCs w:val="28"/>
        </w:rPr>
      </w:pPr>
    </w:p>
    <w:p w14:paraId="108E1E5F">
      <w:pPr>
        <w:rPr>
          <w:rFonts w:eastAsia="黑体"/>
          <w:color w:val="auto"/>
          <w:sz w:val="28"/>
          <w:szCs w:val="28"/>
        </w:rPr>
      </w:pPr>
    </w:p>
    <w:p w14:paraId="2788F25B">
      <w:pPr>
        <w:rPr>
          <w:rFonts w:eastAsia="黑体"/>
          <w:color w:val="auto"/>
          <w:sz w:val="28"/>
          <w:szCs w:val="28"/>
        </w:rPr>
      </w:pPr>
    </w:p>
    <w:p w14:paraId="4D5FF075">
      <w:pPr>
        <w:rPr>
          <w:rFonts w:eastAsia="黑体"/>
          <w:color w:val="auto"/>
          <w:sz w:val="28"/>
          <w:szCs w:val="28"/>
        </w:rPr>
      </w:pPr>
    </w:p>
    <w:p w14:paraId="3B1AD058">
      <w:pPr>
        <w:rPr>
          <w:rFonts w:eastAsia="黑体"/>
          <w:color w:val="auto"/>
          <w:sz w:val="28"/>
          <w:szCs w:val="28"/>
        </w:rPr>
      </w:pPr>
    </w:p>
    <w:p w14:paraId="421B5F08">
      <w:pPr>
        <w:rPr>
          <w:rFonts w:eastAsia="黑体"/>
          <w:color w:val="auto"/>
          <w:sz w:val="28"/>
          <w:szCs w:val="28"/>
        </w:rPr>
      </w:pPr>
    </w:p>
    <w:p w14:paraId="1FBD65A1">
      <w:pPr>
        <w:rPr>
          <w:rFonts w:eastAsia="黑体"/>
          <w:color w:val="auto"/>
          <w:sz w:val="28"/>
          <w:szCs w:val="28"/>
        </w:rPr>
      </w:pPr>
    </w:p>
    <w:p w14:paraId="3482FFD5">
      <w:pPr>
        <w:rPr>
          <w:rFonts w:hint="eastAsia" w:eastAsia="黑体"/>
          <w:color w:val="auto"/>
          <w:sz w:val="28"/>
          <w:szCs w:val="28"/>
        </w:rPr>
      </w:pPr>
    </w:p>
    <w:p w14:paraId="3A8669DA">
      <w:pPr>
        <w:rPr>
          <w:rFonts w:eastAsia="黑体"/>
          <w:color w:val="auto"/>
          <w:sz w:val="28"/>
          <w:szCs w:val="28"/>
        </w:rPr>
      </w:pPr>
    </w:p>
    <w:p w14:paraId="6D7C4D1C">
      <w:pPr>
        <w:rPr>
          <w:rFonts w:hint="eastAsia" w:eastAsia="黑体"/>
          <w:color w:val="auto"/>
          <w:sz w:val="28"/>
          <w:szCs w:val="28"/>
        </w:rPr>
      </w:pPr>
    </w:p>
    <w:p w14:paraId="21748C25">
      <w:pPr>
        <w:jc w:val="center"/>
        <w:rPr>
          <w:rFonts w:eastAsia="黑体"/>
          <w:color w:val="auto"/>
          <w:sz w:val="28"/>
          <w:szCs w:val="28"/>
          <w:u w:val="single"/>
        </w:rPr>
      </w:pPr>
      <w:r>
        <w:rPr>
          <w:rFonts w:eastAsia="黑体"/>
          <w:color w:val="auto"/>
          <w:sz w:val="28"/>
          <w:szCs w:val="28"/>
        </w:rPr>
        <w:t>投标人：</w:t>
      </w:r>
      <w:r>
        <w:rPr>
          <w:rFonts w:eastAsia="黑体"/>
          <w:color w:val="auto"/>
          <w:sz w:val="28"/>
          <w:szCs w:val="28"/>
          <w:u w:val="single"/>
        </w:rPr>
        <w:t xml:space="preserve">                     </w:t>
      </w:r>
      <w:r>
        <w:rPr>
          <w:rFonts w:hint="eastAsia" w:eastAsia="黑体"/>
          <w:color w:val="auto"/>
          <w:sz w:val="28"/>
          <w:szCs w:val="28"/>
          <w:u w:val="single"/>
        </w:rPr>
        <w:t xml:space="preserve">  </w:t>
      </w:r>
      <w:r>
        <w:rPr>
          <w:rFonts w:eastAsia="黑体"/>
          <w:color w:val="auto"/>
          <w:sz w:val="28"/>
          <w:szCs w:val="28"/>
          <w:u w:val="single"/>
        </w:rPr>
        <w:t xml:space="preserve">       </w:t>
      </w:r>
      <w:r>
        <w:rPr>
          <w:rFonts w:eastAsia="黑体"/>
          <w:color w:val="auto"/>
          <w:sz w:val="28"/>
          <w:szCs w:val="28"/>
        </w:rPr>
        <w:t>（盖单位章）</w:t>
      </w:r>
    </w:p>
    <w:p w14:paraId="38EFB15B">
      <w:pPr>
        <w:jc w:val="center"/>
        <w:rPr>
          <w:rFonts w:eastAsia="黑体"/>
          <w:color w:val="auto"/>
          <w:sz w:val="28"/>
          <w:szCs w:val="28"/>
        </w:rPr>
      </w:pPr>
      <w:r>
        <w:rPr>
          <w:rFonts w:eastAsia="黑体"/>
          <w:color w:val="auto"/>
          <w:sz w:val="28"/>
          <w:szCs w:val="28"/>
        </w:rPr>
        <w:t>法定代表人：</w:t>
      </w:r>
      <w:r>
        <w:rPr>
          <w:rFonts w:eastAsia="黑体"/>
          <w:color w:val="auto"/>
          <w:sz w:val="28"/>
          <w:szCs w:val="28"/>
          <w:u w:val="single"/>
        </w:rPr>
        <w:t xml:space="preserve">    </w:t>
      </w:r>
      <w:r>
        <w:rPr>
          <w:rFonts w:hint="eastAsia" w:eastAsia="黑体"/>
          <w:color w:val="auto"/>
          <w:sz w:val="28"/>
          <w:szCs w:val="28"/>
          <w:u w:val="single"/>
        </w:rPr>
        <w:t xml:space="preserve">              </w:t>
      </w:r>
      <w:r>
        <w:rPr>
          <w:rFonts w:eastAsia="黑体"/>
          <w:color w:val="auto"/>
          <w:sz w:val="28"/>
          <w:szCs w:val="28"/>
          <w:u w:val="single"/>
        </w:rPr>
        <w:t xml:space="preserve">            </w:t>
      </w:r>
      <w:r>
        <w:rPr>
          <w:rFonts w:eastAsia="黑体"/>
          <w:color w:val="auto"/>
          <w:sz w:val="28"/>
          <w:szCs w:val="28"/>
        </w:rPr>
        <w:t>（签字）</w:t>
      </w:r>
    </w:p>
    <w:p w14:paraId="77F6DFAC">
      <w:pPr>
        <w:jc w:val="center"/>
        <w:rPr>
          <w:rFonts w:eastAsia="黑体"/>
          <w:color w:val="auto"/>
          <w:sz w:val="28"/>
          <w:szCs w:val="28"/>
        </w:rPr>
      </w:pPr>
      <w:r>
        <w:rPr>
          <w:rFonts w:eastAsia="黑体"/>
          <w:color w:val="auto"/>
          <w:sz w:val="28"/>
          <w:szCs w:val="28"/>
          <w:u w:val="single"/>
        </w:rPr>
        <w:t xml:space="preserve">        </w:t>
      </w:r>
      <w:r>
        <w:rPr>
          <w:rFonts w:eastAsia="黑体"/>
          <w:color w:val="auto"/>
          <w:sz w:val="28"/>
          <w:szCs w:val="28"/>
        </w:rPr>
        <w:t>年</w:t>
      </w:r>
      <w:r>
        <w:rPr>
          <w:rFonts w:eastAsia="黑体"/>
          <w:color w:val="auto"/>
          <w:sz w:val="28"/>
          <w:szCs w:val="28"/>
          <w:u w:val="single"/>
        </w:rPr>
        <w:t xml:space="preserve">        </w:t>
      </w:r>
      <w:r>
        <w:rPr>
          <w:rFonts w:eastAsia="黑体"/>
          <w:color w:val="auto"/>
          <w:sz w:val="28"/>
          <w:szCs w:val="28"/>
        </w:rPr>
        <w:t>月</w:t>
      </w:r>
      <w:r>
        <w:rPr>
          <w:rFonts w:eastAsia="黑体"/>
          <w:color w:val="auto"/>
          <w:sz w:val="28"/>
          <w:szCs w:val="28"/>
          <w:u w:val="single"/>
        </w:rPr>
        <w:t xml:space="preserve">         </w:t>
      </w:r>
      <w:r>
        <w:rPr>
          <w:rFonts w:eastAsia="黑体"/>
          <w:color w:val="auto"/>
          <w:sz w:val="28"/>
          <w:szCs w:val="28"/>
        </w:rPr>
        <w:t>日</w:t>
      </w:r>
    </w:p>
    <w:p w14:paraId="4DBF0178">
      <w:pPr>
        <w:spacing w:line="440" w:lineRule="exact"/>
        <w:rPr>
          <w:rFonts w:hint="eastAsia" w:eastAsia="黑体"/>
          <w:color w:val="auto"/>
          <w:sz w:val="20"/>
          <w:szCs w:val="20"/>
        </w:rPr>
      </w:pPr>
    </w:p>
    <w:p w14:paraId="5FA31CC3">
      <w:pPr>
        <w:spacing w:line="440" w:lineRule="exact"/>
        <w:rPr>
          <w:rFonts w:hint="eastAsia" w:eastAsia="黑体"/>
          <w:color w:val="auto"/>
          <w:sz w:val="20"/>
          <w:szCs w:val="20"/>
        </w:rPr>
      </w:pPr>
    </w:p>
    <w:p w14:paraId="3D12EF05">
      <w:pPr>
        <w:spacing w:line="440" w:lineRule="exact"/>
        <w:rPr>
          <w:rFonts w:hint="eastAsia" w:eastAsia="黑体"/>
          <w:color w:val="auto"/>
          <w:sz w:val="20"/>
          <w:szCs w:val="20"/>
        </w:rPr>
      </w:pPr>
    </w:p>
    <w:p w14:paraId="31C22527">
      <w:pPr>
        <w:spacing w:line="440" w:lineRule="exact"/>
        <w:rPr>
          <w:rFonts w:hint="eastAsia" w:eastAsia="黑体"/>
          <w:color w:val="auto"/>
          <w:sz w:val="20"/>
          <w:szCs w:val="20"/>
        </w:rPr>
      </w:pPr>
    </w:p>
    <w:p w14:paraId="03EC948D">
      <w:pPr>
        <w:spacing w:line="400" w:lineRule="exact"/>
        <w:rPr>
          <w:rFonts w:hint="eastAsia"/>
          <w:color w:val="auto"/>
        </w:rPr>
      </w:pPr>
    </w:p>
    <w:p w14:paraId="068DD461">
      <w:pPr>
        <w:pStyle w:val="83"/>
        <w:spacing w:before="48"/>
        <w:rPr>
          <w:rFonts w:hint="eastAsia"/>
          <w:color w:val="auto"/>
        </w:rPr>
      </w:pPr>
      <w:bookmarkStart w:id="2073" w:name="_Toc152045787"/>
      <w:bookmarkStart w:id="2074" w:name="_Toc144974856"/>
      <w:bookmarkStart w:id="2075" w:name="_Toc519085630"/>
      <w:bookmarkStart w:id="2076" w:name="_Toc247527827"/>
      <w:bookmarkStart w:id="2077" w:name="_Toc25796"/>
      <w:bookmarkStart w:id="2078" w:name="_Toc247514246"/>
      <w:bookmarkStart w:id="2079" w:name="_Toc31958"/>
      <w:bookmarkStart w:id="2080" w:name="_Toc30658"/>
      <w:bookmarkStart w:id="2081" w:name="_Toc154064018"/>
      <w:bookmarkStart w:id="2082" w:name="_Toc152042576"/>
      <w:bookmarkStart w:id="2083" w:name="_Toc19054"/>
      <w:r>
        <w:rPr>
          <w:rFonts w:hint="eastAsia"/>
          <w:color w:val="auto"/>
        </w:rPr>
        <w:t>目    录</w:t>
      </w:r>
      <w:bookmarkEnd w:id="2073"/>
      <w:bookmarkEnd w:id="2074"/>
      <w:bookmarkEnd w:id="2075"/>
      <w:bookmarkEnd w:id="2076"/>
      <w:bookmarkEnd w:id="2077"/>
      <w:bookmarkEnd w:id="2078"/>
      <w:bookmarkEnd w:id="2079"/>
      <w:bookmarkEnd w:id="2080"/>
      <w:bookmarkEnd w:id="2081"/>
      <w:bookmarkEnd w:id="2082"/>
      <w:bookmarkEnd w:id="2083"/>
    </w:p>
    <w:p w14:paraId="3A5EAD81">
      <w:pPr>
        <w:spacing w:line="360" w:lineRule="auto"/>
        <w:rPr>
          <w:color w:val="auto"/>
        </w:rPr>
      </w:pPr>
      <w:r>
        <w:rPr>
          <w:rFonts w:hint="eastAsia"/>
          <w:color w:val="auto"/>
        </w:rPr>
        <w:t>一、投标函及投标函附录</w:t>
      </w:r>
    </w:p>
    <w:p w14:paraId="1D9972C3">
      <w:pPr>
        <w:spacing w:line="360" w:lineRule="auto"/>
        <w:rPr>
          <w:color w:val="auto"/>
          <w:szCs w:val="20"/>
        </w:rPr>
      </w:pPr>
      <w:r>
        <w:rPr>
          <w:rFonts w:hint="eastAsia"/>
          <w:color w:val="auto"/>
          <w:szCs w:val="20"/>
        </w:rPr>
        <w:t>（一）</w:t>
      </w:r>
      <w:r>
        <w:rPr>
          <w:color w:val="auto"/>
          <w:szCs w:val="20"/>
        </w:rPr>
        <w:t>投标函</w:t>
      </w:r>
    </w:p>
    <w:p w14:paraId="5E58A8C5">
      <w:pPr>
        <w:spacing w:line="360" w:lineRule="auto"/>
        <w:rPr>
          <w:rFonts w:hint="eastAsia"/>
          <w:color w:val="auto"/>
        </w:rPr>
      </w:pPr>
      <w:r>
        <w:rPr>
          <w:rFonts w:hint="eastAsia"/>
          <w:color w:val="auto"/>
          <w:szCs w:val="20"/>
        </w:rPr>
        <w:t>（二）</w:t>
      </w:r>
      <w:r>
        <w:rPr>
          <w:color w:val="auto"/>
          <w:szCs w:val="20"/>
        </w:rPr>
        <w:t>投标函附录</w:t>
      </w:r>
    </w:p>
    <w:p w14:paraId="31787969">
      <w:pPr>
        <w:spacing w:line="360" w:lineRule="auto"/>
        <w:rPr>
          <w:color w:val="auto"/>
        </w:rPr>
      </w:pPr>
      <w:r>
        <w:rPr>
          <w:rFonts w:hint="eastAsia"/>
          <w:color w:val="auto"/>
        </w:rPr>
        <w:t>二、法定代表人身份证明</w:t>
      </w:r>
    </w:p>
    <w:p w14:paraId="4C3A5374">
      <w:pPr>
        <w:spacing w:line="360" w:lineRule="auto"/>
        <w:rPr>
          <w:color w:val="auto"/>
        </w:rPr>
      </w:pPr>
      <w:r>
        <w:rPr>
          <w:rFonts w:hint="eastAsia"/>
          <w:color w:val="auto"/>
        </w:rPr>
        <w:t xml:space="preserve">三、投标保证金 </w:t>
      </w:r>
    </w:p>
    <w:p w14:paraId="2C61A74F">
      <w:pPr>
        <w:spacing w:line="360" w:lineRule="auto"/>
        <w:rPr>
          <w:color w:val="auto"/>
        </w:rPr>
      </w:pPr>
      <w:r>
        <w:rPr>
          <w:rFonts w:hint="eastAsia"/>
          <w:color w:val="auto"/>
        </w:rPr>
        <w:t>四、联合体协议书</w:t>
      </w:r>
    </w:p>
    <w:p w14:paraId="07D09F4F">
      <w:pPr>
        <w:spacing w:line="360" w:lineRule="auto"/>
        <w:rPr>
          <w:rFonts w:hint="eastAsia"/>
          <w:color w:val="auto"/>
        </w:rPr>
      </w:pPr>
      <w:r>
        <w:rPr>
          <w:rFonts w:hint="eastAsia" w:ascii="宋体" w:hAnsi="宋体"/>
          <w:color w:val="auto"/>
          <w:szCs w:val="21"/>
        </w:rPr>
        <w:t>五、拟分包项目情况表</w:t>
      </w:r>
    </w:p>
    <w:p w14:paraId="1A176463">
      <w:pPr>
        <w:spacing w:line="360" w:lineRule="auto"/>
        <w:rPr>
          <w:rFonts w:hint="eastAsia" w:ascii="宋体" w:hAnsi="宋体"/>
          <w:color w:val="auto"/>
          <w:szCs w:val="21"/>
        </w:rPr>
      </w:pPr>
      <w:r>
        <w:rPr>
          <w:rFonts w:hint="eastAsia" w:ascii="宋体" w:hAnsi="宋体"/>
          <w:color w:val="auto"/>
          <w:szCs w:val="21"/>
        </w:rPr>
        <w:t>五、分包意向协议书</w:t>
      </w:r>
    </w:p>
    <w:p w14:paraId="235CA074">
      <w:pPr>
        <w:spacing w:line="360" w:lineRule="auto"/>
        <w:rPr>
          <w:rFonts w:ascii="宋体" w:hAnsi="宋体"/>
          <w:color w:val="auto"/>
          <w:szCs w:val="21"/>
        </w:rPr>
      </w:pPr>
      <w:r>
        <w:rPr>
          <w:rFonts w:hint="eastAsia" w:ascii="宋体" w:hAnsi="宋体"/>
          <w:color w:val="auto"/>
          <w:szCs w:val="21"/>
        </w:rPr>
        <w:t>六、中小企业声明函</w:t>
      </w:r>
    </w:p>
    <w:p w14:paraId="5B192B37">
      <w:pPr>
        <w:spacing w:line="360" w:lineRule="auto"/>
        <w:rPr>
          <w:color w:val="auto"/>
        </w:rPr>
      </w:pPr>
      <w:r>
        <w:rPr>
          <w:rFonts w:hint="eastAsia"/>
          <w:color w:val="auto"/>
        </w:rPr>
        <w:t>七、项目管理机构</w:t>
      </w:r>
    </w:p>
    <w:p w14:paraId="3CDF7165">
      <w:pPr>
        <w:spacing w:line="360" w:lineRule="auto"/>
        <w:rPr>
          <w:rFonts w:hint="eastAsia"/>
          <w:color w:val="auto"/>
        </w:rPr>
      </w:pPr>
      <w:r>
        <w:rPr>
          <w:rFonts w:hint="eastAsia"/>
          <w:color w:val="auto"/>
        </w:rPr>
        <w:t>（一）项目管理机构主要人员表</w:t>
      </w:r>
    </w:p>
    <w:p w14:paraId="7D98AADD">
      <w:pPr>
        <w:spacing w:line="360" w:lineRule="auto"/>
        <w:rPr>
          <w:rFonts w:hint="eastAsia"/>
          <w:color w:val="auto"/>
        </w:rPr>
      </w:pPr>
      <w:r>
        <w:rPr>
          <w:rFonts w:hint="eastAsia"/>
          <w:color w:val="auto"/>
        </w:rPr>
        <w:t>（二）项目经理简历表</w:t>
      </w:r>
    </w:p>
    <w:p w14:paraId="13625FBD">
      <w:pPr>
        <w:spacing w:line="360" w:lineRule="auto"/>
        <w:rPr>
          <w:color w:val="auto"/>
        </w:rPr>
      </w:pPr>
      <w:r>
        <w:rPr>
          <w:rFonts w:hint="eastAsia"/>
          <w:color w:val="auto"/>
        </w:rPr>
        <w:t>（三）设计负责人简历表</w:t>
      </w:r>
    </w:p>
    <w:p w14:paraId="256D1D7A">
      <w:pPr>
        <w:spacing w:line="360" w:lineRule="auto"/>
        <w:rPr>
          <w:color w:val="auto"/>
        </w:rPr>
      </w:pPr>
      <w:r>
        <w:rPr>
          <w:rFonts w:hint="eastAsia"/>
          <w:color w:val="auto"/>
        </w:rPr>
        <w:t>（四）施工负责人简历表</w:t>
      </w:r>
    </w:p>
    <w:p w14:paraId="7E5F0C4D">
      <w:pPr>
        <w:spacing w:line="360" w:lineRule="auto"/>
        <w:rPr>
          <w:rFonts w:hint="eastAsia"/>
          <w:color w:val="auto"/>
        </w:rPr>
      </w:pPr>
      <w:r>
        <w:rPr>
          <w:rFonts w:hint="eastAsia"/>
          <w:color w:val="auto"/>
        </w:rPr>
        <w:t>（五）承诺书</w:t>
      </w:r>
    </w:p>
    <w:p w14:paraId="60697389">
      <w:pPr>
        <w:spacing w:line="360" w:lineRule="auto"/>
        <w:rPr>
          <w:rFonts w:hint="eastAsia"/>
          <w:color w:val="auto"/>
        </w:rPr>
      </w:pPr>
      <w:r>
        <w:rPr>
          <w:rFonts w:hint="eastAsia"/>
          <w:color w:val="auto"/>
        </w:rPr>
        <w:t>（六）其他主要项目管理人员简历表</w:t>
      </w:r>
    </w:p>
    <w:p w14:paraId="40E71ED2">
      <w:pPr>
        <w:spacing w:line="360" w:lineRule="auto"/>
        <w:rPr>
          <w:color w:val="auto"/>
        </w:rPr>
      </w:pPr>
      <w:r>
        <w:rPr>
          <w:rFonts w:hint="eastAsia"/>
          <w:color w:val="auto"/>
        </w:rPr>
        <w:t>八、资格审查资料</w:t>
      </w:r>
    </w:p>
    <w:p w14:paraId="41F79EEB">
      <w:pPr>
        <w:spacing w:line="360" w:lineRule="auto"/>
        <w:rPr>
          <w:color w:val="auto"/>
        </w:rPr>
      </w:pPr>
      <w:r>
        <w:rPr>
          <w:color w:val="auto"/>
        </w:rPr>
        <w:t>（一）投标人基本情况</w:t>
      </w:r>
    </w:p>
    <w:p w14:paraId="5DE283ED">
      <w:pPr>
        <w:spacing w:line="360" w:lineRule="auto"/>
        <w:ind w:firstLine="420" w:firstLineChars="200"/>
        <w:rPr>
          <w:rFonts w:hint="eastAsia"/>
          <w:color w:val="auto"/>
          <w:szCs w:val="20"/>
        </w:rPr>
      </w:pPr>
      <w:r>
        <w:rPr>
          <w:rFonts w:hint="eastAsia"/>
          <w:color w:val="auto"/>
          <w:szCs w:val="20"/>
        </w:rPr>
        <w:t>1-1投标人基本情况表</w:t>
      </w:r>
    </w:p>
    <w:p w14:paraId="55142D50">
      <w:pPr>
        <w:spacing w:line="360" w:lineRule="auto"/>
        <w:ind w:firstLine="420" w:firstLineChars="200"/>
        <w:rPr>
          <w:rFonts w:hint="eastAsia"/>
          <w:color w:val="auto"/>
        </w:rPr>
      </w:pPr>
      <w:r>
        <w:rPr>
          <w:rFonts w:hint="eastAsia"/>
          <w:color w:val="auto"/>
          <w:szCs w:val="20"/>
        </w:rPr>
        <w:t>1-2关联单位情况说明</w:t>
      </w:r>
    </w:p>
    <w:p w14:paraId="49FBBAE2">
      <w:pPr>
        <w:spacing w:line="360" w:lineRule="auto"/>
        <w:ind w:firstLine="420" w:firstLineChars="200"/>
        <w:rPr>
          <w:rFonts w:hint="eastAsia"/>
          <w:color w:val="auto"/>
          <w:szCs w:val="20"/>
        </w:rPr>
      </w:pPr>
      <w:r>
        <w:rPr>
          <w:rFonts w:hint="eastAsia"/>
          <w:color w:val="auto"/>
          <w:szCs w:val="20"/>
        </w:rPr>
        <w:t>1-3拟投入主要施工设备、试验和检测仪器设备</w:t>
      </w:r>
    </w:p>
    <w:p w14:paraId="0ED9B41E">
      <w:pPr>
        <w:spacing w:line="360" w:lineRule="auto"/>
        <w:rPr>
          <w:rFonts w:hint="eastAsia"/>
          <w:color w:val="auto"/>
        </w:rPr>
      </w:pPr>
      <w:r>
        <w:rPr>
          <w:color w:val="auto"/>
        </w:rPr>
        <w:t>（二）近年财务状况</w:t>
      </w:r>
    </w:p>
    <w:p w14:paraId="68D19290">
      <w:pPr>
        <w:spacing w:line="360" w:lineRule="auto"/>
        <w:ind w:firstLine="420" w:firstLineChars="200"/>
        <w:rPr>
          <w:rFonts w:hint="eastAsia"/>
          <w:color w:val="auto"/>
          <w:szCs w:val="20"/>
        </w:rPr>
      </w:pPr>
      <w:r>
        <w:rPr>
          <w:rFonts w:hint="eastAsia"/>
          <w:color w:val="auto"/>
          <w:szCs w:val="20"/>
        </w:rPr>
        <w:t>2-1近年财务状况表</w:t>
      </w:r>
    </w:p>
    <w:p w14:paraId="5155456E">
      <w:pPr>
        <w:spacing w:line="360" w:lineRule="auto"/>
        <w:ind w:firstLine="420" w:firstLineChars="200"/>
        <w:rPr>
          <w:rFonts w:hint="eastAsia"/>
          <w:color w:val="auto"/>
          <w:szCs w:val="20"/>
        </w:rPr>
      </w:pPr>
      <w:r>
        <w:rPr>
          <w:rFonts w:hint="eastAsia"/>
          <w:color w:val="auto"/>
          <w:szCs w:val="20"/>
        </w:rPr>
        <w:t>2-2拟投入的流动资金函(格式)</w:t>
      </w:r>
    </w:p>
    <w:p w14:paraId="643E651D">
      <w:pPr>
        <w:spacing w:line="360" w:lineRule="auto"/>
        <w:rPr>
          <w:rFonts w:hint="eastAsia"/>
          <w:color w:val="auto"/>
        </w:rPr>
      </w:pPr>
      <w:r>
        <w:rPr>
          <w:color w:val="auto"/>
        </w:rPr>
        <w:t>（三）近年完成的类似项目情况</w:t>
      </w:r>
    </w:p>
    <w:p w14:paraId="6C45F366">
      <w:pPr>
        <w:spacing w:line="360" w:lineRule="auto"/>
        <w:ind w:firstLine="420" w:firstLineChars="200"/>
        <w:rPr>
          <w:rFonts w:hint="eastAsia"/>
          <w:color w:val="auto"/>
          <w:szCs w:val="20"/>
        </w:rPr>
      </w:pPr>
      <w:r>
        <w:rPr>
          <w:rFonts w:hint="eastAsia"/>
          <w:color w:val="auto"/>
          <w:szCs w:val="20"/>
        </w:rPr>
        <w:t>3-1 近年完成的类似项目汇总表</w:t>
      </w:r>
    </w:p>
    <w:p w14:paraId="01FDB1E9">
      <w:pPr>
        <w:spacing w:line="360" w:lineRule="auto"/>
        <w:ind w:firstLine="420" w:firstLineChars="200"/>
        <w:rPr>
          <w:rFonts w:hint="eastAsia"/>
          <w:color w:val="auto"/>
          <w:szCs w:val="20"/>
        </w:rPr>
      </w:pPr>
      <w:r>
        <w:rPr>
          <w:rFonts w:hint="eastAsia"/>
          <w:color w:val="auto"/>
          <w:szCs w:val="20"/>
        </w:rPr>
        <w:t>3-2 近年完成的类似项目情况表</w:t>
      </w:r>
    </w:p>
    <w:p w14:paraId="78CFAAF0">
      <w:pPr>
        <w:spacing w:line="360" w:lineRule="auto"/>
        <w:rPr>
          <w:rFonts w:hint="eastAsia"/>
          <w:color w:val="auto"/>
        </w:rPr>
      </w:pPr>
      <w:r>
        <w:rPr>
          <w:color w:val="auto"/>
        </w:rPr>
        <w:t>（四）近年完成的类似</w:t>
      </w:r>
      <w:r>
        <w:rPr>
          <w:rFonts w:hint="eastAsia"/>
          <w:color w:val="auto"/>
        </w:rPr>
        <w:t>设计</w:t>
      </w:r>
      <w:r>
        <w:rPr>
          <w:color w:val="auto"/>
        </w:rPr>
        <w:t>项目情况</w:t>
      </w:r>
    </w:p>
    <w:p w14:paraId="68891915">
      <w:pPr>
        <w:spacing w:line="360" w:lineRule="auto"/>
        <w:ind w:firstLine="420" w:firstLineChars="200"/>
        <w:rPr>
          <w:rFonts w:hint="eastAsia"/>
          <w:color w:val="auto"/>
          <w:szCs w:val="20"/>
        </w:rPr>
      </w:pPr>
      <w:r>
        <w:rPr>
          <w:rFonts w:hint="eastAsia"/>
          <w:color w:val="auto"/>
          <w:szCs w:val="20"/>
        </w:rPr>
        <w:t>4-1 近年完成的类似设计项目汇总表</w:t>
      </w:r>
    </w:p>
    <w:p w14:paraId="3322A3FF">
      <w:pPr>
        <w:spacing w:line="360" w:lineRule="auto"/>
        <w:ind w:firstLine="420" w:firstLineChars="200"/>
        <w:rPr>
          <w:rFonts w:hint="eastAsia"/>
          <w:color w:val="auto"/>
          <w:szCs w:val="20"/>
        </w:rPr>
      </w:pPr>
      <w:r>
        <w:rPr>
          <w:rFonts w:hint="eastAsia"/>
          <w:color w:val="auto"/>
          <w:szCs w:val="20"/>
        </w:rPr>
        <w:t>4-2 近年完成的类似设计项目情况表</w:t>
      </w:r>
    </w:p>
    <w:p w14:paraId="7725344C">
      <w:pPr>
        <w:spacing w:line="360" w:lineRule="auto"/>
        <w:rPr>
          <w:rFonts w:hint="eastAsia"/>
          <w:color w:val="auto"/>
        </w:rPr>
      </w:pPr>
      <w:r>
        <w:rPr>
          <w:color w:val="auto"/>
        </w:rPr>
        <w:t>（五）近年完成的类似</w:t>
      </w:r>
      <w:r>
        <w:rPr>
          <w:rFonts w:hint="eastAsia"/>
          <w:color w:val="auto"/>
        </w:rPr>
        <w:t>施工</w:t>
      </w:r>
      <w:r>
        <w:rPr>
          <w:color w:val="auto"/>
        </w:rPr>
        <w:t>项目情况</w:t>
      </w:r>
    </w:p>
    <w:p w14:paraId="09B55066">
      <w:pPr>
        <w:spacing w:line="360" w:lineRule="auto"/>
        <w:ind w:firstLine="420" w:firstLineChars="200"/>
        <w:rPr>
          <w:rFonts w:hint="eastAsia"/>
          <w:color w:val="auto"/>
          <w:szCs w:val="20"/>
        </w:rPr>
      </w:pPr>
      <w:r>
        <w:rPr>
          <w:rFonts w:hint="eastAsia"/>
          <w:color w:val="auto"/>
          <w:szCs w:val="20"/>
        </w:rPr>
        <w:t>5-1 近年完成的类似施工项目汇总表</w:t>
      </w:r>
    </w:p>
    <w:p w14:paraId="5D6076EB">
      <w:pPr>
        <w:spacing w:line="360" w:lineRule="auto"/>
        <w:ind w:firstLine="420" w:firstLineChars="200"/>
        <w:rPr>
          <w:rFonts w:hint="eastAsia"/>
          <w:color w:val="auto"/>
          <w:szCs w:val="20"/>
        </w:rPr>
      </w:pPr>
      <w:r>
        <w:rPr>
          <w:rFonts w:hint="eastAsia"/>
          <w:color w:val="auto"/>
          <w:szCs w:val="20"/>
        </w:rPr>
        <w:t>5-2 近年完成的类似施工项目情况表</w:t>
      </w:r>
    </w:p>
    <w:p w14:paraId="7B5ABA30">
      <w:pPr>
        <w:spacing w:line="360" w:lineRule="auto"/>
        <w:rPr>
          <w:rFonts w:hint="eastAsia"/>
          <w:color w:val="auto"/>
        </w:rPr>
      </w:pPr>
      <w:r>
        <w:rPr>
          <w:color w:val="auto"/>
        </w:rPr>
        <w:t>（六）正在</w:t>
      </w:r>
      <w:r>
        <w:rPr>
          <w:rFonts w:hint="eastAsia"/>
          <w:color w:val="auto"/>
        </w:rPr>
        <w:t>实施</w:t>
      </w:r>
      <w:r>
        <w:rPr>
          <w:color w:val="auto"/>
        </w:rPr>
        <w:t>的和新承接的项目情况</w:t>
      </w:r>
    </w:p>
    <w:p w14:paraId="7CF56B58">
      <w:pPr>
        <w:spacing w:line="360" w:lineRule="auto"/>
        <w:ind w:firstLine="420" w:firstLineChars="200"/>
        <w:rPr>
          <w:rFonts w:hint="eastAsia"/>
          <w:color w:val="auto"/>
          <w:szCs w:val="20"/>
        </w:rPr>
      </w:pPr>
      <w:r>
        <w:rPr>
          <w:rFonts w:hint="eastAsia"/>
          <w:color w:val="auto"/>
          <w:szCs w:val="20"/>
        </w:rPr>
        <w:t>6-1正在实施的和新承接的项目汇总表</w:t>
      </w:r>
    </w:p>
    <w:p w14:paraId="62DE527E">
      <w:pPr>
        <w:spacing w:line="360" w:lineRule="auto"/>
        <w:ind w:firstLine="420" w:firstLineChars="200"/>
        <w:rPr>
          <w:rFonts w:hint="eastAsia"/>
          <w:color w:val="auto"/>
          <w:szCs w:val="20"/>
        </w:rPr>
      </w:pPr>
      <w:r>
        <w:rPr>
          <w:rFonts w:hint="eastAsia"/>
          <w:color w:val="auto"/>
          <w:szCs w:val="20"/>
        </w:rPr>
        <w:t>6-2 正在实施的和新承接的项目情况表</w:t>
      </w:r>
    </w:p>
    <w:p w14:paraId="2C2D9DBE">
      <w:pPr>
        <w:spacing w:line="360" w:lineRule="auto"/>
        <w:rPr>
          <w:rFonts w:hint="eastAsia"/>
          <w:color w:val="auto"/>
        </w:rPr>
      </w:pPr>
      <w:r>
        <w:rPr>
          <w:rFonts w:hint="eastAsia"/>
          <w:color w:val="auto"/>
        </w:rPr>
        <w:t>（七）企业信誉情况</w:t>
      </w:r>
    </w:p>
    <w:p w14:paraId="063C2084">
      <w:pPr>
        <w:spacing w:line="360" w:lineRule="auto"/>
        <w:ind w:firstLine="420" w:firstLineChars="200"/>
        <w:rPr>
          <w:rFonts w:hint="eastAsia"/>
          <w:color w:val="auto"/>
          <w:szCs w:val="20"/>
        </w:rPr>
      </w:pPr>
      <w:r>
        <w:rPr>
          <w:rFonts w:hint="eastAsia"/>
          <w:color w:val="auto"/>
          <w:szCs w:val="20"/>
        </w:rPr>
        <w:t>7-1 企业信誉声明</w:t>
      </w:r>
    </w:p>
    <w:p w14:paraId="19671408">
      <w:pPr>
        <w:spacing w:line="360" w:lineRule="auto"/>
        <w:ind w:firstLine="420" w:firstLineChars="200"/>
        <w:rPr>
          <w:rFonts w:hint="eastAsia"/>
          <w:color w:val="auto"/>
          <w:szCs w:val="20"/>
        </w:rPr>
      </w:pPr>
      <w:r>
        <w:rPr>
          <w:rFonts w:hint="eastAsia"/>
          <w:color w:val="auto"/>
          <w:szCs w:val="20"/>
        </w:rPr>
        <w:t>7-2 近年发生的诉讼和仲裁情况</w:t>
      </w:r>
    </w:p>
    <w:p w14:paraId="10A559CE">
      <w:pPr>
        <w:spacing w:line="360" w:lineRule="auto"/>
        <w:ind w:firstLine="420" w:firstLineChars="200"/>
        <w:rPr>
          <w:rFonts w:hint="eastAsia"/>
          <w:color w:val="auto"/>
        </w:rPr>
      </w:pPr>
      <w:r>
        <w:rPr>
          <w:rFonts w:hint="eastAsia"/>
          <w:color w:val="auto"/>
          <w:szCs w:val="20"/>
        </w:rPr>
        <w:t>7-3 近年投标人获工程</w:t>
      </w:r>
      <w:r>
        <w:rPr>
          <w:rFonts w:hint="eastAsia"/>
          <w:color w:val="auto"/>
        </w:rPr>
        <w:t>（设计）</w:t>
      </w:r>
      <w:r>
        <w:rPr>
          <w:rFonts w:hint="eastAsia"/>
          <w:color w:val="auto"/>
          <w:szCs w:val="20"/>
        </w:rPr>
        <w:t>质量奖项</w:t>
      </w:r>
      <w:r>
        <w:rPr>
          <w:rFonts w:hint="eastAsia"/>
          <w:color w:val="auto"/>
        </w:rPr>
        <w:t>或表彰</w:t>
      </w:r>
      <w:r>
        <w:rPr>
          <w:color w:val="auto"/>
          <w:szCs w:val="20"/>
        </w:rPr>
        <w:t>情况表</w:t>
      </w:r>
    </w:p>
    <w:p w14:paraId="3E25EE7B">
      <w:pPr>
        <w:spacing w:line="360" w:lineRule="auto"/>
        <w:rPr>
          <w:color w:val="auto"/>
        </w:rPr>
      </w:pPr>
      <w:r>
        <w:rPr>
          <w:rFonts w:hint="eastAsia"/>
          <w:color w:val="auto"/>
        </w:rPr>
        <w:t>九、价格清单</w:t>
      </w:r>
    </w:p>
    <w:p w14:paraId="37998836">
      <w:pPr>
        <w:spacing w:line="360" w:lineRule="auto"/>
        <w:rPr>
          <w:color w:val="auto"/>
        </w:rPr>
      </w:pPr>
      <w:r>
        <w:rPr>
          <w:rFonts w:hint="eastAsia"/>
          <w:color w:val="auto"/>
        </w:rPr>
        <w:t>十、承包人建议书</w:t>
      </w:r>
    </w:p>
    <w:p w14:paraId="57B6FF99">
      <w:pPr>
        <w:spacing w:line="360" w:lineRule="auto"/>
        <w:rPr>
          <w:rFonts w:hint="eastAsia"/>
          <w:color w:val="auto"/>
        </w:rPr>
      </w:pPr>
      <w:r>
        <w:rPr>
          <w:rFonts w:hint="eastAsia"/>
          <w:color w:val="auto"/>
        </w:rPr>
        <w:t>十一、承包人实施计划</w:t>
      </w:r>
    </w:p>
    <w:p w14:paraId="7BC1B9F4">
      <w:pPr>
        <w:spacing w:line="360" w:lineRule="auto"/>
        <w:rPr>
          <w:color w:val="auto"/>
        </w:rPr>
      </w:pPr>
      <w:r>
        <w:rPr>
          <w:rFonts w:hint="eastAsia"/>
          <w:color w:val="auto"/>
        </w:rPr>
        <w:t>十二、其他资料</w:t>
      </w:r>
    </w:p>
    <w:p w14:paraId="1E6771B6">
      <w:pPr>
        <w:spacing w:line="540" w:lineRule="exact"/>
        <w:rPr>
          <w:rFonts w:hint="eastAsia"/>
          <w:color w:val="auto"/>
        </w:rPr>
      </w:pPr>
    </w:p>
    <w:p w14:paraId="7101088C">
      <w:pPr>
        <w:spacing w:line="540" w:lineRule="exact"/>
        <w:rPr>
          <w:rFonts w:hint="eastAsia"/>
          <w:color w:val="auto"/>
        </w:rPr>
      </w:pPr>
    </w:p>
    <w:p w14:paraId="3AEBB52B">
      <w:pPr>
        <w:spacing w:line="540" w:lineRule="exact"/>
        <w:rPr>
          <w:rFonts w:hint="eastAsia"/>
          <w:color w:val="auto"/>
        </w:rPr>
      </w:pPr>
    </w:p>
    <w:p w14:paraId="57B73D3A">
      <w:pPr>
        <w:spacing w:line="540" w:lineRule="exact"/>
        <w:rPr>
          <w:rFonts w:hint="eastAsia"/>
          <w:color w:val="auto"/>
        </w:rPr>
      </w:pPr>
    </w:p>
    <w:p w14:paraId="3A83FEB2">
      <w:pPr>
        <w:spacing w:line="540" w:lineRule="exact"/>
        <w:rPr>
          <w:rFonts w:hint="eastAsia"/>
          <w:color w:val="auto"/>
        </w:rPr>
      </w:pPr>
    </w:p>
    <w:p w14:paraId="08DD2E45">
      <w:pPr>
        <w:spacing w:line="540" w:lineRule="exact"/>
        <w:rPr>
          <w:rFonts w:hint="eastAsia"/>
          <w:color w:val="auto"/>
        </w:rPr>
      </w:pPr>
    </w:p>
    <w:p w14:paraId="1A7B5B73">
      <w:pPr>
        <w:spacing w:line="540" w:lineRule="exact"/>
        <w:rPr>
          <w:rFonts w:hint="eastAsia"/>
          <w:color w:val="auto"/>
        </w:rPr>
      </w:pPr>
    </w:p>
    <w:p w14:paraId="5D5F364F">
      <w:pPr>
        <w:spacing w:line="540" w:lineRule="exact"/>
        <w:rPr>
          <w:rFonts w:hint="eastAsia"/>
          <w:color w:val="auto"/>
        </w:rPr>
      </w:pPr>
    </w:p>
    <w:p w14:paraId="1313A71A">
      <w:pPr>
        <w:spacing w:line="540" w:lineRule="exact"/>
        <w:rPr>
          <w:rFonts w:hint="eastAsia"/>
          <w:color w:val="auto"/>
        </w:rPr>
      </w:pPr>
    </w:p>
    <w:p w14:paraId="1E99D216">
      <w:pPr>
        <w:spacing w:line="540" w:lineRule="exact"/>
        <w:rPr>
          <w:rFonts w:hint="eastAsia"/>
          <w:color w:val="auto"/>
        </w:rPr>
      </w:pPr>
    </w:p>
    <w:p w14:paraId="1F2DAF64">
      <w:pPr>
        <w:spacing w:line="540" w:lineRule="exact"/>
        <w:rPr>
          <w:rFonts w:eastAsia="黑体"/>
          <w:color w:val="auto"/>
          <w:sz w:val="20"/>
          <w:szCs w:val="20"/>
        </w:rPr>
      </w:pPr>
    </w:p>
    <w:p w14:paraId="0B43E612">
      <w:pPr>
        <w:spacing w:line="540" w:lineRule="exact"/>
        <w:rPr>
          <w:rFonts w:eastAsia="黑体"/>
          <w:color w:val="auto"/>
          <w:sz w:val="20"/>
          <w:szCs w:val="20"/>
        </w:rPr>
      </w:pPr>
    </w:p>
    <w:p w14:paraId="21DAC192">
      <w:pPr>
        <w:spacing w:line="540" w:lineRule="exact"/>
        <w:rPr>
          <w:rFonts w:eastAsia="黑体"/>
          <w:color w:val="auto"/>
          <w:sz w:val="20"/>
          <w:szCs w:val="20"/>
        </w:rPr>
      </w:pPr>
    </w:p>
    <w:p w14:paraId="7CEEBAB9">
      <w:pPr>
        <w:spacing w:line="540" w:lineRule="exact"/>
        <w:rPr>
          <w:rFonts w:eastAsia="黑体"/>
          <w:color w:val="auto"/>
          <w:sz w:val="20"/>
          <w:szCs w:val="20"/>
        </w:rPr>
      </w:pPr>
    </w:p>
    <w:p w14:paraId="609CC407">
      <w:pPr>
        <w:spacing w:line="540" w:lineRule="exact"/>
        <w:rPr>
          <w:rFonts w:hint="eastAsia" w:eastAsia="黑体"/>
          <w:color w:val="auto"/>
          <w:sz w:val="20"/>
          <w:szCs w:val="20"/>
        </w:rPr>
      </w:pPr>
    </w:p>
    <w:p w14:paraId="54DAD63B">
      <w:pPr>
        <w:pStyle w:val="83"/>
        <w:spacing w:before="48"/>
        <w:outlineLvl w:val="0"/>
        <w:rPr>
          <w:color w:val="auto"/>
          <w:sz w:val="28"/>
          <w:szCs w:val="28"/>
        </w:rPr>
      </w:pPr>
      <w:bookmarkStart w:id="2084" w:name="_Toc152045788"/>
      <w:bookmarkStart w:id="2085" w:name="_Toc154064019"/>
      <w:bookmarkStart w:id="2086" w:name="_Toc152042577"/>
      <w:bookmarkStart w:id="2087" w:name="_Toc13200"/>
      <w:bookmarkStart w:id="2088" w:name="_Toc4404"/>
      <w:bookmarkStart w:id="2089" w:name="_Toc247527828"/>
      <w:bookmarkStart w:id="2090" w:name="_Toc519085631"/>
      <w:bookmarkStart w:id="2091" w:name="_Toc144974857"/>
      <w:bookmarkStart w:id="2092" w:name="_Toc247514247"/>
      <w:bookmarkStart w:id="2093" w:name="_Toc4938"/>
      <w:bookmarkStart w:id="2094" w:name="_Toc1475"/>
      <w:r>
        <w:rPr>
          <w:color w:val="auto"/>
          <w:sz w:val="28"/>
          <w:szCs w:val="28"/>
        </w:rPr>
        <w:t>一、投标函及投标函附录</w:t>
      </w:r>
      <w:bookmarkEnd w:id="2084"/>
      <w:bookmarkEnd w:id="2085"/>
      <w:bookmarkEnd w:id="2086"/>
      <w:bookmarkEnd w:id="2087"/>
      <w:bookmarkEnd w:id="2088"/>
      <w:bookmarkEnd w:id="2089"/>
      <w:bookmarkEnd w:id="2090"/>
      <w:bookmarkEnd w:id="2091"/>
      <w:bookmarkEnd w:id="2092"/>
      <w:bookmarkEnd w:id="2093"/>
      <w:bookmarkEnd w:id="2094"/>
    </w:p>
    <w:p w14:paraId="7183977B">
      <w:pPr>
        <w:pStyle w:val="3"/>
        <w:spacing w:before="48"/>
        <w:jc w:val="center"/>
        <w:rPr>
          <w:color w:val="auto"/>
          <w:sz w:val="28"/>
          <w:szCs w:val="28"/>
        </w:rPr>
      </w:pPr>
      <w:bookmarkStart w:id="2095" w:name="_Toc152042578"/>
      <w:bookmarkStart w:id="2096" w:name="_Toc519085632"/>
      <w:bookmarkStart w:id="2097" w:name="_Toc152045789"/>
      <w:bookmarkStart w:id="2098" w:name="_Toc154064020"/>
      <w:bookmarkStart w:id="2099" w:name="_Toc23232"/>
      <w:bookmarkStart w:id="2100" w:name="_Toc247514248"/>
      <w:bookmarkStart w:id="2101" w:name="_Toc144974858"/>
      <w:bookmarkStart w:id="2102" w:name="_Toc247527829"/>
      <w:r>
        <w:rPr>
          <w:rFonts w:hint="eastAsia"/>
          <w:color w:val="auto"/>
          <w:sz w:val="28"/>
          <w:szCs w:val="28"/>
        </w:rPr>
        <w:t>（一）</w:t>
      </w:r>
      <w:r>
        <w:rPr>
          <w:color w:val="auto"/>
          <w:sz w:val="28"/>
          <w:szCs w:val="28"/>
        </w:rPr>
        <w:t>投标函</w:t>
      </w:r>
      <w:bookmarkEnd w:id="2095"/>
      <w:bookmarkEnd w:id="2096"/>
      <w:bookmarkEnd w:id="2097"/>
      <w:bookmarkEnd w:id="2098"/>
      <w:bookmarkEnd w:id="2099"/>
      <w:bookmarkEnd w:id="2100"/>
      <w:bookmarkEnd w:id="2101"/>
      <w:bookmarkEnd w:id="2102"/>
    </w:p>
    <w:p w14:paraId="4B075206">
      <w:pPr>
        <w:spacing w:line="440" w:lineRule="exact"/>
        <w:rPr>
          <w:color w:val="auto"/>
          <w:szCs w:val="21"/>
        </w:rPr>
      </w:pPr>
      <w:r>
        <w:rPr>
          <w:color w:val="auto"/>
          <w:szCs w:val="21"/>
          <w:u w:val="single"/>
        </w:rPr>
        <w:t xml:space="preserve">                       </w:t>
      </w:r>
      <w:r>
        <w:rPr>
          <w:color w:val="auto"/>
          <w:szCs w:val="21"/>
        </w:rPr>
        <w:t>（招标人名称）：</w:t>
      </w:r>
    </w:p>
    <w:p w14:paraId="41B32F44">
      <w:pPr>
        <w:spacing w:line="440" w:lineRule="exact"/>
        <w:ind w:firstLine="420" w:firstLineChars="200"/>
        <w:rPr>
          <w:rFonts w:hint="eastAsia"/>
          <w:color w:val="auto"/>
          <w:szCs w:val="21"/>
        </w:rPr>
      </w:pPr>
      <w:r>
        <w:rPr>
          <w:color w:val="auto"/>
          <w:szCs w:val="21"/>
        </w:rPr>
        <w:t>1．我方已仔细研究了</w:t>
      </w:r>
      <w:r>
        <w:rPr>
          <w:rFonts w:hint="eastAsia" w:ascii="宋体" w:hAnsi="宋体"/>
          <w:color w:val="auto"/>
          <w:u w:val="single"/>
        </w:rPr>
        <w:t xml:space="preserve">       </w:t>
      </w:r>
      <w:r>
        <w:rPr>
          <w:rFonts w:hint="eastAsia" w:ascii="宋体" w:hAnsi="宋体"/>
          <w:color w:val="auto"/>
        </w:rPr>
        <w:t>（项目名称）</w:t>
      </w:r>
      <w:r>
        <w:rPr>
          <w:rFonts w:hint="eastAsia" w:ascii="宋体" w:hAnsi="宋体"/>
          <w:color w:val="auto"/>
          <w:u w:val="single"/>
        </w:rPr>
        <w:t xml:space="preserve">    </w:t>
      </w:r>
      <w:r>
        <w:rPr>
          <w:rFonts w:hint="eastAsia" w:ascii="宋体" w:hAnsi="宋体"/>
          <w:color w:val="auto"/>
        </w:rPr>
        <w:t>（标段名称）</w:t>
      </w:r>
      <w:r>
        <w:rPr>
          <w:rFonts w:hint="eastAsia"/>
          <w:color w:val="auto"/>
          <w:szCs w:val="21"/>
        </w:rPr>
        <w:t>工程总承包</w:t>
      </w:r>
      <w:r>
        <w:rPr>
          <w:color w:val="auto"/>
          <w:szCs w:val="21"/>
        </w:rPr>
        <w:t>招标文件的全部内容，愿意以人民币（大写）</w:t>
      </w:r>
      <w:r>
        <w:rPr>
          <w:color w:val="auto"/>
          <w:szCs w:val="21"/>
          <w:u w:val="single"/>
        </w:rPr>
        <w:t xml:space="preserve">        </w:t>
      </w:r>
      <w:r>
        <w:rPr>
          <w:color w:val="auto"/>
          <w:szCs w:val="21"/>
        </w:rPr>
        <w:t>（¥</w:t>
      </w:r>
      <w:r>
        <w:rPr>
          <w:color w:val="auto"/>
          <w:szCs w:val="21"/>
          <w:u w:val="single"/>
        </w:rPr>
        <w:t xml:space="preserve">         </w:t>
      </w:r>
      <w:r>
        <w:rPr>
          <w:color w:val="auto"/>
          <w:szCs w:val="21"/>
        </w:rPr>
        <w:t>）的投标总报价，</w:t>
      </w:r>
      <w:r>
        <w:rPr>
          <w:rFonts w:hint="eastAsia"/>
          <w:color w:val="auto"/>
          <w:szCs w:val="21"/>
        </w:rPr>
        <w:t>工期</w:t>
      </w:r>
      <w:r>
        <w:rPr>
          <w:rFonts w:hint="eastAsia"/>
          <w:color w:val="auto"/>
          <w:szCs w:val="21"/>
          <w:u w:val="single"/>
        </w:rPr>
        <w:t xml:space="preserve">          </w:t>
      </w:r>
      <w:r>
        <w:rPr>
          <w:rFonts w:hint="eastAsia"/>
          <w:color w:val="auto"/>
          <w:szCs w:val="21"/>
        </w:rPr>
        <w:t xml:space="preserve"> 日历天，</w:t>
      </w:r>
      <w:r>
        <w:rPr>
          <w:color w:val="auto"/>
          <w:szCs w:val="21"/>
        </w:rPr>
        <w:t>按合同约定</w:t>
      </w:r>
      <w:r>
        <w:rPr>
          <w:rFonts w:hint="eastAsia"/>
          <w:color w:val="auto"/>
          <w:szCs w:val="21"/>
        </w:rPr>
        <w:t>进行设计、</w:t>
      </w:r>
      <w:r>
        <w:rPr>
          <w:color w:val="auto"/>
          <w:szCs w:val="21"/>
        </w:rPr>
        <w:t>实施和</w:t>
      </w:r>
      <w:r>
        <w:rPr>
          <w:rFonts w:hint="eastAsia"/>
          <w:color w:val="auto"/>
          <w:szCs w:val="21"/>
        </w:rPr>
        <w:t>竣工</w:t>
      </w:r>
      <w:r>
        <w:rPr>
          <w:color w:val="auto"/>
          <w:szCs w:val="21"/>
        </w:rPr>
        <w:t>承包工程，修补工程中的任何缺陷，</w:t>
      </w:r>
      <w:r>
        <w:rPr>
          <w:rFonts w:hint="eastAsia"/>
          <w:color w:val="auto"/>
          <w:szCs w:val="21"/>
        </w:rPr>
        <w:t>实现工程目的</w:t>
      </w:r>
      <w:r>
        <w:rPr>
          <w:color w:val="auto"/>
          <w:szCs w:val="21"/>
        </w:rPr>
        <w:t>。</w:t>
      </w:r>
      <w:r>
        <w:rPr>
          <w:rFonts w:hint="eastAsia"/>
          <w:color w:val="auto"/>
          <w:szCs w:val="21"/>
        </w:rPr>
        <w:t>设计质量达到</w:t>
      </w:r>
      <w:r>
        <w:rPr>
          <w:color w:val="auto"/>
          <w:szCs w:val="21"/>
          <w:u w:val="single"/>
        </w:rPr>
        <w:t xml:space="preserve">           </w:t>
      </w:r>
      <w:r>
        <w:rPr>
          <w:color w:val="auto"/>
          <w:szCs w:val="21"/>
        </w:rPr>
        <w:t xml:space="preserve"> 标准</w:t>
      </w:r>
      <w:r>
        <w:rPr>
          <w:rFonts w:hint="eastAsia"/>
          <w:color w:val="auto"/>
          <w:szCs w:val="21"/>
        </w:rPr>
        <w:t>，施工质量达到</w:t>
      </w:r>
      <w:r>
        <w:rPr>
          <w:color w:val="auto"/>
          <w:szCs w:val="21"/>
          <w:u w:val="single"/>
        </w:rPr>
        <w:t xml:space="preserve">           </w:t>
      </w:r>
      <w:r>
        <w:rPr>
          <w:color w:val="auto"/>
          <w:szCs w:val="21"/>
        </w:rPr>
        <w:t xml:space="preserve"> 标准</w:t>
      </w:r>
      <w:r>
        <w:rPr>
          <w:rFonts w:hint="eastAsia"/>
          <w:color w:val="auto"/>
          <w:szCs w:val="21"/>
        </w:rPr>
        <w:t>。</w:t>
      </w:r>
    </w:p>
    <w:p w14:paraId="73117891">
      <w:pPr>
        <w:spacing w:line="440" w:lineRule="exact"/>
        <w:ind w:firstLine="420" w:firstLineChars="200"/>
        <w:rPr>
          <w:color w:val="auto"/>
          <w:szCs w:val="21"/>
        </w:rPr>
      </w:pPr>
      <w:r>
        <w:rPr>
          <w:rFonts w:hint="eastAsia"/>
          <w:color w:val="auto"/>
          <w:szCs w:val="21"/>
        </w:rPr>
        <w:t>2. 我方拟派的项目经理</w:t>
      </w:r>
      <w:r>
        <w:rPr>
          <w:color w:val="auto"/>
          <w:szCs w:val="21"/>
        </w:rPr>
        <w:t>：</w:t>
      </w:r>
      <w:r>
        <w:rPr>
          <w:rFonts w:hint="eastAsia"/>
          <w:color w:val="auto"/>
          <w:szCs w:val="21"/>
          <w:u w:val="single"/>
        </w:rPr>
        <w:t xml:space="preserve">    </w:t>
      </w:r>
      <w:r>
        <w:rPr>
          <w:rFonts w:hint="eastAsia"/>
          <w:color w:val="auto"/>
          <w:szCs w:val="21"/>
        </w:rPr>
        <w:t>（姓名），</w:t>
      </w:r>
      <w:r>
        <w:rPr>
          <w:rFonts w:hint="eastAsia"/>
          <w:color w:val="auto"/>
          <w:szCs w:val="21"/>
          <w:lang w:bidi="ar"/>
        </w:rPr>
        <w:t>证书名称：</w:t>
      </w:r>
      <w:r>
        <w:rPr>
          <w:color w:val="auto"/>
          <w:szCs w:val="21"/>
          <w:u w:val="single"/>
          <w:lang w:bidi="ar"/>
        </w:rPr>
        <w:t xml:space="preserve">        </w:t>
      </w:r>
      <w:r>
        <w:rPr>
          <w:rFonts w:hint="eastAsia"/>
          <w:color w:val="auto"/>
          <w:szCs w:val="21"/>
          <w:lang w:bidi="ar"/>
        </w:rPr>
        <w:t>，证书编号：</w:t>
      </w:r>
      <w:r>
        <w:rPr>
          <w:color w:val="auto"/>
          <w:szCs w:val="21"/>
          <w:u w:val="single"/>
          <w:lang w:bidi="ar"/>
        </w:rPr>
        <w:t xml:space="preserve">       </w:t>
      </w:r>
      <w:r>
        <w:rPr>
          <w:rFonts w:hint="eastAsia"/>
          <w:color w:val="auto"/>
          <w:szCs w:val="21"/>
          <w:lang w:bidi="ar"/>
        </w:rPr>
        <w:t>。</w:t>
      </w:r>
    </w:p>
    <w:p w14:paraId="60E7F30A">
      <w:pPr>
        <w:spacing w:line="440" w:lineRule="exact"/>
        <w:ind w:firstLine="420" w:firstLineChars="200"/>
        <w:rPr>
          <w:color w:val="auto"/>
          <w:szCs w:val="21"/>
        </w:rPr>
      </w:pPr>
      <w:r>
        <w:rPr>
          <w:rFonts w:hint="eastAsia"/>
          <w:color w:val="auto"/>
          <w:szCs w:val="21"/>
        </w:rPr>
        <w:t>3</w:t>
      </w:r>
      <w:r>
        <w:rPr>
          <w:color w:val="auto"/>
          <w:szCs w:val="21"/>
        </w:rPr>
        <w:t>．我方承诺在</w:t>
      </w:r>
      <w:r>
        <w:rPr>
          <w:rFonts w:hint="eastAsia"/>
          <w:color w:val="auto"/>
          <w:szCs w:val="21"/>
        </w:rPr>
        <w:t>招标文件规定的</w:t>
      </w:r>
      <w:r>
        <w:rPr>
          <w:color w:val="auto"/>
          <w:szCs w:val="21"/>
        </w:rPr>
        <w:t>投标有效期内不修改、撤销投标文件</w:t>
      </w:r>
      <w:r>
        <w:rPr>
          <w:rFonts w:hint="eastAsia"/>
          <w:color w:val="auto"/>
          <w:szCs w:val="21"/>
        </w:rPr>
        <w:t>。</w:t>
      </w:r>
    </w:p>
    <w:p w14:paraId="7BF4B43F">
      <w:pPr>
        <w:spacing w:line="440" w:lineRule="exact"/>
        <w:ind w:firstLine="420" w:firstLineChars="200"/>
        <w:rPr>
          <w:color w:val="auto"/>
          <w:szCs w:val="21"/>
        </w:rPr>
      </w:pPr>
      <w:r>
        <w:rPr>
          <w:rFonts w:hint="eastAsia"/>
          <w:color w:val="auto"/>
          <w:szCs w:val="21"/>
        </w:rPr>
        <w:t>4</w:t>
      </w:r>
      <w:r>
        <w:rPr>
          <w:color w:val="auto"/>
          <w:szCs w:val="21"/>
        </w:rPr>
        <w:t>．随同本投标函提交投标保证金一份，金额为人民币（大写）</w:t>
      </w:r>
      <w:r>
        <w:rPr>
          <w:color w:val="auto"/>
          <w:szCs w:val="21"/>
          <w:u w:val="single"/>
        </w:rPr>
        <w:t xml:space="preserve">        </w:t>
      </w:r>
      <w:r>
        <w:rPr>
          <w:color w:val="auto"/>
          <w:szCs w:val="21"/>
        </w:rPr>
        <w:t>（¥</w:t>
      </w:r>
      <w:r>
        <w:rPr>
          <w:color w:val="auto"/>
          <w:szCs w:val="21"/>
          <w:u w:val="single"/>
        </w:rPr>
        <w:t xml:space="preserve">  </w:t>
      </w:r>
      <w:r>
        <w:rPr>
          <w:rFonts w:hint="eastAsia"/>
          <w:color w:val="auto"/>
          <w:szCs w:val="21"/>
          <w:u w:val="single"/>
        </w:rPr>
        <w:t xml:space="preserve">   </w:t>
      </w:r>
      <w:r>
        <w:rPr>
          <w:color w:val="auto"/>
          <w:szCs w:val="21"/>
          <w:u w:val="single"/>
        </w:rPr>
        <w:t xml:space="preserve"> </w:t>
      </w:r>
      <w:r>
        <w:rPr>
          <w:color w:val="auto"/>
          <w:szCs w:val="21"/>
        </w:rPr>
        <w:t xml:space="preserve"> ）。</w:t>
      </w:r>
    </w:p>
    <w:p w14:paraId="7B5E94EA">
      <w:pPr>
        <w:spacing w:line="440" w:lineRule="exact"/>
        <w:ind w:firstLine="420" w:firstLineChars="200"/>
        <w:rPr>
          <w:color w:val="auto"/>
          <w:szCs w:val="21"/>
        </w:rPr>
      </w:pPr>
      <w:r>
        <w:rPr>
          <w:rFonts w:hint="eastAsia"/>
          <w:color w:val="auto"/>
          <w:szCs w:val="21"/>
        </w:rPr>
        <w:t>5</w:t>
      </w:r>
      <w:r>
        <w:rPr>
          <w:color w:val="auto"/>
          <w:szCs w:val="21"/>
        </w:rPr>
        <w:t>．如我方中标：</w:t>
      </w:r>
    </w:p>
    <w:p w14:paraId="58765EBB">
      <w:pPr>
        <w:spacing w:line="440" w:lineRule="exact"/>
        <w:ind w:firstLine="718" w:firstLineChars="342"/>
        <w:rPr>
          <w:color w:val="auto"/>
          <w:szCs w:val="21"/>
        </w:rPr>
      </w:pPr>
      <w:r>
        <w:rPr>
          <w:color w:val="auto"/>
          <w:szCs w:val="21"/>
        </w:rPr>
        <w:t>（1）我方承诺在收到中标通知书后，在中标通知书规定的期限内与你方签订合同。</w:t>
      </w:r>
    </w:p>
    <w:p w14:paraId="77BDB8D2">
      <w:pPr>
        <w:spacing w:line="440" w:lineRule="exact"/>
        <w:ind w:firstLine="718" w:firstLineChars="342"/>
        <w:rPr>
          <w:color w:val="auto"/>
          <w:szCs w:val="21"/>
        </w:rPr>
      </w:pPr>
      <w:r>
        <w:rPr>
          <w:color w:val="auto"/>
          <w:szCs w:val="21"/>
        </w:rPr>
        <w:t>（2）随同本投标函递交的投标函附录属于合同文件的组成部分。</w:t>
      </w:r>
    </w:p>
    <w:p w14:paraId="788EEA2F">
      <w:pPr>
        <w:spacing w:line="440" w:lineRule="exact"/>
        <w:ind w:firstLine="718" w:firstLineChars="342"/>
        <w:rPr>
          <w:color w:val="auto"/>
          <w:szCs w:val="21"/>
        </w:rPr>
      </w:pPr>
      <w:r>
        <w:rPr>
          <w:color w:val="auto"/>
          <w:szCs w:val="21"/>
        </w:rPr>
        <w:t>（3）我方承诺按照招标文件规定向你方递交履约担保。</w:t>
      </w:r>
    </w:p>
    <w:p w14:paraId="3C2EC842">
      <w:pPr>
        <w:spacing w:line="440" w:lineRule="exact"/>
        <w:ind w:firstLine="718" w:firstLineChars="342"/>
        <w:rPr>
          <w:color w:val="auto"/>
          <w:szCs w:val="21"/>
        </w:rPr>
      </w:pPr>
      <w:r>
        <w:rPr>
          <w:color w:val="auto"/>
          <w:szCs w:val="21"/>
        </w:rPr>
        <w:t>（4）我方承诺在合同约定的期限内完成并移交全部合同工程。</w:t>
      </w:r>
    </w:p>
    <w:p w14:paraId="572595E9">
      <w:pPr>
        <w:spacing w:line="440" w:lineRule="exact"/>
        <w:ind w:firstLine="420" w:firstLineChars="200"/>
        <w:rPr>
          <w:rFonts w:hint="eastAsia"/>
          <w:color w:val="auto"/>
          <w:szCs w:val="21"/>
        </w:rPr>
      </w:pPr>
      <w:r>
        <w:rPr>
          <w:rFonts w:hint="eastAsia"/>
          <w:color w:val="auto"/>
          <w:szCs w:val="21"/>
        </w:rPr>
        <w:t>6</w:t>
      </w:r>
      <w:r>
        <w:rPr>
          <w:color w:val="auto"/>
          <w:szCs w:val="21"/>
        </w:rPr>
        <w:t>．</w:t>
      </w:r>
      <w:r>
        <w:rPr>
          <w:rFonts w:hint="eastAsia"/>
          <w:color w:val="auto"/>
          <w:szCs w:val="21"/>
        </w:rPr>
        <w:t>我方在此声明，所递交的投标文件及有关资料内容完整、真实和准确，且不存在第二章“投标人须知”第1.4.3项规定的任何一种情形。</w:t>
      </w:r>
    </w:p>
    <w:p w14:paraId="607FAFEB">
      <w:pPr>
        <w:spacing w:line="440" w:lineRule="exact"/>
        <w:ind w:firstLine="420" w:firstLineChars="200"/>
        <w:rPr>
          <w:rFonts w:hint="eastAsia"/>
          <w:color w:val="auto"/>
          <w:szCs w:val="21"/>
        </w:rPr>
      </w:pPr>
      <w:r>
        <w:rPr>
          <w:rFonts w:hint="eastAsia"/>
          <w:color w:val="auto"/>
          <w:szCs w:val="21"/>
        </w:rPr>
        <w:t>7．</w:t>
      </w:r>
      <w:r>
        <w:rPr>
          <w:color w:val="auto"/>
          <w:szCs w:val="21"/>
          <w:u w:val="single"/>
        </w:rPr>
        <w:t xml:space="preserve">                                       </w:t>
      </w:r>
      <w:r>
        <w:rPr>
          <w:color w:val="auto"/>
          <w:szCs w:val="21"/>
        </w:rPr>
        <w:t>（</w:t>
      </w:r>
      <w:r>
        <w:rPr>
          <w:rFonts w:hint="eastAsia"/>
          <w:color w:val="auto"/>
          <w:szCs w:val="21"/>
        </w:rPr>
        <w:t>其他</w:t>
      </w:r>
      <w:r>
        <w:rPr>
          <w:color w:val="auto"/>
          <w:szCs w:val="21"/>
        </w:rPr>
        <w:t>补充说明）。</w:t>
      </w:r>
    </w:p>
    <w:p w14:paraId="4D6C60FB">
      <w:pPr>
        <w:spacing w:line="360" w:lineRule="auto"/>
        <w:ind w:firstLine="420" w:firstLineChars="200"/>
        <w:rPr>
          <w:color w:val="auto"/>
          <w:szCs w:val="21"/>
        </w:rPr>
      </w:pPr>
    </w:p>
    <w:p w14:paraId="232DFA05">
      <w:pPr>
        <w:spacing w:line="440" w:lineRule="exact"/>
        <w:ind w:firstLine="3675" w:firstLineChars="1750"/>
        <w:rPr>
          <w:color w:val="auto"/>
          <w:szCs w:val="21"/>
        </w:rPr>
      </w:pPr>
      <w:r>
        <w:rPr>
          <w:color w:val="auto"/>
          <w:szCs w:val="21"/>
        </w:rPr>
        <w:t>投 标 人：</w:t>
      </w:r>
      <w:r>
        <w:rPr>
          <w:color w:val="auto"/>
          <w:szCs w:val="21"/>
          <w:u w:val="single"/>
        </w:rPr>
        <w:t xml:space="preserve">                      </w:t>
      </w:r>
      <w:r>
        <w:rPr>
          <w:color w:val="auto"/>
          <w:szCs w:val="21"/>
        </w:rPr>
        <w:t>（盖单位章）</w:t>
      </w:r>
    </w:p>
    <w:p w14:paraId="66F8DF7C">
      <w:pPr>
        <w:spacing w:line="440" w:lineRule="exact"/>
        <w:ind w:firstLine="3675" w:firstLineChars="1750"/>
        <w:rPr>
          <w:color w:val="auto"/>
          <w:szCs w:val="21"/>
        </w:rPr>
      </w:pPr>
      <w:r>
        <w:rPr>
          <w:color w:val="auto"/>
          <w:szCs w:val="21"/>
        </w:rPr>
        <w:t>法定代表人：</w:t>
      </w:r>
      <w:r>
        <w:rPr>
          <w:color w:val="auto"/>
          <w:szCs w:val="21"/>
          <w:u w:val="single"/>
        </w:rPr>
        <w:t xml:space="preserve">     </w:t>
      </w:r>
      <w:r>
        <w:rPr>
          <w:rFonts w:hint="eastAsia"/>
          <w:color w:val="auto"/>
          <w:szCs w:val="21"/>
          <w:u w:val="single"/>
        </w:rPr>
        <w:t xml:space="preserve">                  </w:t>
      </w:r>
      <w:r>
        <w:rPr>
          <w:color w:val="auto"/>
          <w:szCs w:val="21"/>
          <w:u w:val="single"/>
        </w:rPr>
        <w:t xml:space="preserve"> </w:t>
      </w:r>
      <w:r>
        <w:rPr>
          <w:color w:val="auto"/>
          <w:szCs w:val="21"/>
        </w:rPr>
        <w:t>（签字）</w:t>
      </w:r>
    </w:p>
    <w:p w14:paraId="507AD99E">
      <w:pPr>
        <w:spacing w:line="440" w:lineRule="exact"/>
        <w:ind w:firstLine="3675" w:firstLineChars="1750"/>
        <w:rPr>
          <w:color w:val="auto"/>
          <w:szCs w:val="21"/>
        </w:rPr>
      </w:pPr>
      <w:r>
        <w:rPr>
          <w:color w:val="auto"/>
          <w:szCs w:val="21"/>
        </w:rPr>
        <w:t>地址：</w:t>
      </w:r>
      <w:r>
        <w:rPr>
          <w:color w:val="auto"/>
          <w:szCs w:val="21"/>
          <w:u w:val="single"/>
        </w:rPr>
        <w:t xml:space="preserve">                                     </w:t>
      </w:r>
    </w:p>
    <w:p w14:paraId="4CCE246A">
      <w:pPr>
        <w:spacing w:line="440" w:lineRule="exact"/>
        <w:ind w:firstLine="3675" w:firstLineChars="1750"/>
        <w:rPr>
          <w:color w:val="auto"/>
          <w:szCs w:val="21"/>
        </w:rPr>
      </w:pPr>
      <w:r>
        <w:rPr>
          <w:color w:val="auto"/>
          <w:szCs w:val="21"/>
        </w:rPr>
        <w:t>网址：</w:t>
      </w:r>
      <w:r>
        <w:rPr>
          <w:color w:val="auto"/>
          <w:szCs w:val="21"/>
          <w:u w:val="single"/>
        </w:rPr>
        <w:t xml:space="preserve">                                     </w:t>
      </w:r>
    </w:p>
    <w:p w14:paraId="4D2AB387">
      <w:pPr>
        <w:spacing w:line="440" w:lineRule="exact"/>
        <w:ind w:firstLine="3675" w:firstLineChars="1750"/>
        <w:rPr>
          <w:color w:val="auto"/>
          <w:szCs w:val="21"/>
        </w:rPr>
      </w:pPr>
      <w:r>
        <w:rPr>
          <w:color w:val="auto"/>
          <w:szCs w:val="21"/>
        </w:rPr>
        <w:t>电话：</w:t>
      </w:r>
      <w:r>
        <w:rPr>
          <w:color w:val="auto"/>
          <w:szCs w:val="21"/>
          <w:u w:val="single"/>
        </w:rPr>
        <w:t xml:space="preserve">                                     </w:t>
      </w:r>
    </w:p>
    <w:p w14:paraId="61D0B405">
      <w:pPr>
        <w:spacing w:line="440" w:lineRule="exact"/>
        <w:ind w:firstLine="3675" w:firstLineChars="1750"/>
        <w:rPr>
          <w:color w:val="auto"/>
          <w:szCs w:val="21"/>
        </w:rPr>
      </w:pPr>
      <w:r>
        <w:rPr>
          <w:color w:val="auto"/>
          <w:szCs w:val="21"/>
        </w:rPr>
        <w:t>传真：</w:t>
      </w:r>
      <w:r>
        <w:rPr>
          <w:color w:val="auto"/>
          <w:szCs w:val="21"/>
          <w:u w:val="single"/>
        </w:rPr>
        <w:t xml:space="preserve">                                     </w:t>
      </w:r>
    </w:p>
    <w:p w14:paraId="2C98A59D">
      <w:pPr>
        <w:spacing w:line="440" w:lineRule="exact"/>
        <w:ind w:firstLine="3675" w:firstLineChars="1750"/>
        <w:rPr>
          <w:color w:val="auto"/>
          <w:szCs w:val="21"/>
        </w:rPr>
      </w:pPr>
      <w:r>
        <w:rPr>
          <w:color w:val="auto"/>
          <w:szCs w:val="21"/>
        </w:rPr>
        <w:t>邮政编码：</w:t>
      </w:r>
      <w:r>
        <w:rPr>
          <w:color w:val="auto"/>
          <w:szCs w:val="21"/>
          <w:u w:val="single"/>
        </w:rPr>
        <w:t xml:space="preserve">                                 </w:t>
      </w:r>
    </w:p>
    <w:p w14:paraId="5FD9D6D5">
      <w:pPr>
        <w:spacing w:line="440" w:lineRule="exact"/>
        <w:ind w:firstLine="4725" w:firstLineChars="2250"/>
        <w:rPr>
          <w:rFonts w:hint="eastAsia"/>
          <w:color w:val="auto"/>
          <w:szCs w:val="21"/>
        </w:rPr>
      </w:pPr>
      <w:r>
        <w:rPr>
          <w:color w:val="auto"/>
          <w:szCs w:val="21"/>
          <w:u w:val="single"/>
        </w:rPr>
        <w:t xml:space="preserve">      </w:t>
      </w:r>
      <w:r>
        <w:rPr>
          <w:color w:val="auto"/>
          <w:szCs w:val="21"/>
        </w:rPr>
        <w:t>年</w:t>
      </w:r>
      <w:r>
        <w:rPr>
          <w:color w:val="auto"/>
          <w:szCs w:val="21"/>
          <w:u w:val="single"/>
        </w:rPr>
        <w:t xml:space="preserve">      </w:t>
      </w:r>
      <w:r>
        <w:rPr>
          <w:color w:val="auto"/>
          <w:szCs w:val="21"/>
        </w:rPr>
        <w:t>月</w:t>
      </w:r>
      <w:r>
        <w:rPr>
          <w:color w:val="auto"/>
          <w:szCs w:val="21"/>
          <w:u w:val="single"/>
        </w:rPr>
        <w:t xml:space="preserve">      </w:t>
      </w:r>
      <w:r>
        <w:rPr>
          <w:color w:val="auto"/>
          <w:szCs w:val="21"/>
        </w:rPr>
        <w:t>日</w:t>
      </w:r>
    </w:p>
    <w:p w14:paraId="5094E629">
      <w:pPr>
        <w:spacing w:line="440" w:lineRule="exact"/>
        <w:ind w:firstLine="4725" w:firstLineChars="2250"/>
        <w:rPr>
          <w:rFonts w:hint="eastAsia"/>
          <w:color w:val="auto"/>
          <w:szCs w:val="21"/>
        </w:rPr>
      </w:pPr>
    </w:p>
    <w:p w14:paraId="59213E54">
      <w:pPr>
        <w:spacing w:line="440" w:lineRule="exact"/>
        <w:ind w:firstLine="4725" w:firstLineChars="2250"/>
        <w:rPr>
          <w:rFonts w:hint="eastAsia"/>
          <w:color w:val="auto"/>
          <w:szCs w:val="21"/>
        </w:rPr>
      </w:pPr>
    </w:p>
    <w:p w14:paraId="55516A65">
      <w:pPr>
        <w:spacing w:after="120" w:line="360" w:lineRule="auto"/>
        <w:rPr>
          <w:rFonts w:hint="eastAsia" w:ascii="宋体" w:hAnsi="宋体"/>
          <w:color w:val="auto"/>
          <w:szCs w:val="21"/>
        </w:rPr>
      </w:pPr>
      <w:r>
        <w:rPr>
          <w:rFonts w:hint="eastAsia" w:ascii="宋体" w:hAnsi="宋体"/>
          <w:color w:val="auto"/>
          <w:szCs w:val="21"/>
        </w:rPr>
        <w:t>备注：采用资格预审的，资格审查资料如有更新</w:t>
      </w:r>
      <w:r>
        <w:rPr>
          <w:rFonts w:hint="eastAsia"/>
          <w:color w:val="auto"/>
        </w:rPr>
        <w:t>或补充</w:t>
      </w:r>
      <w:r>
        <w:rPr>
          <w:rFonts w:hint="eastAsia" w:ascii="宋体" w:hAnsi="宋体"/>
          <w:color w:val="auto"/>
          <w:szCs w:val="21"/>
        </w:rPr>
        <w:t>，投标人应在第</w:t>
      </w:r>
      <w:r>
        <w:rPr>
          <w:rFonts w:hint="eastAsia"/>
          <w:color w:val="auto"/>
          <w:szCs w:val="21"/>
        </w:rPr>
        <w:t>7</w:t>
      </w:r>
      <w:r>
        <w:rPr>
          <w:rFonts w:hint="eastAsia" w:ascii="宋体" w:hAnsi="宋体"/>
          <w:color w:val="auto"/>
          <w:szCs w:val="21"/>
        </w:rPr>
        <w:t>条中说明。</w:t>
      </w:r>
    </w:p>
    <w:p w14:paraId="711E26F2">
      <w:pPr>
        <w:jc w:val="center"/>
        <w:rPr>
          <w:rFonts w:hint="eastAsia"/>
          <w:color w:val="auto"/>
          <w:szCs w:val="21"/>
        </w:rPr>
      </w:pPr>
    </w:p>
    <w:p w14:paraId="3D18CCCD">
      <w:pPr>
        <w:pStyle w:val="3"/>
        <w:spacing w:before="48"/>
        <w:jc w:val="center"/>
        <w:rPr>
          <w:rFonts w:hint="eastAsia"/>
          <w:color w:val="auto"/>
          <w:sz w:val="28"/>
          <w:szCs w:val="28"/>
        </w:rPr>
      </w:pPr>
      <w:bookmarkStart w:id="2103" w:name="_Toc154064021"/>
      <w:bookmarkStart w:id="2104" w:name="_Toc247514249"/>
      <w:bookmarkStart w:id="2105" w:name="_Toc247527830"/>
      <w:bookmarkStart w:id="2106" w:name="_Toc538"/>
      <w:bookmarkStart w:id="2107" w:name="_Toc519085633"/>
      <w:bookmarkStart w:id="2108" w:name="_Toc144974859"/>
      <w:bookmarkStart w:id="2109" w:name="_Toc152042579"/>
      <w:bookmarkStart w:id="2110" w:name="_Toc152045790"/>
      <w:r>
        <w:rPr>
          <w:rFonts w:hint="eastAsia"/>
          <w:color w:val="auto"/>
          <w:sz w:val="28"/>
          <w:szCs w:val="28"/>
        </w:rPr>
        <w:t>（二）</w:t>
      </w:r>
      <w:r>
        <w:rPr>
          <w:color w:val="auto"/>
          <w:sz w:val="28"/>
          <w:szCs w:val="28"/>
        </w:rPr>
        <w:t>投标函附录</w:t>
      </w:r>
      <w:bookmarkEnd w:id="2103"/>
      <w:bookmarkEnd w:id="2104"/>
      <w:bookmarkEnd w:id="2105"/>
      <w:bookmarkEnd w:id="2106"/>
      <w:bookmarkEnd w:id="2107"/>
      <w:bookmarkEnd w:id="2108"/>
      <w:bookmarkEnd w:id="2109"/>
      <w:bookmarkEnd w:id="2110"/>
    </w:p>
    <w:p w14:paraId="79FB9E57">
      <w:pPr>
        <w:rPr>
          <w:rFonts w:hint="eastAsia"/>
          <w:color w:val="auto"/>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4"/>
        <w:gridCol w:w="2161"/>
        <w:gridCol w:w="1986"/>
        <w:gridCol w:w="2526"/>
        <w:gridCol w:w="744"/>
      </w:tblGrid>
      <w:tr w14:paraId="3B2A0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249F2A82">
            <w:pPr>
              <w:keepNext w:val="0"/>
              <w:keepLines w:val="0"/>
              <w:suppressLineNumbers w:val="0"/>
              <w:spacing w:before="0" w:beforeAutospacing="0" w:after="0" w:afterAutospacing="0"/>
              <w:ind w:left="0" w:right="0"/>
              <w:jc w:val="center"/>
              <w:rPr>
                <w:rFonts w:ascii="宋体" w:hAnsi="宋体" w:eastAsia="宋体" w:cs="Times New Roman"/>
                <w:b/>
                <w:color w:val="auto"/>
                <w:szCs w:val="21"/>
              </w:rPr>
            </w:pPr>
            <w:r>
              <w:rPr>
                <w:rFonts w:ascii="宋体" w:hAnsi="宋体" w:eastAsia="宋体" w:cs="Times New Roman"/>
                <w:b/>
                <w:color w:val="auto"/>
                <w:szCs w:val="21"/>
              </w:rPr>
              <w:t>序号</w:t>
            </w:r>
          </w:p>
        </w:tc>
        <w:tc>
          <w:tcPr>
            <w:tcW w:w="2161" w:type="dxa"/>
            <w:noWrap w:val="0"/>
            <w:vAlign w:val="center"/>
          </w:tcPr>
          <w:p w14:paraId="30750D7B">
            <w:pPr>
              <w:keepNext w:val="0"/>
              <w:keepLines w:val="0"/>
              <w:suppressLineNumbers w:val="0"/>
              <w:spacing w:before="0" w:beforeAutospacing="0" w:after="0" w:afterAutospacing="0"/>
              <w:ind w:left="0" w:right="0"/>
              <w:jc w:val="center"/>
              <w:rPr>
                <w:rFonts w:ascii="宋体" w:hAnsi="宋体" w:eastAsia="宋体" w:cs="Times New Roman"/>
                <w:b/>
                <w:color w:val="auto"/>
                <w:szCs w:val="21"/>
              </w:rPr>
            </w:pPr>
            <w:r>
              <w:rPr>
                <w:rFonts w:hint="eastAsia" w:ascii="宋体" w:hAnsi="宋体" w:eastAsia="宋体" w:cs="Times New Roman"/>
                <w:b/>
                <w:color w:val="auto"/>
                <w:szCs w:val="21"/>
              </w:rPr>
              <w:t>条款名称</w:t>
            </w:r>
          </w:p>
        </w:tc>
        <w:tc>
          <w:tcPr>
            <w:tcW w:w="1986" w:type="dxa"/>
            <w:noWrap w:val="0"/>
            <w:vAlign w:val="center"/>
          </w:tcPr>
          <w:p w14:paraId="0736EF4A">
            <w:pPr>
              <w:keepNext w:val="0"/>
              <w:keepLines w:val="0"/>
              <w:suppressLineNumbers w:val="0"/>
              <w:spacing w:before="0" w:beforeAutospacing="0" w:after="0" w:afterAutospacing="0"/>
              <w:ind w:left="0" w:right="0"/>
              <w:jc w:val="center"/>
              <w:rPr>
                <w:rFonts w:ascii="宋体" w:hAnsi="宋体" w:eastAsia="宋体" w:cs="Times New Roman"/>
                <w:b/>
                <w:color w:val="auto"/>
                <w:szCs w:val="21"/>
              </w:rPr>
            </w:pPr>
            <w:r>
              <w:rPr>
                <w:rFonts w:ascii="宋体" w:hAnsi="宋体" w:eastAsia="宋体" w:cs="Times New Roman"/>
                <w:b/>
                <w:color w:val="auto"/>
                <w:szCs w:val="21"/>
              </w:rPr>
              <w:t>合同条款号</w:t>
            </w:r>
          </w:p>
        </w:tc>
        <w:tc>
          <w:tcPr>
            <w:tcW w:w="2526" w:type="dxa"/>
            <w:noWrap w:val="0"/>
            <w:vAlign w:val="center"/>
          </w:tcPr>
          <w:p w14:paraId="1D861834">
            <w:pPr>
              <w:keepNext w:val="0"/>
              <w:keepLines w:val="0"/>
              <w:suppressLineNumbers w:val="0"/>
              <w:spacing w:before="0" w:beforeAutospacing="0" w:after="0" w:afterAutospacing="0"/>
              <w:ind w:left="0" w:right="0"/>
              <w:jc w:val="center"/>
              <w:rPr>
                <w:rFonts w:ascii="宋体" w:hAnsi="宋体" w:eastAsia="宋体" w:cs="Times New Roman"/>
                <w:b/>
                <w:color w:val="auto"/>
                <w:szCs w:val="21"/>
              </w:rPr>
            </w:pPr>
            <w:r>
              <w:rPr>
                <w:rFonts w:hint="eastAsia" w:ascii="宋体" w:hAnsi="宋体" w:eastAsia="宋体" w:cs="Times New Roman"/>
                <w:b/>
                <w:color w:val="auto"/>
                <w:szCs w:val="21"/>
              </w:rPr>
              <w:t>约定</w:t>
            </w:r>
            <w:r>
              <w:rPr>
                <w:rFonts w:ascii="宋体" w:hAnsi="宋体" w:eastAsia="宋体" w:cs="Times New Roman"/>
                <w:b/>
                <w:color w:val="auto"/>
                <w:szCs w:val="21"/>
              </w:rPr>
              <w:t>内容</w:t>
            </w:r>
          </w:p>
        </w:tc>
        <w:tc>
          <w:tcPr>
            <w:tcW w:w="744" w:type="dxa"/>
            <w:noWrap w:val="0"/>
            <w:vAlign w:val="center"/>
          </w:tcPr>
          <w:p w14:paraId="27BFACDD">
            <w:pPr>
              <w:keepNext w:val="0"/>
              <w:keepLines w:val="0"/>
              <w:suppressLineNumbers w:val="0"/>
              <w:spacing w:before="0" w:beforeAutospacing="0" w:after="0" w:afterAutospacing="0"/>
              <w:ind w:left="0" w:right="0"/>
              <w:jc w:val="center"/>
              <w:rPr>
                <w:rFonts w:ascii="宋体" w:hAnsi="宋体" w:eastAsia="宋体" w:cs="Times New Roman"/>
                <w:b/>
                <w:color w:val="auto"/>
                <w:szCs w:val="21"/>
              </w:rPr>
            </w:pPr>
            <w:r>
              <w:rPr>
                <w:rFonts w:ascii="宋体" w:hAnsi="宋体" w:eastAsia="宋体" w:cs="Times New Roman"/>
                <w:b/>
                <w:color w:val="auto"/>
                <w:szCs w:val="21"/>
              </w:rPr>
              <w:t>备注</w:t>
            </w:r>
          </w:p>
        </w:tc>
      </w:tr>
      <w:tr w14:paraId="1C6C9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38BA1CBF">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r>
              <w:rPr>
                <w:rFonts w:ascii="Calibri" w:hAnsi="Calibri" w:eastAsia="宋体" w:cs="Times New Roman"/>
                <w:color w:val="auto"/>
                <w:szCs w:val="21"/>
              </w:rPr>
              <w:t>1</w:t>
            </w:r>
          </w:p>
        </w:tc>
        <w:tc>
          <w:tcPr>
            <w:tcW w:w="2161" w:type="dxa"/>
            <w:noWrap w:val="0"/>
            <w:vAlign w:val="center"/>
          </w:tcPr>
          <w:p w14:paraId="7194F16C">
            <w:pPr>
              <w:keepNext w:val="0"/>
              <w:keepLines w:val="0"/>
              <w:suppressLineNumbers w:val="0"/>
              <w:spacing w:before="0" w:beforeAutospacing="0" w:after="0" w:afterAutospacing="0" w:line="440" w:lineRule="exact"/>
              <w:ind w:left="0" w:right="0" w:firstLine="718" w:firstLineChars="342"/>
              <w:rPr>
                <w:rFonts w:ascii="宋体" w:hAnsi="宋体" w:eastAsia="宋体" w:cs="Times New Roman"/>
                <w:color w:val="auto"/>
                <w:szCs w:val="21"/>
              </w:rPr>
            </w:pPr>
            <w:r>
              <w:rPr>
                <w:rFonts w:ascii="宋体" w:hAnsi="宋体" w:eastAsia="宋体" w:cs="Times New Roman"/>
                <w:color w:val="auto"/>
                <w:szCs w:val="21"/>
              </w:rPr>
              <w:t>项目经理</w:t>
            </w:r>
          </w:p>
        </w:tc>
        <w:tc>
          <w:tcPr>
            <w:tcW w:w="1986" w:type="dxa"/>
            <w:noWrap w:val="0"/>
            <w:vAlign w:val="center"/>
          </w:tcPr>
          <w:p w14:paraId="57736553">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1.1.2.7</w:t>
            </w:r>
          </w:p>
        </w:tc>
        <w:tc>
          <w:tcPr>
            <w:tcW w:w="2526" w:type="dxa"/>
            <w:noWrap w:val="0"/>
            <w:vAlign w:val="center"/>
          </w:tcPr>
          <w:p w14:paraId="5AA235BE">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rPr>
            </w:pPr>
            <w:r>
              <w:rPr>
                <w:rFonts w:ascii="Calibri" w:hAnsi="Calibri" w:eastAsia="宋体" w:cs="Times New Roman"/>
                <w:color w:val="auto"/>
                <w:szCs w:val="21"/>
              </w:rPr>
              <w:t xml:space="preserve">姓名： （见投标函）          </w:t>
            </w:r>
          </w:p>
        </w:tc>
        <w:tc>
          <w:tcPr>
            <w:tcW w:w="744" w:type="dxa"/>
            <w:noWrap w:val="0"/>
            <w:vAlign w:val="center"/>
          </w:tcPr>
          <w:p w14:paraId="46D0C39F">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rPr>
            </w:pPr>
          </w:p>
        </w:tc>
      </w:tr>
      <w:tr w14:paraId="0B147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03ED8509">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r>
              <w:rPr>
                <w:rFonts w:ascii="Calibri" w:hAnsi="Calibri" w:eastAsia="宋体" w:cs="Times New Roman"/>
                <w:color w:val="auto"/>
                <w:szCs w:val="21"/>
              </w:rPr>
              <w:t>2</w:t>
            </w:r>
          </w:p>
        </w:tc>
        <w:tc>
          <w:tcPr>
            <w:tcW w:w="2161" w:type="dxa"/>
            <w:noWrap w:val="0"/>
            <w:vAlign w:val="center"/>
          </w:tcPr>
          <w:p w14:paraId="0AB3F091">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ascii="宋体" w:hAnsi="宋体" w:eastAsia="宋体" w:cs="Times New Roman"/>
                <w:color w:val="auto"/>
                <w:szCs w:val="21"/>
              </w:rPr>
              <w:t>工期</w:t>
            </w:r>
          </w:p>
        </w:tc>
        <w:tc>
          <w:tcPr>
            <w:tcW w:w="1986" w:type="dxa"/>
            <w:noWrap w:val="0"/>
            <w:vAlign w:val="center"/>
          </w:tcPr>
          <w:p w14:paraId="10308FD5">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r>
              <w:rPr>
                <w:rFonts w:ascii="Calibri" w:hAnsi="Calibri" w:eastAsia="宋体" w:cs="Times New Roman"/>
                <w:color w:val="auto"/>
                <w:szCs w:val="21"/>
              </w:rPr>
              <w:t>1.1.4.5</w:t>
            </w:r>
          </w:p>
        </w:tc>
        <w:tc>
          <w:tcPr>
            <w:tcW w:w="2526" w:type="dxa"/>
            <w:noWrap w:val="0"/>
            <w:vAlign w:val="center"/>
          </w:tcPr>
          <w:p w14:paraId="32386D74">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rPr>
            </w:pPr>
            <w:r>
              <w:rPr>
                <w:rFonts w:ascii="Calibri" w:hAnsi="Calibri" w:eastAsia="宋体" w:cs="Times New Roman"/>
                <w:color w:val="auto"/>
                <w:szCs w:val="21"/>
              </w:rPr>
              <w:t>天数： （见投标函）</w:t>
            </w:r>
          </w:p>
        </w:tc>
        <w:tc>
          <w:tcPr>
            <w:tcW w:w="744" w:type="dxa"/>
            <w:noWrap w:val="0"/>
            <w:vAlign w:val="center"/>
          </w:tcPr>
          <w:p w14:paraId="226BC4A0">
            <w:pPr>
              <w:keepNext w:val="0"/>
              <w:keepLines w:val="0"/>
              <w:suppressLineNumbers w:val="0"/>
              <w:spacing w:before="0" w:beforeAutospacing="0" w:after="0" w:afterAutospacing="0" w:line="440" w:lineRule="exact"/>
              <w:ind w:left="0" w:right="0" w:firstLine="718" w:firstLineChars="342"/>
              <w:rPr>
                <w:rFonts w:ascii="Calibri" w:hAnsi="Calibri" w:eastAsia="宋体" w:cs="Times New Roman"/>
                <w:color w:val="auto"/>
                <w:szCs w:val="21"/>
              </w:rPr>
            </w:pPr>
          </w:p>
        </w:tc>
      </w:tr>
      <w:tr w14:paraId="4CB9B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6D787ACE">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r>
              <w:rPr>
                <w:rFonts w:ascii="Calibri" w:hAnsi="Calibri" w:eastAsia="宋体" w:cs="Times New Roman"/>
                <w:color w:val="auto"/>
                <w:szCs w:val="21"/>
              </w:rPr>
              <w:t>3</w:t>
            </w:r>
          </w:p>
        </w:tc>
        <w:tc>
          <w:tcPr>
            <w:tcW w:w="2161" w:type="dxa"/>
            <w:noWrap w:val="0"/>
            <w:vAlign w:val="center"/>
          </w:tcPr>
          <w:p w14:paraId="1A3C60C6">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ascii="宋体" w:hAnsi="宋体" w:eastAsia="宋体" w:cs="Times New Roman"/>
                <w:color w:val="auto"/>
                <w:szCs w:val="21"/>
              </w:rPr>
              <w:t>缺陷责任期</w:t>
            </w:r>
          </w:p>
        </w:tc>
        <w:tc>
          <w:tcPr>
            <w:tcW w:w="1986" w:type="dxa"/>
            <w:noWrap w:val="0"/>
            <w:vAlign w:val="center"/>
          </w:tcPr>
          <w:p w14:paraId="69A21DCA">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r>
              <w:rPr>
                <w:rFonts w:ascii="Calibri" w:hAnsi="Calibri" w:eastAsia="宋体" w:cs="Times New Roman"/>
                <w:color w:val="auto"/>
                <w:szCs w:val="21"/>
              </w:rPr>
              <w:t>1.1.4.6</w:t>
            </w:r>
          </w:p>
        </w:tc>
        <w:tc>
          <w:tcPr>
            <w:tcW w:w="2526" w:type="dxa"/>
            <w:noWrap w:val="0"/>
            <w:vAlign w:val="center"/>
          </w:tcPr>
          <w:p w14:paraId="372490A0">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宋体" w:hAnsi="宋体" w:eastAsia="宋体" w:cs="Times New Roman"/>
                <w:color w:val="auto"/>
                <w:szCs w:val="21"/>
              </w:rPr>
              <w:t>……</w:t>
            </w:r>
          </w:p>
        </w:tc>
        <w:tc>
          <w:tcPr>
            <w:tcW w:w="744" w:type="dxa"/>
            <w:noWrap w:val="0"/>
            <w:vAlign w:val="center"/>
          </w:tcPr>
          <w:p w14:paraId="11A769B1">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rPr>
            </w:pPr>
          </w:p>
        </w:tc>
      </w:tr>
      <w:tr w14:paraId="6089A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3C12EEAB">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r>
              <w:rPr>
                <w:rFonts w:ascii="Calibri" w:hAnsi="Calibri" w:eastAsia="宋体" w:cs="Times New Roman"/>
                <w:color w:val="auto"/>
                <w:szCs w:val="21"/>
              </w:rPr>
              <w:t>4</w:t>
            </w:r>
          </w:p>
        </w:tc>
        <w:tc>
          <w:tcPr>
            <w:tcW w:w="2161" w:type="dxa"/>
            <w:noWrap w:val="0"/>
            <w:vAlign w:val="center"/>
          </w:tcPr>
          <w:p w14:paraId="3AFBA7BC">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ascii="宋体" w:hAnsi="宋体" w:eastAsia="宋体" w:cs="Times New Roman"/>
                <w:color w:val="auto"/>
                <w:szCs w:val="21"/>
              </w:rPr>
              <w:t>分包</w:t>
            </w:r>
          </w:p>
        </w:tc>
        <w:tc>
          <w:tcPr>
            <w:tcW w:w="1986" w:type="dxa"/>
            <w:noWrap w:val="0"/>
            <w:vAlign w:val="center"/>
          </w:tcPr>
          <w:p w14:paraId="26335A75">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r>
              <w:rPr>
                <w:rFonts w:ascii="Calibri" w:hAnsi="Calibri" w:eastAsia="宋体" w:cs="Times New Roman"/>
                <w:color w:val="auto"/>
                <w:szCs w:val="21"/>
              </w:rPr>
              <w:t>4.5.2</w:t>
            </w:r>
          </w:p>
        </w:tc>
        <w:tc>
          <w:tcPr>
            <w:tcW w:w="2526" w:type="dxa"/>
            <w:noWrap w:val="0"/>
            <w:vAlign w:val="center"/>
          </w:tcPr>
          <w:p w14:paraId="40B6824C">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宋体" w:hAnsi="宋体" w:eastAsia="宋体" w:cs="Times New Roman"/>
                <w:color w:val="auto"/>
                <w:szCs w:val="21"/>
              </w:rPr>
              <w:t>……</w:t>
            </w:r>
          </w:p>
        </w:tc>
        <w:tc>
          <w:tcPr>
            <w:tcW w:w="744" w:type="dxa"/>
            <w:noWrap w:val="0"/>
            <w:vAlign w:val="center"/>
          </w:tcPr>
          <w:p w14:paraId="58EB32B6">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rPr>
            </w:pPr>
          </w:p>
        </w:tc>
      </w:tr>
      <w:tr w14:paraId="50CDF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1BE6B844">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5</w:t>
            </w:r>
          </w:p>
        </w:tc>
        <w:tc>
          <w:tcPr>
            <w:tcW w:w="2161" w:type="dxa"/>
            <w:noWrap w:val="0"/>
            <w:vAlign w:val="center"/>
          </w:tcPr>
          <w:p w14:paraId="7668097C">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hint="eastAsia" w:ascii="宋体" w:hAnsi="宋体" w:eastAsia="宋体" w:cs="Times New Roman"/>
                <w:color w:val="auto"/>
                <w:szCs w:val="21"/>
              </w:rPr>
              <w:t>价格调整的差额计算</w:t>
            </w:r>
          </w:p>
        </w:tc>
        <w:tc>
          <w:tcPr>
            <w:tcW w:w="1986" w:type="dxa"/>
            <w:noWrap w:val="0"/>
            <w:vAlign w:val="center"/>
          </w:tcPr>
          <w:p w14:paraId="6B15C989">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13.8.2</w:t>
            </w:r>
          </w:p>
        </w:tc>
        <w:tc>
          <w:tcPr>
            <w:tcW w:w="2526" w:type="dxa"/>
            <w:noWrap w:val="0"/>
            <w:vAlign w:val="center"/>
          </w:tcPr>
          <w:p w14:paraId="4ECEB547">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见价格指数权重表</w:t>
            </w:r>
          </w:p>
        </w:tc>
        <w:tc>
          <w:tcPr>
            <w:tcW w:w="744" w:type="dxa"/>
            <w:noWrap w:val="0"/>
            <w:vAlign w:val="center"/>
          </w:tcPr>
          <w:p w14:paraId="040DACA7">
            <w:pPr>
              <w:keepNext w:val="0"/>
              <w:keepLines w:val="0"/>
              <w:suppressLineNumbers w:val="0"/>
              <w:spacing w:before="0" w:beforeAutospacing="0" w:after="0" w:afterAutospacing="0" w:line="440" w:lineRule="exact"/>
              <w:ind w:left="0" w:right="0" w:firstLine="718" w:firstLineChars="342"/>
              <w:rPr>
                <w:rFonts w:ascii="Calibri" w:hAnsi="Calibri" w:eastAsia="宋体" w:cs="Times New Roman"/>
                <w:color w:val="auto"/>
                <w:szCs w:val="21"/>
              </w:rPr>
            </w:pPr>
            <w:r>
              <w:rPr>
                <w:rFonts w:hint="eastAsia" w:ascii="Calibri" w:hAnsi="Calibri" w:eastAsia="宋体" w:cs="Times New Roman"/>
                <w:color w:val="auto"/>
              </w:rPr>
              <w:t>1</w:t>
            </w:r>
          </w:p>
        </w:tc>
      </w:tr>
      <w:tr w14:paraId="2A131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top"/>
          </w:tcPr>
          <w:p w14:paraId="4BA1F3FC">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ascii="宋体" w:hAnsi="宋体" w:eastAsia="宋体" w:cs="Times New Roman"/>
                <w:color w:val="auto"/>
                <w:szCs w:val="21"/>
              </w:rPr>
              <w:t>……</w:t>
            </w:r>
          </w:p>
        </w:tc>
        <w:tc>
          <w:tcPr>
            <w:tcW w:w="2161" w:type="dxa"/>
            <w:noWrap w:val="0"/>
            <w:vAlign w:val="top"/>
          </w:tcPr>
          <w:p w14:paraId="3B9B5E1D">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ascii="宋体" w:hAnsi="宋体" w:eastAsia="宋体" w:cs="Times New Roman"/>
                <w:color w:val="auto"/>
                <w:szCs w:val="21"/>
              </w:rPr>
              <w:t>……</w:t>
            </w:r>
          </w:p>
        </w:tc>
        <w:tc>
          <w:tcPr>
            <w:tcW w:w="1986" w:type="dxa"/>
            <w:noWrap w:val="0"/>
            <w:vAlign w:val="center"/>
          </w:tcPr>
          <w:p w14:paraId="0D438599">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ascii="宋体" w:hAnsi="宋体" w:eastAsia="宋体" w:cs="Times New Roman"/>
                <w:color w:val="auto"/>
                <w:szCs w:val="21"/>
              </w:rPr>
              <w:t>……</w:t>
            </w:r>
          </w:p>
        </w:tc>
        <w:tc>
          <w:tcPr>
            <w:tcW w:w="2526" w:type="dxa"/>
            <w:noWrap w:val="0"/>
            <w:vAlign w:val="center"/>
          </w:tcPr>
          <w:p w14:paraId="3CAA0B80">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宋体" w:hAnsi="宋体" w:eastAsia="宋体" w:cs="Times New Roman"/>
                <w:color w:val="auto"/>
                <w:szCs w:val="21"/>
              </w:rPr>
              <w:t>……</w:t>
            </w:r>
          </w:p>
        </w:tc>
        <w:tc>
          <w:tcPr>
            <w:tcW w:w="744" w:type="dxa"/>
            <w:noWrap w:val="0"/>
            <w:vAlign w:val="center"/>
          </w:tcPr>
          <w:p w14:paraId="79ECF684">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rPr>
            </w:pPr>
          </w:p>
        </w:tc>
      </w:tr>
      <w:tr w14:paraId="5D022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top"/>
          </w:tcPr>
          <w:p w14:paraId="6317412B">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ascii="宋体" w:hAnsi="宋体" w:eastAsia="宋体" w:cs="Times New Roman"/>
                <w:color w:val="auto"/>
                <w:szCs w:val="21"/>
              </w:rPr>
              <w:t>……</w:t>
            </w:r>
          </w:p>
        </w:tc>
        <w:tc>
          <w:tcPr>
            <w:tcW w:w="2161" w:type="dxa"/>
            <w:noWrap w:val="0"/>
            <w:vAlign w:val="top"/>
          </w:tcPr>
          <w:p w14:paraId="5AAE70BB">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ascii="宋体" w:hAnsi="宋体" w:eastAsia="宋体" w:cs="Times New Roman"/>
                <w:color w:val="auto"/>
                <w:szCs w:val="21"/>
              </w:rPr>
              <w:t>……</w:t>
            </w:r>
          </w:p>
        </w:tc>
        <w:tc>
          <w:tcPr>
            <w:tcW w:w="1986" w:type="dxa"/>
            <w:noWrap w:val="0"/>
            <w:vAlign w:val="center"/>
          </w:tcPr>
          <w:p w14:paraId="2E024F4E">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ascii="宋体" w:hAnsi="宋体" w:eastAsia="宋体" w:cs="Times New Roman"/>
                <w:color w:val="auto"/>
                <w:szCs w:val="21"/>
              </w:rPr>
              <w:t>……</w:t>
            </w:r>
          </w:p>
        </w:tc>
        <w:tc>
          <w:tcPr>
            <w:tcW w:w="2526" w:type="dxa"/>
            <w:noWrap w:val="0"/>
            <w:vAlign w:val="center"/>
          </w:tcPr>
          <w:p w14:paraId="1FE48FD6">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宋体" w:hAnsi="宋体" w:eastAsia="宋体" w:cs="Times New Roman"/>
                <w:color w:val="auto"/>
                <w:szCs w:val="21"/>
              </w:rPr>
              <w:t>……</w:t>
            </w:r>
          </w:p>
        </w:tc>
        <w:tc>
          <w:tcPr>
            <w:tcW w:w="744" w:type="dxa"/>
            <w:noWrap w:val="0"/>
            <w:vAlign w:val="center"/>
          </w:tcPr>
          <w:p w14:paraId="6716BC21">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rPr>
            </w:pPr>
          </w:p>
        </w:tc>
      </w:tr>
      <w:tr w14:paraId="751E4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1" w:type="dxa"/>
            <w:gridSpan w:val="5"/>
            <w:noWrap w:val="0"/>
            <w:vAlign w:val="center"/>
          </w:tcPr>
          <w:p w14:paraId="49272981">
            <w:pPr>
              <w:keepNext w:val="0"/>
              <w:keepLines w:val="0"/>
              <w:suppressLineNumbers w:val="0"/>
              <w:spacing w:before="0" w:beforeAutospacing="0" w:after="0" w:afterAutospacing="0" w:line="320" w:lineRule="exact"/>
              <w:ind w:left="0" w:right="0"/>
              <w:rPr>
                <w:rFonts w:hint="eastAsia" w:ascii="宋体" w:hAnsi="宋体" w:eastAsia="宋体" w:cs="Times New Roman"/>
                <w:color w:val="auto"/>
                <w:szCs w:val="21"/>
              </w:rPr>
            </w:pPr>
            <w:r>
              <w:rPr>
                <w:rFonts w:hint="eastAsia" w:ascii="宋体" w:hAnsi="宋体" w:eastAsia="宋体" w:cs="Times New Roman"/>
                <w:color w:val="auto"/>
                <w:szCs w:val="21"/>
              </w:rPr>
              <w:t>备注：投标人在响应招标文件中规定的实质性要求和条件的基础上，可做出其他有利于招标人的承诺。此类承诺可在本表中予以补充填写。</w:t>
            </w:r>
          </w:p>
          <w:p w14:paraId="4F2C87D0">
            <w:pPr>
              <w:keepNext w:val="0"/>
              <w:keepLines w:val="0"/>
              <w:suppressLineNumbers w:val="0"/>
              <w:spacing w:before="0" w:beforeAutospacing="0" w:after="0" w:afterAutospacing="0" w:line="320" w:lineRule="exact"/>
              <w:ind w:left="0" w:right="0" w:firstLine="525" w:firstLineChars="250"/>
              <w:rPr>
                <w:rFonts w:ascii="宋体" w:hAnsi="宋体" w:eastAsia="宋体" w:cs="Times New Roman"/>
                <w:color w:val="auto"/>
                <w:szCs w:val="21"/>
              </w:rPr>
            </w:pPr>
            <w:r>
              <w:rPr>
                <w:rFonts w:hint="eastAsia" w:ascii="宋体" w:hAnsi="宋体" w:eastAsia="宋体" w:cs="Times New Roman"/>
                <w:color w:val="auto"/>
                <w:szCs w:val="21"/>
              </w:rPr>
              <w:t>本表适用于《建设项目工程总承包合同（示范文本）》（GF-2020-0216）。</w:t>
            </w:r>
          </w:p>
        </w:tc>
      </w:tr>
    </w:tbl>
    <w:p w14:paraId="60334EC2">
      <w:pPr>
        <w:rPr>
          <w:rFonts w:hint="eastAsia"/>
          <w:color w:val="auto"/>
        </w:rPr>
      </w:pPr>
    </w:p>
    <w:p w14:paraId="489766BA">
      <w:pPr>
        <w:rPr>
          <w:rFonts w:hint="eastAsia"/>
          <w:color w:val="auto"/>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4"/>
        <w:gridCol w:w="2161"/>
        <w:gridCol w:w="1986"/>
        <w:gridCol w:w="2526"/>
        <w:gridCol w:w="744"/>
      </w:tblGrid>
      <w:tr w14:paraId="21E5A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1B108DFD">
            <w:pPr>
              <w:keepNext w:val="0"/>
              <w:keepLines w:val="0"/>
              <w:suppressLineNumbers w:val="0"/>
              <w:spacing w:before="0" w:beforeAutospacing="0" w:after="0" w:afterAutospacing="0"/>
              <w:ind w:left="0" w:right="0"/>
              <w:jc w:val="center"/>
              <w:rPr>
                <w:rFonts w:ascii="宋体" w:hAnsi="宋体" w:eastAsia="宋体" w:cs="Times New Roman"/>
                <w:b/>
                <w:color w:val="auto"/>
                <w:szCs w:val="21"/>
              </w:rPr>
            </w:pPr>
            <w:r>
              <w:rPr>
                <w:rFonts w:ascii="宋体" w:hAnsi="宋体" w:eastAsia="宋体" w:cs="Times New Roman"/>
                <w:b/>
                <w:color w:val="auto"/>
                <w:szCs w:val="21"/>
              </w:rPr>
              <w:t>序号</w:t>
            </w:r>
          </w:p>
        </w:tc>
        <w:tc>
          <w:tcPr>
            <w:tcW w:w="2161" w:type="dxa"/>
            <w:noWrap w:val="0"/>
            <w:vAlign w:val="center"/>
          </w:tcPr>
          <w:p w14:paraId="3454AC18">
            <w:pPr>
              <w:keepNext w:val="0"/>
              <w:keepLines w:val="0"/>
              <w:suppressLineNumbers w:val="0"/>
              <w:spacing w:before="0" w:beforeAutospacing="0" w:after="0" w:afterAutospacing="0"/>
              <w:ind w:left="0" w:right="0"/>
              <w:jc w:val="center"/>
              <w:rPr>
                <w:rFonts w:ascii="宋体" w:hAnsi="宋体" w:eastAsia="宋体" w:cs="Times New Roman"/>
                <w:b/>
                <w:color w:val="auto"/>
                <w:szCs w:val="21"/>
              </w:rPr>
            </w:pPr>
            <w:r>
              <w:rPr>
                <w:rFonts w:hint="eastAsia" w:ascii="宋体" w:hAnsi="宋体" w:eastAsia="宋体" w:cs="Times New Roman"/>
                <w:b/>
                <w:color w:val="auto"/>
                <w:szCs w:val="21"/>
              </w:rPr>
              <w:t>条款名称</w:t>
            </w:r>
          </w:p>
        </w:tc>
        <w:tc>
          <w:tcPr>
            <w:tcW w:w="1986" w:type="dxa"/>
            <w:noWrap w:val="0"/>
            <w:vAlign w:val="center"/>
          </w:tcPr>
          <w:p w14:paraId="54B6D9F3">
            <w:pPr>
              <w:keepNext w:val="0"/>
              <w:keepLines w:val="0"/>
              <w:suppressLineNumbers w:val="0"/>
              <w:spacing w:before="0" w:beforeAutospacing="0" w:after="0" w:afterAutospacing="0"/>
              <w:ind w:left="0" w:right="0"/>
              <w:jc w:val="center"/>
              <w:rPr>
                <w:rFonts w:ascii="宋体" w:hAnsi="宋体" w:eastAsia="宋体" w:cs="Times New Roman"/>
                <w:b/>
                <w:color w:val="auto"/>
                <w:szCs w:val="21"/>
              </w:rPr>
            </w:pPr>
            <w:r>
              <w:rPr>
                <w:rFonts w:ascii="宋体" w:hAnsi="宋体" w:eastAsia="宋体" w:cs="Times New Roman"/>
                <w:b/>
                <w:color w:val="auto"/>
                <w:szCs w:val="21"/>
              </w:rPr>
              <w:t>合同条款号</w:t>
            </w:r>
          </w:p>
        </w:tc>
        <w:tc>
          <w:tcPr>
            <w:tcW w:w="2526" w:type="dxa"/>
            <w:noWrap w:val="0"/>
            <w:vAlign w:val="center"/>
          </w:tcPr>
          <w:p w14:paraId="225E8F90">
            <w:pPr>
              <w:keepNext w:val="0"/>
              <w:keepLines w:val="0"/>
              <w:suppressLineNumbers w:val="0"/>
              <w:spacing w:before="0" w:beforeAutospacing="0" w:after="0" w:afterAutospacing="0"/>
              <w:ind w:left="0" w:right="0"/>
              <w:jc w:val="center"/>
              <w:rPr>
                <w:rFonts w:ascii="宋体" w:hAnsi="宋体" w:eastAsia="宋体" w:cs="Times New Roman"/>
                <w:b/>
                <w:color w:val="auto"/>
                <w:szCs w:val="21"/>
              </w:rPr>
            </w:pPr>
            <w:r>
              <w:rPr>
                <w:rFonts w:hint="eastAsia" w:ascii="宋体" w:hAnsi="宋体" w:eastAsia="宋体" w:cs="Times New Roman"/>
                <w:b/>
                <w:color w:val="auto"/>
                <w:szCs w:val="21"/>
              </w:rPr>
              <w:t>约定</w:t>
            </w:r>
            <w:r>
              <w:rPr>
                <w:rFonts w:ascii="宋体" w:hAnsi="宋体" w:eastAsia="宋体" w:cs="Times New Roman"/>
                <w:b/>
                <w:color w:val="auto"/>
                <w:szCs w:val="21"/>
              </w:rPr>
              <w:t>内容</w:t>
            </w:r>
          </w:p>
        </w:tc>
        <w:tc>
          <w:tcPr>
            <w:tcW w:w="744" w:type="dxa"/>
            <w:noWrap w:val="0"/>
            <w:vAlign w:val="center"/>
          </w:tcPr>
          <w:p w14:paraId="038FD4E9">
            <w:pPr>
              <w:keepNext w:val="0"/>
              <w:keepLines w:val="0"/>
              <w:suppressLineNumbers w:val="0"/>
              <w:spacing w:before="0" w:beforeAutospacing="0" w:after="0" w:afterAutospacing="0"/>
              <w:ind w:left="0" w:right="0"/>
              <w:jc w:val="center"/>
              <w:rPr>
                <w:rFonts w:ascii="宋体" w:hAnsi="宋体" w:eastAsia="宋体" w:cs="Times New Roman"/>
                <w:b/>
                <w:color w:val="auto"/>
                <w:szCs w:val="21"/>
              </w:rPr>
            </w:pPr>
            <w:r>
              <w:rPr>
                <w:rFonts w:ascii="宋体" w:hAnsi="宋体" w:eastAsia="宋体" w:cs="Times New Roman"/>
                <w:b/>
                <w:color w:val="auto"/>
                <w:szCs w:val="21"/>
              </w:rPr>
              <w:t>备注</w:t>
            </w:r>
          </w:p>
        </w:tc>
      </w:tr>
      <w:tr w14:paraId="2432E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0F4C0EE4">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r>
              <w:rPr>
                <w:rFonts w:ascii="Calibri" w:hAnsi="Calibri" w:eastAsia="宋体" w:cs="Times New Roman"/>
                <w:color w:val="auto"/>
                <w:szCs w:val="21"/>
              </w:rPr>
              <w:t>1</w:t>
            </w:r>
          </w:p>
        </w:tc>
        <w:tc>
          <w:tcPr>
            <w:tcW w:w="2161" w:type="dxa"/>
            <w:noWrap w:val="0"/>
            <w:vAlign w:val="center"/>
          </w:tcPr>
          <w:p w14:paraId="32218D03">
            <w:pPr>
              <w:keepNext w:val="0"/>
              <w:keepLines w:val="0"/>
              <w:suppressLineNumbers w:val="0"/>
              <w:spacing w:before="0" w:beforeAutospacing="0" w:after="0" w:afterAutospacing="0" w:line="440" w:lineRule="exact"/>
              <w:ind w:left="0" w:right="0" w:firstLine="718" w:firstLineChars="342"/>
              <w:rPr>
                <w:rFonts w:ascii="宋体" w:hAnsi="宋体" w:eastAsia="宋体" w:cs="Times New Roman"/>
                <w:color w:val="auto"/>
                <w:szCs w:val="21"/>
              </w:rPr>
            </w:pPr>
            <w:r>
              <w:rPr>
                <w:rFonts w:ascii="宋体" w:hAnsi="宋体" w:eastAsia="宋体" w:cs="Times New Roman"/>
                <w:color w:val="auto"/>
                <w:szCs w:val="21"/>
              </w:rPr>
              <w:t>项目经理</w:t>
            </w:r>
          </w:p>
        </w:tc>
        <w:tc>
          <w:tcPr>
            <w:tcW w:w="1986" w:type="dxa"/>
            <w:noWrap w:val="0"/>
            <w:vAlign w:val="center"/>
          </w:tcPr>
          <w:p w14:paraId="3CB6098B">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r>
              <w:rPr>
                <w:rFonts w:ascii="Calibri" w:hAnsi="Calibri" w:eastAsia="宋体" w:cs="Times New Roman"/>
                <w:color w:val="auto"/>
                <w:szCs w:val="21"/>
              </w:rPr>
              <w:t>1</w:t>
            </w:r>
            <w:r>
              <w:rPr>
                <w:rFonts w:ascii="宋体" w:hAnsi="宋体" w:eastAsia="宋体" w:cs="Times New Roman"/>
                <w:color w:val="auto"/>
                <w:szCs w:val="21"/>
              </w:rPr>
              <w:t>.</w:t>
            </w:r>
            <w:r>
              <w:rPr>
                <w:rFonts w:ascii="Calibri" w:hAnsi="Calibri" w:eastAsia="宋体" w:cs="Times New Roman"/>
                <w:color w:val="auto"/>
                <w:szCs w:val="21"/>
              </w:rPr>
              <w:t>1</w:t>
            </w:r>
            <w:r>
              <w:rPr>
                <w:rFonts w:ascii="宋体" w:hAnsi="宋体" w:eastAsia="宋体" w:cs="Times New Roman"/>
                <w:color w:val="auto"/>
                <w:szCs w:val="21"/>
              </w:rPr>
              <w:t>.</w:t>
            </w:r>
            <w:r>
              <w:rPr>
                <w:rFonts w:ascii="Calibri" w:hAnsi="Calibri" w:eastAsia="宋体" w:cs="Times New Roman"/>
                <w:color w:val="auto"/>
                <w:szCs w:val="21"/>
              </w:rPr>
              <w:t>2</w:t>
            </w:r>
            <w:r>
              <w:rPr>
                <w:rFonts w:ascii="宋体" w:hAnsi="宋体" w:eastAsia="宋体" w:cs="Times New Roman"/>
                <w:color w:val="auto"/>
                <w:szCs w:val="21"/>
              </w:rPr>
              <w:t>.</w:t>
            </w:r>
            <w:r>
              <w:rPr>
                <w:rFonts w:hint="eastAsia" w:ascii="Calibri" w:hAnsi="Calibri" w:eastAsia="宋体" w:cs="Times New Roman"/>
                <w:color w:val="auto"/>
                <w:szCs w:val="21"/>
              </w:rPr>
              <w:t>4</w:t>
            </w:r>
          </w:p>
        </w:tc>
        <w:tc>
          <w:tcPr>
            <w:tcW w:w="2526" w:type="dxa"/>
            <w:noWrap w:val="0"/>
            <w:vAlign w:val="center"/>
          </w:tcPr>
          <w:p w14:paraId="1BD9C8FD">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rPr>
            </w:pPr>
            <w:r>
              <w:rPr>
                <w:rFonts w:ascii="Calibri" w:hAnsi="Calibri" w:eastAsia="宋体" w:cs="Times New Roman"/>
                <w:color w:val="auto"/>
                <w:szCs w:val="21"/>
              </w:rPr>
              <w:t xml:space="preserve">姓名： （见投标函）          </w:t>
            </w:r>
          </w:p>
        </w:tc>
        <w:tc>
          <w:tcPr>
            <w:tcW w:w="744" w:type="dxa"/>
            <w:noWrap w:val="0"/>
            <w:vAlign w:val="center"/>
          </w:tcPr>
          <w:p w14:paraId="5EFA917E">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rPr>
            </w:pPr>
          </w:p>
        </w:tc>
      </w:tr>
      <w:tr w14:paraId="4B3D1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0B68A741">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r>
              <w:rPr>
                <w:rFonts w:ascii="Calibri" w:hAnsi="Calibri" w:eastAsia="宋体" w:cs="Times New Roman"/>
                <w:color w:val="auto"/>
                <w:szCs w:val="21"/>
              </w:rPr>
              <w:t>2</w:t>
            </w:r>
          </w:p>
        </w:tc>
        <w:tc>
          <w:tcPr>
            <w:tcW w:w="2161" w:type="dxa"/>
            <w:noWrap w:val="0"/>
            <w:vAlign w:val="center"/>
          </w:tcPr>
          <w:p w14:paraId="0DEC366D">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ascii="宋体" w:hAnsi="宋体" w:eastAsia="宋体" w:cs="Times New Roman"/>
                <w:color w:val="auto"/>
                <w:szCs w:val="21"/>
              </w:rPr>
              <w:t>工期</w:t>
            </w:r>
          </w:p>
        </w:tc>
        <w:tc>
          <w:tcPr>
            <w:tcW w:w="1986" w:type="dxa"/>
            <w:noWrap w:val="0"/>
            <w:vAlign w:val="center"/>
          </w:tcPr>
          <w:p w14:paraId="07974AB8">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ascii="Calibri" w:hAnsi="Calibri" w:eastAsia="宋体" w:cs="Times New Roman"/>
                <w:color w:val="auto"/>
                <w:szCs w:val="21"/>
              </w:rPr>
              <w:t>1</w:t>
            </w:r>
            <w:r>
              <w:rPr>
                <w:rFonts w:ascii="宋体" w:hAnsi="宋体" w:eastAsia="宋体" w:cs="Times New Roman"/>
                <w:color w:val="auto"/>
                <w:szCs w:val="21"/>
              </w:rPr>
              <w:t>.</w:t>
            </w:r>
            <w:r>
              <w:rPr>
                <w:rFonts w:ascii="Calibri" w:hAnsi="Calibri" w:eastAsia="宋体" w:cs="Times New Roman"/>
                <w:color w:val="auto"/>
                <w:szCs w:val="21"/>
              </w:rPr>
              <w:t>1</w:t>
            </w:r>
            <w:r>
              <w:rPr>
                <w:rFonts w:ascii="宋体" w:hAnsi="宋体" w:eastAsia="宋体" w:cs="Times New Roman"/>
                <w:color w:val="auto"/>
                <w:szCs w:val="21"/>
              </w:rPr>
              <w:t>.</w:t>
            </w:r>
            <w:r>
              <w:rPr>
                <w:rFonts w:ascii="Calibri" w:hAnsi="Calibri" w:eastAsia="宋体" w:cs="Times New Roman"/>
                <w:color w:val="auto"/>
                <w:szCs w:val="21"/>
              </w:rPr>
              <w:t>4</w:t>
            </w:r>
            <w:r>
              <w:rPr>
                <w:rFonts w:ascii="宋体" w:hAnsi="宋体" w:eastAsia="宋体" w:cs="Times New Roman"/>
                <w:color w:val="auto"/>
                <w:szCs w:val="21"/>
              </w:rPr>
              <w:t>.</w:t>
            </w:r>
            <w:r>
              <w:rPr>
                <w:rFonts w:hint="eastAsia" w:ascii="Calibri" w:hAnsi="Calibri" w:eastAsia="宋体" w:cs="Times New Roman"/>
                <w:color w:val="auto"/>
                <w:szCs w:val="21"/>
              </w:rPr>
              <w:t>3</w:t>
            </w:r>
          </w:p>
        </w:tc>
        <w:tc>
          <w:tcPr>
            <w:tcW w:w="2526" w:type="dxa"/>
            <w:noWrap w:val="0"/>
            <w:vAlign w:val="center"/>
          </w:tcPr>
          <w:p w14:paraId="7D9FD972">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rPr>
            </w:pPr>
            <w:r>
              <w:rPr>
                <w:rFonts w:ascii="Calibri" w:hAnsi="Calibri" w:eastAsia="宋体" w:cs="Times New Roman"/>
                <w:color w:val="auto"/>
                <w:szCs w:val="21"/>
              </w:rPr>
              <w:t>天数： （见投标函）</w:t>
            </w:r>
          </w:p>
        </w:tc>
        <w:tc>
          <w:tcPr>
            <w:tcW w:w="744" w:type="dxa"/>
            <w:noWrap w:val="0"/>
            <w:vAlign w:val="center"/>
          </w:tcPr>
          <w:p w14:paraId="2752B5C6">
            <w:pPr>
              <w:keepNext w:val="0"/>
              <w:keepLines w:val="0"/>
              <w:suppressLineNumbers w:val="0"/>
              <w:spacing w:before="0" w:beforeAutospacing="0" w:after="0" w:afterAutospacing="0" w:line="440" w:lineRule="exact"/>
              <w:ind w:left="0" w:right="0" w:firstLine="718" w:firstLineChars="342"/>
              <w:rPr>
                <w:rFonts w:ascii="Calibri" w:hAnsi="Calibri" w:eastAsia="宋体" w:cs="Times New Roman"/>
                <w:color w:val="auto"/>
                <w:szCs w:val="21"/>
              </w:rPr>
            </w:pPr>
          </w:p>
        </w:tc>
      </w:tr>
      <w:tr w14:paraId="6CCB8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444E8E81">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r>
              <w:rPr>
                <w:rFonts w:ascii="Calibri" w:hAnsi="Calibri" w:eastAsia="宋体" w:cs="Times New Roman"/>
                <w:color w:val="auto"/>
                <w:szCs w:val="21"/>
              </w:rPr>
              <w:t>3</w:t>
            </w:r>
          </w:p>
        </w:tc>
        <w:tc>
          <w:tcPr>
            <w:tcW w:w="2161" w:type="dxa"/>
            <w:noWrap w:val="0"/>
            <w:vAlign w:val="center"/>
          </w:tcPr>
          <w:p w14:paraId="5CAD753C">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ascii="宋体" w:hAnsi="宋体" w:eastAsia="宋体" w:cs="Times New Roman"/>
                <w:color w:val="auto"/>
                <w:szCs w:val="21"/>
              </w:rPr>
              <w:t>缺陷责任期</w:t>
            </w:r>
          </w:p>
        </w:tc>
        <w:tc>
          <w:tcPr>
            <w:tcW w:w="1986" w:type="dxa"/>
            <w:noWrap w:val="0"/>
            <w:vAlign w:val="center"/>
          </w:tcPr>
          <w:p w14:paraId="16FE77E9">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ascii="Calibri" w:hAnsi="Calibri" w:eastAsia="宋体" w:cs="Times New Roman"/>
                <w:color w:val="auto"/>
                <w:szCs w:val="21"/>
              </w:rPr>
              <w:t>1</w:t>
            </w:r>
            <w:r>
              <w:rPr>
                <w:rFonts w:ascii="宋体" w:hAnsi="宋体" w:eastAsia="宋体" w:cs="Times New Roman"/>
                <w:color w:val="auto"/>
                <w:szCs w:val="21"/>
              </w:rPr>
              <w:t>.</w:t>
            </w:r>
            <w:r>
              <w:rPr>
                <w:rFonts w:ascii="Calibri" w:hAnsi="Calibri" w:eastAsia="宋体" w:cs="Times New Roman"/>
                <w:color w:val="auto"/>
                <w:szCs w:val="21"/>
              </w:rPr>
              <w:t>1</w:t>
            </w:r>
            <w:r>
              <w:rPr>
                <w:rFonts w:ascii="宋体" w:hAnsi="宋体" w:eastAsia="宋体" w:cs="Times New Roman"/>
                <w:color w:val="auto"/>
                <w:szCs w:val="21"/>
              </w:rPr>
              <w:t>.</w:t>
            </w:r>
            <w:r>
              <w:rPr>
                <w:rFonts w:ascii="Calibri" w:hAnsi="Calibri" w:eastAsia="宋体" w:cs="Times New Roman"/>
                <w:color w:val="auto"/>
                <w:szCs w:val="21"/>
              </w:rPr>
              <w:t>4</w:t>
            </w:r>
            <w:r>
              <w:rPr>
                <w:rFonts w:ascii="宋体" w:hAnsi="宋体" w:eastAsia="宋体" w:cs="Times New Roman"/>
                <w:color w:val="auto"/>
                <w:szCs w:val="21"/>
              </w:rPr>
              <w:t>.</w:t>
            </w:r>
            <w:r>
              <w:rPr>
                <w:rFonts w:ascii="Calibri" w:hAnsi="Calibri" w:eastAsia="宋体" w:cs="Times New Roman"/>
                <w:color w:val="auto"/>
                <w:szCs w:val="21"/>
              </w:rPr>
              <w:t>5</w:t>
            </w:r>
          </w:p>
        </w:tc>
        <w:tc>
          <w:tcPr>
            <w:tcW w:w="2526" w:type="dxa"/>
            <w:noWrap w:val="0"/>
            <w:vAlign w:val="center"/>
          </w:tcPr>
          <w:p w14:paraId="1FB16554">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宋体" w:hAnsi="宋体" w:eastAsia="宋体" w:cs="Times New Roman"/>
                <w:color w:val="auto"/>
                <w:szCs w:val="21"/>
              </w:rPr>
              <w:t>……</w:t>
            </w:r>
          </w:p>
        </w:tc>
        <w:tc>
          <w:tcPr>
            <w:tcW w:w="744" w:type="dxa"/>
            <w:noWrap w:val="0"/>
            <w:vAlign w:val="center"/>
          </w:tcPr>
          <w:p w14:paraId="6C5C2D4D">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rPr>
            </w:pPr>
          </w:p>
        </w:tc>
      </w:tr>
      <w:tr w14:paraId="1CF81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208621FF">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r>
              <w:rPr>
                <w:rFonts w:ascii="Calibri" w:hAnsi="Calibri" w:eastAsia="宋体" w:cs="Times New Roman"/>
                <w:color w:val="auto"/>
                <w:szCs w:val="21"/>
              </w:rPr>
              <w:t>4</w:t>
            </w:r>
          </w:p>
        </w:tc>
        <w:tc>
          <w:tcPr>
            <w:tcW w:w="2161" w:type="dxa"/>
            <w:noWrap w:val="0"/>
            <w:vAlign w:val="center"/>
          </w:tcPr>
          <w:p w14:paraId="20E56403">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ascii="宋体" w:hAnsi="宋体" w:eastAsia="宋体" w:cs="Times New Roman"/>
                <w:color w:val="auto"/>
                <w:szCs w:val="21"/>
              </w:rPr>
              <w:t>分包</w:t>
            </w:r>
          </w:p>
        </w:tc>
        <w:tc>
          <w:tcPr>
            <w:tcW w:w="1986" w:type="dxa"/>
            <w:noWrap w:val="0"/>
            <w:vAlign w:val="center"/>
          </w:tcPr>
          <w:p w14:paraId="1002E8A9">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ascii="Calibri" w:hAnsi="Calibri" w:eastAsia="宋体" w:cs="Times New Roman"/>
                <w:color w:val="auto"/>
                <w:szCs w:val="21"/>
              </w:rPr>
              <w:t>4</w:t>
            </w:r>
            <w:r>
              <w:rPr>
                <w:rFonts w:ascii="宋体" w:hAnsi="宋体" w:eastAsia="宋体" w:cs="Times New Roman"/>
                <w:color w:val="auto"/>
                <w:szCs w:val="21"/>
              </w:rPr>
              <w:t>.</w:t>
            </w:r>
            <w:r>
              <w:rPr>
                <w:rFonts w:ascii="Calibri" w:hAnsi="Calibri" w:eastAsia="宋体" w:cs="Times New Roman"/>
                <w:color w:val="auto"/>
                <w:szCs w:val="21"/>
              </w:rPr>
              <w:t>3</w:t>
            </w:r>
            <w:r>
              <w:rPr>
                <w:rFonts w:ascii="宋体" w:hAnsi="宋体" w:eastAsia="宋体" w:cs="Times New Roman"/>
                <w:color w:val="auto"/>
                <w:szCs w:val="21"/>
              </w:rPr>
              <w:t>.</w:t>
            </w:r>
            <w:r>
              <w:rPr>
                <w:rFonts w:hint="eastAsia" w:ascii="Calibri" w:hAnsi="Calibri" w:eastAsia="宋体" w:cs="Times New Roman"/>
                <w:color w:val="auto"/>
                <w:szCs w:val="21"/>
              </w:rPr>
              <w:t>4</w:t>
            </w:r>
          </w:p>
        </w:tc>
        <w:tc>
          <w:tcPr>
            <w:tcW w:w="2526" w:type="dxa"/>
            <w:noWrap w:val="0"/>
            <w:vAlign w:val="center"/>
          </w:tcPr>
          <w:p w14:paraId="2B6DFC5D">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宋体" w:hAnsi="宋体" w:eastAsia="宋体" w:cs="Times New Roman"/>
                <w:color w:val="auto"/>
                <w:szCs w:val="21"/>
              </w:rPr>
              <w:t>……</w:t>
            </w:r>
          </w:p>
        </w:tc>
        <w:tc>
          <w:tcPr>
            <w:tcW w:w="744" w:type="dxa"/>
            <w:noWrap w:val="0"/>
            <w:vAlign w:val="center"/>
          </w:tcPr>
          <w:p w14:paraId="073F634B">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rPr>
            </w:pPr>
          </w:p>
        </w:tc>
      </w:tr>
      <w:tr w14:paraId="544F1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0CC04797">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5</w:t>
            </w:r>
          </w:p>
        </w:tc>
        <w:tc>
          <w:tcPr>
            <w:tcW w:w="2161" w:type="dxa"/>
            <w:noWrap w:val="0"/>
            <w:vAlign w:val="center"/>
          </w:tcPr>
          <w:p w14:paraId="5A30A96F">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hint="eastAsia" w:ascii="宋体" w:hAnsi="宋体" w:eastAsia="宋体" w:cs="Times New Roman"/>
                <w:color w:val="auto"/>
                <w:szCs w:val="21"/>
              </w:rPr>
              <w:t>价格调整的差额计算</w:t>
            </w:r>
          </w:p>
        </w:tc>
        <w:tc>
          <w:tcPr>
            <w:tcW w:w="1986" w:type="dxa"/>
            <w:noWrap w:val="0"/>
            <w:vAlign w:val="center"/>
          </w:tcPr>
          <w:p w14:paraId="1ED37134">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hint="eastAsia" w:ascii="Calibri" w:hAnsi="Calibri" w:eastAsia="宋体" w:cs="Times New Roman"/>
                <w:color w:val="auto"/>
                <w:szCs w:val="21"/>
              </w:rPr>
              <w:t>16</w:t>
            </w:r>
            <w:r>
              <w:rPr>
                <w:rFonts w:hint="eastAsia" w:ascii="宋体" w:hAnsi="宋体" w:eastAsia="宋体" w:cs="Times New Roman"/>
                <w:color w:val="auto"/>
                <w:szCs w:val="21"/>
              </w:rPr>
              <w:t>.</w:t>
            </w:r>
            <w:r>
              <w:rPr>
                <w:rFonts w:hint="eastAsia" w:ascii="Calibri" w:hAnsi="Calibri" w:eastAsia="宋体" w:cs="Times New Roman"/>
                <w:color w:val="auto"/>
                <w:szCs w:val="21"/>
              </w:rPr>
              <w:t>1</w:t>
            </w:r>
            <w:r>
              <w:rPr>
                <w:rFonts w:hint="eastAsia" w:ascii="宋体" w:hAnsi="宋体" w:eastAsia="宋体" w:cs="Times New Roman"/>
                <w:color w:val="auto"/>
                <w:szCs w:val="21"/>
              </w:rPr>
              <w:t>.</w:t>
            </w:r>
            <w:r>
              <w:rPr>
                <w:rFonts w:hint="eastAsia" w:ascii="Calibri" w:hAnsi="Calibri" w:eastAsia="宋体" w:cs="Times New Roman"/>
                <w:color w:val="auto"/>
                <w:szCs w:val="21"/>
              </w:rPr>
              <w:t>1</w:t>
            </w:r>
          </w:p>
        </w:tc>
        <w:tc>
          <w:tcPr>
            <w:tcW w:w="2526" w:type="dxa"/>
            <w:noWrap w:val="0"/>
            <w:vAlign w:val="center"/>
          </w:tcPr>
          <w:p w14:paraId="5E8E805B">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见价格指数权重表</w:t>
            </w:r>
          </w:p>
        </w:tc>
        <w:tc>
          <w:tcPr>
            <w:tcW w:w="744" w:type="dxa"/>
            <w:noWrap w:val="0"/>
            <w:vAlign w:val="center"/>
          </w:tcPr>
          <w:p w14:paraId="7CAFC756">
            <w:pPr>
              <w:keepNext w:val="0"/>
              <w:keepLines w:val="0"/>
              <w:suppressLineNumbers w:val="0"/>
              <w:spacing w:before="0" w:beforeAutospacing="0" w:after="0" w:afterAutospacing="0" w:line="440" w:lineRule="exact"/>
              <w:ind w:left="0" w:right="0" w:firstLine="718" w:firstLineChars="342"/>
              <w:rPr>
                <w:rFonts w:ascii="Calibri" w:hAnsi="Calibri" w:eastAsia="宋体" w:cs="Times New Roman"/>
                <w:color w:val="auto"/>
                <w:szCs w:val="21"/>
              </w:rPr>
            </w:pPr>
          </w:p>
        </w:tc>
      </w:tr>
      <w:tr w14:paraId="7BBBA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top"/>
          </w:tcPr>
          <w:p w14:paraId="139C797B">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ascii="宋体" w:hAnsi="宋体" w:eastAsia="宋体" w:cs="Times New Roman"/>
                <w:color w:val="auto"/>
                <w:szCs w:val="21"/>
              </w:rPr>
              <w:t>……</w:t>
            </w:r>
          </w:p>
        </w:tc>
        <w:tc>
          <w:tcPr>
            <w:tcW w:w="2161" w:type="dxa"/>
            <w:noWrap w:val="0"/>
            <w:vAlign w:val="top"/>
          </w:tcPr>
          <w:p w14:paraId="344D3A36">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ascii="宋体" w:hAnsi="宋体" w:eastAsia="宋体" w:cs="Times New Roman"/>
                <w:color w:val="auto"/>
                <w:szCs w:val="21"/>
              </w:rPr>
              <w:t>……</w:t>
            </w:r>
          </w:p>
        </w:tc>
        <w:tc>
          <w:tcPr>
            <w:tcW w:w="1986" w:type="dxa"/>
            <w:noWrap w:val="0"/>
            <w:vAlign w:val="center"/>
          </w:tcPr>
          <w:p w14:paraId="4533E0F4">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ascii="宋体" w:hAnsi="宋体" w:eastAsia="宋体" w:cs="Times New Roman"/>
                <w:color w:val="auto"/>
                <w:szCs w:val="21"/>
              </w:rPr>
              <w:t>……</w:t>
            </w:r>
          </w:p>
        </w:tc>
        <w:tc>
          <w:tcPr>
            <w:tcW w:w="2526" w:type="dxa"/>
            <w:noWrap w:val="0"/>
            <w:vAlign w:val="center"/>
          </w:tcPr>
          <w:p w14:paraId="17585A2A">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宋体" w:hAnsi="宋体" w:eastAsia="宋体" w:cs="Times New Roman"/>
                <w:color w:val="auto"/>
                <w:szCs w:val="21"/>
              </w:rPr>
              <w:t>……</w:t>
            </w:r>
          </w:p>
        </w:tc>
        <w:tc>
          <w:tcPr>
            <w:tcW w:w="744" w:type="dxa"/>
            <w:noWrap w:val="0"/>
            <w:vAlign w:val="center"/>
          </w:tcPr>
          <w:p w14:paraId="68ACD624">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rPr>
            </w:pPr>
          </w:p>
        </w:tc>
      </w:tr>
      <w:tr w14:paraId="2EF17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top"/>
          </w:tcPr>
          <w:p w14:paraId="6714E546">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ascii="宋体" w:hAnsi="宋体" w:eastAsia="宋体" w:cs="Times New Roman"/>
                <w:color w:val="auto"/>
                <w:szCs w:val="21"/>
              </w:rPr>
              <w:t>……</w:t>
            </w:r>
          </w:p>
        </w:tc>
        <w:tc>
          <w:tcPr>
            <w:tcW w:w="2161" w:type="dxa"/>
            <w:noWrap w:val="0"/>
            <w:vAlign w:val="top"/>
          </w:tcPr>
          <w:p w14:paraId="3FA95DA0">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ascii="宋体" w:hAnsi="宋体" w:eastAsia="宋体" w:cs="Times New Roman"/>
                <w:color w:val="auto"/>
                <w:szCs w:val="21"/>
              </w:rPr>
              <w:t>……</w:t>
            </w:r>
          </w:p>
        </w:tc>
        <w:tc>
          <w:tcPr>
            <w:tcW w:w="1986" w:type="dxa"/>
            <w:noWrap w:val="0"/>
            <w:vAlign w:val="center"/>
          </w:tcPr>
          <w:p w14:paraId="1FD3933A">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ascii="宋体" w:hAnsi="宋体" w:eastAsia="宋体" w:cs="Times New Roman"/>
                <w:color w:val="auto"/>
                <w:szCs w:val="21"/>
              </w:rPr>
              <w:t>……</w:t>
            </w:r>
          </w:p>
        </w:tc>
        <w:tc>
          <w:tcPr>
            <w:tcW w:w="2526" w:type="dxa"/>
            <w:noWrap w:val="0"/>
            <w:vAlign w:val="center"/>
          </w:tcPr>
          <w:p w14:paraId="270B5DEB">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宋体" w:hAnsi="宋体" w:eastAsia="宋体" w:cs="Times New Roman"/>
                <w:color w:val="auto"/>
                <w:szCs w:val="21"/>
              </w:rPr>
              <w:t>……</w:t>
            </w:r>
          </w:p>
        </w:tc>
        <w:tc>
          <w:tcPr>
            <w:tcW w:w="744" w:type="dxa"/>
            <w:noWrap w:val="0"/>
            <w:vAlign w:val="center"/>
          </w:tcPr>
          <w:p w14:paraId="5D284912">
            <w:pPr>
              <w:keepNext w:val="0"/>
              <w:keepLines w:val="0"/>
              <w:suppressLineNumbers w:val="0"/>
              <w:spacing w:before="0" w:beforeAutospacing="0" w:after="0" w:afterAutospacing="0" w:line="440" w:lineRule="exact"/>
              <w:ind w:left="0" w:right="0"/>
              <w:rPr>
                <w:rFonts w:ascii="Calibri" w:hAnsi="Calibri" w:eastAsia="宋体" w:cs="Times New Roman"/>
                <w:color w:val="auto"/>
                <w:szCs w:val="21"/>
              </w:rPr>
            </w:pPr>
          </w:p>
        </w:tc>
      </w:tr>
      <w:tr w14:paraId="2891D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1" w:type="dxa"/>
            <w:gridSpan w:val="5"/>
            <w:noWrap w:val="0"/>
            <w:vAlign w:val="center"/>
          </w:tcPr>
          <w:p w14:paraId="456C99DD">
            <w:pPr>
              <w:keepNext w:val="0"/>
              <w:keepLines w:val="0"/>
              <w:suppressLineNumbers w:val="0"/>
              <w:spacing w:before="0" w:beforeAutospacing="0" w:after="0" w:afterAutospacing="0" w:line="320" w:lineRule="exact"/>
              <w:ind w:left="0" w:right="0"/>
              <w:rPr>
                <w:rFonts w:hint="eastAsia" w:ascii="宋体" w:hAnsi="宋体" w:eastAsia="宋体" w:cs="Times New Roman"/>
                <w:color w:val="auto"/>
                <w:szCs w:val="21"/>
              </w:rPr>
            </w:pPr>
            <w:r>
              <w:rPr>
                <w:rFonts w:hint="eastAsia" w:ascii="宋体" w:hAnsi="宋体" w:eastAsia="宋体" w:cs="Times New Roman"/>
                <w:color w:val="auto"/>
                <w:szCs w:val="21"/>
              </w:rPr>
              <w:t>备注：投标人在响应招标文件中规定的实质性要求和条件的基础上，可做出其他有利于招标人的承诺。此类承诺可在本表中予以补充填写。</w:t>
            </w:r>
          </w:p>
          <w:p w14:paraId="6B5612CD">
            <w:pPr>
              <w:keepNext w:val="0"/>
              <w:keepLines w:val="0"/>
              <w:suppressLineNumbers w:val="0"/>
              <w:spacing w:before="0" w:beforeAutospacing="0" w:after="0" w:afterAutospacing="0" w:line="320" w:lineRule="exact"/>
              <w:ind w:left="0" w:right="0" w:firstLine="525" w:firstLineChars="250"/>
              <w:rPr>
                <w:rFonts w:ascii="宋体" w:hAnsi="宋体" w:eastAsia="宋体" w:cs="Times New Roman"/>
                <w:color w:val="auto"/>
                <w:szCs w:val="21"/>
              </w:rPr>
            </w:pPr>
            <w:r>
              <w:rPr>
                <w:rFonts w:hint="eastAsia" w:ascii="宋体" w:hAnsi="宋体" w:eastAsia="宋体" w:cs="Times New Roman"/>
                <w:color w:val="auto"/>
                <w:szCs w:val="21"/>
              </w:rPr>
              <w:t>本表适用于2012版《标准设计施工总承包招标文件》中合同条款及格式。</w:t>
            </w:r>
          </w:p>
        </w:tc>
      </w:tr>
    </w:tbl>
    <w:p w14:paraId="48A287AF">
      <w:pPr>
        <w:spacing w:line="440" w:lineRule="exact"/>
        <w:ind w:left="840" w:leftChars="400" w:firstLine="2200" w:firstLineChars="1100"/>
        <w:rPr>
          <w:rFonts w:hint="eastAsia" w:eastAsia="黑体"/>
          <w:color w:val="auto"/>
          <w:sz w:val="20"/>
          <w:szCs w:val="20"/>
        </w:rPr>
      </w:pPr>
    </w:p>
    <w:p w14:paraId="217822A0">
      <w:pPr>
        <w:spacing w:line="440" w:lineRule="exact"/>
        <w:ind w:left="840" w:leftChars="400" w:firstLine="2200" w:firstLineChars="1100"/>
        <w:rPr>
          <w:rFonts w:hint="eastAsia" w:eastAsia="黑体"/>
          <w:color w:val="auto"/>
          <w:sz w:val="20"/>
          <w:szCs w:val="20"/>
        </w:rPr>
      </w:pPr>
    </w:p>
    <w:p w14:paraId="6DF8E45F">
      <w:pPr>
        <w:spacing w:line="440" w:lineRule="exact"/>
        <w:ind w:firstLine="3675" w:firstLineChars="1750"/>
        <w:rPr>
          <w:color w:val="auto"/>
          <w:szCs w:val="21"/>
        </w:rPr>
      </w:pPr>
      <w:r>
        <w:rPr>
          <w:color w:val="auto"/>
          <w:szCs w:val="21"/>
        </w:rPr>
        <w:t>投 标 人：</w:t>
      </w:r>
      <w:r>
        <w:rPr>
          <w:color w:val="auto"/>
          <w:szCs w:val="21"/>
          <w:u w:val="single"/>
        </w:rPr>
        <w:t xml:space="preserve">                      </w:t>
      </w:r>
      <w:r>
        <w:rPr>
          <w:color w:val="auto"/>
          <w:szCs w:val="21"/>
        </w:rPr>
        <w:t>（盖单位章）</w:t>
      </w:r>
    </w:p>
    <w:p w14:paraId="7C69A2D3">
      <w:pPr>
        <w:spacing w:line="440" w:lineRule="exact"/>
        <w:ind w:firstLine="3675" w:firstLineChars="1750"/>
        <w:rPr>
          <w:color w:val="auto"/>
          <w:szCs w:val="21"/>
        </w:rPr>
      </w:pPr>
      <w:r>
        <w:rPr>
          <w:color w:val="auto"/>
          <w:szCs w:val="21"/>
        </w:rPr>
        <w:t>法定代表人：</w:t>
      </w:r>
      <w:r>
        <w:rPr>
          <w:color w:val="auto"/>
          <w:szCs w:val="21"/>
          <w:u w:val="single"/>
        </w:rPr>
        <w:t xml:space="preserve">      </w:t>
      </w:r>
      <w:r>
        <w:rPr>
          <w:rFonts w:hint="eastAsia"/>
          <w:color w:val="auto"/>
          <w:szCs w:val="21"/>
          <w:u w:val="single"/>
        </w:rPr>
        <w:t xml:space="preserve">                 </w:t>
      </w:r>
      <w:r>
        <w:rPr>
          <w:color w:val="auto"/>
          <w:szCs w:val="21"/>
          <w:u w:val="single"/>
        </w:rPr>
        <w:t xml:space="preserve"> </w:t>
      </w:r>
      <w:r>
        <w:rPr>
          <w:color w:val="auto"/>
          <w:szCs w:val="21"/>
        </w:rPr>
        <w:t>（签字）</w:t>
      </w:r>
    </w:p>
    <w:p w14:paraId="492F0946">
      <w:pPr>
        <w:spacing w:line="440" w:lineRule="exact"/>
        <w:ind w:firstLine="5040" w:firstLineChars="2400"/>
        <w:rPr>
          <w:rFonts w:hint="eastAsia"/>
          <w:color w:val="auto"/>
          <w:szCs w:val="21"/>
        </w:rPr>
      </w:pPr>
      <w:r>
        <w:rPr>
          <w:color w:val="auto"/>
          <w:szCs w:val="21"/>
          <w:u w:val="single"/>
        </w:rPr>
        <w:t xml:space="preserve"> </w:t>
      </w:r>
      <w:r>
        <w:rPr>
          <w:rFonts w:hint="eastAsia"/>
          <w:color w:val="auto"/>
          <w:szCs w:val="21"/>
          <w:u w:val="single"/>
        </w:rPr>
        <w:t xml:space="preserve">        </w:t>
      </w:r>
      <w:r>
        <w:rPr>
          <w:color w:val="auto"/>
          <w:szCs w:val="21"/>
        </w:rPr>
        <w:t>年</w:t>
      </w:r>
      <w:r>
        <w:rPr>
          <w:rFonts w:hint="eastAsia"/>
          <w:color w:val="auto"/>
          <w:szCs w:val="21"/>
          <w:u w:val="single"/>
        </w:rPr>
        <w:t xml:space="preserve">        </w:t>
      </w:r>
      <w:r>
        <w:rPr>
          <w:color w:val="auto"/>
          <w:szCs w:val="21"/>
        </w:rPr>
        <w:t>月</w:t>
      </w:r>
      <w:r>
        <w:rPr>
          <w:rFonts w:hint="eastAsia"/>
          <w:color w:val="auto"/>
          <w:szCs w:val="21"/>
          <w:u w:val="single"/>
        </w:rPr>
        <w:t xml:space="preserve">        </w:t>
      </w:r>
      <w:r>
        <w:rPr>
          <w:color w:val="auto"/>
          <w:szCs w:val="21"/>
        </w:rPr>
        <w:t>日</w:t>
      </w:r>
    </w:p>
    <w:p w14:paraId="7AD6E30C">
      <w:pPr>
        <w:spacing w:line="440" w:lineRule="exact"/>
        <w:ind w:left="840" w:leftChars="400" w:firstLine="2200" w:firstLineChars="1100"/>
        <w:rPr>
          <w:rFonts w:hint="eastAsia" w:eastAsia="黑体"/>
          <w:color w:val="auto"/>
          <w:sz w:val="20"/>
          <w:szCs w:val="20"/>
        </w:rPr>
      </w:pPr>
      <w:r>
        <w:rPr>
          <w:rFonts w:eastAsia="黑体"/>
          <w:color w:val="auto"/>
          <w:sz w:val="20"/>
          <w:szCs w:val="20"/>
        </w:rPr>
        <w:br w:type="page"/>
      </w:r>
    </w:p>
    <w:p w14:paraId="17C29C0D">
      <w:pPr>
        <w:spacing w:line="440" w:lineRule="exact"/>
        <w:jc w:val="center"/>
        <w:rPr>
          <w:rFonts w:hint="eastAsia" w:ascii="黑体" w:hAnsi="黑体" w:eastAsia="黑体"/>
          <w:color w:val="auto"/>
          <w:sz w:val="28"/>
          <w:szCs w:val="28"/>
        </w:rPr>
      </w:pPr>
      <w:r>
        <w:rPr>
          <w:rFonts w:hint="eastAsia" w:ascii="黑体" w:hAnsi="黑体" w:eastAsia="黑体"/>
          <w:color w:val="auto"/>
          <w:sz w:val="28"/>
          <w:szCs w:val="28"/>
        </w:rPr>
        <w:t>价格指数权重表</w:t>
      </w:r>
    </w:p>
    <w:p w14:paraId="2BA83684">
      <w:pPr>
        <w:spacing w:line="440" w:lineRule="exact"/>
        <w:rPr>
          <w:rFonts w:hint="eastAsia" w:eastAsia="黑体"/>
          <w:color w:val="auto"/>
          <w:sz w:val="24"/>
        </w:rPr>
      </w:pP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
        <w:gridCol w:w="905"/>
        <w:gridCol w:w="720"/>
        <w:gridCol w:w="1080"/>
        <w:gridCol w:w="720"/>
        <w:gridCol w:w="1266"/>
        <w:gridCol w:w="1616"/>
        <w:gridCol w:w="1799"/>
      </w:tblGrid>
      <w:tr w14:paraId="79600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1367" w:type="dxa"/>
            <w:gridSpan w:val="2"/>
            <w:vMerge w:val="restart"/>
            <w:tcBorders>
              <w:bottom w:val="single" w:color="auto" w:sz="4" w:space="0"/>
            </w:tcBorders>
            <w:noWrap w:val="0"/>
            <w:vAlign w:val="center"/>
          </w:tcPr>
          <w:p w14:paraId="5B9B7225">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名    称</w:t>
            </w:r>
          </w:p>
        </w:tc>
        <w:tc>
          <w:tcPr>
            <w:tcW w:w="1800" w:type="dxa"/>
            <w:gridSpan w:val="2"/>
            <w:noWrap w:val="0"/>
            <w:vAlign w:val="top"/>
          </w:tcPr>
          <w:p w14:paraId="54D64D5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基本价格指数</w:t>
            </w:r>
          </w:p>
        </w:tc>
        <w:tc>
          <w:tcPr>
            <w:tcW w:w="3602" w:type="dxa"/>
            <w:gridSpan w:val="3"/>
            <w:tcBorders>
              <w:bottom w:val="single" w:color="auto" w:sz="4" w:space="0"/>
            </w:tcBorders>
            <w:noWrap w:val="0"/>
            <w:vAlign w:val="top"/>
          </w:tcPr>
          <w:p w14:paraId="2BF343C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权        重</w:t>
            </w:r>
          </w:p>
        </w:tc>
        <w:tc>
          <w:tcPr>
            <w:tcW w:w="1799" w:type="dxa"/>
            <w:vMerge w:val="restart"/>
            <w:noWrap w:val="0"/>
            <w:vAlign w:val="center"/>
          </w:tcPr>
          <w:p w14:paraId="71143FC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价格指数来源</w:t>
            </w:r>
          </w:p>
        </w:tc>
      </w:tr>
      <w:tr w14:paraId="56B1A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367" w:type="dxa"/>
            <w:gridSpan w:val="2"/>
            <w:vMerge w:val="continue"/>
            <w:noWrap w:val="0"/>
            <w:vAlign w:val="top"/>
          </w:tcPr>
          <w:p w14:paraId="2C4E655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720" w:type="dxa"/>
            <w:noWrap w:val="0"/>
            <w:vAlign w:val="top"/>
          </w:tcPr>
          <w:p w14:paraId="0F8684C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代号</w:t>
            </w:r>
          </w:p>
        </w:tc>
        <w:tc>
          <w:tcPr>
            <w:tcW w:w="1080" w:type="dxa"/>
            <w:noWrap w:val="0"/>
            <w:vAlign w:val="top"/>
          </w:tcPr>
          <w:p w14:paraId="3417FB62">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指数值</w:t>
            </w:r>
          </w:p>
        </w:tc>
        <w:tc>
          <w:tcPr>
            <w:tcW w:w="720" w:type="dxa"/>
            <w:noWrap w:val="0"/>
            <w:vAlign w:val="top"/>
          </w:tcPr>
          <w:p w14:paraId="25025717">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代号</w:t>
            </w:r>
          </w:p>
        </w:tc>
        <w:tc>
          <w:tcPr>
            <w:tcW w:w="1266" w:type="dxa"/>
            <w:noWrap w:val="0"/>
            <w:vAlign w:val="top"/>
          </w:tcPr>
          <w:p w14:paraId="29606E9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允许范围</w:t>
            </w:r>
          </w:p>
        </w:tc>
        <w:tc>
          <w:tcPr>
            <w:tcW w:w="1616" w:type="dxa"/>
            <w:noWrap w:val="0"/>
            <w:vAlign w:val="top"/>
          </w:tcPr>
          <w:p w14:paraId="267E850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投标人建议值</w:t>
            </w:r>
          </w:p>
        </w:tc>
        <w:tc>
          <w:tcPr>
            <w:tcW w:w="1799" w:type="dxa"/>
            <w:vMerge w:val="continue"/>
            <w:noWrap w:val="0"/>
            <w:vAlign w:val="top"/>
          </w:tcPr>
          <w:p w14:paraId="2C4B3FE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2598C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367" w:type="dxa"/>
            <w:gridSpan w:val="2"/>
            <w:noWrap w:val="0"/>
            <w:vAlign w:val="top"/>
          </w:tcPr>
          <w:p w14:paraId="2E910F6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定值部分</w:t>
            </w:r>
          </w:p>
        </w:tc>
        <w:tc>
          <w:tcPr>
            <w:tcW w:w="720" w:type="dxa"/>
            <w:noWrap w:val="0"/>
            <w:vAlign w:val="top"/>
          </w:tcPr>
          <w:p w14:paraId="31FB2578">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080" w:type="dxa"/>
            <w:noWrap w:val="0"/>
            <w:vAlign w:val="top"/>
          </w:tcPr>
          <w:p w14:paraId="5D4D1A12">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720" w:type="dxa"/>
            <w:noWrap w:val="0"/>
            <w:vAlign w:val="top"/>
          </w:tcPr>
          <w:p w14:paraId="73616C7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A</w:t>
            </w:r>
          </w:p>
        </w:tc>
        <w:tc>
          <w:tcPr>
            <w:tcW w:w="1266" w:type="dxa"/>
            <w:noWrap w:val="0"/>
            <w:vAlign w:val="top"/>
          </w:tcPr>
          <w:p w14:paraId="05B12055">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616" w:type="dxa"/>
            <w:noWrap w:val="0"/>
            <w:vAlign w:val="top"/>
          </w:tcPr>
          <w:p w14:paraId="7B9D370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799" w:type="dxa"/>
            <w:noWrap w:val="0"/>
            <w:vAlign w:val="top"/>
          </w:tcPr>
          <w:p w14:paraId="1CA1781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4A14E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462" w:type="dxa"/>
            <w:vMerge w:val="restart"/>
            <w:noWrap w:val="0"/>
            <w:vAlign w:val="top"/>
          </w:tcPr>
          <w:p w14:paraId="332E69CE">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hint="eastAsia" w:ascii="宋体" w:hAnsi="宋体" w:eastAsia="宋体" w:cs="Times New Roman"/>
                <w:color w:val="auto"/>
                <w:szCs w:val="21"/>
              </w:rPr>
              <w:t>变</w:t>
            </w:r>
          </w:p>
          <w:p w14:paraId="46AED717">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hint="eastAsia" w:ascii="宋体" w:hAnsi="宋体" w:eastAsia="宋体" w:cs="Times New Roman"/>
                <w:color w:val="auto"/>
                <w:szCs w:val="21"/>
              </w:rPr>
              <w:t>值</w:t>
            </w:r>
          </w:p>
          <w:p w14:paraId="7C42B4C3">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hint="eastAsia" w:ascii="宋体" w:hAnsi="宋体" w:eastAsia="宋体" w:cs="Times New Roman"/>
                <w:color w:val="auto"/>
                <w:szCs w:val="21"/>
              </w:rPr>
              <w:t>部</w:t>
            </w:r>
          </w:p>
          <w:p w14:paraId="79BE44C2">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分</w:t>
            </w:r>
          </w:p>
        </w:tc>
        <w:tc>
          <w:tcPr>
            <w:tcW w:w="905" w:type="dxa"/>
            <w:noWrap w:val="0"/>
            <w:vAlign w:val="top"/>
          </w:tcPr>
          <w:p w14:paraId="0B53F2F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人工费</w:t>
            </w:r>
          </w:p>
        </w:tc>
        <w:tc>
          <w:tcPr>
            <w:tcW w:w="720" w:type="dxa"/>
            <w:noWrap w:val="0"/>
            <w:vAlign w:val="top"/>
          </w:tcPr>
          <w:p w14:paraId="064FDFF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F</w:t>
            </w:r>
            <w:r>
              <w:rPr>
                <w:rFonts w:hint="eastAsia" w:ascii="Calibri" w:hAnsi="Calibri" w:eastAsia="宋体" w:cs="Times New Roman"/>
                <w:color w:val="auto"/>
                <w:szCs w:val="21"/>
                <w:vertAlign w:val="subscript"/>
              </w:rPr>
              <w:t>01</w:t>
            </w:r>
          </w:p>
        </w:tc>
        <w:tc>
          <w:tcPr>
            <w:tcW w:w="1080" w:type="dxa"/>
            <w:noWrap w:val="0"/>
            <w:vAlign w:val="top"/>
          </w:tcPr>
          <w:p w14:paraId="5064210B">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w:t>
            </w:r>
          </w:p>
        </w:tc>
        <w:tc>
          <w:tcPr>
            <w:tcW w:w="720" w:type="dxa"/>
            <w:noWrap w:val="0"/>
            <w:vAlign w:val="top"/>
          </w:tcPr>
          <w:p w14:paraId="56A8538F">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color w:val="auto"/>
                <w:szCs w:val="21"/>
              </w:rPr>
            </w:pPr>
            <w:r>
              <w:rPr>
                <w:rFonts w:hint="eastAsia" w:ascii="宋体" w:hAnsi="宋体" w:eastAsia="宋体" w:cs="Times New Roman"/>
                <w:color w:val="auto"/>
                <w:szCs w:val="21"/>
              </w:rPr>
              <w:t>B</w:t>
            </w:r>
            <w:r>
              <w:rPr>
                <w:rFonts w:hint="eastAsia" w:ascii="Calibri" w:hAnsi="Calibri" w:eastAsia="宋体" w:cs="Times New Roman"/>
                <w:color w:val="auto"/>
                <w:szCs w:val="21"/>
                <w:vertAlign w:val="subscript"/>
              </w:rPr>
              <w:t>1</w:t>
            </w:r>
          </w:p>
        </w:tc>
        <w:tc>
          <w:tcPr>
            <w:tcW w:w="1266" w:type="dxa"/>
            <w:noWrap w:val="0"/>
            <w:vAlign w:val="top"/>
          </w:tcPr>
          <w:p w14:paraId="73595D6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u w:val="single"/>
              </w:rPr>
              <w:t xml:space="preserve">__ </w:t>
            </w:r>
            <w:r>
              <w:rPr>
                <w:rFonts w:hint="eastAsia" w:ascii="宋体" w:hAnsi="宋体" w:eastAsia="宋体" w:cs="Times New Roman"/>
                <w:color w:val="auto"/>
                <w:szCs w:val="21"/>
              </w:rPr>
              <w:t>至</w:t>
            </w:r>
            <w:r>
              <w:rPr>
                <w:rFonts w:hint="eastAsia" w:ascii="宋体" w:hAnsi="宋体" w:eastAsia="宋体" w:cs="Times New Roman"/>
                <w:color w:val="auto"/>
                <w:szCs w:val="21"/>
                <w:u w:val="single"/>
              </w:rPr>
              <w:t>__</w:t>
            </w:r>
          </w:p>
        </w:tc>
        <w:tc>
          <w:tcPr>
            <w:tcW w:w="1616" w:type="dxa"/>
            <w:noWrap w:val="0"/>
            <w:vAlign w:val="top"/>
          </w:tcPr>
          <w:p w14:paraId="7518083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w:t>
            </w:r>
          </w:p>
        </w:tc>
        <w:tc>
          <w:tcPr>
            <w:tcW w:w="1799" w:type="dxa"/>
            <w:noWrap w:val="0"/>
            <w:vAlign w:val="top"/>
          </w:tcPr>
          <w:p w14:paraId="2CC463B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w:t>
            </w:r>
          </w:p>
        </w:tc>
      </w:tr>
      <w:tr w14:paraId="5A64A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462" w:type="dxa"/>
            <w:vMerge w:val="continue"/>
            <w:noWrap w:val="0"/>
            <w:vAlign w:val="top"/>
          </w:tcPr>
          <w:p w14:paraId="35D7AE24">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905" w:type="dxa"/>
            <w:noWrap w:val="0"/>
            <w:vAlign w:val="top"/>
          </w:tcPr>
          <w:p w14:paraId="2A66847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钢材</w:t>
            </w:r>
          </w:p>
        </w:tc>
        <w:tc>
          <w:tcPr>
            <w:tcW w:w="720" w:type="dxa"/>
            <w:noWrap w:val="0"/>
            <w:vAlign w:val="top"/>
          </w:tcPr>
          <w:p w14:paraId="23B502A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F</w:t>
            </w:r>
            <w:r>
              <w:rPr>
                <w:rFonts w:hint="eastAsia" w:ascii="Calibri" w:hAnsi="Calibri" w:eastAsia="宋体" w:cs="Times New Roman"/>
                <w:color w:val="auto"/>
                <w:szCs w:val="21"/>
                <w:vertAlign w:val="subscript"/>
              </w:rPr>
              <w:t>02</w:t>
            </w:r>
          </w:p>
        </w:tc>
        <w:tc>
          <w:tcPr>
            <w:tcW w:w="1080" w:type="dxa"/>
            <w:noWrap w:val="0"/>
            <w:vAlign w:val="top"/>
          </w:tcPr>
          <w:p w14:paraId="55C42A9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w:t>
            </w:r>
          </w:p>
        </w:tc>
        <w:tc>
          <w:tcPr>
            <w:tcW w:w="720" w:type="dxa"/>
            <w:noWrap w:val="0"/>
            <w:vAlign w:val="top"/>
          </w:tcPr>
          <w:p w14:paraId="7F826E02">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color w:val="auto"/>
                <w:szCs w:val="21"/>
              </w:rPr>
            </w:pPr>
            <w:r>
              <w:rPr>
                <w:rFonts w:hint="eastAsia" w:ascii="宋体" w:hAnsi="宋体" w:eastAsia="宋体" w:cs="Times New Roman"/>
                <w:color w:val="auto"/>
                <w:szCs w:val="21"/>
              </w:rPr>
              <w:t>B</w:t>
            </w:r>
            <w:r>
              <w:rPr>
                <w:rFonts w:hint="eastAsia" w:ascii="Calibri" w:hAnsi="Calibri" w:eastAsia="宋体" w:cs="Times New Roman"/>
                <w:color w:val="auto"/>
                <w:szCs w:val="21"/>
                <w:vertAlign w:val="subscript"/>
              </w:rPr>
              <w:t>2</w:t>
            </w:r>
          </w:p>
        </w:tc>
        <w:tc>
          <w:tcPr>
            <w:tcW w:w="1266" w:type="dxa"/>
            <w:noWrap w:val="0"/>
            <w:vAlign w:val="top"/>
          </w:tcPr>
          <w:p w14:paraId="6A16D9F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u w:val="single"/>
              </w:rPr>
              <w:t xml:space="preserve">__ </w:t>
            </w:r>
            <w:r>
              <w:rPr>
                <w:rFonts w:hint="eastAsia" w:ascii="宋体" w:hAnsi="宋体" w:eastAsia="宋体" w:cs="Times New Roman"/>
                <w:color w:val="auto"/>
                <w:szCs w:val="21"/>
              </w:rPr>
              <w:t xml:space="preserve"> 至__</w:t>
            </w:r>
          </w:p>
        </w:tc>
        <w:tc>
          <w:tcPr>
            <w:tcW w:w="1616" w:type="dxa"/>
            <w:noWrap w:val="0"/>
            <w:vAlign w:val="top"/>
          </w:tcPr>
          <w:p w14:paraId="6F113F1B">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w:t>
            </w:r>
          </w:p>
        </w:tc>
        <w:tc>
          <w:tcPr>
            <w:tcW w:w="1799" w:type="dxa"/>
            <w:noWrap w:val="0"/>
            <w:vAlign w:val="top"/>
          </w:tcPr>
          <w:p w14:paraId="622EBA8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w:t>
            </w:r>
          </w:p>
        </w:tc>
      </w:tr>
      <w:tr w14:paraId="7301E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dxa"/>
            <w:vMerge w:val="continue"/>
            <w:noWrap w:val="0"/>
            <w:vAlign w:val="top"/>
          </w:tcPr>
          <w:p w14:paraId="78D09258">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905" w:type="dxa"/>
            <w:noWrap w:val="0"/>
            <w:vAlign w:val="top"/>
          </w:tcPr>
          <w:p w14:paraId="065123D5">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水泥</w:t>
            </w:r>
          </w:p>
        </w:tc>
        <w:tc>
          <w:tcPr>
            <w:tcW w:w="720" w:type="dxa"/>
            <w:noWrap w:val="0"/>
            <w:vAlign w:val="top"/>
          </w:tcPr>
          <w:p w14:paraId="1C36C03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F</w:t>
            </w:r>
            <w:r>
              <w:rPr>
                <w:rFonts w:hint="eastAsia" w:ascii="Calibri" w:hAnsi="Calibri" w:eastAsia="宋体" w:cs="Times New Roman"/>
                <w:color w:val="auto"/>
                <w:szCs w:val="21"/>
                <w:vertAlign w:val="subscript"/>
              </w:rPr>
              <w:t>03</w:t>
            </w:r>
          </w:p>
        </w:tc>
        <w:tc>
          <w:tcPr>
            <w:tcW w:w="1080" w:type="dxa"/>
            <w:noWrap w:val="0"/>
            <w:vAlign w:val="top"/>
          </w:tcPr>
          <w:p w14:paraId="304E2AC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w:t>
            </w:r>
          </w:p>
        </w:tc>
        <w:tc>
          <w:tcPr>
            <w:tcW w:w="720" w:type="dxa"/>
            <w:noWrap w:val="0"/>
            <w:vAlign w:val="top"/>
          </w:tcPr>
          <w:p w14:paraId="204357ED">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color w:val="auto"/>
                <w:szCs w:val="21"/>
              </w:rPr>
            </w:pPr>
            <w:r>
              <w:rPr>
                <w:rFonts w:hint="eastAsia" w:ascii="宋体" w:hAnsi="宋体" w:eastAsia="宋体" w:cs="Times New Roman"/>
                <w:color w:val="auto"/>
                <w:szCs w:val="21"/>
              </w:rPr>
              <w:t>B</w:t>
            </w:r>
            <w:r>
              <w:rPr>
                <w:rFonts w:hint="eastAsia" w:ascii="Calibri" w:hAnsi="Calibri" w:eastAsia="宋体" w:cs="Times New Roman"/>
                <w:color w:val="auto"/>
                <w:szCs w:val="21"/>
                <w:vertAlign w:val="subscript"/>
              </w:rPr>
              <w:t>3</w:t>
            </w:r>
          </w:p>
        </w:tc>
        <w:tc>
          <w:tcPr>
            <w:tcW w:w="1266" w:type="dxa"/>
            <w:noWrap w:val="0"/>
            <w:vAlign w:val="top"/>
          </w:tcPr>
          <w:p w14:paraId="339CAD4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u w:val="single"/>
              </w:rPr>
              <w:t xml:space="preserve">__ </w:t>
            </w:r>
            <w:r>
              <w:rPr>
                <w:rFonts w:hint="eastAsia" w:ascii="宋体" w:hAnsi="宋体" w:eastAsia="宋体" w:cs="Times New Roman"/>
                <w:color w:val="auto"/>
                <w:szCs w:val="21"/>
              </w:rPr>
              <w:t xml:space="preserve"> 至</w:t>
            </w:r>
            <w:r>
              <w:rPr>
                <w:rFonts w:hint="eastAsia" w:ascii="宋体" w:hAnsi="宋体" w:eastAsia="宋体" w:cs="Times New Roman"/>
                <w:color w:val="auto"/>
                <w:szCs w:val="21"/>
                <w:u w:val="single"/>
              </w:rPr>
              <w:t>__</w:t>
            </w:r>
          </w:p>
        </w:tc>
        <w:tc>
          <w:tcPr>
            <w:tcW w:w="1616" w:type="dxa"/>
            <w:noWrap w:val="0"/>
            <w:vAlign w:val="top"/>
          </w:tcPr>
          <w:p w14:paraId="1C2291D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w:t>
            </w:r>
          </w:p>
        </w:tc>
        <w:tc>
          <w:tcPr>
            <w:tcW w:w="1799" w:type="dxa"/>
            <w:noWrap w:val="0"/>
            <w:vAlign w:val="top"/>
          </w:tcPr>
          <w:p w14:paraId="18EB2B6B">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w:t>
            </w:r>
          </w:p>
        </w:tc>
      </w:tr>
      <w:tr w14:paraId="54798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dxa"/>
            <w:vMerge w:val="continue"/>
            <w:noWrap w:val="0"/>
            <w:vAlign w:val="top"/>
          </w:tcPr>
          <w:p w14:paraId="31B0475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905" w:type="dxa"/>
            <w:noWrap w:val="0"/>
            <w:vAlign w:val="top"/>
          </w:tcPr>
          <w:p w14:paraId="10E633F8">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w:t>
            </w:r>
          </w:p>
        </w:tc>
        <w:tc>
          <w:tcPr>
            <w:tcW w:w="720" w:type="dxa"/>
            <w:noWrap w:val="0"/>
            <w:vAlign w:val="top"/>
          </w:tcPr>
          <w:p w14:paraId="0C0CCFD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w:t>
            </w:r>
          </w:p>
        </w:tc>
        <w:tc>
          <w:tcPr>
            <w:tcW w:w="1080" w:type="dxa"/>
            <w:noWrap w:val="0"/>
            <w:vAlign w:val="top"/>
          </w:tcPr>
          <w:p w14:paraId="46E10E04">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w:t>
            </w:r>
          </w:p>
        </w:tc>
        <w:tc>
          <w:tcPr>
            <w:tcW w:w="720" w:type="dxa"/>
            <w:noWrap w:val="0"/>
            <w:vAlign w:val="top"/>
          </w:tcPr>
          <w:p w14:paraId="2DD4F797">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w:t>
            </w:r>
          </w:p>
        </w:tc>
        <w:tc>
          <w:tcPr>
            <w:tcW w:w="1266" w:type="dxa"/>
            <w:noWrap w:val="0"/>
            <w:vAlign w:val="top"/>
          </w:tcPr>
          <w:p w14:paraId="38FB843C">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color w:val="auto"/>
                <w:szCs w:val="21"/>
              </w:rPr>
            </w:pPr>
            <w:r>
              <w:rPr>
                <w:rFonts w:ascii="宋体" w:hAnsi="宋体" w:eastAsia="宋体" w:cs="Times New Roman"/>
                <w:color w:val="auto"/>
                <w:szCs w:val="21"/>
              </w:rPr>
              <w:t>……</w:t>
            </w:r>
          </w:p>
        </w:tc>
        <w:tc>
          <w:tcPr>
            <w:tcW w:w="1616" w:type="dxa"/>
            <w:noWrap w:val="0"/>
            <w:vAlign w:val="top"/>
          </w:tcPr>
          <w:p w14:paraId="7BEDEC90">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w:t>
            </w:r>
          </w:p>
        </w:tc>
        <w:tc>
          <w:tcPr>
            <w:tcW w:w="1799" w:type="dxa"/>
            <w:noWrap w:val="0"/>
            <w:vAlign w:val="top"/>
          </w:tcPr>
          <w:p w14:paraId="782E1C72">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w:t>
            </w:r>
          </w:p>
        </w:tc>
      </w:tr>
      <w:tr w14:paraId="4D8DA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dxa"/>
            <w:vMerge w:val="continue"/>
            <w:noWrap w:val="0"/>
            <w:vAlign w:val="top"/>
          </w:tcPr>
          <w:p w14:paraId="7B88260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905" w:type="dxa"/>
            <w:noWrap w:val="0"/>
            <w:vAlign w:val="top"/>
          </w:tcPr>
          <w:p w14:paraId="711A4E77">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w:t>
            </w:r>
          </w:p>
        </w:tc>
        <w:tc>
          <w:tcPr>
            <w:tcW w:w="720" w:type="dxa"/>
            <w:noWrap w:val="0"/>
            <w:vAlign w:val="top"/>
          </w:tcPr>
          <w:p w14:paraId="7854FD67">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w:t>
            </w:r>
          </w:p>
        </w:tc>
        <w:tc>
          <w:tcPr>
            <w:tcW w:w="1080" w:type="dxa"/>
            <w:noWrap w:val="0"/>
            <w:vAlign w:val="top"/>
          </w:tcPr>
          <w:p w14:paraId="14FBBB7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w:t>
            </w:r>
          </w:p>
        </w:tc>
        <w:tc>
          <w:tcPr>
            <w:tcW w:w="720" w:type="dxa"/>
            <w:noWrap w:val="0"/>
            <w:vAlign w:val="top"/>
          </w:tcPr>
          <w:p w14:paraId="65DB7F9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w:t>
            </w:r>
          </w:p>
        </w:tc>
        <w:tc>
          <w:tcPr>
            <w:tcW w:w="1266" w:type="dxa"/>
            <w:noWrap w:val="0"/>
            <w:vAlign w:val="top"/>
          </w:tcPr>
          <w:p w14:paraId="696AE309">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color w:val="auto"/>
                <w:szCs w:val="21"/>
              </w:rPr>
            </w:pPr>
            <w:r>
              <w:rPr>
                <w:rFonts w:ascii="宋体" w:hAnsi="宋体" w:eastAsia="宋体" w:cs="Times New Roman"/>
                <w:color w:val="auto"/>
                <w:szCs w:val="21"/>
              </w:rPr>
              <w:t>……</w:t>
            </w:r>
          </w:p>
        </w:tc>
        <w:tc>
          <w:tcPr>
            <w:tcW w:w="1616" w:type="dxa"/>
            <w:noWrap w:val="0"/>
            <w:vAlign w:val="top"/>
          </w:tcPr>
          <w:p w14:paraId="20F40A32">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w:t>
            </w:r>
          </w:p>
        </w:tc>
        <w:tc>
          <w:tcPr>
            <w:tcW w:w="1799" w:type="dxa"/>
            <w:noWrap w:val="0"/>
            <w:vAlign w:val="top"/>
          </w:tcPr>
          <w:p w14:paraId="689608B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w:t>
            </w:r>
          </w:p>
        </w:tc>
      </w:tr>
      <w:tr w14:paraId="1655D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dxa"/>
            <w:vMerge w:val="continue"/>
            <w:noWrap w:val="0"/>
            <w:vAlign w:val="top"/>
          </w:tcPr>
          <w:p w14:paraId="34A00DF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905" w:type="dxa"/>
            <w:noWrap w:val="0"/>
            <w:vAlign w:val="top"/>
          </w:tcPr>
          <w:p w14:paraId="02E10A98">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w:t>
            </w:r>
          </w:p>
        </w:tc>
        <w:tc>
          <w:tcPr>
            <w:tcW w:w="720" w:type="dxa"/>
            <w:noWrap w:val="0"/>
            <w:vAlign w:val="top"/>
          </w:tcPr>
          <w:p w14:paraId="2454B378">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w:t>
            </w:r>
          </w:p>
        </w:tc>
        <w:tc>
          <w:tcPr>
            <w:tcW w:w="1080" w:type="dxa"/>
            <w:noWrap w:val="0"/>
            <w:vAlign w:val="top"/>
          </w:tcPr>
          <w:p w14:paraId="3C27FCA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w:t>
            </w:r>
          </w:p>
        </w:tc>
        <w:tc>
          <w:tcPr>
            <w:tcW w:w="720" w:type="dxa"/>
            <w:noWrap w:val="0"/>
            <w:vAlign w:val="top"/>
          </w:tcPr>
          <w:p w14:paraId="752BB1F8">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w:t>
            </w:r>
          </w:p>
        </w:tc>
        <w:tc>
          <w:tcPr>
            <w:tcW w:w="1266" w:type="dxa"/>
            <w:noWrap w:val="0"/>
            <w:vAlign w:val="top"/>
          </w:tcPr>
          <w:p w14:paraId="2D630689">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color w:val="auto"/>
                <w:szCs w:val="21"/>
              </w:rPr>
            </w:pPr>
            <w:r>
              <w:rPr>
                <w:rFonts w:ascii="宋体" w:hAnsi="宋体" w:eastAsia="宋体" w:cs="Times New Roman"/>
                <w:color w:val="auto"/>
                <w:szCs w:val="21"/>
              </w:rPr>
              <w:t>……</w:t>
            </w:r>
          </w:p>
        </w:tc>
        <w:tc>
          <w:tcPr>
            <w:tcW w:w="1616" w:type="dxa"/>
            <w:noWrap w:val="0"/>
            <w:vAlign w:val="top"/>
          </w:tcPr>
          <w:p w14:paraId="4D12305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w:t>
            </w:r>
          </w:p>
        </w:tc>
        <w:tc>
          <w:tcPr>
            <w:tcW w:w="1799" w:type="dxa"/>
            <w:noWrap w:val="0"/>
            <w:vAlign w:val="top"/>
          </w:tcPr>
          <w:p w14:paraId="7C8037B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w:t>
            </w:r>
          </w:p>
        </w:tc>
      </w:tr>
      <w:tr w14:paraId="70572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3" w:type="dxa"/>
            <w:gridSpan w:val="6"/>
            <w:noWrap w:val="0"/>
            <w:vAlign w:val="top"/>
          </w:tcPr>
          <w:p w14:paraId="61A42F23">
            <w:pPr>
              <w:keepNext w:val="0"/>
              <w:keepLines w:val="0"/>
              <w:suppressLineNumbers w:val="0"/>
              <w:spacing w:before="0" w:beforeAutospacing="0" w:after="0" w:afterAutospacing="0"/>
              <w:ind w:left="0" w:right="0"/>
              <w:rPr>
                <w:rFonts w:hint="eastAsia" w:ascii="宋体" w:hAnsi="宋体" w:eastAsia="宋体" w:cs="Times New Roman"/>
                <w:color w:val="auto"/>
                <w:szCs w:val="21"/>
              </w:rPr>
            </w:pPr>
            <w:r>
              <w:rPr>
                <w:rFonts w:hint="eastAsia" w:ascii="宋体" w:hAnsi="宋体" w:eastAsia="宋体" w:cs="Times New Roman"/>
                <w:color w:val="auto"/>
                <w:szCs w:val="21"/>
              </w:rPr>
              <w:t xml:space="preserve">             合            计</w:t>
            </w:r>
          </w:p>
        </w:tc>
        <w:tc>
          <w:tcPr>
            <w:tcW w:w="1616" w:type="dxa"/>
            <w:noWrap w:val="0"/>
            <w:vAlign w:val="top"/>
          </w:tcPr>
          <w:p w14:paraId="11CB8F94">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 xml:space="preserve">    </w:t>
            </w:r>
            <w:r>
              <w:rPr>
                <w:rFonts w:hint="eastAsia" w:ascii="Calibri" w:hAnsi="Calibri" w:eastAsia="宋体" w:cs="Times New Roman"/>
                <w:color w:val="auto"/>
                <w:szCs w:val="21"/>
              </w:rPr>
              <w:t>1</w:t>
            </w:r>
            <w:r>
              <w:rPr>
                <w:rFonts w:hint="eastAsia" w:ascii="宋体" w:hAnsi="宋体" w:eastAsia="宋体" w:cs="Times New Roman"/>
                <w:color w:val="auto"/>
                <w:szCs w:val="21"/>
              </w:rPr>
              <w:t>．</w:t>
            </w:r>
            <w:r>
              <w:rPr>
                <w:rFonts w:hint="eastAsia" w:ascii="Calibri" w:hAnsi="Calibri" w:eastAsia="宋体" w:cs="Times New Roman"/>
                <w:color w:val="auto"/>
                <w:szCs w:val="21"/>
              </w:rPr>
              <w:t>00</w:t>
            </w:r>
          </w:p>
        </w:tc>
        <w:tc>
          <w:tcPr>
            <w:tcW w:w="1799" w:type="dxa"/>
            <w:noWrap w:val="0"/>
            <w:vAlign w:val="top"/>
          </w:tcPr>
          <w:p w14:paraId="60413C7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bl>
    <w:p w14:paraId="33D37DD3">
      <w:pPr>
        <w:spacing w:line="440" w:lineRule="exact"/>
        <w:ind w:left="630" w:hanging="630" w:hangingChars="300"/>
        <w:rPr>
          <w:rFonts w:hint="eastAsia" w:ascii="宋体" w:hAnsi="宋体"/>
          <w:color w:val="auto"/>
          <w:szCs w:val="21"/>
        </w:rPr>
      </w:pPr>
    </w:p>
    <w:p w14:paraId="7C3270BA">
      <w:pPr>
        <w:spacing w:line="440" w:lineRule="exact"/>
        <w:rPr>
          <w:rFonts w:hint="eastAsia" w:eastAsia="黑体"/>
          <w:color w:val="auto"/>
          <w:sz w:val="20"/>
          <w:szCs w:val="20"/>
        </w:rPr>
      </w:pPr>
    </w:p>
    <w:p w14:paraId="0F551C5A">
      <w:pPr>
        <w:jc w:val="center"/>
        <w:rPr>
          <w:color w:val="auto"/>
          <w:szCs w:val="21"/>
        </w:rPr>
      </w:pPr>
    </w:p>
    <w:p w14:paraId="4BF03610">
      <w:pPr>
        <w:spacing w:line="440" w:lineRule="exact"/>
        <w:rPr>
          <w:color w:val="auto"/>
          <w:szCs w:val="21"/>
        </w:rPr>
      </w:pPr>
    </w:p>
    <w:p w14:paraId="0D23E0B6">
      <w:pPr>
        <w:spacing w:line="440" w:lineRule="exact"/>
        <w:rPr>
          <w:rFonts w:eastAsia="黑体"/>
          <w:color w:val="auto"/>
          <w:sz w:val="20"/>
          <w:szCs w:val="20"/>
        </w:rPr>
      </w:pPr>
      <w:r>
        <w:rPr>
          <w:color w:val="auto"/>
          <w:szCs w:val="21"/>
        </w:rPr>
        <w:br w:type="page"/>
      </w:r>
    </w:p>
    <w:p w14:paraId="3D4906BF">
      <w:pPr>
        <w:pStyle w:val="83"/>
        <w:spacing w:before="48"/>
        <w:rPr>
          <w:color w:val="auto"/>
          <w:sz w:val="28"/>
          <w:szCs w:val="28"/>
        </w:rPr>
      </w:pPr>
      <w:bookmarkStart w:id="2111" w:name="_Toc154064022"/>
      <w:bookmarkStart w:id="2112" w:name="_Toc21849"/>
      <w:bookmarkStart w:id="2113" w:name="_Toc247527831"/>
      <w:bookmarkStart w:id="2114" w:name="_Toc519085634"/>
      <w:bookmarkStart w:id="2115" w:name="_Toc5360"/>
      <w:bookmarkStart w:id="2116" w:name="_Toc30796"/>
      <w:bookmarkStart w:id="2117" w:name="_Toc144974860"/>
      <w:bookmarkStart w:id="2118" w:name="_Toc26209"/>
      <w:bookmarkStart w:id="2119" w:name="_Toc152045791"/>
      <w:bookmarkStart w:id="2120" w:name="_Toc152042580"/>
      <w:bookmarkStart w:id="2121" w:name="_Toc247514283"/>
      <w:r>
        <w:rPr>
          <w:color w:val="auto"/>
          <w:sz w:val="28"/>
          <w:szCs w:val="28"/>
        </w:rPr>
        <w:t>二、法定代表人身份证明</w:t>
      </w:r>
      <w:bookmarkEnd w:id="2111"/>
      <w:bookmarkEnd w:id="2112"/>
      <w:bookmarkEnd w:id="2113"/>
      <w:bookmarkEnd w:id="2114"/>
      <w:bookmarkEnd w:id="2115"/>
      <w:bookmarkEnd w:id="2116"/>
      <w:bookmarkEnd w:id="2117"/>
      <w:bookmarkEnd w:id="2118"/>
      <w:bookmarkEnd w:id="2119"/>
      <w:bookmarkEnd w:id="2120"/>
      <w:bookmarkEnd w:id="2121"/>
    </w:p>
    <w:p w14:paraId="6313FCD0">
      <w:pPr>
        <w:spacing w:line="440" w:lineRule="exact"/>
        <w:rPr>
          <w:rFonts w:hint="eastAsia"/>
          <w:color w:val="auto"/>
          <w:szCs w:val="21"/>
        </w:rPr>
      </w:pPr>
      <w:r>
        <w:rPr>
          <w:rFonts w:hint="eastAsia"/>
          <w:color w:val="auto"/>
          <w:szCs w:val="21"/>
        </w:rPr>
        <w:t xml:space="preserve">   </w:t>
      </w:r>
    </w:p>
    <w:p w14:paraId="3E53F697">
      <w:pPr>
        <w:spacing w:line="440" w:lineRule="exact"/>
        <w:rPr>
          <w:rFonts w:hint="eastAsia"/>
          <w:color w:val="auto"/>
          <w:szCs w:val="21"/>
        </w:rPr>
      </w:pPr>
    </w:p>
    <w:p w14:paraId="5D53E5F2">
      <w:pPr>
        <w:spacing w:line="440" w:lineRule="exact"/>
        <w:jc w:val="center"/>
        <w:rPr>
          <w:rFonts w:hint="eastAsia" w:ascii="黑体" w:hAnsi="黑体" w:eastAsia="黑体"/>
          <w:color w:val="auto"/>
          <w:sz w:val="28"/>
          <w:szCs w:val="28"/>
        </w:rPr>
      </w:pPr>
    </w:p>
    <w:p w14:paraId="52466DFE">
      <w:pPr>
        <w:spacing w:line="440" w:lineRule="exact"/>
        <w:rPr>
          <w:color w:val="auto"/>
          <w:szCs w:val="21"/>
        </w:rPr>
      </w:pPr>
      <w:r>
        <w:rPr>
          <w:color w:val="auto"/>
          <w:szCs w:val="21"/>
        </w:rPr>
        <w:t>投标人名称：</w:t>
      </w:r>
      <w:r>
        <w:rPr>
          <w:color w:val="auto"/>
          <w:szCs w:val="21"/>
          <w:u w:val="single"/>
        </w:rPr>
        <w:t xml:space="preserve">                </w:t>
      </w:r>
      <w:r>
        <w:rPr>
          <w:rFonts w:hint="eastAsia"/>
          <w:color w:val="auto"/>
          <w:szCs w:val="21"/>
          <w:u w:val="single"/>
        </w:rPr>
        <w:t xml:space="preserve">                   </w:t>
      </w:r>
      <w:r>
        <w:rPr>
          <w:color w:val="auto"/>
          <w:szCs w:val="21"/>
          <w:u w:val="single"/>
        </w:rPr>
        <w:t xml:space="preserve">            </w:t>
      </w:r>
      <w:r>
        <w:rPr>
          <w:color w:val="auto"/>
          <w:szCs w:val="21"/>
        </w:rPr>
        <w:t xml:space="preserve"> </w:t>
      </w:r>
    </w:p>
    <w:p w14:paraId="50FE6B32">
      <w:pPr>
        <w:spacing w:line="440" w:lineRule="exact"/>
        <w:rPr>
          <w:color w:val="auto"/>
          <w:szCs w:val="21"/>
        </w:rPr>
      </w:pPr>
      <w:r>
        <w:rPr>
          <w:color w:val="auto"/>
          <w:szCs w:val="21"/>
        </w:rPr>
        <w:t>单位性质：</w:t>
      </w:r>
      <w:r>
        <w:rPr>
          <w:color w:val="auto"/>
          <w:szCs w:val="21"/>
          <w:u w:val="single"/>
        </w:rPr>
        <w:t xml:space="preserve">                 </w:t>
      </w:r>
      <w:r>
        <w:rPr>
          <w:rFonts w:hint="eastAsia"/>
          <w:color w:val="auto"/>
          <w:szCs w:val="21"/>
          <w:u w:val="single"/>
        </w:rPr>
        <w:t xml:space="preserve">                  </w:t>
      </w:r>
      <w:r>
        <w:rPr>
          <w:color w:val="auto"/>
          <w:szCs w:val="21"/>
          <w:u w:val="single"/>
        </w:rPr>
        <w:t xml:space="preserve">              </w:t>
      </w:r>
      <w:r>
        <w:rPr>
          <w:color w:val="auto"/>
          <w:szCs w:val="21"/>
        </w:rPr>
        <w:t xml:space="preserve"> </w:t>
      </w:r>
    </w:p>
    <w:p w14:paraId="43770E7A">
      <w:pPr>
        <w:spacing w:line="440" w:lineRule="exact"/>
        <w:rPr>
          <w:color w:val="auto"/>
          <w:szCs w:val="21"/>
        </w:rPr>
      </w:pPr>
      <w:r>
        <w:rPr>
          <w:color w:val="auto"/>
          <w:szCs w:val="21"/>
        </w:rPr>
        <w:t>地址：</w:t>
      </w:r>
      <w:r>
        <w:rPr>
          <w:color w:val="auto"/>
          <w:szCs w:val="21"/>
          <w:u w:val="single"/>
        </w:rPr>
        <w:t xml:space="preserve">                  </w:t>
      </w:r>
      <w:r>
        <w:rPr>
          <w:rFonts w:hint="eastAsia"/>
          <w:color w:val="auto"/>
          <w:szCs w:val="21"/>
          <w:u w:val="single"/>
        </w:rPr>
        <w:t xml:space="preserve">                   </w:t>
      </w:r>
      <w:r>
        <w:rPr>
          <w:color w:val="auto"/>
          <w:szCs w:val="21"/>
          <w:u w:val="single"/>
        </w:rPr>
        <w:t xml:space="preserve">                 </w:t>
      </w:r>
    </w:p>
    <w:p w14:paraId="57677786">
      <w:pPr>
        <w:spacing w:line="440" w:lineRule="exact"/>
        <w:rPr>
          <w:color w:val="auto"/>
          <w:szCs w:val="21"/>
        </w:rPr>
      </w:pPr>
      <w:r>
        <w:rPr>
          <w:color w:val="auto"/>
          <w:szCs w:val="21"/>
        </w:rPr>
        <w:t>成立时间：</w:t>
      </w:r>
      <w:r>
        <w:rPr>
          <w:color w:val="auto"/>
          <w:szCs w:val="21"/>
          <w:u w:val="single"/>
        </w:rPr>
        <w:t xml:space="preserve">         </w:t>
      </w:r>
      <w:r>
        <w:rPr>
          <w:color w:val="auto"/>
          <w:szCs w:val="21"/>
        </w:rPr>
        <w:t>年</w:t>
      </w:r>
      <w:r>
        <w:rPr>
          <w:color w:val="auto"/>
          <w:szCs w:val="21"/>
          <w:u w:val="single"/>
        </w:rPr>
        <w:t xml:space="preserve">       </w:t>
      </w:r>
      <w:r>
        <w:rPr>
          <w:color w:val="auto"/>
          <w:szCs w:val="21"/>
        </w:rPr>
        <w:t>月</w:t>
      </w:r>
      <w:r>
        <w:rPr>
          <w:color w:val="auto"/>
          <w:szCs w:val="21"/>
          <w:u w:val="single"/>
        </w:rPr>
        <w:t xml:space="preserve">       </w:t>
      </w:r>
      <w:r>
        <w:rPr>
          <w:color w:val="auto"/>
          <w:szCs w:val="21"/>
        </w:rPr>
        <w:t>日</w:t>
      </w:r>
    </w:p>
    <w:p w14:paraId="67B6CEA1">
      <w:pPr>
        <w:spacing w:line="440" w:lineRule="exact"/>
        <w:rPr>
          <w:color w:val="auto"/>
          <w:szCs w:val="21"/>
        </w:rPr>
      </w:pPr>
      <w:r>
        <w:rPr>
          <w:color w:val="auto"/>
          <w:szCs w:val="21"/>
        </w:rPr>
        <w:t>经营期限：</w:t>
      </w:r>
      <w:r>
        <w:rPr>
          <w:color w:val="auto"/>
          <w:szCs w:val="21"/>
          <w:u w:val="single"/>
        </w:rPr>
        <w:t xml:space="preserve">                  </w:t>
      </w:r>
      <w:r>
        <w:rPr>
          <w:rFonts w:hint="eastAsia"/>
          <w:color w:val="auto"/>
          <w:szCs w:val="21"/>
          <w:u w:val="single"/>
        </w:rPr>
        <w:t xml:space="preserve">                   </w:t>
      </w:r>
      <w:r>
        <w:rPr>
          <w:color w:val="auto"/>
          <w:szCs w:val="21"/>
          <w:u w:val="single"/>
        </w:rPr>
        <w:t xml:space="preserve">             </w:t>
      </w:r>
    </w:p>
    <w:p w14:paraId="33583735">
      <w:pPr>
        <w:spacing w:line="440" w:lineRule="exact"/>
        <w:rPr>
          <w:rFonts w:hint="eastAsia"/>
          <w:color w:val="auto"/>
          <w:szCs w:val="21"/>
        </w:rPr>
      </w:pPr>
      <w:r>
        <w:rPr>
          <w:color w:val="auto"/>
          <w:szCs w:val="21"/>
        </w:rPr>
        <w:t>姓名：</w:t>
      </w:r>
      <w:r>
        <w:rPr>
          <w:color w:val="auto"/>
          <w:szCs w:val="21"/>
          <w:u w:val="single"/>
        </w:rPr>
        <w:t xml:space="preserve">   </w:t>
      </w:r>
      <w:r>
        <w:rPr>
          <w:rFonts w:hint="eastAsia"/>
          <w:color w:val="auto"/>
          <w:szCs w:val="21"/>
          <w:u w:val="single"/>
        </w:rPr>
        <w:t>（法定代表人签字）</w:t>
      </w:r>
      <w:r>
        <w:rPr>
          <w:color w:val="auto"/>
          <w:szCs w:val="21"/>
          <w:u w:val="single"/>
        </w:rPr>
        <w:t xml:space="preserve"> </w:t>
      </w:r>
      <w:r>
        <w:rPr>
          <w:color w:val="auto"/>
          <w:szCs w:val="21"/>
        </w:rPr>
        <w:t xml:space="preserve"> 性别：</w:t>
      </w:r>
      <w:r>
        <w:rPr>
          <w:color w:val="auto"/>
          <w:szCs w:val="21"/>
          <w:u w:val="single"/>
        </w:rPr>
        <w:t xml:space="preserve">   </w:t>
      </w:r>
      <w:r>
        <w:rPr>
          <w:rFonts w:hint="eastAsia"/>
          <w:color w:val="auto"/>
          <w:szCs w:val="21"/>
          <w:u w:val="single"/>
        </w:rPr>
        <w:t xml:space="preserve">               </w:t>
      </w:r>
      <w:r>
        <w:rPr>
          <w:color w:val="auto"/>
          <w:szCs w:val="21"/>
          <w:u w:val="single"/>
        </w:rPr>
        <w:t xml:space="preserve">      </w:t>
      </w:r>
      <w:r>
        <w:rPr>
          <w:color w:val="auto"/>
          <w:szCs w:val="21"/>
        </w:rPr>
        <w:t xml:space="preserve"> </w:t>
      </w:r>
    </w:p>
    <w:p w14:paraId="1AFE337E">
      <w:pPr>
        <w:spacing w:line="440" w:lineRule="exact"/>
        <w:rPr>
          <w:color w:val="auto"/>
          <w:szCs w:val="21"/>
        </w:rPr>
      </w:pPr>
      <w:r>
        <w:rPr>
          <w:color w:val="auto"/>
          <w:szCs w:val="21"/>
        </w:rPr>
        <w:t>年龄：</w:t>
      </w:r>
      <w:r>
        <w:rPr>
          <w:color w:val="auto"/>
          <w:szCs w:val="21"/>
          <w:u w:val="single"/>
        </w:rPr>
        <w:t xml:space="preserve">     </w:t>
      </w:r>
      <w:r>
        <w:rPr>
          <w:rFonts w:hint="eastAsia"/>
          <w:color w:val="auto"/>
          <w:szCs w:val="21"/>
          <w:u w:val="single"/>
        </w:rPr>
        <w:t xml:space="preserve">               </w:t>
      </w:r>
      <w:r>
        <w:rPr>
          <w:color w:val="auto"/>
          <w:szCs w:val="21"/>
          <w:u w:val="single"/>
        </w:rPr>
        <w:t xml:space="preserve">   </w:t>
      </w:r>
      <w:r>
        <w:rPr>
          <w:color w:val="auto"/>
          <w:szCs w:val="21"/>
        </w:rPr>
        <w:t>职务：</w:t>
      </w:r>
      <w:r>
        <w:rPr>
          <w:color w:val="auto"/>
          <w:szCs w:val="21"/>
          <w:u w:val="single"/>
        </w:rPr>
        <w:t xml:space="preserve">    </w:t>
      </w:r>
      <w:r>
        <w:rPr>
          <w:rFonts w:hint="eastAsia"/>
          <w:color w:val="auto"/>
          <w:szCs w:val="21"/>
          <w:u w:val="single"/>
        </w:rPr>
        <w:t xml:space="preserve">                 </w:t>
      </w:r>
      <w:r>
        <w:rPr>
          <w:color w:val="auto"/>
          <w:szCs w:val="21"/>
          <w:u w:val="single"/>
        </w:rPr>
        <w:t xml:space="preserve">    </w:t>
      </w:r>
    </w:p>
    <w:p w14:paraId="21A98994">
      <w:pPr>
        <w:spacing w:line="440" w:lineRule="exact"/>
        <w:rPr>
          <w:color w:val="auto"/>
          <w:szCs w:val="21"/>
        </w:rPr>
      </w:pPr>
      <w:r>
        <w:rPr>
          <w:color w:val="auto"/>
          <w:szCs w:val="21"/>
        </w:rPr>
        <w:t>系</w:t>
      </w:r>
      <w:r>
        <w:rPr>
          <w:color w:val="auto"/>
          <w:szCs w:val="21"/>
          <w:u w:val="single"/>
        </w:rPr>
        <w:t xml:space="preserve">                             </w:t>
      </w:r>
      <w:r>
        <w:rPr>
          <w:color w:val="auto"/>
          <w:szCs w:val="21"/>
        </w:rPr>
        <w:t xml:space="preserve"> </w:t>
      </w:r>
      <w:r>
        <w:rPr>
          <w:rFonts w:hint="eastAsia"/>
          <w:color w:val="auto"/>
          <w:szCs w:val="21"/>
        </w:rPr>
        <w:t>（</w:t>
      </w:r>
      <w:r>
        <w:rPr>
          <w:color w:val="auto"/>
          <w:szCs w:val="21"/>
        </w:rPr>
        <w:t>投标人名称</w:t>
      </w:r>
      <w:r>
        <w:rPr>
          <w:rFonts w:hint="eastAsia"/>
          <w:color w:val="auto"/>
          <w:szCs w:val="21"/>
        </w:rPr>
        <w:t>）</w:t>
      </w:r>
      <w:r>
        <w:rPr>
          <w:color w:val="auto"/>
          <w:szCs w:val="21"/>
        </w:rPr>
        <w:t>的法定代表人。</w:t>
      </w:r>
    </w:p>
    <w:p w14:paraId="7B37E2A1">
      <w:pPr>
        <w:spacing w:line="440" w:lineRule="exact"/>
        <w:ind w:firstLine="420" w:firstLineChars="200"/>
        <w:rPr>
          <w:color w:val="auto"/>
          <w:szCs w:val="21"/>
        </w:rPr>
      </w:pPr>
      <w:r>
        <w:rPr>
          <w:color w:val="auto"/>
          <w:szCs w:val="21"/>
        </w:rPr>
        <w:t>特此证明。</w:t>
      </w:r>
    </w:p>
    <w:p w14:paraId="7599718D">
      <w:pPr>
        <w:spacing w:line="440" w:lineRule="exact"/>
        <w:rPr>
          <w:color w:val="auto"/>
          <w:szCs w:val="21"/>
        </w:rPr>
      </w:pPr>
    </w:p>
    <w:p w14:paraId="21773D9E">
      <w:pPr>
        <w:spacing w:line="440" w:lineRule="exact"/>
        <w:rPr>
          <w:rFonts w:hint="eastAsia"/>
          <w:color w:val="auto"/>
          <w:szCs w:val="21"/>
        </w:rPr>
      </w:pPr>
    </w:p>
    <w:p w14:paraId="6DACC75F">
      <w:pPr>
        <w:spacing w:line="440" w:lineRule="exact"/>
        <w:rPr>
          <w:color w:val="auto"/>
          <w:szCs w:val="21"/>
        </w:rPr>
      </w:pPr>
    </w:p>
    <w:p w14:paraId="2DF6E054">
      <w:pPr>
        <w:spacing w:line="440" w:lineRule="exact"/>
        <w:rPr>
          <w:color w:val="auto"/>
          <w:szCs w:val="21"/>
        </w:rPr>
      </w:pPr>
      <w:r>
        <w:rPr>
          <w:color w:val="auto"/>
          <w:szCs w:val="21"/>
        </w:rPr>
        <w:t xml:space="preserve">                          投标人：</w:t>
      </w:r>
      <w:r>
        <w:rPr>
          <w:color w:val="auto"/>
          <w:szCs w:val="21"/>
          <w:u w:val="single"/>
        </w:rPr>
        <w:t xml:space="preserve">                 </w:t>
      </w:r>
      <w:r>
        <w:rPr>
          <w:color w:val="auto"/>
          <w:szCs w:val="21"/>
        </w:rPr>
        <w:t>（盖单位章）</w:t>
      </w:r>
    </w:p>
    <w:p w14:paraId="07E40DD8">
      <w:pPr>
        <w:spacing w:line="440" w:lineRule="exact"/>
        <w:rPr>
          <w:color w:val="auto"/>
          <w:szCs w:val="21"/>
        </w:rPr>
      </w:pPr>
      <w:r>
        <w:rPr>
          <w:color w:val="auto"/>
          <w:szCs w:val="21"/>
        </w:rPr>
        <w:t xml:space="preserve">                                </w:t>
      </w:r>
      <w:r>
        <w:rPr>
          <w:color w:val="auto"/>
          <w:szCs w:val="21"/>
          <w:u w:val="single"/>
        </w:rPr>
        <w:t xml:space="preserve">         </w:t>
      </w:r>
      <w:r>
        <w:rPr>
          <w:color w:val="auto"/>
          <w:szCs w:val="21"/>
        </w:rPr>
        <w:t>年</w:t>
      </w:r>
      <w:r>
        <w:rPr>
          <w:color w:val="auto"/>
          <w:szCs w:val="21"/>
          <w:u w:val="single"/>
        </w:rPr>
        <w:t xml:space="preserve">      </w:t>
      </w:r>
      <w:r>
        <w:rPr>
          <w:color w:val="auto"/>
          <w:szCs w:val="21"/>
        </w:rPr>
        <w:t>月</w:t>
      </w:r>
      <w:r>
        <w:rPr>
          <w:color w:val="auto"/>
          <w:szCs w:val="21"/>
          <w:u w:val="single"/>
        </w:rPr>
        <w:t xml:space="preserve">   </w:t>
      </w:r>
      <w:r>
        <w:rPr>
          <w:color w:val="auto"/>
          <w:szCs w:val="21"/>
        </w:rPr>
        <w:t xml:space="preserve"> 日           </w:t>
      </w:r>
    </w:p>
    <w:p w14:paraId="510FA20E">
      <w:pPr>
        <w:spacing w:line="440" w:lineRule="exact"/>
        <w:rPr>
          <w:rFonts w:hint="eastAsia" w:eastAsia="黑体"/>
          <w:color w:val="auto"/>
          <w:sz w:val="20"/>
          <w:szCs w:val="20"/>
        </w:rPr>
      </w:pPr>
    </w:p>
    <w:p w14:paraId="3562E14A">
      <w:pPr>
        <w:spacing w:line="440" w:lineRule="exact"/>
        <w:rPr>
          <w:rFonts w:hint="eastAsia" w:eastAsia="黑体"/>
          <w:color w:val="auto"/>
          <w:sz w:val="20"/>
          <w:szCs w:val="20"/>
        </w:rPr>
      </w:pPr>
    </w:p>
    <w:p w14:paraId="152BE5CF">
      <w:pPr>
        <w:spacing w:line="440" w:lineRule="exact"/>
        <w:rPr>
          <w:rFonts w:hint="eastAsia" w:eastAsia="黑体"/>
          <w:color w:val="auto"/>
          <w:sz w:val="20"/>
          <w:szCs w:val="20"/>
        </w:rPr>
      </w:pPr>
    </w:p>
    <w:p w14:paraId="4D66D28D">
      <w:pPr>
        <w:spacing w:line="440" w:lineRule="exact"/>
        <w:rPr>
          <w:rFonts w:hint="eastAsia" w:eastAsia="黑体"/>
          <w:color w:val="auto"/>
          <w:sz w:val="20"/>
          <w:szCs w:val="20"/>
        </w:rPr>
      </w:pPr>
    </w:p>
    <w:p w14:paraId="1AEDA7E1">
      <w:pPr>
        <w:spacing w:line="440" w:lineRule="exact"/>
        <w:rPr>
          <w:rFonts w:hint="eastAsia" w:eastAsia="黑体"/>
          <w:color w:val="auto"/>
          <w:sz w:val="20"/>
          <w:szCs w:val="20"/>
        </w:rPr>
      </w:pPr>
    </w:p>
    <w:p w14:paraId="46913CB3">
      <w:pPr>
        <w:spacing w:line="440" w:lineRule="exact"/>
        <w:rPr>
          <w:rFonts w:hint="eastAsia" w:eastAsia="黑体"/>
          <w:color w:val="auto"/>
          <w:sz w:val="20"/>
          <w:szCs w:val="20"/>
        </w:rPr>
      </w:pPr>
    </w:p>
    <w:p w14:paraId="29F6D59B">
      <w:pPr>
        <w:spacing w:line="440" w:lineRule="exact"/>
        <w:rPr>
          <w:rFonts w:hint="eastAsia" w:eastAsia="黑体"/>
          <w:color w:val="auto"/>
          <w:sz w:val="20"/>
          <w:szCs w:val="20"/>
        </w:rPr>
      </w:pPr>
    </w:p>
    <w:p w14:paraId="61BBDD7A">
      <w:pPr>
        <w:spacing w:line="440" w:lineRule="exact"/>
        <w:rPr>
          <w:rFonts w:hint="eastAsia" w:eastAsia="黑体"/>
          <w:color w:val="auto"/>
          <w:sz w:val="20"/>
          <w:szCs w:val="20"/>
        </w:rPr>
      </w:pPr>
      <w:bookmarkStart w:id="2122" w:name="_Hlk165315094"/>
      <w:r>
        <w:rPr>
          <w:rFonts w:hint="eastAsia" w:ascii="宋体" w:hAnsi="宋体"/>
          <w:bCs/>
          <w:color w:val="auto"/>
          <w:szCs w:val="21"/>
        </w:rPr>
        <w:t>备注:附法定代表人身份证</w:t>
      </w:r>
      <w:r>
        <w:rPr>
          <w:rFonts w:hint="eastAsia" w:ascii="宋体" w:hAnsi="宋体"/>
          <w:color w:val="auto"/>
        </w:rPr>
        <w:t>扫描件</w:t>
      </w:r>
    </w:p>
    <w:bookmarkEnd w:id="2122"/>
    <w:p w14:paraId="21E46451">
      <w:pPr>
        <w:spacing w:line="440" w:lineRule="exact"/>
        <w:rPr>
          <w:rFonts w:hint="eastAsia" w:eastAsia="黑体"/>
          <w:color w:val="auto"/>
          <w:sz w:val="20"/>
          <w:szCs w:val="20"/>
        </w:rPr>
      </w:pPr>
    </w:p>
    <w:p w14:paraId="6A77D993">
      <w:pPr>
        <w:spacing w:line="440" w:lineRule="exact"/>
        <w:rPr>
          <w:rFonts w:hint="eastAsia" w:eastAsia="黑体"/>
          <w:color w:val="auto"/>
          <w:sz w:val="20"/>
          <w:szCs w:val="20"/>
        </w:rPr>
      </w:pPr>
    </w:p>
    <w:p w14:paraId="4479E511">
      <w:pPr>
        <w:pStyle w:val="109"/>
        <w:rPr>
          <w:rFonts w:hint="eastAsia"/>
          <w:color w:val="auto"/>
        </w:rPr>
      </w:pPr>
    </w:p>
    <w:p w14:paraId="06FC9A25">
      <w:pPr>
        <w:pStyle w:val="83"/>
        <w:spacing w:before="48"/>
        <w:rPr>
          <w:color w:val="auto"/>
          <w:sz w:val="28"/>
          <w:szCs w:val="28"/>
        </w:rPr>
      </w:pPr>
      <w:bookmarkStart w:id="2123" w:name="_Toc154064023"/>
      <w:bookmarkStart w:id="2124" w:name="_Toc152045793"/>
      <w:bookmarkStart w:id="2125" w:name="_Toc4054"/>
      <w:bookmarkStart w:id="2126" w:name="_Toc14534"/>
      <w:bookmarkStart w:id="2127" w:name="_Toc152042582"/>
      <w:bookmarkStart w:id="2128" w:name="_Toc23648"/>
      <w:bookmarkStart w:id="2129" w:name="_Toc247527833"/>
      <w:bookmarkStart w:id="2130" w:name="_Toc519085635"/>
      <w:bookmarkStart w:id="2131" w:name="_Toc24740"/>
      <w:bookmarkStart w:id="2132" w:name="_Toc247514285"/>
      <w:r>
        <w:rPr>
          <w:rFonts w:hint="eastAsia"/>
          <w:color w:val="auto"/>
          <w:sz w:val="28"/>
          <w:szCs w:val="28"/>
        </w:rPr>
        <w:t>三</w:t>
      </w:r>
      <w:r>
        <w:rPr>
          <w:color w:val="auto"/>
          <w:sz w:val="28"/>
          <w:szCs w:val="28"/>
        </w:rPr>
        <w:t>、投标保证金</w:t>
      </w:r>
      <w:bookmarkEnd w:id="2123"/>
    </w:p>
    <w:p w14:paraId="4C56BDF1">
      <w:pPr>
        <w:spacing w:line="440" w:lineRule="exact"/>
        <w:rPr>
          <w:rFonts w:hint="eastAsia"/>
          <w:color w:val="auto"/>
          <w:szCs w:val="21"/>
        </w:rPr>
      </w:pPr>
    </w:p>
    <w:p w14:paraId="43042D78">
      <w:pPr>
        <w:spacing w:line="360" w:lineRule="auto"/>
        <w:ind w:firstLine="525" w:firstLineChars="250"/>
        <w:rPr>
          <w:rFonts w:hint="eastAsia" w:ascii="宋体" w:hAnsi="宋体"/>
          <w:color w:val="auto"/>
        </w:rPr>
      </w:pPr>
      <w:r>
        <w:rPr>
          <w:rFonts w:hint="eastAsia" w:ascii="宋体" w:hAnsi="宋体"/>
          <w:color w:val="auto"/>
        </w:rPr>
        <w:t>若采用现金或支票，投标人应在此提供汇款凭证的</w:t>
      </w:r>
      <w:r>
        <w:rPr>
          <w:rFonts w:hint="eastAsia" w:ascii="宋体" w:hAnsi="宋体"/>
          <w:color w:val="auto"/>
          <w:szCs w:val="21"/>
        </w:rPr>
        <w:t>扫描</w:t>
      </w:r>
      <w:r>
        <w:rPr>
          <w:rFonts w:hint="eastAsia" w:ascii="宋体" w:hAnsi="宋体"/>
          <w:color w:val="auto"/>
        </w:rPr>
        <w:t>件。</w:t>
      </w:r>
      <w:r>
        <w:rPr>
          <w:rFonts w:ascii="宋体" w:hAnsi="宋体"/>
          <w:color w:val="auto"/>
        </w:rPr>
        <w:t xml:space="preserve"> </w:t>
      </w:r>
    </w:p>
    <w:p w14:paraId="763FA402">
      <w:pPr>
        <w:spacing w:line="360" w:lineRule="auto"/>
        <w:ind w:firstLine="525" w:firstLineChars="250"/>
        <w:rPr>
          <w:rFonts w:ascii="宋体" w:hAnsi="宋体"/>
          <w:color w:val="auto"/>
        </w:rPr>
      </w:pPr>
      <w:r>
        <w:rPr>
          <w:rFonts w:hint="eastAsia" w:ascii="宋体" w:hAnsi="宋体"/>
          <w:color w:val="auto"/>
        </w:rPr>
        <w:t>如采用银行保函，格式如下。</w:t>
      </w:r>
    </w:p>
    <w:p w14:paraId="1C31462E">
      <w:pPr>
        <w:spacing w:line="360" w:lineRule="auto"/>
        <w:rPr>
          <w:rFonts w:ascii="宋体" w:hAnsi="宋体"/>
          <w:color w:val="auto"/>
        </w:rPr>
      </w:pPr>
    </w:p>
    <w:p w14:paraId="17730F1F">
      <w:pPr>
        <w:spacing w:line="360" w:lineRule="auto"/>
        <w:rPr>
          <w:rFonts w:ascii="宋体" w:hAnsi="宋体"/>
          <w:color w:val="auto"/>
        </w:rPr>
      </w:pPr>
    </w:p>
    <w:p w14:paraId="507EFD39">
      <w:pPr>
        <w:spacing w:line="360" w:lineRule="auto"/>
        <w:rPr>
          <w:rFonts w:ascii="宋体" w:hAnsi="宋体"/>
          <w:color w:val="auto"/>
        </w:rPr>
      </w:pPr>
      <w:r>
        <w:rPr>
          <w:rFonts w:ascii="宋体" w:hAnsi="宋体"/>
          <w:color w:val="auto"/>
          <w:u w:val="single"/>
        </w:rPr>
        <w:t xml:space="preserve"> </w:t>
      </w:r>
      <w:r>
        <w:rPr>
          <w:rFonts w:ascii="宋体" w:hAnsi="宋体"/>
          <w:color w:val="auto"/>
          <w:u w:val="single"/>
        </w:rPr>
        <w:tab/>
      </w:r>
      <w:r>
        <w:rPr>
          <w:rFonts w:hint="eastAsia" w:ascii="宋体" w:hAnsi="宋体"/>
          <w:color w:val="auto"/>
          <w:u w:val="single"/>
        </w:rPr>
        <w:t xml:space="preserve">              </w:t>
      </w:r>
      <w:r>
        <w:rPr>
          <w:rFonts w:hint="eastAsia" w:ascii="宋体" w:hAnsi="宋体"/>
          <w:color w:val="auto"/>
        </w:rPr>
        <w:t>（招标人名称）：</w:t>
      </w:r>
    </w:p>
    <w:p w14:paraId="7682CA63">
      <w:pPr>
        <w:spacing w:line="360" w:lineRule="auto"/>
        <w:ind w:firstLine="420" w:firstLineChars="200"/>
        <w:rPr>
          <w:rFonts w:hint="eastAsia" w:ascii="宋体" w:hAnsi="宋体"/>
          <w:color w:val="auto"/>
        </w:rPr>
      </w:pPr>
      <w:r>
        <w:rPr>
          <w:rFonts w:hint="eastAsia" w:ascii="宋体" w:hAnsi="宋体"/>
          <w:color w:val="auto"/>
        </w:rPr>
        <w:t>鉴于</w:t>
      </w:r>
      <w:r>
        <w:rPr>
          <w:rFonts w:hint="eastAsia" w:ascii="宋体" w:hAnsi="宋体"/>
          <w:color w:val="auto"/>
          <w:u w:val="single"/>
        </w:rPr>
        <w:t xml:space="preserve">   </w:t>
      </w:r>
      <w:r>
        <w:rPr>
          <w:rFonts w:ascii="宋体" w:hAnsi="宋体"/>
          <w:color w:val="auto"/>
          <w:u w:val="single"/>
        </w:rPr>
        <w:tab/>
      </w:r>
      <w:r>
        <w:rPr>
          <w:rFonts w:hint="eastAsia" w:ascii="宋体" w:hAnsi="宋体"/>
          <w:color w:val="auto"/>
          <w:u w:val="single"/>
        </w:rPr>
        <w:t xml:space="preserve">                </w:t>
      </w:r>
      <w:r>
        <w:rPr>
          <w:rFonts w:hint="eastAsia" w:ascii="宋体" w:hAnsi="宋体"/>
          <w:color w:val="auto"/>
        </w:rPr>
        <w:t>（投标人名称）（以下称</w:t>
      </w:r>
      <w:r>
        <w:rPr>
          <w:rFonts w:ascii="宋体" w:hAnsi="宋体"/>
          <w:color w:val="auto"/>
        </w:rPr>
        <w:t>“</w:t>
      </w:r>
      <w:r>
        <w:rPr>
          <w:rFonts w:hint="eastAsia" w:ascii="宋体" w:hAnsi="宋体"/>
          <w:color w:val="auto"/>
        </w:rPr>
        <w:t>投标人</w:t>
      </w:r>
      <w:r>
        <w:rPr>
          <w:rFonts w:ascii="宋体" w:hAnsi="宋体"/>
          <w:color w:val="auto"/>
        </w:rPr>
        <w:t>”</w:t>
      </w:r>
      <w:r>
        <w:rPr>
          <w:rFonts w:hint="eastAsia" w:ascii="宋体" w:hAnsi="宋体"/>
          <w:color w:val="auto"/>
        </w:rPr>
        <w:t>）于</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u w:val="single"/>
        </w:rPr>
        <w:tab/>
      </w:r>
      <w:r>
        <w:rPr>
          <w:rFonts w:hint="eastAsia" w:ascii="宋体" w:hAnsi="宋体"/>
          <w:color w:val="auto"/>
        </w:rPr>
        <w:t>年</w:t>
      </w:r>
      <w:r>
        <w:rPr>
          <w:rFonts w:ascii="宋体" w:hAnsi="宋体"/>
          <w:color w:val="auto"/>
          <w:u w:val="single"/>
        </w:rPr>
        <w:tab/>
      </w:r>
      <w:r>
        <w:rPr>
          <w:rFonts w:hint="eastAsia" w:ascii="宋体" w:hAnsi="宋体"/>
          <w:color w:val="auto"/>
          <w:u w:val="single"/>
        </w:rPr>
        <w:t xml:space="preserve">  </w:t>
      </w:r>
      <w:r>
        <w:rPr>
          <w:rFonts w:hint="eastAsia" w:ascii="宋体" w:hAnsi="宋体"/>
          <w:color w:val="auto"/>
        </w:rPr>
        <w:t>月</w:t>
      </w:r>
      <w:r>
        <w:rPr>
          <w:rFonts w:ascii="宋体" w:hAnsi="宋体"/>
          <w:color w:val="auto"/>
          <w:u w:val="single"/>
        </w:rPr>
        <w:tab/>
      </w:r>
      <w:r>
        <w:rPr>
          <w:rFonts w:hint="eastAsia" w:ascii="宋体" w:hAnsi="宋体"/>
          <w:color w:val="auto"/>
        </w:rPr>
        <w:t>日参加</w:t>
      </w:r>
      <w:r>
        <w:rPr>
          <w:rFonts w:hint="eastAsia" w:ascii="宋体" w:hAnsi="宋体"/>
          <w:color w:val="auto"/>
          <w:szCs w:val="21"/>
          <w:u w:val="single"/>
        </w:rPr>
        <w:t xml:space="preserve">        </w:t>
      </w:r>
      <w:r>
        <w:rPr>
          <w:rFonts w:ascii="宋体" w:hAnsi="宋体"/>
          <w:color w:val="auto"/>
          <w:szCs w:val="21"/>
        </w:rPr>
        <w:t>（项目名称）</w:t>
      </w:r>
      <w:r>
        <w:rPr>
          <w:rFonts w:hint="eastAsia" w:ascii="宋体" w:hAnsi="宋体"/>
          <w:color w:val="auto"/>
          <w:szCs w:val="21"/>
          <w:u w:val="single"/>
        </w:rPr>
        <w:t xml:space="preserve">     </w:t>
      </w:r>
      <w:r>
        <w:rPr>
          <w:rFonts w:hint="eastAsia" w:ascii="宋体" w:hAnsi="宋体"/>
          <w:color w:val="auto"/>
          <w:szCs w:val="21"/>
        </w:rPr>
        <w:t>（标段名称）工程总承包</w:t>
      </w:r>
      <w:r>
        <w:rPr>
          <w:rFonts w:hint="eastAsia" w:ascii="宋体" w:hAnsi="宋体"/>
          <w:color w:val="auto"/>
        </w:rPr>
        <w:t>的投标，</w:t>
      </w:r>
      <w:r>
        <w:rPr>
          <w:rFonts w:ascii="宋体" w:hAnsi="宋体"/>
          <w:color w:val="auto"/>
        </w:rPr>
        <w:t xml:space="preserve"> </w:t>
      </w:r>
      <w:r>
        <w:rPr>
          <w:rFonts w:ascii="宋体" w:hAnsi="宋体"/>
          <w:color w:val="auto"/>
          <w:u w:val="single"/>
        </w:rPr>
        <w:tab/>
      </w:r>
      <w:r>
        <w:rPr>
          <w:rFonts w:hint="eastAsia" w:ascii="宋体" w:hAnsi="宋体"/>
          <w:color w:val="auto"/>
          <w:u w:val="single"/>
        </w:rPr>
        <w:t xml:space="preserve">       </w:t>
      </w:r>
      <w:r>
        <w:rPr>
          <w:rFonts w:hint="eastAsia" w:ascii="宋体" w:hAnsi="宋体"/>
          <w:color w:val="auto"/>
        </w:rPr>
        <w:t>（担保人名称，以下简称</w:t>
      </w:r>
      <w:r>
        <w:rPr>
          <w:rFonts w:ascii="宋体" w:hAnsi="宋体"/>
          <w:color w:val="auto"/>
        </w:rPr>
        <w:t>“</w:t>
      </w:r>
      <w:r>
        <w:rPr>
          <w:rFonts w:hint="eastAsia" w:ascii="宋体" w:hAnsi="宋体"/>
          <w:color w:val="auto"/>
        </w:rPr>
        <w:t>我方</w:t>
      </w:r>
      <w:r>
        <w:rPr>
          <w:rFonts w:ascii="宋体" w:hAnsi="宋体"/>
          <w:color w:val="auto"/>
        </w:rPr>
        <w:t>”</w:t>
      </w:r>
      <w:r>
        <w:rPr>
          <w:rFonts w:hint="eastAsia" w:ascii="宋体" w:hAnsi="宋体"/>
          <w:color w:val="auto"/>
        </w:rPr>
        <w:t>）无条件地、不可撤销地保证：若投标人在投标有效期内撤销投标文件，中标后无正当理由不与招标人订立合同，在签订合同时向招标人提出附加条件，不按照招标文件要求提交履约保证金，或者发生招标文件明确规定可以不予退还投标保证金的其他情形，我方承担保证责任。收到你方书面通知后，我方在</w:t>
      </w:r>
      <w:r>
        <w:rPr>
          <w:rFonts w:ascii="宋体" w:hAnsi="宋体"/>
          <w:color w:val="auto"/>
        </w:rPr>
        <w:t xml:space="preserve"> 7 </w:t>
      </w:r>
      <w:r>
        <w:rPr>
          <w:rFonts w:hint="eastAsia" w:ascii="宋体" w:hAnsi="宋体"/>
          <w:color w:val="auto"/>
        </w:rPr>
        <w:t>日内向你方无条件支付人民币（大写）</w:t>
      </w:r>
      <w:r>
        <w:rPr>
          <w:rFonts w:ascii="宋体" w:hAnsi="宋体"/>
          <w:color w:val="auto"/>
        </w:rPr>
        <w:t xml:space="preserve"> </w:t>
      </w:r>
      <w:r>
        <w:rPr>
          <w:rFonts w:ascii="宋体" w:hAnsi="宋体"/>
          <w:color w:val="auto"/>
          <w:u w:val="single"/>
        </w:rPr>
        <w:tab/>
      </w:r>
      <w:r>
        <w:rPr>
          <w:rFonts w:hint="eastAsia" w:ascii="宋体" w:hAnsi="宋体"/>
          <w:color w:val="auto"/>
          <w:u w:val="single"/>
        </w:rPr>
        <w:t xml:space="preserve">      </w:t>
      </w:r>
      <w:r>
        <w:rPr>
          <w:rFonts w:hint="eastAsia" w:ascii="宋体" w:hAnsi="宋体"/>
          <w:color w:val="auto"/>
        </w:rPr>
        <w:t>元。</w:t>
      </w:r>
    </w:p>
    <w:p w14:paraId="42426348">
      <w:pPr>
        <w:spacing w:line="360" w:lineRule="auto"/>
        <w:ind w:firstLine="420" w:firstLineChars="200"/>
        <w:rPr>
          <w:rFonts w:ascii="宋体" w:hAnsi="宋体"/>
          <w:color w:val="auto"/>
        </w:rPr>
      </w:pPr>
      <w:r>
        <w:rPr>
          <w:rFonts w:hint="eastAsia" w:ascii="宋体" w:hAnsi="宋体"/>
          <w:color w:val="auto"/>
        </w:rPr>
        <w:t>本保函在投标有效期内保持有效。要求我方承担保证责任的通知应在投标有效期内送达我方。</w:t>
      </w:r>
    </w:p>
    <w:p w14:paraId="16D7F49D">
      <w:pPr>
        <w:autoSpaceDE w:val="0"/>
        <w:autoSpaceDN w:val="0"/>
        <w:adjustRightInd w:val="0"/>
        <w:spacing w:line="200" w:lineRule="exact"/>
        <w:jc w:val="left"/>
        <w:rPr>
          <w:rFonts w:ascii="宋体" w:hAnsi="宋体" w:cs="微软雅黑"/>
          <w:color w:val="auto"/>
          <w:kern w:val="0"/>
          <w:sz w:val="20"/>
        </w:rPr>
      </w:pPr>
    </w:p>
    <w:p w14:paraId="02D11A96">
      <w:pPr>
        <w:autoSpaceDE w:val="0"/>
        <w:autoSpaceDN w:val="0"/>
        <w:adjustRightInd w:val="0"/>
        <w:spacing w:line="200" w:lineRule="exact"/>
        <w:jc w:val="left"/>
        <w:rPr>
          <w:rFonts w:ascii="宋体" w:hAnsi="宋体" w:cs="微软雅黑"/>
          <w:color w:val="auto"/>
          <w:kern w:val="0"/>
          <w:sz w:val="20"/>
        </w:rPr>
      </w:pPr>
    </w:p>
    <w:p w14:paraId="7609BF54">
      <w:pPr>
        <w:autoSpaceDE w:val="0"/>
        <w:autoSpaceDN w:val="0"/>
        <w:adjustRightInd w:val="0"/>
        <w:spacing w:line="200" w:lineRule="exact"/>
        <w:jc w:val="left"/>
        <w:rPr>
          <w:rFonts w:ascii="宋体" w:hAnsi="宋体" w:cs="微软雅黑"/>
          <w:color w:val="auto"/>
          <w:kern w:val="0"/>
          <w:sz w:val="20"/>
        </w:rPr>
      </w:pPr>
    </w:p>
    <w:p w14:paraId="771F9B4E">
      <w:pPr>
        <w:autoSpaceDE w:val="0"/>
        <w:autoSpaceDN w:val="0"/>
        <w:adjustRightInd w:val="0"/>
        <w:spacing w:line="200" w:lineRule="exact"/>
        <w:jc w:val="left"/>
        <w:rPr>
          <w:rFonts w:ascii="宋体" w:hAnsi="宋体" w:cs="微软雅黑"/>
          <w:color w:val="auto"/>
          <w:kern w:val="0"/>
          <w:sz w:val="20"/>
        </w:rPr>
      </w:pPr>
    </w:p>
    <w:p w14:paraId="72371C5A">
      <w:pPr>
        <w:autoSpaceDE w:val="0"/>
        <w:autoSpaceDN w:val="0"/>
        <w:adjustRightInd w:val="0"/>
        <w:spacing w:line="200" w:lineRule="exact"/>
        <w:jc w:val="left"/>
        <w:rPr>
          <w:rFonts w:ascii="宋体" w:hAnsi="宋体" w:cs="微软雅黑"/>
          <w:color w:val="auto"/>
          <w:kern w:val="0"/>
          <w:sz w:val="20"/>
        </w:rPr>
      </w:pPr>
    </w:p>
    <w:p w14:paraId="498843FC">
      <w:pPr>
        <w:autoSpaceDE w:val="0"/>
        <w:autoSpaceDN w:val="0"/>
        <w:adjustRightInd w:val="0"/>
        <w:spacing w:line="200" w:lineRule="exact"/>
        <w:jc w:val="left"/>
        <w:rPr>
          <w:rFonts w:ascii="宋体" w:hAnsi="宋体" w:cs="微软雅黑"/>
          <w:color w:val="auto"/>
          <w:kern w:val="0"/>
          <w:sz w:val="20"/>
        </w:rPr>
      </w:pPr>
    </w:p>
    <w:p w14:paraId="05952C2C">
      <w:pPr>
        <w:autoSpaceDE w:val="0"/>
        <w:autoSpaceDN w:val="0"/>
        <w:adjustRightInd w:val="0"/>
        <w:spacing w:line="240" w:lineRule="exact"/>
        <w:jc w:val="left"/>
        <w:rPr>
          <w:rFonts w:ascii="宋体" w:hAnsi="宋体" w:cs="微软雅黑"/>
          <w:color w:val="auto"/>
          <w:kern w:val="0"/>
          <w:sz w:val="24"/>
        </w:rPr>
      </w:pPr>
    </w:p>
    <w:p w14:paraId="610159C1">
      <w:pPr>
        <w:spacing w:line="360" w:lineRule="auto"/>
        <w:ind w:right="420" w:firstLine="3150" w:firstLineChars="1500"/>
        <w:rPr>
          <w:rFonts w:hint="eastAsia" w:ascii="宋体" w:hAnsi="宋体"/>
          <w:color w:val="auto"/>
        </w:rPr>
      </w:pPr>
      <w:r>
        <w:rPr>
          <w:rFonts w:hint="eastAsia" w:ascii="宋体" w:hAnsi="宋体"/>
          <w:color w:val="auto"/>
        </w:rPr>
        <w:t>担保人名称：</w:t>
      </w:r>
      <w:r>
        <w:rPr>
          <w:rFonts w:hint="eastAsia" w:ascii="宋体" w:hAnsi="宋体"/>
          <w:color w:val="auto"/>
          <w:u w:val="single"/>
        </w:rPr>
        <w:t xml:space="preserve">                            </w:t>
      </w:r>
      <w:r>
        <w:rPr>
          <w:rFonts w:hint="eastAsia" w:ascii="宋体" w:hAnsi="宋体"/>
          <w:color w:val="auto"/>
        </w:rPr>
        <w:t>（盖单位章）</w:t>
      </w:r>
    </w:p>
    <w:p w14:paraId="36420EBE">
      <w:pPr>
        <w:spacing w:line="360" w:lineRule="auto"/>
        <w:ind w:right="315"/>
        <w:jc w:val="right"/>
        <w:rPr>
          <w:rFonts w:hint="eastAsia" w:ascii="宋体" w:hAnsi="宋体"/>
          <w:color w:val="auto"/>
        </w:rPr>
      </w:pPr>
      <w:r>
        <w:rPr>
          <w:rFonts w:hint="eastAsia" w:ascii="宋体" w:hAnsi="宋体"/>
          <w:color w:val="auto"/>
        </w:rPr>
        <w:t>法定代</w:t>
      </w:r>
      <w:r>
        <w:rPr>
          <w:rFonts w:hint="eastAsia" w:ascii="宋体" w:hAnsi="宋体" w:cs="微软雅黑"/>
          <w:color w:val="auto"/>
          <w:kern w:val="0"/>
          <w:szCs w:val="21"/>
        </w:rPr>
        <w:t>表人（单位负责人）或委托代理</w:t>
      </w:r>
      <w:r>
        <w:rPr>
          <w:rFonts w:hint="eastAsia" w:ascii="宋体" w:hAnsi="宋体" w:cs="微软雅黑"/>
          <w:color w:val="auto"/>
          <w:spacing w:val="-2"/>
          <w:kern w:val="0"/>
          <w:position w:val="-2"/>
          <w:szCs w:val="21"/>
        </w:rPr>
        <w:t>人</w:t>
      </w:r>
      <w:r>
        <w:rPr>
          <w:rFonts w:hint="eastAsia" w:ascii="宋体" w:hAnsi="宋体"/>
          <w:color w:val="auto"/>
        </w:rPr>
        <w:t>：</w:t>
      </w:r>
      <w:r>
        <w:rPr>
          <w:rFonts w:hint="eastAsia" w:ascii="宋体" w:hAnsi="宋体"/>
          <w:color w:val="auto"/>
          <w:u w:val="single"/>
        </w:rPr>
        <w:t xml:space="preserve">      </w:t>
      </w:r>
      <w:r>
        <w:rPr>
          <w:rFonts w:hint="eastAsia" w:ascii="宋体" w:hAnsi="宋体"/>
          <w:color w:val="auto"/>
        </w:rPr>
        <w:t>（签字）</w:t>
      </w:r>
    </w:p>
    <w:p w14:paraId="4FB4C792">
      <w:pPr>
        <w:spacing w:line="360" w:lineRule="auto"/>
        <w:ind w:right="630" w:firstLine="3150" w:firstLineChars="1500"/>
        <w:rPr>
          <w:rFonts w:hint="eastAsia" w:ascii="宋体" w:hAnsi="宋体"/>
          <w:color w:val="auto"/>
        </w:rPr>
      </w:pPr>
      <w:r>
        <w:rPr>
          <w:rFonts w:hint="eastAsia" w:ascii="宋体" w:hAnsi="宋体"/>
          <w:color w:val="auto"/>
        </w:rPr>
        <w:t>地    址：</w:t>
      </w:r>
      <w:r>
        <w:rPr>
          <w:rFonts w:hint="eastAsia" w:ascii="宋体" w:hAnsi="宋体"/>
          <w:color w:val="auto"/>
          <w:u w:val="single"/>
        </w:rPr>
        <w:t xml:space="preserve">                                        </w:t>
      </w:r>
    </w:p>
    <w:p w14:paraId="14D31993">
      <w:pPr>
        <w:spacing w:line="360" w:lineRule="auto"/>
        <w:ind w:right="420" w:firstLine="3150" w:firstLineChars="1500"/>
        <w:rPr>
          <w:rFonts w:hint="eastAsia" w:ascii="宋体" w:hAnsi="宋体"/>
          <w:color w:val="auto"/>
        </w:rPr>
      </w:pPr>
      <w:r>
        <w:rPr>
          <w:rFonts w:hint="eastAsia" w:ascii="宋体" w:hAnsi="宋体"/>
          <w:color w:val="auto"/>
        </w:rPr>
        <w:t>邮政编码：</w:t>
      </w:r>
      <w:r>
        <w:rPr>
          <w:rFonts w:hint="eastAsia" w:ascii="宋体" w:hAnsi="宋体"/>
          <w:color w:val="auto"/>
          <w:u w:val="single"/>
        </w:rPr>
        <w:t xml:space="preserve">                                       </w:t>
      </w:r>
      <w:r>
        <w:rPr>
          <w:rFonts w:hint="eastAsia" w:ascii="宋体" w:hAnsi="宋体"/>
          <w:color w:val="auto"/>
        </w:rPr>
        <w:t xml:space="preserve"> </w:t>
      </w:r>
    </w:p>
    <w:p w14:paraId="7542C731">
      <w:pPr>
        <w:spacing w:line="360" w:lineRule="auto"/>
        <w:ind w:right="420" w:firstLine="3150" w:firstLineChars="1500"/>
        <w:rPr>
          <w:rFonts w:hint="eastAsia" w:ascii="宋体" w:hAnsi="宋体"/>
          <w:color w:val="auto"/>
        </w:rPr>
      </w:pPr>
      <w:r>
        <w:rPr>
          <w:rFonts w:hint="eastAsia" w:ascii="宋体" w:hAnsi="宋体"/>
          <w:color w:val="auto"/>
        </w:rPr>
        <w:t>电    话：</w:t>
      </w:r>
      <w:r>
        <w:rPr>
          <w:rFonts w:hint="eastAsia" w:ascii="宋体" w:hAnsi="宋体"/>
          <w:color w:val="auto"/>
          <w:u w:val="single"/>
        </w:rPr>
        <w:t xml:space="preserve">                                       </w:t>
      </w:r>
      <w:r>
        <w:rPr>
          <w:rFonts w:hint="eastAsia" w:ascii="宋体" w:hAnsi="宋体"/>
          <w:color w:val="auto"/>
        </w:rPr>
        <w:t xml:space="preserve"> </w:t>
      </w:r>
    </w:p>
    <w:p w14:paraId="79559FAB">
      <w:pPr>
        <w:spacing w:line="360" w:lineRule="auto"/>
        <w:ind w:right="420" w:firstLine="3150" w:firstLineChars="1500"/>
        <w:rPr>
          <w:rFonts w:hint="eastAsia" w:ascii="宋体" w:hAnsi="宋体"/>
          <w:color w:val="auto"/>
        </w:rPr>
      </w:pPr>
      <w:r>
        <w:rPr>
          <w:rFonts w:hint="eastAsia" w:ascii="宋体" w:hAnsi="宋体"/>
          <w:color w:val="auto"/>
        </w:rPr>
        <w:t>传    真：</w:t>
      </w:r>
      <w:r>
        <w:rPr>
          <w:rFonts w:hint="eastAsia" w:ascii="宋体" w:hAnsi="宋体"/>
          <w:color w:val="auto"/>
          <w:u w:val="single"/>
        </w:rPr>
        <w:t xml:space="preserve">                                       </w:t>
      </w:r>
      <w:r>
        <w:rPr>
          <w:rFonts w:hint="eastAsia" w:ascii="宋体" w:hAnsi="宋体"/>
          <w:color w:val="auto"/>
        </w:rPr>
        <w:t xml:space="preserve"> </w:t>
      </w:r>
    </w:p>
    <w:p w14:paraId="03394F74">
      <w:pPr>
        <w:spacing w:line="360" w:lineRule="auto"/>
        <w:jc w:val="right"/>
        <w:rPr>
          <w:rFonts w:hint="eastAsia" w:ascii="宋体" w:hAnsi="宋体"/>
          <w:color w:val="auto"/>
        </w:rPr>
      </w:pPr>
    </w:p>
    <w:p w14:paraId="7E075B54">
      <w:pPr>
        <w:spacing w:line="360" w:lineRule="auto"/>
        <w:ind w:right="420" w:firstLine="435"/>
        <w:jc w:val="center"/>
        <w:rPr>
          <w:rFonts w:ascii="宋体" w:hAnsi="宋体"/>
          <w:color w:val="auto"/>
        </w:rPr>
      </w:pPr>
      <w:r>
        <w:rPr>
          <w:rFonts w:hint="eastAsia" w:ascii="宋体" w:hAnsi="宋体"/>
          <w:color w:val="auto"/>
        </w:rPr>
        <w:t xml:space="preserve">                                    _____年_____月_____日</w:t>
      </w:r>
    </w:p>
    <w:p w14:paraId="2EA43625">
      <w:pPr>
        <w:spacing w:line="360" w:lineRule="auto"/>
        <w:ind w:right="420" w:firstLine="435"/>
        <w:jc w:val="center"/>
        <w:rPr>
          <w:rFonts w:ascii="宋体" w:hAnsi="宋体"/>
          <w:color w:val="auto"/>
        </w:rPr>
      </w:pPr>
    </w:p>
    <w:p w14:paraId="32613BAC">
      <w:pPr>
        <w:spacing w:line="360" w:lineRule="auto"/>
        <w:ind w:right="420" w:firstLine="435"/>
        <w:jc w:val="center"/>
        <w:rPr>
          <w:rFonts w:ascii="宋体" w:hAnsi="宋体"/>
          <w:color w:val="auto"/>
        </w:rPr>
      </w:pPr>
    </w:p>
    <w:p w14:paraId="0C08CFA5">
      <w:pPr>
        <w:spacing w:line="360" w:lineRule="auto"/>
        <w:ind w:right="420"/>
        <w:jc w:val="left"/>
        <w:rPr>
          <w:rFonts w:hint="eastAsia" w:ascii="宋体" w:hAnsi="宋体"/>
          <w:color w:val="auto"/>
        </w:rPr>
      </w:pPr>
    </w:p>
    <w:p w14:paraId="2BC165F6">
      <w:pPr>
        <w:spacing w:line="400" w:lineRule="exact"/>
        <w:ind w:left="840" w:hanging="840" w:hangingChars="400"/>
        <w:rPr>
          <w:rFonts w:hint="eastAsia" w:ascii="宋体" w:hAnsi="宋体"/>
          <w:color w:val="auto"/>
          <w:szCs w:val="21"/>
        </w:rPr>
      </w:pPr>
      <w:r>
        <w:rPr>
          <w:rFonts w:hint="eastAsia" w:ascii="宋体" w:hAnsi="宋体"/>
          <w:color w:val="auto"/>
          <w:szCs w:val="21"/>
        </w:rPr>
        <w:t>备注：1.投标人采用保函形式提交投标保证金的采用本格式。</w:t>
      </w:r>
    </w:p>
    <w:p w14:paraId="30F4B0EA">
      <w:pPr>
        <w:spacing w:line="400" w:lineRule="exact"/>
        <w:ind w:left="840" w:leftChars="300" w:hanging="210" w:hangingChars="100"/>
        <w:rPr>
          <w:rFonts w:hint="eastAsia" w:ascii="宋体" w:hAnsi="宋体"/>
          <w:color w:val="auto"/>
          <w:szCs w:val="21"/>
        </w:rPr>
      </w:pPr>
      <w:r>
        <w:rPr>
          <w:rFonts w:hint="eastAsia" w:ascii="宋体" w:hAnsi="宋体"/>
          <w:color w:val="auto"/>
          <w:szCs w:val="21"/>
        </w:rPr>
        <w:t>2.投标人可采用银行提供的保函格式，但担保内容不得背离招标文件约定的实质性内容或对招标人的权利造成实质性的限制。</w:t>
      </w:r>
    </w:p>
    <w:p w14:paraId="00725346">
      <w:pPr>
        <w:tabs>
          <w:tab w:val="left" w:pos="6420"/>
          <w:tab w:val="left" w:pos="7480"/>
          <w:tab w:val="left" w:pos="8520"/>
        </w:tabs>
        <w:autoSpaceDE w:val="0"/>
        <w:autoSpaceDN w:val="0"/>
        <w:adjustRightInd w:val="0"/>
        <w:spacing w:line="296" w:lineRule="exact"/>
        <w:ind w:left="5593" w:right="-20"/>
        <w:jc w:val="left"/>
        <w:rPr>
          <w:rFonts w:ascii="宋体" w:hAnsi="宋体" w:cs="微软雅黑"/>
          <w:color w:val="auto"/>
          <w:kern w:val="0"/>
          <w:szCs w:val="21"/>
        </w:rPr>
        <w:sectPr>
          <w:pgSz w:w="12240" w:h="15840"/>
          <w:pgMar w:top="1440" w:right="1680" w:bottom="1440" w:left="1700" w:header="850" w:footer="720" w:gutter="0"/>
          <w:cols w:space="0" w:num="1"/>
          <w:rtlGutter w:val="0"/>
          <w:docGrid w:linePitch="0" w:charSpace="0"/>
        </w:sectPr>
      </w:pPr>
    </w:p>
    <w:p w14:paraId="12F80C62">
      <w:pPr>
        <w:pStyle w:val="83"/>
        <w:spacing w:before="63"/>
        <w:rPr>
          <w:color w:val="auto"/>
          <w:sz w:val="28"/>
          <w:szCs w:val="28"/>
        </w:rPr>
      </w:pPr>
      <w:bookmarkStart w:id="2133" w:name="_Toc154064024"/>
      <w:r>
        <w:rPr>
          <w:rFonts w:hint="eastAsia"/>
          <w:color w:val="auto"/>
          <w:sz w:val="28"/>
          <w:szCs w:val="28"/>
        </w:rPr>
        <w:t>四、联合体协议书</w:t>
      </w:r>
      <w:bookmarkEnd w:id="2124"/>
      <w:bookmarkEnd w:id="2125"/>
      <w:bookmarkEnd w:id="2126"/>
      <w:bookmarkEnd w:id="2127"/>
      <w:bookmarkEnd w:id="2128"/>
      <w:bookmarkEnd w:id="2129"/>
      <w:bookmarkEnd w:id="2130"/>
      <w:bookmarkEnd w:id="2131"/>
      <w:bookmarkEnd w:id="2132"/>
      <w:bookmarkEnd w:id="2133"/>
    </w:p>
    <w:p w14:paraId="20820491">
      <w:pPr>
        <w:spacing w:line="400" w:lineRule="exact"/>
        <w:jc w:val="center"/>
        <w:rPr>
          <w:color w:val="auto"/>
          <w:szCs w:val="21"/>
        </w:rPr>
      </w:pPr>
    </w:p>
    <w:p w14:paraId="29FAD1B0">
      <w:pPr>
        <w:spacing w:line="394" w:lineRule="exact"/>
        <w:ind w:firstLine="525" w:firstLineChars="250"/>
        <w:rPr>
          <w:rFonts w:hint="eastAsia" w:ascii="宋体" w:hAnsi="宋体"/>
          <w:color w:val="auto"/>
          <w:szCs w:val="21"/>
        </w:rPr>
      </w:pPr>
      <w:r>
        <w:rPr>
          <w:rFonts w:hint="eastAsia" w:ascii="宋体" w:hAnsi="宋体"/>
          <w:color w:val="auto"/>
          <w:szCs w:val="21"/>
          <w:u w:val="single"/>
        </w:rPr>
        <w:t xml:space="preserve">               </w:t>
      </w:r>
      <w:r>
        <w:rPr>
          <w:rFonts w:hint="eastAsia" w:ascii="宋体" w:hAnsi="宋体"/>
          <w:color w:val="auto"/>
          <w:szCs w:val="21"/>
        </w:rPr>
        <w:t>（所有成员单位名称）自愿组成</w:t>
      </w:r>
      <w:r>
        <w:rPr>
          <w:rFonts w:hint="eastAsia" w:ascii="宋体" w:hAnsi="宋体"/>
          <w:color w:val="auto"/>
          <w:szCs w:val="21"/>
          <w:u w:val="single"/>
        </w:rPr>
        <w:t xml:space="preserve">       </w:t>
      </w:r>
      <w:r>
        <w:rPr>
          <w:rFonts w:hint="eastAsia" w:ascii="宋体" w:hAnsi="宋体"/>
          <w:color w:val="auto"/>
          <w:szCs w:val="21"/>
        </w:rPr>
        <w:t>（联合体名称）联合体，共同参加</w:t>
      </w:r>
      <w:r>
        <w:rPr>
          <w:rFonts w:hint="eastAsia" w:ascii="宋体" w:hAnsi="宋体"/>
          <w:color w:val="auto"/>
          <w:u w:val="single"/>
        </w:rPr>
        <w:t xml:space="preserve">       </w:t>
      </w:r>
      <w:r>
        <w:rPr>
          <w:rFonts w:hint="eastAsia" w:ascii="宋体" w:hAnsi="宋体"/>
          <w:color w:val="auto"/>
        </w:rPr>
        <w:t>（项目名称）</w:t>
      </w:r>
      <w:r>
        <w:rPr>
          <w:rFonts w:hint="eastAsia" w:ascii="宋体" w:hAnsi="宋体"/>
          <w:color w:val="auto"/>
          <w:u w:val="single"/>
        </w:rPr>
        <w:t xml:space="preserve">    </w:t>
      </w:r>
      <w:r>
        <w:rPr>
          <w:rFonts w:hint="eastAsia" w:ascii="宋体" w:hAnsi="宋体"/>
          <w:color w:val="auto"/>
        </w:rPr>
        <w:t>（标段名称）</w:t>
      </w:r>
      <w:r>
        <w:rPr>
          <w:rFonts w:hint="eastAsia" w:ascii="宋体" w:hAnsi="宋体"/>
          <w:color w:val="auto"/>
          <w:szCs w:val="21"/>
        </w:rPr>
        <w:t>工程总承包投标。现就联合体投标事宜订立如下协议：</w:t>
      </w:r>
    </w:p>
    <w:p w14:paraId="7ECE08A1">
      <w:pPr>
        <w:spacing w:line="394" w:lineRule="exact"/>
        <w:ind w:firstLine="420" w:firstLineChars="200"/>
        <w:rPr>
          <w:rFonts w:hint="eastAsia" w:ascii="宋体" w:hAnsi="宋体"/>
          <w:color w:val="auto"/>
          <w:szCs w:val="21"/>
        </w:rPr>
      </w:pPr>
      <w:r>
        <w:rPr>
          <w:rFonts w:hint="eastAsia"/>
          <w:color w:val="auto"/>
          <w:szCs w:val="21"/>
        </w:rPr>
        <w:t>1</w:t>
      </w:r>
      <w:r>
        <w:rPr>
          <w:rFonts w:hint="eastAsia" w:ascii="宋体" w:hAnsi="宋体"/>
          <w:color w:val="auto"/>
          <w:szCs w:val="21"/>
        </w:rPr>
        <w:t>．</w:t>
      </w:r>
      <w:r>
        <w:rPr>
          <w:rFonts w:hint="eastAsia" w:ascii="宋体" w:hAnsi="宋体"/>
          <w:color w:val="auto"/>
          <w:szCs w:val="21"/>
          <w:u w:val="single"/>
        </w:rPr>
        <w:t xml:space="preserve">        </w:t>
      </w:r>
      <w:r>
        <w:rPr>
          <w:rFonts w:hint="eastAsia" w:ascii="宋体" w:hAnsi="宋体"/>
          <w:color w:val="auto"/>
          <w:szCs w:val="21"/>
        </w:rPr>
        <w:t>（某成员单位名称）为</w:t>
      </w:r>
      <w:r>
        <w:rPr>
          <w:rFonts w:hint="eastAsia" w:ascii="宋体" w:hAnsi="宋体"/>
          <w:color w:val="auto"/>
          <w:szCs w:val="21"/>
          <w:u w:val="single"/>
        </w:rPr>
        <w:t xml:space="preserve">              </w:t>
      </w:r>
      <w:r>
        <w:rPr>
          <w:rFonts w:hint="eastAsia" w:ascii="宋体" w:hAnsi="宋体"/>
          <w:color w:val="auto"/>
          <w:szCs w:val="21"/>
        </w:rPr>
        <w:t>（联合体名称）牵头人。</w:t>
      </w:r>
    </w:p>
    <w:p w14:paraId="5FD42E47">
      <w:pPr>
        <w:spacing w:line="394" w:lineRule="exact"/>
        <w:ind w:firstLine="420" w:firstLineChars="200"/>
        <w:rPr>
          <w:rFonts w:hint="eastAsia" w:ascii="宋体" w:hAnsi="宋体"/>
          <w:color w:val="auto"/>
          <w:szCs w:val="21"/>
        </w:rPr>
      </w:pPr>
      <w:r>
        <w:rPr>
          <w:rFonts w:hint="eastAsia"/>
          <w:color w:val="auto"/>
          <w:szCs w:val="21"/>
        </w:rPr>
        <w:t>2</w:t>
      </w:r>
      <w:r>
        <w:rPr>
          <w:rFonts w:hint="eastAsia" w:ascii="宋体" w:hAnsi="宋体"/>
          <w:color w:val="auto"/>
          <w:szCs w:val="21"/>
        </w:rPr>
        <w:t>．联合体牵头人合法代表联合体各成员负责本招标项目资格预审申请文件、投标文件编制和合同谈判活动，并代表联合体提交和接收相关的资料、信息及指示，并处理与之有关的一切事务，负责合同实施阶段的主办、组织和协调工作。</w:t>
      </w:r>
    </w:p>
    <w:p w14:paraId="3C58B9F8">
      <w:pPr>
        <w:spacing w:line="394" w:lineRule="exact"/>
        <w:ind w:firstLine="420" w:firstLineChars="200"/>
        <w:rPr>
          <w:rFonts w:hint="eastAsia" w:ascii="宋体" w:hAnsi="宋体"/>
          <w:color w:val="auto"/>
          <w:szCs w:val="21"/>
        </w:rPr>
      </w:pPr>
      <w:r>
        <w:rPr>
          <w:rFonts w:hint="eastAsia"/>
          <w:color w:val="auto"/>
          <w:szCs w:val="21"/>
        </w:rPr>
        <w:t>3</w:t>
      </w:r>
      <w:r>
        <w:rPr>
          <w:rFonts w:hint="eastAsia" w:ascii="宋体" w:hAnsi="宋体"/>
          <w:color w:val="auto"/>
          <w:szCs w:val="21"/>
        </w:rPr>
        <w:t>．联合体将严格按照资格预审文件和招标文件的各项要求，递交资格预审申请文件和投标文件，履行合同，并对外承担连带责任。</w:t>
      </w:r>
    </w:p>
    <w:p w14:paraId="7F5FD992">
      <w:pPr>
        <w:spacing w:line="394" w:lineRule="exact"/>
        <w:ind w:firstLine="420" w:firstLineChars="200"/>
        <w:rPr>
          <w:rFonts w:hint="eastAsia" w:ascii="宋体" w:hAnsi="宋体"/>
          <w:color w:val="auto"/>
          <w:szCs w:val="21"/>
        </w:rPr>
      </w:pPr>
      <w:r>
        <w:rPr>
          <w:rFonts w:hint="eastAsia"/>
          <w:color w:val="auto"/>
          <w:szCs w:val="21"/>
        </w:rPr>
        <w:t>4</w:t>
      </w:r>
      <w:r>
        <w:rPr>
          <w:rFonts w:hint="eastAsia" w:ascii="宋体" w:hAnsi="宋体"/>
          <w:color w:val="auto"/>
          <w:szCs w:val="21"/>
        </w:rPr>
        <w:t>．联合体各成员单位内部的职责分工如下：</w:t>
      </w:r>
      <w:r>
        <w:rPr>
          <w:rFonts w:hint="eastAsia" w:ascii="宋体" w:hAnsi="宋体"/>
          <w:color w:val="auto"/>
          <w:szCs w:val="21"/>
          <w:u w:val="single"/>
        </w:rPr>
        <w:t xml:space="preserve">                               </w:t>
      </w:r>
      <w:r>
        <w:rPr>
          <w:rFonts w:hint="eastAsia" w:ascii="宋体" w:hAnsi="宋体"/>
          <w:color w:val="auto"/>
          <w:szCs w:val="21"/>
        </w:rPr>
        <w:t>。按照上述分工，联合体成员单位各自所承担的合同工作量比例如下：</w:t>
      </w:r>
      <w:r>
        <w:rPr>
          <w:rFonts w:hint="eastAsia" w:ascii="宋体" w:hAnsi="宋体"/>
          <w:color w:val="auto"/>
          <w:szCs w:val="21"/>
          <w:u w:val="single"/>
        </w:rPr>
        <w:t xml:space="preserve">                      </w:t>
      </w:r>
      <w:r>
        <w:rPr>
          <w:rFonts w:hint="eastAsia" w:ascii="宋体" w:hAnsi="宋体"/>
          <w:color w:val="auto"/>
          <w:szCs w:val="21"/>
        </w:rPr>
        <w:t>。</w:t>
      </w:r>
    </w:p>
    <w:p w14:paraId="00A5508C">
      <w:pPr>
        <w:spacing w:line="394" w:lineRule="exact"/>
        <w:ind w:firstLine="420" w:firstLineChars="200"/>
        <w:rPr>
          <w:rFonts w:hint="eastAsia" w:ascii="宋体" w:hAnsi="宋体"/>
          <w:color w:val="auto"/>
          <w:szCs w:val="21"/>
        </w:rPr>
      </w:pPr>
      <w:r>
        <w:rPr>
          <w:rFonts w:hint="eastAsia"/>
          <w:color w:val="auto"/>
          <w:szCs w:val="21"/>
        </w:rPr>
        <w:t>5</w:t>
      </w:r>
      <w:r>
        <w:rPr>
          <w:rFonts w:hint="eastAsia" w:ascii="宋体" w:hAnsi="宋体"/>
          <w:color w:val="auto"/>
          <w:szCs w:val="21"/>
        </w:rPr>
        <w:t>．本协议书自签署之日起生效，合同履行完毕后自动失效。</w:t>
      </w:r>
    </w:p>
    <w:p w14:paraId="6F46EAEA">
      <w:pPr>
        <w:spacing w:line="394" w:lineRule="exact"/>
        <w:ind w:firstLine="420" w:firstLineChars="200"/>
        <w:rPr>
          <w:rFonts w:hint="eastAsia" w:ascii="宋体" w:hAnsi="宋体"/>
          <w:color w:val="auto"/>
          <w:szCs w:val="21"/>
        </w:rPr>
      </w:pPr>
      <w:r>
        <w:rPr>
          <w:rFonts w:hint="eastAsia"/>
          <w:color w:val="auto"/>
          <w:szCs w:val="21"/>
        </w:rPr>
        <w:t>8</w:t>
      </w:r>
      <w:r>
        <w:rPr>
          <w:rFonts w:hint="eastAsia" w:ascii="宋体" w:hAnsi="宋体"/>
          <w:color w:val="auto"/>
          <w:szCs w:val="21"/>
        </w:rPr>
        <w:t>．本协议书一式</w:t>
      </w:r>
      <w:r>
        <w:rPr>
          <w:rFonts w:hint="eastAsia" w:ascii="宋体" w:hAnsi="宋体"/>
          <w:color w:val="auto"/>
          <w:szCs w:val="21"/>
          <w:u w:val="single"/>
        </w:rPr>
        <w:t xml:space="preserve">      </w:t>
      </w:r>
      <w:r>
        <w:rPr>
          <w:rFonts w:hint="eastAsia" w:ascii="宋体" w:hAnsi="宋体"/>
          <w:color w:val="auto"/>
          <w:szCs w:val="21"/>
        </w:rPr>
        <w:t>份，联合体成员和招标人各执一份。</w:t>
      </w:r>
    </w:p>
    <w:p w14:paraId="3FE81999">
      <w:pPr>
        <w:spacing w:line="394" w:lineRule="exact"/>
        <w:ind w:firstLine="420" w:firstLineChars="200"/>
        <w:rPr>
          <w:rFonts w:hint="eastAsia" w:ascii="宋体" w:hAnsi="宋体"/>
          <w:color w:val="auto"/>
          <w:szCs w:val="21"/>
        </w:rPr>
      </w:pPr>
    </w:p>
    <w:p w14:paraId="5D4E6FC1">
      <w:pPr>
        <w:spacing w:line="394" w:lineRule="exact"/>
        <w:ind w:firstLine="420" w:firstLineChars="200"/>
        <w:rPr>
          <w:rFonts w:hint="eastAsia" w:ascii="宋体" w:hAnsi="宋体"/>
          <w:color w:val="auto"/>
          <w:szCs w:val="21"/>
        </w:rPr>
      </w:pPr>
    </w:p>
    <w:p w14:paraId="779A6E8C">
      <w:pPr>
        <w:spacing w:line="394" w:lineRule="exact"/>
        <w:ind w:firstLine="1785" w:firstLineChars="850"/>
        <w:rPr>
          <w:rFonts w:hint="eastAsia" w:ascii="宋体" w:hAnsi="宋体"/>
          <w:color w:val="auto"/>
          <w:szCs w:val="21"/>
        </w:rPr>
      </w:pPr>
      <w:r>
        <w:rPr>
          <w:rFonts w:hint="eastAsia" w:ascii="宋体" w:hAnsi="宋体"/>
          <w:color w:val="auto"/>
          <w:szCs w:val="21"/>
        </w:rPr>
        <w:t>牵头人名称：</w:t>
      </w:r>
      <w:r>
        <w:rPr>
          <w:rFonts w:hint="eastAsia" w:ascii="宋体" w:hAnsi="宋体"/>
          <w:color w:val="auto"/>
          <w:szCs w:val="21"/>
          <w:u w:val="single"/>
        </w:rPr>
        <w:t xml:space="preserve">                                    </w:t>
      </w:r>
      <w:r>
        <w:rPr>
          <w:rFonts w:hint="eastAsia" w:ascii="宋体" w:hAnsi="宋体"/>
          <w:color w:val="auto"/>
          <w:szCs w:val="21"/>
        </w:rPr>
        <w:t>（盖单位章）</w:t>
      </w:r>
    </w:p>
    <w:p w14:paraId="1C411B07">
      <w:pPr>
        <w:spacing w:line="394" w:lineRule="exact"/>
        <w:ind w:firstLine="1785" w:firstLineChars="850"/>
        <w:rPr>
          <w:rFonts w:hint="eastAsia" w:ascii="宋体" w:hAnsi="宋体"/>
          <w:color w:val="auto"/>
          <w:szCs w:val="21"/>
        </w:rPr>
      </w:pPr>
      <w:r>
        <w:rPr>
          <w:rFonts w:hint="eastAsia" w:ascii="宋体" w:hAnsi="宋体"/>
          <w:color w:val="auto"/>
          <w:szCs w:val="21"/>
        </w:rPr>
        <w:t>法定代表人或其委托代理人：</w:t>
      </w:r>
      <w:r>
        <w:rPr>
          <w:rFonts w:hint="eastAsia" w:ascii="宋体" w:hAnsi="宋体"/>
          <w:color w:val="auto"/>
          <w:szCs w:val="21"/>
          <w:u w:val="single"/>
        </w:rPr>
        <w:t xml:space="preserve">                          </w:t>
      </w:r>
      <w:r>
        <w:rPr>
          <w:rFonts w:hint="eastAsia" w:ascii="宋体" w:hAnsi="宋体"/>
          <w:color w:val="auto"/>
          <w:szCs w:val="21"/>
        </w:rPr>
        <w:t>（签字）</w:t>
      </w:r>
    </w:p>
    <w:p w14:paraId="5E9404C6">
      <w:pPr>
        <w:spacing w:line="394" w:lineRule="exact"/>
        <w:ind w:firstLine="1785" w:firstLineChars="850"/>
        <w:rPr>
          <w:rFonts w:hint="eastAsia" w:ascii="宋体" w:hAnsi="宋体"/>
          <w:color w:val="auto"/>
          <w:szCs w:val="21"/>
        </w:rPr>
      </w:pPr>
    </w:p>
    <w:p w14:paraId="16451113">
      <w:pPr>
        <w:spacing w:line="394" w:lineRule="exact"/>
        <w:ind w:firstLine="1785" w:firstLineChars="850"/>
        <w:rPr>
          <w:rFonts w:hint="eastAsia" w:ascii="宋体" w:hAnsi="宋体"/>
          <w:color w:val="auto"/>
          <w:szCs w:val="21"/>
        </w:rPr>
      </w:pPr>
      <w:r>
        <w:rPr>
          <w:rFonts w:hint="eastAsia" w:ascii="宋体" w:hAnsi="宋体"/>
          <w:color w:val="auto"/>
          <w:szCs w:val="21"/>
        </w:rPr>
        <w:t>成员一名称：</w:t>
      </w:r>
      <w:r>
        <w:rPr>
          <w:rFonts w:hint="eastAsia" w:ascii="宋体" w:hAnsi="宋体"/>
          <w:color w:val="auto"/>
          <w:szCs w:val="21"/>
          <w:u w:val="single"/>
        </w:rPr>
        <w:t xml:space="preserve">                                    </w:t>
      </w:r>
      <w:r>
        <w:rPr>
          <w:rFonts w:hint="eastAsia" w:ascii="宋体" w:hAnsi="宋体"/>
          <w:color w:val="auto"/>
          <w:szCs w:val="21"/>
        </w:rPr>
        <w:t>（盖单位章）</w:t>
      </w:r>
    </w:p>
    <w:p w14:paraId="6F1B9ED1">
      <w:pPr>
        <w:spacing w:line="394" w:lineRule="exact"/>
        <w:ind w:firstLine="1785" w:firstLineChars="850"/>
        <w:rPr>
          <w:rFonts w:hint="eastAsia" w:ascii="宋体" w:hAnsi="宋体"/>
          <w:color w:val="auto"/>
          <w:szCs w:val="21"/>
        </w:rPr>
      </w:pPr>
      <w:r>
        <w:rPr>
          <w:rFonts w:hint="eastAsia" w:ascii="宋体" w:hAnsi="宋体"/>
          <w:color w:val="auto"/>
          <w:szCs w:val="21"/>
        </w:rPr>
        <w:t>法定代表人或其委托代理人：</w:t>
      </w:r>
      <w:r>
        <w:rPr>
          <w:rFonts w:hint="eastAsia" w:ascii="宋体" w:hAnsi="宋体"/>
          <w:color w:val="auto"/>
          <w:szCs w:val="21"/>
          <w:u w:val="single"/>
        </w:rPr>
        <w:t xml:space="preserve">                          </w:t>
      </w:r>
      <w:r>
        <w:rPr>
          <w:rFonts w:hint="eastAsia" w:ascii="宋体" w:hAnsi="宋体"/>
          <w:color w:val="auto"/>
          <w:szCs w:val="21"/>
        </w:rPr>
        <w:t>（签字）</w:t>
      </w:r>
    </w:p>
    <w:p w14:paraId="7B5BE32C">
      <w:pPr>
        <w:spacing w:line="394" w:lineRule="exact"/>
        <w:ind w:firstLine="2100" w:firstLineChars="1000"/>
        <w:rPr>
          <w:rFonts w:hint="eastAsia" w:ascii="宋体" w:hAnsi="宋体"/>
          <w:color w:val="auto"/>
          <w:szCs w:val="21"/>
        </w:rPr>
      </w:pPr>
      <w:r>
        <w:rPr>
          <w:rFonts w:hint="eastAsia" w:ascii="宋体" w:hAnsi="宋体"/>
          <w:color w:val="auto"/>
          <w:szCs w:val="21"/>
        </w:rPr>
        <w:t>……</w:t>
      </w:r>
    </w:p>
    <w:p w14:paraId="07010231">
      <w:pPr>
        <w:wordWrap w:val="0"/>
        <w:spacing w:line="394" w:lineRule="exact"/>
        <w:jc w:val="right"/>
        <w:rPr>
          <w:rFonts w:hint="eastAsia" w:ascii="宋体" w:hAnsi="宋体"/>
          <w:color w:val="auto"/>
          <w:szCs w:val="21"/>
        </w:rPr>
      </w:pP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 xml:space="preserve">日           </w:t>
      </w:r>
    </w:p>
    <w:p w14:paraId="065254F1">
      <w:pPr>
        <w:spacing w:line="394" w:lineRule="exact"/>
        <w:jc w:val="right"/>
        <w:rPr>
          <w:rFonts w:hint="eastAsia" w:ascii="宋体" w:hAnsi="宋体"/>
          <w:color w:val="auto"/>
          <w:szCs w:val="21"/>
        </w:rPr>
      </w:pPr>
    </w:p>
    <w:p w14:paraId="2A4F611A">
      <w:pPr>
        <w:spacing w:line="394" w:lineRule="exact"/>
        <w:jc w:val="right"/>
        <w:rPr>
          <w:rFonts w:hint="eastAsia" w:ascii="宋体" w:hAnsi="宋体"/>
          <w:color w:val="auto"/>
          <w:szCs w:val="21"/>
        </w:rPr>
      </w:pPr>
    </w:p>
    <w:p w14:paraId="474B7AA2">
      <w:pPr>
        <w:spacing w:line="394" w:lineRule="exact"/>
        <w:jc w:val="right"/>
        <w:rPr>
          <w:rFonts w:hint="eastAsia" w:ascii="宋体" w:hAnsi="宋体"/>
          <w:color w:val="auto"/>
          <w:szCs w:val="21"/>
        </w:rPr>
      </w:pPr>
    </w:p>
    <w:p w14:paraId="0CD50593">
      <w:pPr>
        <w:spacing w:line="394" w:lineRule="exact"/>
        <w:jc w:val="right"/>
        <w:rPr>
          <w:rFonts w:hint="eastAsia" w:ascii="宋体" w:hAnsi="宋体"/>
          <w:color w:val="auto"/>
          <w:szCs w:val="21"/>
        </w:rPr>
      </w:pPr>
    </w:p>
    <w:p w14:paraId="65C73775">
      <w:pPr>
        <w:spacing w:line="394" w:lineRule="exact"/>
        <w:jc w:val="right"/>
        <w:rPr>
          <w:rFonts w:hint="eastAsia" w:ascii="宋体" w:hAnsi="宋体"/>
          <w:color w:val="auto"/>
          <w:szCs w:val="21"/>
        </w:rPr>
      </w:pPr>
    </w:p>
    <w:p w14:paraId="457EDC53">
      <w:pPr>
        <w:spacing w:line="400" w:lineRule="exact"/>
        <w:rPr>
          <w:rFonts w:hint="eastAsia" w:ascii="宋体" w:hAnsi="宋体"/>
          <w:color w:val="auto"/>
          <w:szCs w:val="21"/>
        </w:rPr>
      </w:pPr>
      <w:r>
        <w:rPr>
          <w:rFonts w:hint="eastAsia" w:ascii="宋体" w:hAnsi="宋体"/>
          <w:color w:val="auto"/>
          <w:szCs w:val="21"/>
        </w:rPr>
        <w:t>备注：1.本协议书由委托代理人签字的，应附法定代表人签字的授权委托书。</w:t>
      </w:r>
    </w:p>
    <w:p w14:paraId="1288A08F">
      <w:pPr>
        <w:spacing w:line="394" w:lineRule="exact"/>
        <w:ind w:left="840" w:leftChars="300" w:hanging="210" w:hangingChars="100"/>
        <w:rPr>
          <w:rFonts w:hint="eastAsia" w:ascii="宋体" w:hAnsi="宋体"/>
          <w:bCs/>
          <w:color w:val="auto"/>
          <w:szCs w:val="21"/>
        </w:rPr>
      </w:pPr>
      <w:r>
        <w:rPr>
          <w:rFonts w:hint="eastAsia" w:ascii="宋体" w:hAnsi="宋体"/>
          <w:color w:val="auto"/>
          <w:szCs w:val="21"/>
        </w:rPr>
        <w:t>2.投标人未采用联合体投标的，</w:t>
      </w:r>
      <w:r>
        <w:rPr>
          <w:rFonts w:hint="eastAsia" w:ascii="宋体" w:hAnsi="宋体"/>
          <w:bCs/>
          <w:color w:val="auto"/>
          <w:szCs w:val="21"/>
        </w:rPr>
        <w:t>投标文件中不需联合体协议书，也无须盖单位章和签字。</w:t>
      </w:r>
    </w:p>
    <w:p w14:paraId="35054564">
      <w:pPr>
        <w:spacing w:line="400" w:lineRule="exact"/>
        <w:ind w:left="840" w:leftChars="300" w:hanging="210" w:hangingChars="100"/>
        <w:rPr>
          <w:rFonts w:hint="eastAsia" w:ascii="宋体" w:hAnsi="宋体"/>
          <w:color w:val="auto"/>
          <w:szCs w:val="21"/>
        </w:rPr>
      </w:pPr>
      <w:r>
        <w:rPr>
          <w:rFonts w:hint="eastAsia" w:ascii="宋体" w:hAnsi="宋体"/>
          <w:color w:val="auto"/>
          <w:szCs w:val="21"/>
        </w:rPr>
        <w:t>3.政府采购工程部分预留专门面向中小企业采购的项目，招标人要求大型企业与中小微企业组成联合体形式申请（投标），且联合体中的中小企业承担的部分达到一定比例的，联合体协议书第4条中应当按照第二章申请（投标）人须知附录二“政府采购工程预留工作及金额”的范围，明确联合体各方承担的合同工作内容、合同金额及合同金额与项目合同金额的占比。同时，声明组成联合体的中小企业与联合体内其他企业之间是否存在直接控股、管理关系。</w:t>
      </w:r>
    </w:p>
    <w:p w14:paraId="5D2F3601">
      <w:pPr>
        <w:spacing w:line="400" w:lineRule="exact"/>
        <w:ind w:left="840" w:leftChars="300" w:hanging="210" w:hangingChars="100"/>
        <w:rPr>
          <w:rFonts w:hint="eastAsia" w:ascii="宋体" w:hAnsi="宋体"/>
          <w:color w:val="auto"/>
          <w:szCs w:val="21"/>
        </w:rPr>
      </w:pPr>
      <w:r>
        <w:rPr>
          <w:rFonts w:hint="eastAsia" w:ascii="宋体" w:hAnsi="宋体"/>
          <w:color w:val="auto"/>
          <w:szCs w:val="21"/>
        </w:rPr>
        <w:t>4.政府采购工程未预留份额专门面向中小企业采购的项目，招标人接受大中型企业与小微企业组成联合体形式申请（投标），且联合体中的小微企业承担的部分达到一定比例可享受价格扣除或增加价格分优惠政策的，联合体协议书第4条中可以参照第二章申请（投标）人须知附录三“</w:t>
      </w:r>
      <w:r>
        <w:rPr>
          <w:rFonts w:hint="eastAsia"/>
          <w:color w:val="auto"/>
        </w:rPr>
        <w:t>政府采购工程适合小微企业承担的工作及金额</w:t>
      </w:r>
      <w:r>
        <w:rPr>
          <w:rFonts w:hint="eastAsia" w:ascii="宋体" w:hAnsi="宋体"/>
          <w:color w:val="auto"/>
          <w:szCs w:val="21"/>
        </w:rPr>
        <w:t>”的范围，明确联合体各方承担的合同工作内容、合同金额及合同金额与项目合同金额的占比。同时，声明组成联合体的小微企业与联合体内其他企业是否存在直接控股、管理关系。</w:t>
      </w:r>
    </w:p>
    <w:p w14:paraId="2CFB597D">
      <w:pPr>
        <w:spacing w:line="394" w:lineRule="exact"/>
        <w:ind w:left="840" w:leftChars="300" w:hanging="210" w:hangingChars="100"/>
        <w:rPr>
          <w:rFonts w:hint="eastAsia" w:ascii="宋体" w:hAnsi="宋体"/>
          <w:bCs/>
          <w:color w:val="auto"/>
          <w:szCs w:val="21"/>
        </w:rPr>
      </w:pPr>
    </w:p>
    <w:p w14:paraId="62C5B6E4">
      <w:pPr>
        <w:spacing w:line="394" w:lineRule="exact"/>
        <w:ind w:left="840" w:leftChars="300" w:hanging="210" w:hangingChars="100"/>
        <w:rPr>
          <w:rFonts w:ascii="宋体" w:hAnsi="宋体"/>
          <w:color w:val="auto"/>
          <w:szCs w:val="21"/>
        </w:rPr>
      </w:pPr>
    </w:p>
    <w:p w14:paraId="51048ACB">
      <w:pPr>
        <w:spacing w:line="394" w:lineRule="exact"/>
        <w:ind w:left="840" w:leftChars="300" w:hanging="210" w:hangingChars="100"/>
        <w:rPr>
          <w:rFonts w:ascii="宋体" w:hAnsi="宋体"/>
          <w:color w:val="auto"/>
          <w:szCs w:val="21"/>
        </w:rPr>
      </w:pPr>
    </w:p>
    <w:p w14:paraId="6CCB41B4">
      <w:pPr>
        <w:spacing w:line="394" w:lineRule="exact"/>
        <w:ind w:left="840" w:leftChars="300" w:hanging="210" w:hangingChars="100"/>
        <w:rPr>
          <w:rFonts w:ascii="宋体" w:hAnsi="宋体"/>
          <w:color w:val="auto"/>
          <w:szCs w:val="21"/>
        </w:rPr>
      </w:pPr>
    </w:p>
    <w:p w14:paraId="0198B7B4">
      <w:pPr>
        <w:spacing w:line="394" w:lineRule="exact"/>
        <w:ind w:left="840" w:leftChars="300" w:hanging="210" w:hangingChars="100"/>
        <w:rPr>
          <w:rFonts w:ascii="宋体" w:hAnsi="宋体"/>
          <w:color w:val="auto"/>
          <w:szCs w:val="21"/>
        </w:rPr>
      </w:pPr>
    </w:p>
    <w:p w14:paraId="44C88E02">
      <w:pPr>
        <w:spacing w:line="394" w:lineRule="exact"/>
        <w:ind w:left="840" w:leftChars="300" w:hanging="210" w:hangingChars="100"/>
        <w:rPr>
          <w:rFonts w:ascii="宋体" w:hAnsi="宋体"/>
          <w:color w:val="auto"/>
          <w:szCs w:val="21"/>
        </w:rPr>
      </w:pPr>
    </w:p>
    <w:p w14:paraId="457BAC3F">
      <w:pPr>
        <w:spacing w:line="394" w:lineRule="exact"/>
        <w:ind w:left="840" w:leftChars="300" w:hanging="210" w:hangingChars="100"/>
        <w:rPr>
          <w:rFonts w:ascii="宋体" w:hAnsi="宋体"/>
          <w:color w:val="auto"/>
          <w:szCs w:val="21"/>
        </w:rPr>
      </w:pPr>
    </w:p>
    <w:p w14:paraId="129854C1">
      <w:pPr>
        <w:spacing w:line="394" w:lineRule="exact"/>
        <w:ind w:left="840" w:leftChars="300" w:hanging="210" w:hangingChars="100"/>
        <w:rPr>
          <w:rFonts w:ascii="宋体" w:hAnsi="宋体"/>
          <w:color w:val="auto"/>
          <w:szCs w:val="21"/>
        </w:rPr>
      </w:pPr>
    </w:p>
    <w:p w14:paraId="11E0FC3C">
      <w:pPr>
        <w:spacing w:line="394" w:lineRule="exact"/>
        <w:ind w:left="840" w:leftChars="300" w:hanging="210" w:hangingChars="100"/>
        <w:rPr>
          <w:rFonts w:ascii="宋体" w:hAnsi="宋体"/>
          <w:color w:val="auto"/>
          <w:szCs w:val="21"/>
        </w:rPr>
      </w:pPr>
    </w:p>
    <w:p w14:paraId="4FAC2C22">
      <w:pPr>
        <w:spacing w:line="394" w:lineRule="exact"/>
        <w:ind w:left="840" w:leftChars="300" w:hanging="210" w:hangingChars="100"/>
        <w:rPr>
          <w:rFonts w:ascii="宋体" w:hAnsi="宋体"/>
          <w:color w:val="auto"/>
          <w:szCs w:val="21"/>
        </w:rPr>
      </w:pPr>
    </w:p>
    <w:p w14:paraId="4EB0D6BC">
      <w:pPr>
        <w:spacing w:line="394" w:lineRule="exact"/>
        <w:ind w:left="840" w:leftChars="300" w:hanging="210" w:hangingChars="100"/>
        <w:rPr>
          <w:rFonts w:ascii="宋体" w:hAnsi="宋体"/>
          <w:color w:val="auto"/>
          <w:szCs w:val="21"/>
        </w:rPr>
      </w:pPr>
    </w:p>
    <w:p w14:paraId="1CE49A48">
      <w:pPr>
        <w:spacing w:line="394" w:lineRule="exact"/>
        <w:ind w:left="840" w:leftChars="300" w:hanging="210" w:hangingChars="100"/>
        <w:rPr>
          <w:rFonts w:ascii="宋体" w:hAnsi="宋体"/>
          <w:color w:val="auto"/>
          <w:szCs w:val="21"/>
        </w:rPr>
      </w:pPr>
    </w:p>
    <w:p w14:paraId="56D7D953">
      <w:pPr>
        <w:spacing w:line="394" w:lineRule="exact"/>
        <w:ind w:left="840" w:leftChars="300" w:hanging="210" w:hangingChars="100"/>
        <w:rPr>
          <w:rFonts w:ascii="宋体" w:hAnsi="宋体"/>
          <w:color w:val="auto"/>
          <w:szCs w:val="21"/>
        </w:rPr>
      </w:pPr>
    </w:p>
    <w:p w14:paraId="283131B9">
      <w:pPr>
        <w:spacing w:line="394" w:lineRule="exact"/>
        <w:ind w:left="840" w:leftChars="300" w:hanging="210" w:hangingChars="100"/>
        <w:rPr>
          <w:rFonts w:ascii="宋体" w:hAnsi="宋体"/>
          <w:color w:val="auto"/>
          <w:szCs w:val="21"/>
        </w:rPr>
      </w:pPr>
    </w:p>
    <w:p w14:paraId="26DD4569">
      <w:pPr>
        <w:spacing w:line="394" w:lineRule="exact"/>
        <w:ind w:left="840" w:leftChars="300" w:hanging="210" w:hangingChars="100"/>
        <w:rPr>
          <w:rFonts w:ascii="宋体" w:hAnsi="宋体"/>
          <w:color w:val="auto"/>
          <w:szCs w:val="21"/>
        </w:rPr>
      </w:pPr>
    </w:p>
    <w:p w14:paraId="61178400">
      <w:pPr>
        <w:spacing w:line="394" w:lineRule="exact"/>
        <w:ind w:left="840" w:leftChars="300" w:hanging="210" w:hangingChars="100"/>
        <w:rPr>
          <w:rFonts w:ascii="宋体" w:hAnsi="宋体"/>
          <w:color w:val="auto"/>
          <w:szCs w:val="21"/>
        </w:rPr>
      </w:pPr>
    </w:p>
    <w:p w14:paraId="653CC2B4">
      <w:pPr>
        <w:spacing w:line="394" w:lineRule="exact"/>
        <w:ind w:left="840" w:leftChars="300" w:hanging="210" w:hangingChars="100"/>
        <w:rPr>
          <w:rFonts w:ascii="宋体" w:hAnsi="宋体"/>
          <w:color w:val="auto"/>
          <w:szCs w:val="21"/>
        </w:rPr>
      </w:pPr>
    </w:p>
    <w:p w14:paraId="3DAED933">
      <w:pPr>
        <w:spacing w:line="394" w:lineRule="exact"/>
        <w:ind w:left="840" w:leftChars="300" w:hanging="210" w:hangingChars="100"/>
        <w:rPr>
          <w:rFonts w:ascii="宋体" w:hAnsi="宋体"/>
          <w:color w:val="auto"/>
          <w:szCs w:val="21"/>
        </w:rPr>
      </w:pPr>
    </w:p>
    <w:p w14:paraId="72074641">
      <w:pPr>
        <w:spacing w:line="394" w:lineRule="exact"/>
        <w:ind w:left="840" w:leftChars="300" w:hanging="210" w:hangingChars="100"/>
        <w:rPr>
          <w:rFonts w:ascii="宋体" w:hAnsi="宋体"/>
          <w:color w:val="auto"/>
          <w:szCs w:val="21"/>
        </w:rPr>
      </w:pPr>
    </w:p>
    <w:p w14:paraId="2F828808">
      <w:pPr>
        <w:spacing w:line="394" w:lineRule="exact"/>
        <w:ind w:left="840" w:leftChars="300" w:hanging="210" w:hangingChars="100"/>
        <w:rPr>
          <w:rFonts w:ascii="宋体" w:hAnsi="宋体"/>
          <w:color w:val="auto"/>
          <w:szCs w:val="21"/>
        </w:rPr>
      </w:pPr>
    </w:p>
    <w:p w14:paraId="565994E6">
      <w:pPr>
        <w:spacing w:line="394" w:lineRule="exact"/>
        <w:ind w:left="840" w:leftChars="300" w:hanging="210" w:hangingChars="100"/>
        <w:rPr>
          <w:rFonts w:ascii="宋体" w:hAnsi="宋体"/>
          <w:color w:val="auto"/>
          <w:szCs w:val="21"/>
        </w:rPr>
      </w:pPr>
    </w:p>
    <w:p w14:paraId="7C2CC0CE">
      <w:pPr>
        <w:spacing w:line="394" w:lineRule="exact"/>
        <w:ind w:left="840" w:leftChars="300" w:hanging="210" w:hangingChars="100"/>
        <w:rPr>
          <w:rFonts w:ascii="宋体" w:hAnsi="宋体"/>
          <w:color w:val="auto"/>
          <w:szCs w:val="21"/>
        </w:rPr>
      </w:pPr>
    </w:p>
    <w:p w14:paraId="33BE08CD">
      <w:pPr>
        <w:spacing w:line="394" w:lineRule="exact"/>
        <w:ind w:left="840" w:leftChars="300" w:hanging="210" w:hangingChars="100"/>
        <w:rPr>
          <w:rFonts w:hint="eastAsia" w:ascii="宋体" w:hAnsi="宋体"/>
          <w:color w:val="auto"/>
          <w:szCs w:val="21"/>
        </w:rPr>
      </w:pPr>
    </w:p>
    <w:p w14:paraId="2FA76CA0">
      <w:pPr>
        <w:pStyle w:val="83"/>
        <w:spacing w:before="63"/>
        <w:outlineLvl w:val="0"/>
        <w:rPr>
          <w:color w:val="auto"/>
          <w:sz w:val="28"/>
          <w:szCs w:val="28"/>
        </w:rPr>
      </w:pPr>
      <w:bookmarkStart w:id="2134" w:name="_Toc144974874"/>
      <w:bookmarkStart w:id="2135" w:name="_Toc26901"/>
      <w:bookmarkStart w:id="2136" w:name="_Toc221952142"/>
      <w:bookmarkStart w:id="2137" w:name="_Toc519085670"/>
      <w:bookmarkStart w:id="2138" w:name="_Toc456173564"/>
      <w:bookmarkStart w:id="2139" w:name="_Toc387753634"/>
      <w:bookmarkStart w:id="2140" w:name="_Toc229305428"/>
      <w:bookmarkStart w:id="2141" w:name="_Toc222032737"/>
      <w:bookmarkStart w:id="2142" w:name="_Toc222029568"/>
      <w:bookmarkStart w:id="2143" w:name="_Toc222033919"/>
      <w:bookmarkStart w:id="2144" w:name="_Toc168476336"/>
      <w:bookmarkStart w:id="2145" w:name="_Toc32668"/>
      <w:bookmarkStart w:id="2146" w:name="_Toc154064025"/>
      <w:bookmarkStart w:id="2147" w:name="_Toc168475933"/>
      <w:bookmarkStart w:id="2148" w:name="_Toc10486"/>
      <w:bookmarkStart w:id="2149" w:name="_Toc222031070"/>
      <w:bookmarkStart w:id="2150" w:name="_Toc6743"/>
      <w:r>
        <w:rPr>
          <w:rFonts w:hint="eastAsia"/>
          <w:color w:val="auto"/>
          <w:sz w:val="28"/>
          <w:szCs w:val="28"/>
        </w:rPr>
        <w:t>五</w:t>
      </w:r>
      <w:r>
        <w:rPr>
          <w:color w:val="auto"/>
          <w:sz w:val="28"/>
          <w:szCs w:val="28"/>
        </w:rPr>
        <w:t>、拟分包项目情况表</w:t>
      </w:r>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p>
    <w:p w14:paraId="02BE8D2E">
      <w:pPr>
        <w:spacing w:line="440" w:lineRule="exact"/>
        <w:rPr>
          <w:rFonts w:hint="eastAsia" w:eastAsia="黑体"/>
          <w:color w:val="auto"/>
          <w:sz w:val="20"/>
          <w:szCs w:val="20"/>
        </w:rPr>
      </w:pPr>
    </w:p>
    <w:tbl>
      <w:tblPr>
        <w:tblStyle w:val="41"/>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2975"/>
        <w:gridCol w:w="1419"/>
        <w:gridCol w:w="2551"/>
      </w:tblGrid>
      <w:tr w14:paraId="11ECF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center"/>
          </w:tcPr>
          <w:p w14:paraId="1FFD05C9">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bookmarkStart w:id="2151" w:name="_Toc221952143"/>
            <w:r>
              <w:rPr>
                <w:rFonts w:ascii="宋体" w:hAnsi="宋体" w:eastAsia="宋体" w:cs="Times New Roman"/>
                <w:color w:val="auto"/>
                <w:szCs w:val="21"/>
              </w:rPr>
              <w:t>分包人名称</w:t>
            </w:r>
            <w:bookmarkEnd w:id="2151"/>
          </w:p>
        </w:tc>
        <w:tc>
          <w:tcPr>
            <w:tcW w:w="6945" w:type="dxa"/>
            <w:gridSpan w:val="3"/>
            <w:noWrap w:val="0"/>
            <w:vAlign w:val="center"/>
          </w:tcPr>
          <w:p w14:paraId="1990C6AC">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p>
        </w:tc>
      </w:tr>
      <w:tr w14:paraId="49D22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center"/>
          </w:tcPr>
          <w:p w14:paraId="31ECA349">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bookmarkStart w:id="2152" w:name="_Toc221952144"/>
            <w:r>
              <w:rPr>
                <w:rFonts w:ascii="宋体" w:hAnsi="宋体" w:eastAsia="宋体" w:cs="Times New Roman"/>
                <w:color w:val="auto"/>
                <w:szCs w:val="21"/>
              </w:rPr>
              <w:t>地</w:t>
            </w:r>
            <w:r>
              <w:rPr>
                <w:rFonts w:hint="eastAsia" w:ascii="宋体" w:hAnsi="宋体" w:eastAsia="宋体" w:cs="Times New Roman"/>
                <w:color w:val="auto"/>
                <w:szCs w:val="21"/>
              </w:rPr>
              <w:t xml:space="preserve">    </w:t>
            </w:r>
            <w:r>
              <w:rPr>
                <w:rFonts w:ascii="宋体" w:hAnsi="宋体" w:eastAsia="宋体" w:cs="Times New Roman"/>
                <w:color w:val="auto"/>
                <w:szCs w:val="21"/>
              </w:rPr>
              <w:t xml:space="preserve"> 址</w:t>
            </w:r>
            <w:bookmarkEnd w:id="2152"/>
          </w:p>
        </w:tc>
        <w:tc>
          <w:tcPr>
            <w:tcW w:w="6945" w:type="dxa"/>
            <w:gridSpan w:val="3"/>
            <w:noWrap w:val="0"/>
            <w:vAlign w:val="center"/>
          </w:tcPr>
          <w:p w14:paraId="4EFF111B">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p>
        </w:tc>
      </w:tr>
      <w:tr w14:paraId="155AE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center"/>
          </w:tcPr>
          <w:p w14:paraId="0D44A45A">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bookmarkStart w:id="2153" w:name="_Toc221952145"/>
            <w:r>
              <w:rPr>
                <w:rFonts w:ascii="宋体" w:hAnsi="宋体" w:eastAsia="宋体" w:cs="Times New Roman"/>
                <w:color w:val="auto"/>
                <w:szCs w:val="21"/>
              </w:rPr>
              <w:t>法定代表人</w:t>
            </w:r>
            <w:bookmarkEnd w:id="2153"/>
          </w:p>
        </w:tc>
        <w:tc>
          <w:tcPr>
            <w:tcW w:w="2975" w:type="dxa"/>
            <w:noWrap w:val="0"/>
            <w:vAlign w:val="center"/>
          </w:tcPr>
          <w:p w14:paraId="2D3A94BD">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p>
        </w:tc>
        <w:tc>
          <w:tcPr>
            <w:tcW w:w="1419" w:type="dxa"/>
            <w:noWrap w:val="0"/>
            <w:vAlign w:val="center"/>
          </w:tcPr>
          <w:p w14:paraId="66BC57F2">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bookmarkStart w:id="2154" w:name="_Toc221952146"/>
            <w:r>
              <w:rPr>
                <w:rFonts w:ascii="宋体" w:hAnsi="宋体" w:eastAsia="宋体" w:cs="Times New Roman"/>
                <w:color w:val="auto"/>
                <w:szCs w:val="21"/>
              </w:rPr>
              <w:t>电</w:t>
            </w:r>
            <w:r>
              <w:rPr>
                <w:rFonts w:hint="eastAsia" w:ascii="宋体" w:hAnsi="宋体" w:eastAsia="宋体" w:cs="Times New Roman"/>
                <w:color w:val="auto"/>
                <w:szCs w:val="21"/>
              </w:rPr>
              <w:t xml:space="preserve">     </w:t>
            </w:r>
            <w:r>
              <w:rPr>
                <w:rFonts w:ascii="宋体" w:hAnsi="宋体" w:eastAsia="宋体" w:cs="Times New Roman"/>
                <w:color w:val="auto"/>
                <w:szCs w:val="21"/>
              </w:rPr>
              <w:t>话</w:t>
            </w:r>
            <w:bookmarkEnd w:id="2154"/>
          </w:p>
        </w:tc>
        <w:tc>
          <w:tcPr>
            <w:tcW w:w="2551" w:type="dxa"/>
            <w:noWrap w:val="0"/>
            <w:vAlign w:val="center"/>
          </w:tcPr>
          <w:p w14:paraId="7CB4515F">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p>
        </w:tc>
      </w:tr>
      <w:tr w14:paraId="2ABFB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center"/>
          </w:tcPr>
          <w:p w14:paraId="19E3FFA9">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bookmarkStart w:id="2155" w:name="_Toc221952147"/>
            <w:r>
              <w:rPr>
                <w:rFonts w:ascii="宋体" w:hAnsi="宋体" w:eastAsia="宋体" w:cs="Times New Roman"/>
                <w:color w:val="auto"/>
                <w:szCs w:val="21"/>
              </w:rPr>
              <w:t>营业执照号码</w:t>
            </w:r>
            <w:bookmarkEnd w:id="2155"/>
          </w:p>
        </w:tc>
        <w:tc>
          <w:tcPr>
            <w:tcW w:w="2975" w:type="dxa"/>
            <w:noWrap w:val="0"/>
            <w:vAlign w:val="center"/>
          </w:tcPr>
          <w:p w14:paraId="7DC9367B">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p>
        </w:tc>
        <w:tc>
          <w:tcPr>
            <w:tcW w:w="1419" w:type="dxa"/>
            <w:noWrap w:val="0"/>
            <w:vAlign w:val="center"/>
          </w:tcPr>
          <w:p w14:paraId="3C22C9BB">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bookmarkStart w:id="2156" w:name="_Toc221952148"/>
            <w:r>
              <w:rPr>
                <w:rFonts w:ascii="宋体" w:hAnsi="宋体" w:eastAsia="宋体" w:cs="Times New Roman"/>
                <w:color w:val="auto"/>
                <w:szCs w:val="21"/>
              </w:rPr>
              <w:t>资质等级</w:t>
            </w:r>
            <w:bookmarkEnd w:id="2156"/>
          </w:p>
        </w:tc>
        <w:tc>
          <w:tcPr>
            <w:tcW w:w="2551" w:type="dxa"/>
            <w:noWrap w:val="0"/>
            <w:vAlign w:val="center"/>
          </w:tcPr>
          <w:p w14:paraId="0C31B33B">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p>
        </w:tc>
      </w:tr>
      <w:tr w14:paraId="6B25D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center"/>
          </w:tcPr>
          <w:p w14:paraId="747B1905">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bookmarkStart w:id="2157" w:name="_Toc221952149"/>
            <w:r>
              <w:rPr>
                <w:rFonts w:ascii="宋体" w:hAnsi="宋体" w:eastAsia="宋体" w:cs="Times New Roman"/>
                <w:color w:val="auto"/>
                <w:szCs w:val="21"/>
              </w:rPr>
              <w:t>拟分包的项目</w:t>
            </w:r>
            <w:bookmarkEnd w:id="2157"/>
          </w:p>
        </w:tc>
        <w:tc>
          <w:tcPr>
            <w:tcW w:w="2975" w:type="dxa"/>
            <w:noWrap w:val="0"/>
            <w:vAlign w:val="center"/>
          </w:tcPr>
          <w:p w14:paraId="47CE9266">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bookmarkStart w:id="2158" w:name="_Toc221952150"/>
            <w:r>
              <w:rPr>
                <w:rFonts w:ascii="宋体" w:hAnsi="宋体" w:eastAsia="宋体" w:cs="Times New Roman"/>
                <w:color w:val="auto"/>
                <w:szCs w:val="21"/>
              </w:rPr>
              <w:t>主 要 内 容</w:t>
            </w:r>
            <w:bookmarkEnd w:id="2158"/>
          </w:p>
        </w:tc>
        <w:tc>
          <w:tcPr>
            <w:tcW w:w="1419" w:type="dxa"/>
            <w:noWrap w:val="0"/>
            <w:vAlign w:val="center"/>
          </w:tcPr>
          <w:p w14:paraId="50FDA9AB">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bookmarkStart w:id="2159" w:name="_Toc221952151"/>
            <w:r>
              <w:rPr>
                <w:rFonts w:ascii="宋体" w:hAnsi="宋体" w:eastAsia="宋体" w:cs="Times New Roman"/>
                <w:color w:val="auto"/>
                <w:szCs w:val="21"/>
              </w:rPr>
              <w:t>合同估算价（万元）</w:t>
            </w:r>
            <w:bookmarkEnd w:id="2159"/>
          </w:p>
        </w:tc>
        <w:tc>
          <w:tcPr>
            <w:tcW w:w="2551" w:type="dxa"/>
            <w:noWrap w:val="0"/>
            <w:vAlign w:val="center"/>
          </w:tcPr>
          <w:p w14:paraId="50F67266">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bookmarkStart w:id="2160" w:name="_Toc221952152"/>
            <w:r>
              <w:rPr>
                <w:rFonts w:ascii="宋体" w:hAnsi="宋体" w:eastAsia="宋体" w:cs="Times New Roman"/>
                <w:color w:val="auto"/>
                <w:szCs w:val="21"/>
              </w:rPr>
              <w:t>已完类似</w:t>
            </w:r>
            <w:bookmarkEnd w:id="2160"/>
            <w:r>
              <w:rPr>
                <w:rFonts w:hint="eastAsia" w:ascii="宋体" w:hAnsi="宋体" w:eastAsia="宋体" w:cs="Times New Roman"/>
                <w:color w:val="auto"/>
                <w:szCs w:val="21"/>
              </w:rPr>
              <w:t>项目业绩</w:t>
            </w:r>
          </w:p>
        </w:tc>
      </w:tr>
      <w:tr w14:paraId="36456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7" w:hRule="atLeast"/>
        </w:trPr>
        <w:tc>
          <w:tcPr>
            <w:tcW w:w="1668" w:type="dxa"/>
            <w:noWrap w:val="0"/>
            <w:vAlign w:val="center"/>
          </w:tcPr>
          <w:p w14:paraId="43D4E8D5">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p>
        </w:tc>
        <w:tc>
          <w:tcPr>
            <w:tcW w:w="2975" w:type="dxa"/>
            <w:noWrap w:val="0"/>
            <w:vAlign w:val="center"/>
          </w:tcPr>
          <w:p w14:paraId="15717BA8">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p>
        </w:tc>
        <w:tc>
          <w:tcPr>
            <w:tcW w:w="1419" w:type="dxa"/>
            <w:noWrap w:val="0"/>
            <w:vAlign w:val="center"/>
          </w:tcPr>
          <w:p w14:paraId="0C66DC76">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p>
        </w:tc>
        <w:tc>
          <w:tcPr>
            <w:tcW w:w="2551" w:type="dxa"/>
            <w:noWrap w:val="0"/>
            <w:vAlign w:val="center"/>
          </w:tcPr>
          <w:p w14:paraId="3644A5E9">
            <w:pPr>
              <w:keepNext w:val="0"/>
              <w:keepLines w:val="0"/>
              <w:suppressLineNumbers w:val="0"/>
              <w:spacing w:before="0" w:beforeAutospacing="0" w:after="0" w:afterAutospacing="0" w:line="440" w:lineRule="exact"/>
              <w:ind w:left="0" w:right="0"/>
              <w:rPr>
                <w:rFonts w:hint="eastAsia" w:ascii="宋体" w:hAnsi="宋体" w:eastAsia="宋体" w:cs="Times New Roman"/>
                <w:color w:val="auto"/>
                <w:szCs w:val="21"/>
              </w:rPr>
            </w:pPr>
          </w:p>
        </w:tc>
      </w:tr>
      <w:tr w14:paraId="67806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1668" w:type="dxa"/>
            <w:noWrap w:val="0"/>
            <w:vAlign w:val="center"/>
          </w:tcPr>
          <w:p w14:paraId="377DD514">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p>
        </w:tc>
        <w:tc>
          <w:tcPr>
            <w:tcW w:w="2975" w:type="dxa"/>
            <w:noWrap w:val="0"/>
            <w:vAlign w:val="center"/>
          </w:tcPr>
          <w:p w14:paraId="107B95A2">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p>
        </w:tc>
        <w:tc>
          <w:tcPr>
            <w:tcW w:w="1419" w:type="dxa"/>
            <w:noWrap w:val="0"/>
            <w:vAlign w:val="center"/>
          </w:tcPr>
          <w:p w14:paraId="30784DD8">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p>
        </w:tc>
        <w:tc>
          <w:tcPr>
            <w:tcW w:w="2551" w:type="dxa"/>
            <w:noWrap w:val="0"/>
            <w:vAlign w:val="center"/>
          </w:tcPr>
          <w:p w14:paraId="40DB05C0">
            <w:pPr>
              <w:keepNext w:val="0"/>
              <w:keepLines w:val="0"/>
              <w:suppressLineNumbers w:val="0"/>
              <w:spacing w:before="0" w:beforeAutospacing="0" w:after="0" w:afterAutospacing="0" w:line="440" w:lineRule="exact"/>
              <w:ind w:left="0" w:right="0"/>
              <w:rPr>
                <w:rFonts w:hint="eastAsia" w:ascii="宋体" w:hAnsi="宋体" w:eastAsia="宋体" w:cs="Times New Roman"/>
                <w:color w:val="auto"/>
                <w:szCs w:val="21"/>
              </w:rPr>
            </w:pPr>
          </w:p>
        </w:tc>
      </w:tr>
      <w:tr w14:paraId="337AB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613" w:type="dxa"/>
            <w:gridSpan w:val="4"/>
            <w:noWrap w:val="0"/>
            <w:vAlign w:val="center"/>
          </w:tcPr>
          <w:p w14:paraId="2C3AB018">
            <w:pPr>
              <w:keepNext w:val="0"/>
              <w:keepLines w:val="0"/>
              <w:suppressLineNumbers w:val="0"/>
              <w:spacing w:before="0" w:beforeAutospacing="0" w:after="0" w:afterAutospacing="0" w:line="440" w:lineRule="exact"/>
              <w:ind w:left="0" w:right="0"/>
              <w:rPr>
                <w:rFonts w:hint="eastAsia" w:ascii="宋体" w:hAnsi="宋体" w:eastAsia="宋体" w:cs="Times New Roman"/>
                <w:color w:val="auto"/>
                <w:szCs w:val="21"/>
              </w:rPr>
            </w:pPr>
          </w:p>
        </w:tc>
      </w:tr>
      <w:tr w14:paraId="55F01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668" w:type="dxa"/>
            <w:noWrap w:val="0"/>
            <w:vAlign w:val="center"/>
          </w:tcPr>
          <w:p w14:paraId="71EC2C6E">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r>
              <w:rPr>
                <w:rFonts w:ascii="宋体" w:hAnsi="宋体" w:eastAsia="宋体" w:cs="Times New Roman"/>
                <w:color w:val="auto"/>
                <w:szCs w:val="21"/>
              </w:rPr>
              <w:t>分包人名称</w:t>
            </w:r>
          </w:p>
        </w:tc>
        <w:tc>
          <w:tcPr>
            <w:tcW w:w="6945" w:type="dxa"/>
            <w:gridSpan w:val="3"/>
            <w:noWrap w:val="0"/>
            <w:vAlign w:val="center"/>
          </w:tcPr>
          <w:p w14:paraId="323290C8">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p>
        </w:tc>
      </w:tr>
      <w:tr w14:paraId="57475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668" w:type="dxa"/>
            <w:noWrap w:val="0"/>
            <w:vAlign w:val="center"/>
          </w:tcPr>
          <w:p w14:paraId="037E5720">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r>
              <w:rPr>
                <w:rFonts w:ascii="宋体" w:hAnsi="宋体" w:eastAsia="宋体" w:cs="Times New Roman"/>
                <w:color w:val="auto"/>
                <w:szCs w:val="21"/>
              </w:rPr>
              <w:t>地</w:t>
            </w:r>
            <w:r>
              <w:rPr>
                <w:rFonts w:hint="eastAsia" w:ascii="宋体" w:hAnsi="宋体" w:eastAsia="宋体" w:cs="Times New Roman"/>
                <w:color w:val="auto"/>
                <w:szCs w:val="21"/>
              </w:rPr>
              <w:t xml:space="preserve">    </w:t>
            </w:r>
            <w:r>
              <w:rPr>
                <w:rFonts w:ascii="宋体" w:hAnsi="宋体" w:eastAsia="宋体" w:cs="Times New Roman"/>
                <w:color w:val="auto"/>
                <w:szCs w:val="21"/>
              </w:rPr>
              <w:t xml:space="preserve"> 址</w:t>
            </w:r>
          </w:p>
        </w:tc>
        <w:tc>
          <w:tcPr>
            <w:tcW w:w="6945" w:type="dxa"/>
            <w:gridSpan w:val="3"/>
            <w:noWrap w:val="0"/>
            <w:vAlign w:val="center"/>
          </w:tcPr>
          <w:p w14:paraId="0158B3AD">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p>
        </w:tc>
      </w:tr>
      <w:tr w14:paraId="74C9D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668" w:type="dxa"/>
            <w:noWrap w:val="0"/>
            <w:vAlign w:val="center"/>
          </w:tcPr>
          <w:p w14:paraId="6A8345DE">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r>
              <w:rPr>
                <w:rFonts w:ascii="宋体" w:hAnsi="宋体" w:eastAsia="宋体" w:cs="Times New Roman"/>
                <w:color w:val="auto"/>
                <w:szCs w:val="21"/>
              </w:rPr>
              <w:t>法定代表人</w:t>
            </w:r>
          </w:p>
        </w:tc>
        <w:tc>
          <w:tcPr>
            <w:tcW w:w="2975" w:type="dxa"/>
            <w:noWrap w:val="0"/>
            <w:vAlign w:val="center"/>
          </w:tcPr>
          <w:p w14:paraId="44005CAB">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p>
        </w:tc>
        <w:tc>
          <w:tcPr>
            <w:tcW w:w="1419" w:type="dxa"/>
            <w:noWrap w:val="0"/>
            <w:vAlign w:val="center"/>
          </w:tcPr>
          <w:p w14:paraId="6FF36E75">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r>
              <w:rPr>
                <w:rFonts w:ascii="宋体" w:hAnsi="宋体" w:eastAsia="宋体" w:cs="Times New Roman"/>
                <w:color w:val="auto"/>
                <w:szCs w:val="21"/>
              </w:rPr>
              <w:t>电</w:t>
            </w:r>
            <w:r>
              <w:rPr>
                <w:rFonts w:hint="eastAsia" w:ascii="宋体" w:hAnsi="宋体" w:eastAsia="宋体" w:cs="Times New Roman"/>
                <w:color w:val="auto"/>
                <w:szCs w:val="21"/>
              </w:rPr>
              <w:t xml:space="preserve">     </w:t>
            </w:r>
            <w:r>
              <w:rPr>
                <w:rFonts w:ascii="宋体" w:hAnsi="宋体" w:eastAsia="宋体" w:cs="Times New Roman"/>
                <w:color w:val="auto"/>
                <w:szCs w:val="21"/>
              </w:rPr>
              <w:t>话</w:t>
            </w:r>
          </w:p>
        </w:tc>
        <w:tc>
          <w:tcPr>
            <w:tcW w:w="2551" w:type="dxa"/>
            <w:noWrap w:val="0"/>
            <w:vAlign w:val="center"/>
          </w:tcPr>
          <w:p w14:paraId="6B3F6710">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p>
        </w:tc>
      </w:tr>
      <w:tr w14:paraId="22420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668" w:type="dxa"/>
            <w:noWrap w:val="0"/>
            <w:vAlign w:val="center"/>
          </w:tcPr>
          <w:p w14:paraId="0D708959">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r>
              <w:rPr>
                <w:rFonts w:ascii="宋体" w:hAnsi="宋体" w:eastAsia="宋体" w:cs="Times New Roman"/>
                <w:color w:val="auto"/>
                <w:szCs w:val="21"/>
              </w:rPr>
              <w:t>营业执照号码</w:t>
            </w:r>
          </w:p>
        </w:tc>
        <w:tc>
          <w:tcPr>
            <w:tcW w:w="2975" w:type="dxa"/>
            <w:noWrap w:val="0"/>
            <w:vAlign w:val="center"/>
          </w:tcPr>
          <w:p w14:paraId="2FABEA34">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p>
        </w:tc>
        <w:tc>
          <w:tcPr>
            <w:tcW w:w="1419" w:type="dxa"/>
            <w:noWrap w:val="0"/>
            <w:vAlign w:val="center"/>
          </w:tcPr>
          <w:p w14:paraId="7C451089">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r>
              <w:rPr>
                <w:rFonts w:ascii="宋体" w:hAnsi="宋体" w:eastAsia="宋体" w:cs="Times New Roman"/>
                <w:color w:val="auto"/>
                <w:szCs w:val="21"/>
              </w:rPr>
              <w:t>资质等级</w:t>
            </w:r>
          </w:p>
        </w:tc>
        <w:tc>
          <w:tcPr>
            <w:tcW w:w="2551" w:type="dxa"/>
            <w:noWrap w:val="0"/>
            <w:vAlign w:val="center"/>
          </w:tcPr>
          <w:p w14:paraId="5E79154B">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p>
        </w:tc>
      </w:tr>
      <w:tr w14:paraId="413F8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668" w:type="dxa"/>
            <w:noWrap w:val="0"/>
            <w:vAlign w:val="center"/>
          </w:tcPr>
          <w:p w14:paraId="432FED67">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r>
              <w:rPr>
                <w:rFonts w:ascii="宋体" w:hAnsi="宋体" w:eastAsia="宋体" w:cs="Times New Roman"/>
                <w:color w:val="auto"/>
                <w:szCs w:val="21"/>
              </w:rPr>
              <w:t>拟分包的项目</w:t>
            </w:r>
          </w:p>
        </w:tc>
        <w:tc>
          <w:tcPr>
            <w:tcW w:w="2975" w:type="dxa"/>
            <w:noWrap w:val="0"/>
            <w:vAlign w:val="center"/>
          </w:tcPr>
          <w:p w14:paraId="69423374">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r>
              <w:rPr>
                <w:rFonts w:ascii="宋体" w:hAnsi="宋体" w:eastAsia="宋体" w:cs="Times New Roman"/>
                <w:color w:val="auto"/>
                <w:szCs w:val="21"/>
              </w:rPr>
              <w:t>主 要 内 容</w:t>
            </w:r>
          </w:p>
        </w:tc>
        <w:tc>
          <w:tcPr>
            <w:tcW w:w="1419" w:type="dxa"/>
            <w:noWrap w:val="0"/>
            <w:vAlign w:val="center"/>
          </w:tcPr>
          <w:p w14:paraId="667846BF">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r>
              <w:rPr>
                <w:rFonts w:ascii="宋体" w:hAnsi="宋体" w:eastAsia="宋体" w:cs="Times New Roman"/>
                <w:color w:val="auto"/>
                <w:szCs w:val="21"/>
              </w:rPr>
              <w:t>合同估算价（万元）</w:t>
            </w:r>
          </w:p>
        </w:tc>
        <w:tc>
          <w:tcPr>
            <w:tcW w:w="2551" w:type="dxa"/>
            <w:noWrap w:val="0"/>
            <w:vAlign w:val="center"/>
          </w:tcPr>
          <w:p w14:paraId="38BEB61F">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r>
              <w:rPr>
                <w:rFonts w:ascii="宋体" w:hAnsi="宋体" w:eastAsia="宋体" w:cs="Times New Roman"/>
                <w:color w:val="auto"/>
                <w:szCs w:val="21"/>
              </w:rPr>
              <w:t>已完类似</w:t>
            </w:r>
            <w:r>
              <w:rPr>
                <w:rFonts w:hint="eastAsia" w:ascii="宋体" w:hAnsi="宋体" w:eastAsia="宋体" w:cs="Times New Roman"/>
                <w:color w:val="auto"/>
                <w:szCs w:val="21"/>
              </w:rPr>
              <w:t>项目业绩</w:t>
            </w:r>
          </w:p>
        </w:tc>
      </w:tr>
      <w:tr w14:paraId="033F4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1668" w:type="dxa"/>
            <w:noWrap w:val="0"/>
            <w:vAlign w:val="center"/>
          </w:tcPr>
          <w:p w14:paraId="2FEA7B71">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p>
        </w:tc>
        <w:tc>
          <w:tcPr>
            <w:tcW w:w="2975" w:type="dxa"/>
            <w:noWrap w:val="0"/>
            <w:vAlign w:val="center"/>
          </w:tcPr>
          <w:p w14:paraId="63C0139D">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p>
        </w:tc>
        <w:tc>
          <w:tcPr>
            <w:tcW w:w="1419" w:type="dxa"/>
            <w:noWrap w:val="0"/>
            <w:vAlign w:val="center"/>
          </w:tcPr>
          <w:p w14:paraId="6F319C05">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p>
        </w:tc>
        <w:tc>
          <w:tcPr>
            <w:tcW w:w="2551" w:type="dxa"/>
            <w:noWrap w:val="0"/>
            <w:vAlign w:val="center"/>
          </w:tcPr>
          <w:p w14:paraId="320301E2">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p>
        </w:tc>
      </w:tr>
      <w:tr w14:paraId="2BBD1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2" w:hRule="atLeast"/>
        </w:trPr>
        <w:tc>
          <w:tcPr>
            <w:tcW w:w="1668" w:type="dxa"/>
            <w:noWrap w:val="0"/>
            <w:vAlign w:val="center"/>
          </w:tcPr>
          <w:p w14:paraId="64BEC74A">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p>
        </w:tc>
        <w:tc>
          <w:tcPr>
            <w:tcW w:w="2975" w:type="dxa"/>
            <w:noWrap w:val="0"/>
            <w:vAlign w:val="center"/>
          </w:tcPr>
          <w:p w14:paraId="01CE5B8E">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p>
        </w:tc>
        <w:tc>
          <w:tcPr>
            <w:tcW w:w="1419" w:type="dxa"/>
            <w:noWrap w:val="0"/>
            <w:vAlign w:val="center"/>
          </w:tcPr>
          <w:p w14:paraId="12E75478">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p>
        </w:tc>
        <w:tc>
          <w:tcPr>
            <w:tcW w:w="2551" w:type="dxa"/>
            <w:noWrap w:val="0"/>
            <w:vAlign w:val="center"/>
          </w:tcPr>
          <w:p w14:paraId="6D2CFD16">
            <w:pPr>
              <w:keepNext w:val="0"/>
              <w:keepLines w:val="0"/>
              <w:suppressLineNumbers w:val="0"/>
              <w:spacing w:before="0" w:beforeAutospacing="0" w:after="0" w:afterAutospacing="0" w:line="440" w:lineRule="exact"/>
              <w:ind w:left="0" w:right="0"/>
              <w:jc w:val="center"/>
              <w:rPr>
                <w:rFonts w:ascii="宋体" w:hAnsi="宋体" w:eastAsia="宋体" w:cs="Times New Roman"/>
                <w:color w:val="auto"/>
                <w:szCs w:val="21"/>
              </w:rPr>
            </w:pPr>
          </w:p>
        </w:tc>
      </w:tr>
    </w:tbl>
    <w:p w14:paraId="43F50FB6">
      <w:pPr>
        <w:spacing w:line="400" w:lineRule="exact"/>
        <w:rPr>
          <w:rFonts w:hint="eastAsia"/>
          <w:color w:val="auto"/>
          <w:sz w:val="28"/>
          <w:szCs w:val="28"/>
        </w:rPr>
      </w:pPr>
    </w:p>
    <w:p w14:paraId="28A8BA9E">
      <w:pPr>
        <w:wordWrap w:val="0"/>
        <w:spacing w:line="440" w:lineRule="exact"/>
        <w:ind w:right="420"/>
        <w:jc w:val="right"/>
        <w:rPr>
          <w:rFonts w:ascii="宋体" w:hAnsi="宋体"/>
          <w:color w:val="auto"/>
          <w:szCs w:val="21"/>
        </w:rPr>
      </w:pP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 xml:space="preserve">月 </w:t>
      </w:r>
      <w:r>
        <w:rPr>
          <w:rFonts w:hint="eastAsia" w:ascii="宋体" w:hAnsi="宋体"/>
          <w:color w:val="auto"/>
          <w:szCs w:val="21"/>
          <w:u w:val="single"/>
        </w:rPr>
        <w:t xml:space="preserve">    </w:t>
      </w:r>
      <w:r>
        <w:rPr>
          <w:rFonts w:hint="eastAsia" w:ascii="宋体" w:hAnsi="宋体"/>
          <w:color w:val="auto"/>
          <w:szCs w:val="21"/>
        </w:rPr>
        <w:t xml:space="preserve">日 </w:t>
      </w:r>
    </w:p>
    <w:p w14:paraId="7997D382">
      <w:pPr>
        <w:pStyle w:val="83"/>
        <w:spacing w:before="63"/>
        <w:outlineLvl w:val="0"/>
        <w:rPr>
          <w:rFonts w:hint="eastAsia"/>
          <w:color w:val="auto"/>
          <w:sz w:val="28"/>
          <w:szCs w:val="28"/>
        </w:rPr>
      </w:pPr>
      <w:bookmarkStart w:id="2161" w:name="_Toc108514231"/>
      <w:bookmarkStart w:id="2162" w:name="_Toc154064026"/>
      <w:bookmarkStart w:id="2163" w:name="_Toc131698132"/>
      <w:r>
        <w:rPr>
          <w:rFonts w:hint="eastAsia"/>
          <w:color w:val="auto"/>
          <w:sz w:val="28"/>
          <w:szCs w:val="28"/>
        </w:rPr>
        <w:t>五、分包意向协议书</w:t>
      </w:r>
      <w:bookmarkEnd w:id="2161"/>
      <w:bookmarkEnd w:id="2162"/>
      <w:bookmarkEnd w:id="2163"/>
    </w:p>
    <w:p w14:paraId="2DDD6C44">
      <w:pPr>
        <w:spacing w:line="394" w:lineRule="exact"/>
        <w:ind w:firstLine="420" w:firstLineChars="200"/>
        <w:rPr>
          <w:rFonts w:ascii="宋体" w:hAnsi="宋体"/>
          <w:color w:val="auto"/>
          <w:szCs w:val="21"/>
        </w:rPr>
      </w:pPr>
    </w:p>
    <w:p w14:paraId="1DEDFC46">
      <w:pPr>
        <w:spacing w:line="394" w:lineRule="exact"/>
        <w:ind w:firstLine="420" w:firstLineChars="200"/>
        <w:rPr>
          <w:rFonts w:ascii="宋体" w:hAnsi="宋体"/>
          <w:color w:val="auto"/>
          <w:szCs w:val="21"/>
        </w:rPr>
      </w:pPr>
      <w:r>
        <w:rPr>
          <w:rFonts w:hint="eastAsia" w:ascii="宋体" w:hAnsi="宋体"/>
          <w:color w:val="auto"/>
          <w:szCs w:val="21"/>
        </w:rPr>
        <w:t>甲方：</w:t>
      </w:r>
      <w:r>
        <w:rPr>
          <w:rFonts w:hint="eastAsia" w:ascii="宋体" w:hAnsi="宋体"/>
          <w:color w:val="auto"/>
          <w:szCs w:val="21"/>
          <w:u w:val="single"/>
        </w:rPr>
        <w:t xml:space="preserve">              </w:t>
      </w:r>
      <w:r>
        <w:rPr>
          <w:rFonts w:hint="eastAsia" w:ascii="宋体" w:hAnsi="宋体"/>
          <w:color w:val="auto"/>
          <w:szCs w:val="21"/>
        </w:rPr>
        <w:t>（投标人名称）</w:t>
      </w:r>
    </w:p>
    <w:p w14:paraId="471BECD0">
      <w:pPr>
        <w:spacing w:line="394" w:lineRule="exact"/>
        <w:ind w:firstLine="420" w:firstLineChars="200"/>
        <w:rPr>
          <w:rFonts w:ascii="宋体" w:hAnsi="宋体"/>
          <w:color w:val="auto"/>
          <w:szCs w:val="21"/>
        </w:rPr>
      </w:pPr>
      <w:r>
        <w:rPr>
          <w:rFonts w:hint="eastAsia" w:ascii="宋体" w:hAnsi="宋体"/>
          <w:color w:val="auto"/>
          <w:szCs w:val="21"/>
        </w:rPr>
        <w:t>乙方：</w:t>
      </w:r>
      <w:r>
        <w:rPr>
          <w:rFonts w:hint="eastAsia" w:ascii="宋体" w:hAnsi="宋体"/>
          <w:color w:val="auto"/>
          <w:szCs w:val="21"/>
          <w:u w:val="single"/>
        </w:rPr>
        <w:t xml:space="preserve">              </w:t>
      </w:r>
      <w:r>
        <w:rPr>
          <w:rFonts w:hint="eastAsia" w:ascii="宋体" w:hAnsi="宋体"/>
          <w:color w:val="auto"/>
          <w:szCs w:val="21"/>
        </w:rPr>
        <w:t>（接受分包合同企业名称）</w:t>
      </w:r>
    </w:p>
    <w:p w14:paraId="795CACBE">
      <w:pPr>
        <w:spacing w:line="394" w:lineRule="exact"/>
        <w:ind w:firstLine="420" w:firstLineChars="200"/>
        <w:rPr>
          <w:rFonts w:ascii="宋体" w:hAnsi="宋体"/>
          <w:color w:val="auto"/>
          <w:szCs w:val="21"/>
        </w:rPr>
      </w:pPr>
      <w:r>
        <w:rPr>
          <w:rFonts w:hint="eastAsia" w:ascii="宋体" w:hAnsi="宋体"/>
          <w:color w:val="auto"/>
          <w:szCs w:val="21"/>
        </w:rPr>
        <w:t>乙方：</w:t>
      </w:r>
      <w:r>
        <w:rPr>
          <w:rFonts w:hint="eastAsia" w:ascii="宋体" w:hAnsi="宋体"/>
          <w:color w:val="auto"/>
          <w:szCs w:val="21"/>
          <w:u w:val="single"/>
        </w:rPr>
        <w:t xml:space="preserve">              </w:t>
      </w:r>
      <w:r>
        <w:rPr>
          <w:rFonts w:hint="eastAsia" w:ascii="宋体" w:hAnsi="宋体"/>
          <w:color w:val="auto"/>
          <w:szCs w:val="21"/>
        </w:rPr>
        <w:t>（接受分包合同企业名称）</w:t>
      </w:r>
    </w:p>
    <w:p w14:paraId="3D0AF4C2">
      <w:pPr>
        <w:spacing w:line="394" w:lineRule="exact"/>
        <w:ind w:firstLine="420" w:firstLineChars="200"/>
        <w:rPr>
          <w:rFonts w:ascii="宋体" w:hAnsi="宋体"/>
          <w:color w:val="auto"/>
          <w:szCs w:val="21"/>
        </w:rPr>
      </w:pPr>
      <w:r>
        <w:rPr>
          <w:rFonts w:ascii="Arial" w:hAnsi="Arial" w:cs="Arial"/>
          <w:color w:val="auto"/>
          <w:szCs w:val="21"/>
        </w:rPr>
        <w:t>…</w:t>
      </w:r>
    </w:p>
    <w:p w14:paraId="0657BED4">
      <w:pPr>
        <w:spacing w:line="394" w:lineRule="exact"/>
        <w:ind w:firstLine="420" w:firstLineChars="200"/>
        <w:rPr>
          <w:rFonts w:ascii="宋体" w:hAnsi="宋体"/>
          <w:color w:val="auto"/>
          <w:szCs w:val="21"/>
        </w:rPr>
      </w:pPr>
      <w:r>
        <w:rPr>
          <w:rFonts w:hint="eastAsia" w:ascii="宋体" w:hAnsi="宋体"/>
          <w:color w:val="auto"/>
          <w:szCs w:val="21"/>
        </w:rPr>
        <w:t>鉴于甲方参加</w:t>
      </w:r>
      <w:r>
        <w:rPr>
          <w:rFonts w:hint="eastAsia" w:ascii="宋体" w:hAnsi="宋体"/>
          <w:color w:val="auto"/>
          <w:szCs w:val="21"/>
          <w:u w:val="single"/>
        </w:rPr>
        <w:t xml:space="preserve">              </w:t>
      </w:r>
      <w:r>
        <w:rPr>
          <w:rFonts w:hint="eastAsia" w:ascii="宋体" w:hAnsi="宋体"/>
          <w:color w:val="auto"/>
          <w:szCs w:val="21"/>
        </w:rPr>
        <w:t xml:space="preserve">（招标人名称）（以下简称招标人或发包人） </w:t>
      </w:r>
      <w:r>
        <w:rPr>
          <w:rFonts w:hint="eastAsia" w:ascii="宋体" w:hAnsi="宋体"/>
          <w:color w:val="auto"/>
          <w:szCs w:val="21"/>
          <w:u w:val="single"/>
        </w:rPr>
        <w:t xml:space="preserve">        </w:t>
      </w:r>
      <w:r>
        <w:rPr>
          <w:rFonts w:hint="eastAsia" w:ascii="宋体" w:hAnsi="宋体"/>
          <w:color w:val="auto"/>
          <w:szCs w:val="21"/>
        </w:rPr>
        <w:t>（项目名称）</w:t>
      </w:r>
      <w:r>
        <w:rPr>
          <w:rFonts w:hint="eastAsia" w:ascii="宋体" w:hAnsi="宋体"/>
          <w:color w:val="auto"/>
          <w:szCs w:val="21"/>
          <w:u w:val="single"/>
        </w:rPr>
        <w:t xml:space="preserve">      </w:t>
      </w:r>
      <w:r>
        <w:rPr>
          <w:rFonts w:hint="eastAsia" w:ascii="宋体" w:hAnsi="宋体"/>
          <w:color w:val="auto"/>
          <w:szCs w:val="21"/>
        </w:rPr>
        <w:t>（标段名称）（以下简称本工程）的工程总承包招标资格预审（如有）和投标并争取赢得本项目工程总承包合同（以下简称合同）。在遵守《建筑法》《招标投标法》及其相关的法律法规规章的前提下，经甲乙双方友好协商订立如下分包意向协议：</w:t>
      </w:r>
    </w:p>
    <w:p w14:paraId="5359C354">
      <w:pPr>
        <w:spacing w:line="394" w:lineRule="exact"/>
        <w:ind w:firstLine="420" w:firstLineChars="200"/>
        <w:rPr>
          <w:rFonts w:ascii="宋体" w:hAnsi="宋体"/>
          <w:color w:val="auto"/>
          <w:szCs w:val="21"/>
        </w:rPr>
      </w:pPr>
      <w:r>
        <w:rPr>
          <w:rFonts w:hint="eastAsia" w:ascii="宋体" w:hAnsi="宋体"/>
          <w:color w:val="auto"/>
          <w:szCs w:val="21"/>
        </w:rPr>
        <w:t>1．在本工程的投标阶段，甲方负责本工程资格预审申请文件（如有）和投标文件编制活动，并处理与资格预审（如有）、投标和中标有关的一切事务。中标后，甲方负责合同订立和合同实施、组织和协调工作。</w:t>
      </w:r>
    </w:p>
    <w:p w14:paraId="155532C9">
      <w:pPr>
        <w:spacing w:line="394" w:lineRule="exact"/>
        <w:ind w:firstLine="420" w:firstLineChars="200"/>
        <w:rPr>
          <w:rFonts w:ascii="宋体" w:hAnsi="宋体"/>
          <w:color w:val="auto"/>
          <w:szCs w:val="21"/>
        </w:rPr>
      </w:pPr>
      <w:r>
        <w:rPr>
          <w:rFonts w:hint="eastAsia" w:ascii="宋体" w:hAnsi="宋体"/>
          <w:color w:val="auto"/>
          <w:szCs w:val="21"/>
        </w:rPr>
        <w:t>2. 乙方按照甲方的要求提供分包工作资格预审（如有）和投标所需的相关资料，包括但不限于资质、资格、分包工作报价、技术文件、经营状况等资料，并对所提供资料的真实性负责。甲方为此提供便利条件，未经乙方同意，甲方不得擅自降低乙方提供的分包工作报价。</w:t>
      </w:r>
    </w:p>
    <w:p w14:paraId="0AEAE3C7">
      <w:pPr>
        <w:spacing w:line="394" w:lineRule="exact"/>
        <w:ind w:firstLine="420" w:firstLineChars="200"/>
        <w:rPr>
          <w:rFonts w:ascii="宋体" w:hAnsi="宋体"/>
          <w:color w:val="auto"/>
          <w:szCs w:val="21"/>
        </w:rPr>
      </w:pPr>
      <w:r>
        <w:rPr>
          <w:rFonts w:hint="eastAsia" w:ascii="宋体" w:hAnsi="宋体"/>
          <w:color w:val="auto"/>
          <w:szCs w:val="21"/>
        </w:rPr>
        <w:t>3. 甲方承诺中标后，就本协议约定的分包工作以分包合同的形式交由乙方承担；乙方承诺</w:t>
      </w:r>
      <w:r>
        <w:rPr>
          <w:rFonts w:ascii="宋体" w:hAnsi="宋体"/>
          <w:color w:val="auto"/>
          <w:szCs w:val="21"/>
        </w:rPr>
        <w:t>按照分包合同的约定</w:t>
      </w:r>
      <w:r>
        <w:rPr>
          <w:rFonts w:hint="eastAsia" w:ascii="宋体" w:hAnsi="宋体"/>
          <w:color w:val="auto"/>
          <w:szCs w:val="21"/>
        </w:rPr>
        <w:t>履行责任和义务并</w:t>
      </w:r>
      <w:r>
        <w:rPr>
          <w:rFonts w:ascii="宋体" w:hAnsi="宋体"/>
          <w:color w:val="auto"/>
          <w:szCs w:val="21"/>
        </w:rPr>
        <w:t>对</w:t>
      </w:r>
      <w:r>
        <w:rPr>
          <w:rFonts w:hint="eastAsia" w:ascii="宋体" w:hAnsi="宋体"/>
          <w:color w:val="auto"/>
          <w:szCs w:val="21"/>
        </w:rPr>
        <w:t>甲方</w:t>
      </w:r>
      <w:r>
        <w:rPr>
          <w:rFonts w:ascii="宋体" w:hAnsi="宋体"/>
          <w:color w:val="auto"/>
          <w:szCs w:val="21"/>
        </w:rPr>
        <w:t>负责。</w:t>
      </w:r>
      <w:r>
        <w:rPr>
          <w:rFonts w:hint="eastAsia" w:ascii="宋体" w:hAnsi="宋体"/>
          <w:color w:val="auto"/>
          <w:szCs w:val="21"/>
        </w:rPr>
        <w:t>甲方</w:t>
      </w:r>
      <w:r>
        <w:rPr>
          <w:rFonts w:ascii="宋体" w:hAnsi="宋体"/>
          <w:color w:val="auto"/>
          <w:szCs w:val="21"/>
        </w:rPr>
        <w:t>和</w:t>
      </w:r>
      <w:r>
        <w:rPr>
          <w:rFonts w:hint="eastAsia" w:ascii="宋体" w:hAnsi="宋体"/>
          <w:color w:val="auto"/>
          <w:szCs w:val="21"/>
        </w:rPr>
        <w:t>乙方</w:t>
      </w:r>
      <w:r>
        <w:rPr>
          <w:rFonts w:ascii="宋体" w:hAnsi="宋体"/>
          <w:color w:val="auto"/>
          <w:szCs w:val="21"/>
        </w:rPr>
        <w:t>就分包</w:t>
      </w:r>
      <w:r>
        <w:rPr>
          <w:rFonts w:hint="eastAsia" w:ascii="宋体" w:hAnsi="宋体"/>
          <w:color w:val="auto"/>
          <w:szCs w:val="21"/>
        </w:rPr>
        <w:t>工作</w:t>
      </w:r>
      <w:r>
        <w:rPr>
          <w:rFonts w:ascii="宋体" w:hAnsi="宋体"/>
          <w:color w:val="auto"/>
          <w:szCs w:val="21"/>
        </w:rPr>
        <w:t>对</w:t>
      </w:r>
      <w:r>
        <w:rPr>
          <w:rFonts w:hint="eastAsia" w:ascii="宋体" w:hAnsi="宋体"/>
          <w:color w:val="auto"/>
          <w:szCs w:val="21"/>
        </w:rPr>
        <w:t>招标人（发包人）</w:t>
      </w:r>
      <w:r>
        <w:rPr>
          <w:rFonts w:ascii="宋体" w:hAnsi="宋体"/>
          <w:color w:val="auto"/>
          <w:szCs w:val="21"/>
        </w:rPr>
        <w:t>承担连带责任。</w:t>
      </w:r>
    </w:p>
    <w:p w14:paraId="0C40A3C9">
      <w:pPr>
        <w:spacing w:line="394" w:lineRule="exact"/>
        <w:ind w:firstLine="420" w:firstLineChars="200"/>
        <w:rPr>
          <w:rFonts w:hint="eastAsia" w:cs="Tahoma"/>
          <w:color w:val="auto"/>
        </w:rPr>
      </w:pPr>
      <w:r>
        <w:rPr>
          <w:rFonts w:hint="eastAsia" w:ascii="宋体" w:hAnsi="宋体"/>
          <w:color w:val="auto"/>
          <w:szCs w:val="21"/>
        </w:rPr>
        <w:t>4. 甲方拟分包给乙方的工作、</w:t>
      </w:r>
      <w:r>
        <w:rPr>
          <w:rFonts w:hint="eastAsia" w:cs="Tahoma"/>
          <w:color w:val="auto"/>
        </w:rPr>
        <w:t>分包合同金额、分包合同金额占比如下：</w:t>
      </w:r>
    </w:p>
    <w:p w14:paraId="202CD938">
      <w:pPr>
        <w:spacing w:line="394" w:lineRule="exact"/>
        <w:ind w:firstLine="420" w:firstLineChars="200"/>
        <w:rPr>
          <w:rFonts w:hint="eastAsia" w:cs="Tahoma"/>
          <w:color w:val="auto"/>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4"/>
        <w:gridCol w:w="1483"/>
        <w:gridCol w:w="1596"/>
        <w:gridCol w:w="1105"/>
        <w:gridCol w:w="1115"/>
        <w:gridCol w:w="1351"/>
        <w:gridCol w:w="1312"/>
      </w:tblGrid>
      <w:tr w14:paraId="7EC1E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52E3A545">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hint="eastAsia" w:ascii="宋体" w:hAnsi="宋体" w:eastAsia="宋体" w:cs="Times New Roman"/>
                <w:color w:val="auto"/>
                <w:szCs w:val="21"/>
              </w:rPr>
              <w:t>序号</w:t>
            </w:r>
          </w:p>
        </w:tc>
        <w:tc>
          <w:tcPr>
            <w:tcW w:w="1597" w:type="dxa"/>
            <w:noWrap w:val="0"/>
            <w:tcMar>
              <w:left w:w="108" w:type="dxa"/>
              <w:right w:w="108" w:type="dxa"/>
            </w:tcMar>
            <w:vAlign w:val="center"/>
          </w:tcPr>
          <w:p w14:paraId="3DFCF01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接受分包合同企业名称</w:t>
            </w:r>
          </w:p>
        </w:tc>
        <w:tc>
          <w:tcPr>
            <w:tcW w:w="1722" w:type="dxa"/>
            <w:noWrap w:val="0"/>
            <w:tcMar>
              <w:left w:w="108" w:type="dxa"/>
              <w:right w:w="108" w:type="dxa"/>
            </w:tcMar>
            <w:vAlign w:val="center"/>
          </w:tcPr>
          <w:p w14:paraId="6548D945">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分包合同</w:t>
            </w:r>
          </w:p>
          <w:p w14:paraId="107B1237">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工作内容名称</w:t>
            </w:r>
          </w:p>
        </w:tc>
        <w:tc>
          <w:tcPr>
            <w:tcW w:w="1155" w:type="dxa"/>
            <w:noWrap w:val="0"/>
            <w:tcMar>
              <w:left w:w="108" w:type="dxa"/>
              <w:right w:w="108" w:type="dxa"/>
            </w:tcMar>
            <w:vAlign w:val="center"/>
          </w:tcPr>
          <w:p w14:paraId="49C2549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分包合同</w:t>
            </w:r>
          </w:p>
          <w:p w14:paraId="392CA202">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金额</w:t>
            </w:r>
          </w:p>
          <w:p w14:paraId="6D3217A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（万元）</w:t>
            </w:r>
          </w:p>
        </w:tc>
        <w:tc>
          <w:tcPr>
            <w:tcW w:w="1155" w:type="dxa"/>
            <w:noWrap w:val="0"/>
            <w:tcMar>
              <w:left w:w="108" w:type="dxa"/>
              <w:right w:w="108" w:type="dxa"/>
            </w:tcMar>
            <w:vAlign w:val="center"/>
          </w:tcPr>
          <w:p w14:paraId="17E64D4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分包合同金额占比</w:t>
            </w:r>
          </w:p>
          <w:p w14:paraId="6B982A75">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hint="eastAsia" w:ascii="宋体" w:hAnsi="宋体" w:eastAsia="宋体" w:cs="Times New Roman"/>
                <w:color w:val="auto"/>
                <w:szCs w:val="21"/>
              </w:rPr>
              <w:t>（%）</w:t>
            </w:r>
          </w:p>
        </w:tc>
        <w:tc>
          <w:tcPr>
            <w:tcW w:w="1428" w:type="dxa"/>
            <w:noWrap w:val="0"/>
            <w:tcMar>
              <w:left w:w="108" w:type="dxa"/>
              <w:right w:w="108" w:type="dxa"/>
            </w:tcMar>
            <w:vAlign w:val="center"/>
          </w:tcPr>
          <w:p w14:paraId="62B23FF4">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满足分包工作的企业资质（如需）</w:t>
            </w:r>
          </w:p>
        </w:tc>
        <w:tc>
          <w:tcPr>
            <w:tcW w:w="1407" w:type="dxa"/>
            <w:noWrap w:val="0"/>
            <w:vAlign w:val="center"/>
          </w:tcPr>
          <w:p w14:paraId="75D8EEBB">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备注</w:t>
            </w:r>
          </w:p>
        </w:tc>
      </w:tr>
      <w:tr w14:paraId="5A6BC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7E9FB44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597" w:type="dxa"/>
            <w:noWrap w:val="0"/>
            <w:tcMar>
              <w:left w:w="108" w:type="dxa"/>
              <w:right w:w="108" w:type="dxa"/>
            </w:tcMar>
            <w:vAlign w:val="center"/>
          </w:tcPr>
          <w:p w14:paraId="00F78E7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722" w:type="dxa"/>
            <w:noWrap w:val="0"/>
            <w:tcMar>
              <w:left w:w="108" w:type="dxa"/>
              <w:right w:w="108" w:type="dxa"/>
            </w:tcMar>
            <w:vAlign w:val="center"/>
          </w:tcPr>
          <w:p w14:paraId="3456983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155" w:type="dxa"/>
            <w:noWrap w:val="0"/>
            <w:tcMar>
              <w:left w:w="108" w:type="dxa"/>
              <w:right w:w="108" w:type="dxa"/>
            </w:tcMar>
            <w:vAlign w:val="center"/>
          </w:tcPr>
          <w:p w14:paraId="6E27CDE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155" w:type="dxa"/>
            <w:noWrap w:val="0"/>
            <w:tcMar>
              <w:left w:w="108" w:type="dxa"/>
              <w:right w:w="108" w:type="dxa"/>
            </w:tcMar>
            <w:vAlign w:val="center"/>
          </w:tcPr>
          <w:p w14:paraId="3C5F9F5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28" w:type="dxa"/>
            <w:noWrap w:val="0"/>
            <w:tcMar>
              <w:left w:w="108" w:type="dxa"/>
              <w:right w:w="108" w:type="dxa"/>
            </w:tcMar>
            <w:vAlign w:val="center"/>
          </w:tcPr>
          <w:p w14:paraId="793989B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07" w:type="dxa"/>
            <w:noWrap w:val="0"/>
            <w:vAlign w:val="center"/>
          </w:tcPr>
          <w:p w14:paraId="6A3109E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536D6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31410740">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597" w:type="dxa"/>
            <w:noWrap w:val="0"/>
            <w:tcMar>
              <w:left w:w="108" w:type="dxa"/>
              <w:right w:w="108" w:type="dxa"/>
            </w:tcMar>
            <w:vAlign w:val="center"/>
          </w:tcPr>
          <w:p w14:paraId="5976A67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722" w:type="dxa"/>
            <w:noWrap w:val="0"/>
            <w:tcMar>
              <w:left w:w="108" w:type="dxa"/>
              <w:right w:w="108" w:type="dxa"/>
            </w:tcMar>
            <w:vAlign w:val="center"/>
          </w:tcPr>
          <w:p w14:paraId="2C8A9F85">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155" w:type="dxa"/>
            <w:noWrap w:val="0"/>
            <w:tcMar>
              <w:left w:w="108" w:type="dxa"/>
              <w:right w:w="108" w:type="dxa"/>
            </w:tcMar>
            <w:vAlign w:val="center"/>
          </w:tcPr>
          <w:p w14:paraId="6F1BDC3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155" w:type="dxa"/>
            <w:noWrap w:val="0"/>
            <w:tcMar>
              <w:left w:w="108" w:type="dxa"/>
              <w:right w:w="108" w:type="dxa"/>
            </w:tcMar>
            <w:vAlign w:val="center"/>
          </w:tcPr>
          <w:p w14:paraId="79C62B5B">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28" w:type="dxa"/>
            <w:noWrap w:val="0"/>
            <w:tcMar>
              <w:left w:w="108" w:type="dxa"/>
              <w:right w:w="108" w:type="dxa"/>
            </w:tcMar>
            <w:vAlign w:val="center"/>
          </w:tcPr>
          <w:p w14:paraId="16E2333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07" w:type="dxa"/>
            <w:noWrap w:val="0"/>
            <w:vAlign w:val="center"/>
          </w:tcPr>
          <w:p w14:paraId="545A7D52">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635F4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1024200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597" w:type="dxa"/>
            <w:noWrap w:val="0"/>
            <w:tcMar>
              <w:left w:w="108" w:type="dxa"/>
              <w:right w:w="108" w:type="dxa"/>
            </w:tcMar>
            <w:vAlign w:val="center"/>
          </w:tcPr>
          <w:p w14:paraId="79D18FD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722" w:type="dxa"/>
            <w:noWrap w:val="0"/>
            <w:tcMar>
              <w:left w:w="108" w:type="dxa"/>
              <w:right w:w="108" w:type="dxa"/>
            </w:tcMar>
            <w:vAlign w:val="center"/>
          </w:tcPr>
          <w:p w14:paraId="011ABA8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155" w:type="dxa"/>
            <w:noWrap w:val="0"/>
            <w:tcMar>
              <w:left w:w="108" w:type="dxa"/>
              <w:right w:w="108" w:type="dxa"/>
            </w:tcMar>
            <w:vAlign w:val="center"/>
          </w:tcPr>
          <w:p w14:paraId="0AFADAEB">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155" w:type="dxa"/>
            <w:noWrap w:val="0"/>
            <w:tcMar>
              <w:left w:w="108" w:type="dxa"/>
              <w:right w:w="108" w:type="dxa"/>
            </w:tcMar>
            <w:vAlign w:val="center"/>
          </w:tcPr>
          <w:p w14:paraId="78414AB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28" w:type="dxa"/>
            <w:noWrap w:val="0"/>
            <w:tcMar>
              <w:left w:w="108" w:type="dxa"/>
              <w:right w:w="108" w:type="dxa"/>
            </w:tcMar>
            <w:vAlign w:val="center"/>
          </w:tcPr>
          <w:p w14:paraId="6B85BDA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07" w:type="dxa"/>
            <w:noWrap w:val="0"/>
            <w:vAlign w:val="center"/>
          </w:tcPr>
          <w:p w14:paraId="427C45A2">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7093B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273B545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597" w:type="dxa"/>
            <w:noWrap w:val="0"/>
            <w:tcMar>
              <w:left w:w="108" w:type="dxa"/>
              <w:right w:w="108" w:type="dxa"/>
            </w:tcMar>
            <w:vAlign w:val="center"/>
          </w:tcPr>
          <w:p w14:paraId="2DDED29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722" w:type="dxa"/>
            <w:noWrap w:val="0"/>
            <w:tcMar>
              <w:left w:w="108" w:type="dxa"/>
              <w:right w:w="108" w:type="dxa"/>
            </w:tcMar>
            <w:vAlign w:val="center"/>
          </w:tcPr>
          <w:p w14:paraId="62498F9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155" w:type="dxa"/>
            <w:noWrap w:val="0"/>
            <w:tcMar>
              <w:left w:w="108" w:type="dxa"/>
              <w:right w:w="108" w:type="dxa"/>
            </w:tcMar>
            <w:vAlign w:val="center"/>
          </w:tcPr>
          <w:p w14:paraId="328C894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155" w:type="dxa"/>
            <w:noWrap w:val="0"/>
            <w:tcMar>
              <w:left w:w="108" w:type="dxa"/>
              <w:right w:w="108" w:type="dxa"/>
            </w:tcMar>
            <w:vAlign w:val="center"/>
          </w:tcPr>
          <w:p w14:paraId="75BBF96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28" w:type="dxa"/>
            <w:noWrap w:val="0"/>
            <w:tcMar>
              <w:left w:w="108" w:type="dxa"/>
              <w:right w:w="108" w:type="dxa"/>
            </w:tcMar>
            <w:vAlign w:val="center"/>
          </w:tcPr>
          <w:p w14:paraId="1BEBD654">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07" w:type="dxa"/>
            <w:noWrap w:val="0"/>
            <w:vAlign w:val="center"/>
          </w:tcPr>
          <w:p w14:paraId="5E77570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34060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16A6222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597" w:type="dxa"/>
            <w:noWrap w:val="0"/>
            <w:tcMar>
              <w:left w:w="108" w:type="dxa"/>
              <w:right w:w="108" w:type="dxa"/>
            </w:tcMar>
            <w:vAlign w:val="center"/>
          </w:tcPr>
          <w:p w14:paraId="55636325">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722" w:type="dxa"/>
            <w:noWrap w:val="0"/>
            <w:tcMar>
              <w:left w:w="108" w:type="dxa"/>
              <w:right w:w="108" w:type="dxa"/>
            </w:tcMar>
            <w:vAlign w:val="center"/>
          </w:tcPr>
          <w:p w14:paraId="3579861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155" w:type="dxa"/>
            <w:noWrap w:val="0"/>
            <w:tcMar>
              <w:left w:w="108" w:type="dxa"/>
              <w:right w:w="108" w:type="dxa"/>
            </w:tcMar>
            <w:vAlign w:val="center"/>
          </w:tcPr>
          <w:p w14:paraId="63D3257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155" w:type="dxa"/>
            <w:noWrap w:val="0"/>
            <w:tcMar>
              <w:left w:w="108" w:type="dxa"/>
              <w:right w:w="108" w:type="dxa"/>
            </w:tcMar>
            <w:vAlign w:val="center"/>
          </w:tcPr>
          <w:p w14:paraId="3E90629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28" w:type="dxa"/>
            <w:noWrap w:val="0"/>
            <w:tcMar>
              <w:left w:w="108" w:type="dxa"/>
              <w:right w:w="108" w:type="dxa"/>
            </w:tcMar>
            <w:vAlign w:val="center"/>
          </w:tcPr>
          <w:p w14:paraId="77E5BCF0">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07" w:type="dxa"/>
            <w:noWrap w:val="0"/>
            <w:vAlign w:val="center"/>
          </w:tcPr>
          <w:p w14:paraId="242F14C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3BEA2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66AC0AA4">
            <w:pPr>
              <w:keepNext w:val="0"/>
              <w:keepLines w:val="0"/>
              <w:suppressLineNumbers w:val="0"/>
              <w:spacing w:before="0" w:beforeAutospacing="0" w:after="0" w:afterAutospacing="0"/>
              <w:ind w:left="0" w:right="0"/>
              <w:rPr>
                <w:rFonts w:hint="eastAsia" w:ascii="宋体" w:hAnsi="宋体" w:eastAsia="宋体" w:cs="Times New Roman"/>
                <w:color w:val="auto"/>
                <w:szCs w:val="21"/>
              </w:rPr>
            </w:pPr>
          </w:p>
        </w:tc>
        <w:tc>
          <w:tcPr>
            <w:tcW w:w="3319" w:type="dxa"/>
            <w:gridSpan w:val="2"/>
            <w:noWrap w:val="0"/>
            <w:tcMar>
              <w:left w:w="108" w:type="dxa"/>
              <w:right w:w="108" w:type="dxa"/>
            </w:tcMar>
            <w:vAlign w:val="center"/>
          </w:tcPr>
          <w:p w14:paraId="2E0DFD3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合计</w:t>
            </w:r>
          </w:p>
        </w:tc>
        <w:tc>
          <w:tcPr>
            <w:tcW w:w="1155" w:type="dxa"/>
            <w:noWrap w:val="0"/>
            <w:tcMar>
              <w:left w:w="108" w:type="dxa"/>
              <w:right w:w="108" w:type="dxa"/>
            </w:tcMar>
            <w:vAlign w:val="center"/>
          </w:tcPr>
          <w:p w14:paraId="0524D28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155" w:type="dxa"/>
            <w:noWrap w:val="0"/>
            <w:tcMar>
              <w:left w:w="108" w:type="dxa"/>
              <w:right w:w="108" w:type="dxa"/>
            </w:tcMar>
            <w:vAlign w:val="center"/>
          </w:tcPr>
          <w:p w14:paraId="614B458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28" w:type="dxa"/>
            <w:noWrap w:val="0"/>
            <w:tcMar>
              <w:left w:w="108" w:type="dxa"/>
              <w:right w:w="108" w:type="dxa"/>
            </w:tcMar>
            <w:vAlign w:val="center"/>
          </w:tcPr>
          <w:p w14:paraId="68BF760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07" w:type="dxa"/>
            <w:noWrap w:val="0"/>
            <w:vAlign w:val="center"/>
          </w:tcPr>
          <w:p w14:paraId="228348C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4BBEE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5FB0EA10">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319" w:type="dxa"/>
            <w:gridSpan w:val="2"/>
            <w:noWrap w:val="0"/>
            <w:tcMar>
              <w:left w:w="108" w:type="dxa"/>
              <w:right w:w="108" w:type="dxa"/>
            </w:tcMar>
            <w:vAlign w:val="center"/>
          </w:tcPr>
          <w:p w14:paraId="34EED0D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本项目合同金额（万元）</w:t>
            </w:r>
          </w:p>
        </w:tc>
        <w:tc>
          <w:tcPr>
            <w:tcW w:w="2310" w:type="dxa"/>
            <w:gridSpan w:val="2"/>
            <w:noWrap w:val="0"/>
            <w:tcMar>
              <w:left w:w="108" w:type="dxa"/>
              <w:right w:w="108" w:type="dxa"/>
            </w:tcMar>
            <w:vAlign w:val="center"/>
          </w:tcPr>
          <w:p w14:paraId="7534959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2835" w:type="dxa"/>
            <w:gridSpan w:val="2"/>
            <w:noWrap w:val="0"/>
            <w:tcMar>
              <w:left w:w="108" w:type="dxa"/>
              <w:right w:w="108" w:type="dxa"/>
            </w:tcMar>
            <w:vAlign w:val="center"/>
          </w:tcPr>
          <w:p w14:paraId="36F74DD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bl>
    <w:p w14:paraId="1829E020">
      <w:pPr>
        <w:spacing w:line="394" w:lineRule="exact"/>
        <w:ind w:firstLine="420" w:firstLineChars="200"/>
        <w:rPr>
          <w:rFonts w:hint="eastAsia" w:ascii="宋体" w:hAnsi="宋体"/>
          <w:color w:val="auto"/>
          <w:szCs w:val="21"/>
        </w:rPr>
      </w:pPr>
      <w:r>
        <w:rPr>
          <w:rFonts w:hint="eastAsia" w:ascii="宋体" w:hAnsi="宋体"/>
          <w:color w:val="auto"/>
          <w:szCs w:val="21"/>
        </w:rPr>
        <w:t>5．本协议中接受分包合同的中小（小微）企业（乙方）与分包企业（甲方）之间不存在直接控股、管理关系。</w:t>
      </w:r>
    </w:p>
    <w:p w14:paraId="74761DA4">
      <w:pPr>
        <w:spacing w:line="394" w:lineRule="exact"/>
        <w:ind w:firstLine="420" w:firstLineChars="200"/>
        <w:rPr>
          <w:rFonts w:hint="eastAsia" w:ascii="宋体" w:hAnsi="宋体"/>
          <w:color w:val="auto"/>
          <w:szCs w:val="21"/>
        </w:rPr>
      </w:pPr>
      <w:r>
        <w:rPr>
          <w:rFonts w:hint="eastAsia" w:ascii="宋体" w:hAnsi="宋体"/>
          <w:color w:val="auto"/>
          <w:szCs w:val="21"/>
        </w:rPr>
        <w:t>6. 中标后，本协议是合同的组成部分，对甲乙双方有合同约束力。</w:t>
      </w:r>
    </w:p>
    <w:p w14:paraId="66E8A13E">
      <w:pPr>
        <w:spacing w:line="394" w:lineRule="exact"/>
        <w:ind w:firstLine="420" w:firstLineChars="200"/>
        <w:rPr>
          <w:rFonts w:ascii="宋体" w:hAnsi="宋体"/>
          <w:color w:val="auto"/>
          <w:szCs w:val="21"/>
        </w:rPr>
      </w:pPr>
      <w:r>
        <w:rPr>
          <w:rFonts w:hint="eastAsia" w:ascii="宋体" w:hAnsi="宋体"/>
          <w:color w:val="auto"/>
          <w:szCs w:val="21"/>
        </w:rPr>
        <w:t>7．本协议书自签署之日起生效，未中标或者中标合同履行完毕后自动失效。</w:t>
      </w:r>
    </w:p>
    <w:p w14:paraId="410C5BD0">
      <w:pPr>
        <w:spacing w:line="394" w:lineRule="exact"/>
        <w:ind w:firstLine="420" w:firstLineChars="200"/>
        <w:rPr>
          <w:rFonts w:ascii="宋体" w:hAnsi="宋体"/>
          <w:color w:val="auto"/>
          <w:szCs w:val="21"/>
        </w:rPr>
      </w:pPr>
      <w:r>
        <w:rPr>
          <w:rFonts w:hint="eastAsia" w:ascii="宋体" w:hAnsi="宋体"/>
          <w:color w:val="auto"/>
          <w:szCs w:val="21"/>
        </w:rPr>
        <w:t>8．本协议书一式</w:t>
      </w:r>
      <w:r>
        <w:rPr>
          <w:rFonts w:hint="eastAsia" w:ascii="宋体" w:hAnsi="宋体"/>
          <w:color w:val="auto"/>
          <w:szCs w:val="21"/>
          <w:u w:val="single"/>
        </w:rPr>
        <w:t xml:space="preserve">      </w:t>
      </w:r>
      <w:r>
        <w:rPr>
          <w:rFonts w:hint="eastAsia" w:ascii="宋体" w:hAnsi="宋体"/>
          <w:color w:val="auto"/>
          <w:szCs w:val="21"/>
        </w:rPr>
        <w:t>份，甲方和乙方各执一份。</w:t>
      </w:r>
    </w:p>
    <w:p w14:paraId="0BC1B83E">
      <w:pPr>
        <w:spacing w:line="394" w:lineRule="exact"/>
        <w:ind w:firstLine="420" w:firstLineChars="200"/>
        <w:rPr>
          <w:rFonts w:ascii="宋体" w:hAnsi="宋体"/>
          <w:color w:val="auto"/>
          <w:szCs w:val="21"/>
        </w:rPr>
      </w:pPr>
    </w:p>
    <w:p w14:paraId="088BD65D">
      <w:pPr>
        <w:spacing w:line="394" w:lineRule="exact"/>
        <w:ind w:firstLine="420" w:firstLineChars="200"/>
        <w:rPr>
          <w:rFonts w:hint="eastAsia" w:ascii="宋体" w:hAnsi="宋体"/>
          <w:color w:val="auto"/>
          <w:szCs w:val="21"/>
        </w:rPr>
      </w:pPr>
    </w:p>
    <w:p w14:paraId="1E7C5A0C">
      <w:pPr>
        <w:spacing w:line="394" w:lineRule="exact"/>
        <w:ind w:firstLine="420" w:firstLineChars="200"/>
        <w:rPr>
          <w:rFonts w:ascii="宋体" w:hAnsi="宋体"/>
          <w:color w:val="auto"/>
          <w:szCs w:val="21"/>
        </w:rPr>
      </w:pPr>
      <w:r>
        <w:rPr>
          <w:rFonts w:hint="eastAsia" w:ascii="宋体" w:hAnsi="宋体"/>
          <w:color w:val="auto"/>
          <w:szCs w:val="21"/>
        </w:rPr>
        <w:t>甲  方：</w:t>
      </w:r>
      <w:r>
        <w:rPr>
          <w:rFonts w:hint="eastAsia" w:ascii="宋体" w:hAnsi="宋体"/>
          <w:color w:val="auto"/>
          <w:szCs w:val="21"/>
          <w:u w:val="single"/>
        </w:rPr>
        <w:t xml:space="preserve">                 </w:t>
      </w:r>
      <w:r>
        <w:rPr>
          <w:rFonts w:hint="eastAsia" w:ascii="宋体" w:hAnsi="宋体"/>
          <w:color w:val="auto"/>
          <w:szCs w:val="21"/>
        </w:rPr>
        <w:t>（盖单位章）     乙  方：</w:t>
      </w:r>
      <w:r>
        <w:rPr>
          <w:rFonts w:hint="eastAsia" w:ascii="宋体" w:hAnsi="宋体"/>
          <w:color w:val="auto"/>
          <w:szCs w:val="21"/>
          <w:u w:val="single"/>
        </w:rPr>
        <w:t xml:space="preserve">                </w:t>
      </w:r>
      <w:r>
        <w:rPr>
          <w:rFonts w:hint="eastAsia" w:ascii="宋体" w:hAnsi="宋体"/>
          <w:color w:val="auto"/>
          <w:szCs w:val="21"/>
        </w:rPr>
        <w:t>（盖单位章）</w:t>
      </w:r>
    </w:p>
    <w:p w14:paraId="2422D05F">
      <w:pPr>
        <w:spacing w:line="394" w:lineRule="exact"/>
        <w:ind w:firstLine="420" w:firstLineChars="200"/>
        <w:rPr>
          <w:rFonts w:ascii="宋体" w:hAnsi="宋体"/>
          <w:color w:val="auto"/>
          <w:szCs w:val="21"/>
        </w:rPr>
      </w:pPr>
    </w:p>
    <w:p w14:paraId="4D7573C4">
      <w:pPr>
        <w:spacing w:line="394" w:lineRule="exact"/>
        <w:ind w:firstLine="420" w:firstLineChars="200"/>
        <w:rPr>
          <w:rFonts w:hint="eastAsia" w:ascii="宋体" w:hAnsi="宋体"/>
          <w:color w:val="auto"/>
          <w:szCs w:val="21"/>
        </w:rPr>
      </w:pPr>
      <w:r>
        <w:rPr>
          <w:rFonts w:hint="eastAsia" w:ascii="宋体" w:hAnsi="宋体"/>
          <w:color w:val="auto"/>
          <w:szCs w:val="21"/>
        </w:rPr>
        <w:t>法定代表人或其委托人：</w:t>
      </w:r>
      <w:r>
        <w:rPr>
          <w:rFonts w:hint="eastAsia" w:ascii="宋体" w:hAnsi="宋体"/>
          <w:color w:val="auto"/>
          <w:szCs w:val="21"/>
          <w:u w:val="single"/>
        </w:rPr>
        <w:t xml:space="preserve">       </w:t>
      </w:r>
      <w:r>
        <w:rPr>
          <w:rFonts w:hint="eastAsia" w:ascii="宋体" w:hAnsi="宋体"/>
          <w:color w:val="auto"/>
          <w:szCs w:val="21"/>
        </w:rPr>
        <w:t>（签字）     法定代表人或其委托人：</w:t>
      </w:r>
      <w:r>
        <w:rPr>
          <w:rFonts w:hint="eastAsia" w:ascii="宋体" w:hAnsi="宋体"/>
          <w:color w:val="auto"/>
          <w:szCs w:val="21"/>
          <w:u w:val="single"/>
        </w:rPr>
        <w:t xml:space="preserve">      </w:t>
      </w:r>
      <w:r>
        <w:rPr>
          <w:rFonts w:hint="eastAsia" w:ascii="宋体" w:hAnsi="宋体"/>
          <w:color w:val="auto"/>
          <w:szCs w:val="21"/>
        </w:rPr>
        <w:t>（签字）</w:t>
      </w:r>
    </w:p>
    <w:p w14:paraId="3B12E710">
      <w:pPr>
        <w:spacing w:line="394" w:lineRule="exact"/>
        <w:ind w:firstLine="420" w:firstLineChars="200"/>
        <w:rPr>
          <w:rFonts w:hint="eastAsia" w:ascii="宋体" w:hAnsi="宋体"/>
          <w:color w:val="auto"/>
          <w:szCs w:val="21"/>
        </w:rPr>
      </w:pPr>
    </w:p>
    <w:p w14:paraId="472152D0">
      <w:pPr>
        <w:spacing w:line="394" w:lineRule="exact"/>
        <w:ind w:firstLine="4830" w:firstLineChars="2300"/>
        <w:rPr>
          <w:rFonts w:hint="eastAsia" w:ascii="宋体" w:hAnsi="宋体"/>
          <w:color w:val="auto"/>
          <w:szCs w:val="21"/>
        </w:rPr>
      </w:pPr>
      <w:r>
        <w:rPr>
          <w:rFonts w:hint="eastAsia" w:ascii="宋体" w:hAnsi="宋体"/>
          <w:color w:val="auto"/>
          <w:szCs w:val="21"/>
        </w:rPr>
        <w:t>乙  方：</w:t>
      </w:r>
      <w:r>
        <w:rPr>
          <w:rFonts w:hint="eastAsia" w:ascii="宋体" w:hAnsi="宋体"/>
          <w:color w:val="auto"/>
          <w:szCs w:val="21"/>
          <w:u w:val="single"/>
        </w:rPr>
        <w:t xml:space="preserve">                </w:t>
      </w:r>
      <w:r>
        <w:rPr>
          <w:rFonts w:hint="eastAsia" w:ascii="宋体" w:hAnsi="宋体"/>
          <w:color w:val="auto"/>
          <w:szCs w:val="21"/>
        </w:rPr>
        <w:t>（盖单位章）</w:t>
      </w:r>
    </w:p>
    <w:p w14:paraId="5DED5872">
      <w:pPr>
        <w:spacing w:line="394" w:lineRule="exact"/>
        <w:ind w:firstLine="420" w:firstLineChars="200"/>
        <w:rPr>
          <w:rFonts w:hint="eastAsia" w:ascii="宋体" w:hAnsi="宋体"/>
          <w:color w:val="auto"/>
          <w:szCs w:val="21"/>
        </w:rPr>
      </w:pPr>
    </w:p>
    <w:p w14:paraId="30AEE156">
      <w:pPr>
        <w:spacing w:line="394" w:lineRule="exact"/>
        <w:ind w:firstLine="4830" w:firstLineChars="2300"/>
        <w:rPr>
          <w:rFonts w:hint="eastAsia" w:ascii="宋体" w:hAnsi="宋体"/>
          <w:color w:val="auto"/>
          <w:szCs w:val="21"/>
        </w:rPr>
      </w:pPr>
      <w:r>
        <w:rPr>
          <w:rFonts w:hint="eastAsia" w:ascii="宋体" w:hAnsi="宋体"/>
          <w:color w:val="auto"/>
          <w:szCs w:val="21"/>
        </w:rPr>
        <w:t>法定代表人或其委托人：</w:t>
      </w:r>
      <w:r>
        <w:rPr>
          <w:rFonts w:hint="eastAsia" w:ascii="宋体" w:hAnsi="宋体"/>
          <w:color w:val="auto"/>
          <w:szCs w:val="21"/>
          <w:u w:val="single"/>
        </w:rPr>
        <w:t xml:space="preserve">      </w:t>
      </w:r>
      <w:r>
        <w:rPr>
          <w:rFonts w:hint="eastAsia" w:ascii="宋体" w:hAnsi="宋体"/>
          <w:color w:val="auto"/>
          <w:szCs w:val="21"/>
        </w:rPr>
        <w:t>（签字）</w:t>
      </w:r>
    </w:p>
    <w:p w14:paraId="5CD122E4">
      <w:pPr>
        <w:spacing w:line="394" w:lineRule="exact"/>
        <w:ind w:firstLine="420" w:firstLineChars="200"/>
        <w:rPr>
          <w:rFonts w:ascii="宋体" w:hAnsi="宋体"/>
          <w:color w:val="auto"/>
          <w:szCs w:val="21"/>
        </w:rPr>
      </w:pPr>
    </w:p>
    <w:p w14:paraId="1CA17D6D">
      <w:pPr>
        <w:spacing w:line="394" w:lineRule="exact"/>
        <w:ind w:firstLine="5355" w:firstLineChars="2550"/>
        <w:rPr>
          <w:rFonts w:ascii="宋体" w:hAnsi="宋体"/>
          <w:color w:val="auto"/>
          <w:szCs w:val="21"/>
        </w:rPr>
      </w:pPr>
      <w:r>
        <w:rPr>
          <w:rFonts w:hint="eastAsia" w:ascii="宋体" w:hAnsi="宋体"/>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304CA732">
      <w:pPr>
        <w:spacing w:line="400" w:lineRule="exact"/>
        <w:rPr>
          <w:rFonts w:hint="eastAsia" w:ascii="宋体" w:hAnsi="宋体"/>
          <w:color w:val="auto"/>
          <w:szCs w:val="21"/>
        </w:rPr>
      </w:pPr>
    </w:p>
    <w:p w14:paraId="2B07696E">
      <w:pPr>
        <w:spacing w:line="400" w:lineRule="exact"/>
        <w:ind w:left="840" w:hanging="840" w:hangingChars="400"/>
        <w:rPr>
          <w:rFonts w:ascii="宋体" w:hAnsi="宋体"/>
          <w:color w:val="auto"/>
          <w:szCs w:val="21"/>
        </w:rPr>
      </w:pPr>
      <w:r>
        <w:rPr>
          <w:rFonts w:hint="eastAsia" w:ascii="宋体" w:hAnsi="宋体"/>
          <w:color w:val="auto"/>
          <w:szCs w:val="21"/>
        </w:rPr>
        <w:t>备注：</w:t>
      </w:r>
    </w:p>
    <w:p w14:paraId="7619012E">
      <w:pPr>
        <w:spacing w:line="400" w:lineRule="exact"/>
        <w:ind w:left="210" w:hanging="210" w:hangingChars="100"/>
        <w:rPr>
          <w:rFonts w:hint="eastAsia" w:ascii="宋体" w:hAnsi="宋体"/>
          <w:color w:val="auto"/>
          <w:szCs w:val="21"/>
        </w:rPr>
      </w:pPr>
      <w:r>
        <w:rPr>
          <w:rFonts w:hint="eastAsia" w:ascii="宋体" w:hAnsi="宋体"/>
          <w:color w:val="auto"/>
          <w:szCs w:val="21"/>
        </w:rPr>
        <w:t>1.本分包意向协议书适用于政府采购工程，可以分开签署。协议书由委托代理人签字的，应附法定代表人签字的授权委托书。</w:t>
      </w:r>
    </w:p>
    <w:p w14:paraId="474BEC71">
      <w:pPr>
        <w:spacing w:line="400" w:lineRule="exact"/>
        <w:ind w:left="210" w:hanging="210" w:hangingChars="100"/>
        <w:rPr>
          <w:rFonts w:hint="eastAsia" w:ascii="宋体" w:hAnsi="宋体"/>
          <w:color w:val="auto"/>
          <w:szCs w:val="21"/>
        </w:rPr>
      </w:pPr>
      <w:r>
        <w:rPr>
          <w:rFonts w:hint="eastAsia" w:ascii="宋体" w:hAnsi="宋体"/>
          <w:color w:val="auto"/>
          <w:szCs w:val="21"/>
        </w:rPr>
        <w:t>2.政府采购工程投标人未采用向中小（小微）企业分包的形式参加投标的，投标文件中不需分包意向协议书，也无须盖单位章和签字。</w:t>
      </w:r>
    </w:p>
    <w:p w14:paraId="6D3C9528">
      <w:pPr>
        <w:spacing w:line="400" w:lineRule="exact"/>
        <w:ind w:left="210" w:hanging="210" w:hangingChars="100"/>
        <w:rPr>
          <w:rFonts w:hint="eastAsia" w:ascii="宋体" w:hAnsi="宋体"/>
          <w:color w:val="auto"/>
          <w:szCs w:val="21"/>
        </w:rPr>
      </w:pPr>
      <w:r>
        <w:rPr>
          <w:rFonts w:hint="eastAsia" w:ascii="宋体" w:hAnsi="宋体"/>
          <w:color w:val="auto"/>
          <w:szCs w:val="21"/>
        </w:rPr>
        <w:t>3.政府采购工程部分预留专门面向中小企业采购的项目，招标人要求大企业向中小企业分包的形式参加申请（投标），且接受分包的中小企业承担的部分达到一定比例的，分包意向协议书应当按照第二章申请（投标）人须知附录二“政府采购工程预留工作及金额”的范围，明确接受分包的中小企业承担的合同工作内容、合同金额及合同金额与项目合同金额的占比。同时，声明接受分包的中小企业与分包企业之间是否存在直接控股、管理关系。</w:t>
      </w:r>
    </w:p>
    <w:p w14:paraId="014788AA">
      <w:pPr>
        <w:spacing w:line="400" w:lineRule="exact"/>
        <w:ind w:left="210" w:hanging="210" w:hangingChars="100"/>
        <w:rPr>
          <w:rFonts w:hint="eastAsia" w:ascii="宋体" w:hAnsi="宋体"/>
          <w:color w:val="auto"/>
          <w:szCs w:val="21"/>
        </w:rPr>
      </w:pPr>
      <w:r>
        <w:rPr>
          <w:rFonts w:hint="eastAsia" w:ascii="宋体" w:hAnsi="宋体"/>
          <w:color w:val="auto"/>
          <w:szCs w:val="21"/>
        </w:rPr>
        <w:t>4.政府采购工程未预留份额专门面向中小企业采购的项目，招标人允许大中型企业以向一家或者多家小微企业分包的形式参加申请（投标），且接受分包的小微企业承担的部分达到一定比例可享受价格扣除或增加价格分优惠政策的，分包意向协议书可以参照第二章申请（投标）人须知附录三“</w:t>
      </w:r>
      <w:r>
        <w:rPr>
          <w:rFonts w:hint="eastAsia"/>
          <w:color w:val="auto"/>
        </w:rPr>
        <w:t>政府采购工程适合小微企业承担的工作及金额</w:t>
      </w:r>
      <w:r>
        <w:rPr>
          <w:rFonts w:hint="eastAsia" w:ascii="宋体" w:hAnsi="宋体"/>
          <w:color w:val="auto"/>
          <w:szCs w:val="21"/>
        </w:rPr>
        <w:t>”的范围，明确接受分包的小微企业承担的合同工作内容、合同金额及合同金额与项目合同金额的占比。同时，声明接受分包的小微企业与分包企业之间是否存在直接控股、管理关系。</w:t>
      </w:r>
    </w:p>
    <w:p w14:paraId="72293BA9">
      <w:pPr>
        <w:spacing w:line="400" w:lineRule="exact"/>
        <w:ind w:left="210" w:hanging="210" w:hangingChars="100"/>
        <w:rPr>
          <w:rFonts w:ascii="宋体" w:hAnsi="宋体"/>
          <w:color w:val="auto"/>
          <w:szCs w:val="21"/>
        </w:rPr>
      </w:pPr>
      <w:r>
        <w:rPr>
          <w:rFonts w:hint="eastAsia" w:ascii="宋体" w:hAnsi="宋体"/>
          <w:color w:val="auto"/>
          <w:szCs w:val="21"/>
        </w:rPr>
        <w:t>5.分包意向协议书后附接受分包的中小（小微）企业，能够承担分包工作所需的有效的营业执照、企业资质证书（如需）、安全生产许可证（如需）、项目负责人资格证件的扫描件。</w:t>
      </w:r>
    </w:p>
    <w:p w14:paraId="65622889">
      <w:pPr>
        <w:spacing w:line="400" w:lineRule="exact"/>
        <w:rPr>
          <w:rFonts w:hint="eastAsia" w:ascii="宋体" w:hAnsi="宋体"/>
          <w:color w:val="auto"/>
          <w:szCs w:val="21"/>
        </w:rPr>
      </w:pPr>
    </w:p>
    <w:p w14:paraId="531DF3A2">
      <w:pPr>
        <w:pStyle w:val="83"/>
        <w:spacing w:before="63"/>
        <w:outlineLvl w:val="0"/>
        <w:rPr>
          <w:color w:val="auto"/>
          <w:sz w:val="28"/>
          <w:szCs w:val="28"/>
        </w:rPr>
      </w:pPr>
      <w:bookmarkStart w:id="2164" w:name="_Toc131698133"/>
      <w:bookmarkStart w:id="2165" w:name="_Toc154064027"/>
      <w:bookmarkStart w:id="2166" w:name="_Toc108514232"/>
      <w:r>
        <w:rPr>
          <w:rFonts w:hint="eastAsia"/>
          <w:color w:val="auto"/>
          <w:sz w:val="28"/>
          <w:szCs w:val="28"/>
        </w:rPr>
        <w:t>六、中小企业声明函</w:t>
      </w:r>
      <w:bookmarkEnd w:id="2164"/>
      <w:bookmarkEnd w:id="2165"/>
      <w:bookmarkEnd w:id="2166"/>
    </w:p>
    <w:p w14:paraId="0DFD786E">
      <w:pPr>
        <w:spacing w:line="440" w:lineRule="exact"/>
        <w:rPr>
          <w:color w:val="auto"/>
          <w:sz w:val="24"/>
        </w:rPr>
      </w:pPr>
    </w:p>
    <w:p w14:paraId="207365B4">
      <w:pPr>
        <w:spacing w:line="394" w:lineRule="exact"/>
        <w:rPr>
          <w:rFonts w:hint="eastAsia" w:ascii="宋体" w:hAnsi="宋体"/>
          <w:color w:val="auto"/>
          <w:szCs w:val="21"/>
        </w:rPr>
      </w:pPr>
      <w:r>
        <w:rPr>
          <w:rFonts w:hint="eastAsia" w:ascii="宋体" w:hAnsi="宋体"/>
          <w:color w:val="auto"/>
          <w:szCs w:val="21"/>
          <w:u w:val="single"/>
        </w:rPr>
        <w:t xml:space="preserve">                     </w:t>
      </w:r>
      <w:r>
        <w:rPr>
          <w:rFonts w:hint="eastAsia" w:ascii="宋体" w:hAnsi="宋体"/>
          <w:color w:val="auto"/>
          <w:szCs w:val="21"/>
        </w:rPr>
        <w:t>（招标人名称）：</w:t>
      </w:r>
    </w:p>
    <w:p w14:paraId="39C7A726">
      <w:pPr>
        <w:spacing w:line="394" w:lineRule="exact"/>
        <w:ind w:firstLine="420" w:firstLineChars="200"/>
        <w:rPr>
          <w:rFonts w:hint="eastAsia" w:ascii="宋体" w:hAnsi="宋体"/>
          <w:color w:val="auto"/>
          <w:szCs w:val="21"/>
        </w:rPr>
      </w:pPr>
      <w:r>
        <w:rPr>
          <w:rFonts w:hint="eastAsia" w:ascii="宋体" w:hAnsi="宋体"/>
          <w:color w:val="auto"/>
          <w:szCs w:val="21"/>
        </w:rPr>
        <w:t>本公司（联合体）郑重声明，根据《政府采购促进中小企业发展管理办法》（财库﹝2020﹞46 号）的规定，本公司（联合体）参加</w:t>
      </w:r>
      <w:r>
        <w:rPr>
          <w:rFonts w:hint="eastAsia" w:ascii="宋体" w:hAnsi="宋体"/>
          <w:color w:val="auto"/>
          <w:szCs w:val="21"/>
          <w:u w:val="single"/>
        </w:rPr>
        <w:t xml:space="preserve">      </w:t>
      </w:r>
      <w:r>
        <w:rPr>
          <w:rFonts w:hint="eastAsia" w:ascii="宋体" w:hAnsi="宋体"/>
          <w:color w:val="auto"/>
          <w:szCs w:val="21"/>
        </w:rPr>
        <w:t>（招标人名称）的</w:t>
      </w:r>
      <w:r>
        <w:rPr>
          <w:rFonts w:hint="eastAsia" w:ascii="宋体" w:hAnsi="宋体"/>
          <w:color w:val="auto"/>
          <w:szCs w:val="21"/>
          <w:u w:val="single"/>
        </w:rPr>
        <w:t xml:space="preserve">       </w:t>
      </w:r>
      <w:r>
        <w:rPr>
          <w:rFonts w:hint="eastAsia" w:ascii="宋体" w:hAnsi="宋体"/>
          <w:color w:val="auto"/>
          <w:szCs w:val="21"/>
        </w:rPr>
        <w:t>（项目名称）</w:t>
      </w:r>
      <w:r>
        <w:rPr>
          <w:rFonts w:hint="eastAsia" w:ascii="宋体" w:hAnsi="宋体"/>
          <w:color w:val="auto"/>
          <w:szCs w:val="21"/>
          <w:u w:val="single"/>
        </w:rPr>
        <w:t xml:space="preserve">     </w:t>
      </w:r>
      <w:r>
        <w:rPr>
          <w:rFonts w:hint="eastAsia" w:ascii="宋体" w:hAnsi="宋体"/>
          <w:color w:val="auto"/>
          <w:szCs w:val="21"/>
        </w:rPr>
        <w:t>（标段名称）（以下简称本工程）工程总承包招标投标活动，本工程招标范围内的</w:t>
      </w:r>
      <w:r>
        <w:rPr>
          <w:rFonts w:hint="eastAsia" w:ascii="宋体" w:hAnsi="宋体"/>
          <w:color w:val="auto"/>
          <w:szCs w:val="21"/>
          <w:u w:val="single"/>
        </w:rPr>
        <w:t xml:space="preserve">    全部／部分   </w:t>
      </w:r>
      <w:r>
        <w:rPr>
          <w:rFonts w:hint="eastAsia" w:ascii="宋体" w:hAnsi="宋体"/>
          <w:color w:val="auto"/>
          <w:szCs w:val="21"/>
        </w:rPr>
        <w:t>内容为符合政策要求的中小企业承建（承接）。相关企业（含联合体中的中小企业、签订分包意向协议的中小企业）的具体情况如下：</w:t>
      </w:r>
    </w:p>
    <w:p w14:paraId="0777CA1D">
      <w:pPr>
        <w:spacing w:line="394" w:lineRule="exact"/>
        <w:ind w:firstLine="420" w:firstLineChars="200"/>
        <w:rPr>
          <w:rFonts w:hint="eastAsia" w:ascii="宋体" w:hAnsi="宋体"/>
          <w:color w:val="auto"/>
          <w:szCs w:val="21"/>
        </w:rPr>
      </w:pPr>
      <w:r>
        <w:rPr>
          <w:rFonts w:hint="eastAsia" w:ascii="宋体" w:hAnsi="宋体"/>
          <w:color w:val="auto"/>
          <w:szCs w:val="21"/>
        </w:rPr>
        <w:t>1.</w:t>
      </w:r>
      <w:r>
        <w:rPr>
          <w:rFonts w:hint="eastAsia" w:ascii="宋体" w:hAnsi="宋体"/>
          <w:color w:val="auto"/>
          <w:szCs w:val="21"/>
          <w:u w:val="single"/>
        </w:rPr>
        <w:t xml:space="preserve">         </w:t>
      </w:r>
      <w:r>
        <w:rPr>
          <w:rFonts w:hint="eastAsia" w:ascii="宋体" w:hAnsi="宋体"/>
          <w:color w:val="auto"/>
          <w:szCs w:val="21"/>
        </w:rPr>
        <w:t>（工作内容名称） ，属于</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szCs w:val="21"/>
        </w:rPr>
        <w:t>（招标文件中明确的所属行业）；承建（承接）企业为</w:t>
      </w:r>
      <w:r>
        <w:rPr>
          <w:rFonts w:hint="eastAsia" w:ascii="宋体" w:hAnsi="宋体"/>
          <w:color w:val="auto"/>
          <w:szCs w:val="21"/>
          <w:u w:val="single"/>
        </w:rPr>
        <w:t xml:space="preserve">  　　　　　  </w:t>
      </w:r>
      <w:r>
        <w:rPr>
          <w:rFonts w:hint="eastAsia" w:ascii="宋体" w:hAnsi="宋体"/>
          <w:color w:val="auto"/>
          <w:szCs w:val="21"/>
        </w:rPr>
        <w:t>（企业名称） ，从业人员</w:t>
      </w:r>
      <w:r>
        <w:rPr>
          <w:rFonts w:hint="eastAsia" w:ascii="宋体" w:hAnsi="宋体"/>
          <w:color w:val="auto"/>
          <w:szCs w:val="21"/>
          <w:u w:val="single"/>
        </w:rPr>
        <w:t xml:space="preserve">    </w:t>
      </w:r>
      <w:r>
        <w:rPr>
          <w:rFonts w:hint="eastAsia" w:ascii="宋体" w:hAnsi="宋体"/>
          <w:color w:val="auto"/>
          <w:szCs w:val="21"/>
        </w:rPr>
        <w:t xml:space="preserve"> 人，营业收入为</w:t>
      </w:r>
      <w:r>
        <w:rPr>
          <w:rFonts w:hint="eastAsia" w:ascii="宋体" w:hAnsi="宋体"/>
          <w:color w:val="auto"/>
          <w:szCs w:val="21"/>
          <w:u w:val="single"/>
        </w:rPr>
        <w:t xml:space="preserve">       </w:t>
      </w:r>
      <w:r>
        <w:rPr>
          <w:rFonts w:hint="eastAsia" w:ascii="宋体" w:hAnsi="宋体"/>
          <w:color w:val="auto"/>
          <w:szCs w:val="21"/>
        </w:rPr>
        <w:t>万元，资产总额为</w:t>
      </w:r>
      <w:r>
        <w:rPr>
          <w:rFonts w:hint="eastAsia" w:ascii="宋体" w:hAnsi="宋体"/>
          <w:color w:val="auto"/>
          <w:szCs w:val="21"/>
          <w:u w:val="single"/>
        </w:rPr>
        <w:t xml:space="preserve">   　　  </w:t>
      </w:r>
      <w:r>
        <w:rPr>
          <w:rFonts w:hint="eastAsia" w:ascii="宋体" w:hAnsi="宋体"/>
          <w:color w:val="auto"/>
          <w:szCs w:val="21"/>
        </w:rPr>
        <w:t>万元，属于</w:t>
      </w:r>
      <w:r>
        <w:rPr>
          <w:rFonts w:hint="eastAsia" w:ascii="宋体" w:hAnsi="宋体"/>
          <w:color w:val="auto"/>
          <w:szCs w:val="21"/>
          <w:u w:val="single"/>
        </w:rPr>
        <w:t xml:space="preserve">   中型企业／小型企业／微型企业 </w:t>
      </w:r>
      <w:r>
        <w:rPr>
          <w:rFonts w:hint="eastAsia" w:ascii="宋体" w:hAnsi="宋体"/>
          <w:color w:val="auto"/>
          <w:szCs w:val="21"/>
        </w:rPr>
        <w:t>；</w:t>
      </w:r>
    </w:p>
    <w:p w14:paraId="2A5E4C5A">
      <w:pPr>
        <w:spacing w:line="394" w:lineRule="exact"/>
        <w:ind w:firstLine="420" w:firstLineChars="200"/>
        <w:rPr>
          <w:rFonts w:hint="eastAsia" w:ascii="宋体" w:hAnsi="宋体"/>
          <w:color w:val="auto"/>
          <w:szCs w:val="21"/>
        </w:rPr>
      </w:pPr>
      <w:r>
        <w:rPr>
          <w:rFonts w:hint="eastAsia" w:ascii="宋体" w:hAnsi="宋体"/>
          <w:color w:val="auto"/>
          <w:szCs w:val="21"/>
        </w:rPr>
        <w:t>2.</w:t>
      </w:r>
      <w:r>
        <w:rPr>
          <w:rFonts w:hint="eastAsia" w:ascii="宋体" w:hAnsi="宋体"/>
          <w:color w:val="auto"/>
          <w:szCs w:val="21"/>
          <w:u w:val="single"/>
        </w:rPr>
        <w:t xml:space="preserve">         </w:t>
      </w:r>
      <w:r>
        <w:rPr>
          <w:rFonts w:hint="eastAsia" w:ascii="宋体" w:hAnsi="宋体"/>
          <w:color w:val="auto"/>
          <w:szCs w:val="21"/>
        </w:rPr>
        <w:t>（工作内容名称） ，属于</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szCs w:val="21"/>
        </w:rPr>
        <w:t>（招标文件中明确的所属行业）；承建（承接）企业为</w:t>
      </w:r>
      <w:r>
        <w:rPr>
          <w:rFonts w:hint="eastAsia" w:ascii="宋体" w:hAnsi="宋体"/>
          <w:color w:val="auto"/>
          <w:szCs w:val="21"/>
          <w:u w:val="single"/>
        </w:rPr>
        <w:t xml:space="preserve">  　　　　　  </w:t>
      </w:r>
      <w:r>
        <w:rPr>
          <w:rFonts w:hint="eastAsia" w:ascii="宋体" w:hAnsi="宋体"/>
          <w:color w:val="auto"/>
          <w:szCs w:val="21"/>
        </w:rPr>
        <w:t>（企业名称） ，从业人员</w:t>
      </w:r>
      <w:r>
        <w:rPr>
          <w:rFonts w:hint="eastAsia" w:ascii="宋体" w:hAnsi="宋体"/>
          <w:color w:val="auto"/>
          <w:szCs w:val="21"/>
          <w:u w:val="single"/>
        </w:rPr>
        <w:t xml:space="preserve">    </w:t>
      </w:r>
      <w:r>
        <w:rPr>
          <w:rFonts w:hint="eastAsia" w:ascii="宋体" w:hAnsi="宋体"/>
          <w:color w:val="auto"/>
          <w:szCs w:val="21"/>
        </w:rPr>
        <w:t xml:space="preserve"> 人，营业收入为</w:t>
      </w:r>
      <w:r>
        <w:rPr>
          <w:rFonts w:hint="eastAsia" w:ascii="宋体" w:hAnsi="宋体"/>
          <w:color w:val="auto"/>
          <w:szCs w:val="21"/>
          <w:u w:val="single"/>
        </w:rPr>
        <w:t xml:space="preserve">       </w:t>
      </w:r>
      <w:r>
        <w:rPr>
          <w:rFonts w:hint="eastAsia" w:ascii="宋体" w:hAnsi="宋体"/>
          <w:color w:val="auto"/>
          <w:szCs w:val="21"/>
        </w:rPr>
        <w:t>万元，资产总额为</w:t>
      </w:r>
      <w:r>
        <w:rPr>
          <w:rFonts w:hint="eastAsia" w:ascii="宋体" w:hAnsi="宋体"/>
          <w:color w:val="auto"/>
          <w:szCs w:val="21"/>
          <w:u w:val="single"/>
        </w:rPr>
        <w:t xml:space="preserve">   　　  </w:t>
      </w:r>
      <w:r>
        <w:rPr>
          <w:rFonts w:hint="eastAsia" w:ascii="宋体" w:hAnsi="宋体"/>
          <w:color w:val="auto"/>
          <w:szCs w:val="21"/>
        </w:rPr>
        <w:t>万元，属于</w:t>
      </w:r>
      <w:r>
        <w:rPr>
          <w:rFonts w:hint="eastAsia" w:ascii="宋体" w:hAnsi="宋体"/>
          <w:color w:val="auto"/>
          <w:szCs w:val="21"/>
          <w:u w:val="single"/>
        </w:rPr>
        <w:t xml:space="preserve">   中型企业／小型企业／微型企业 </w:t>
      </w:r>
      <w:r>
        <w:rPr>
          <w:rFonts w:hint="eastAsia" w:ascii="宋体" w:hAnsi="宋体"/>
          <w:color w:val="auto"/>
          <w:szCs w:val="21"/>
        </w:rPr>
        <w:t>；</w:t>
      </w:r>
    </w:p>
    <w:p w14:paraId="32C700E7">
      <w:pPr>
        <w:spacing w:line="394" w:lineRule="exact"/>
        <w:ind w:firstLine="420" w:firstLineChars="200"/>
        <w:rPr>
          <w:rFonts w:hint="eastAsia" w:ascii="宋体" w:hAnsi="宋体"/>
          <w:color w:val="auto"/>
          <w:szCs w:val="21"/>
        </w:rPr>
      </w:pPr>
      <w:r>
        <w:rPr>
          <w:rFonts w:hint="eastAsia" w:ascii="宋体" w:hAnsi="宋体"/>
          <w:color w:val="auto"/>
          <w:szCs w:val="21"/>
        </w:rPr>
        <w:t>……</w:t>
      </w:r>
    </w:p>
    <w:p w14:paraId="7BEB4B43">
      <w:pPr>
        <w:spacing w:line="394" w:lineRule="exact"/>
        <w:ind w:firstLine="420" w:firstLineChars="200"/>
        <w:rPr>
          <w:rFonts w:hint="eastAsia" w:ascii="宋体" w:hAnsi="宋体"/>
          <w:color w:val="auto"/>
          <w:szCs w:val="21"/>
        </w:rPr>
      </w:pPr>
      <w:r>
        <w:rPr>
          <w:rFonts w:hint="eastAsia" w:ascii="宋体" w:hAnsi="宋体"/>
          <w:color w:val="auto"/>
          <w:szCs w:val="21"/>
        </w:rPr>
        <w:t>以上企业，不属于大企业的分支机构，不存在控股股东为大企业的情形，也不存在与大企业的负责人为同一人的情形。</w:t>
      </w:r>
    </w:p>
    <w:p w14:paraId="0E0E0AA7">
      <w:pPr>
        <w:spacing w:line="394" w:lineRule="exact"/>
        <w:ind w:firstLine="420" w:firstLineChars="200"/>
        <w:rPr>
          <w:rFonts w:hint="eastAsia" w:ascii="宋体" w:hAnsi="宋体"/>
          <w:color w:val="auto"/>
          <w:szCs w:val="21"/>
        </w:rPr>
      </w:pPr>
      <w:r>
        <w:rPr>
          <w:rFonts w:hint="eastAsia" w:ascii="宋体" w:hAnsi="宋体"/>
          <w:color w:val="auto"/>
          <w:szCs w:val="21"/>
        </w:rPr>
        <w:t>本企业对上述声明内容的真实性负责。如有虚假，将依法承担相应责任。</w:t>
      </w:r>
    </w:p>
    <w:p w14:paraId="5B81C6FF">
      <w:pPr>
        <w:spacing w:line="440" w:lineRule="exact"/>
        <w:ind w:firstLine="3570" w:firstLineChars="1700"/>
        <w:rPr>
          <w:rFonts w:hint="eastAsia" w:ascii="宋体" w:hAnsi="宋体" w:cs="宋体"/>
          <w:color w:val="auto"/>
          <w:szCs w:val="21"/>
        </w:rPr>
      </w:pPr>
    </w:p>
    <w:p w14:paraId="04BB60B4">
      <w:pPr>
        <w:spacing w:line="440" w:lineRule="exact"/>
        <w:ind w:firstLine="3570" w:firstLineChars="1700"/>
        <w:rPr>
          <w:rFonts w:hint="eastAsia" w:ascii="宋体" w:hAnsi="宋体" w:cs="宋体"/>
          <w:color w:val="auto"/>
          <w:szCs w:val="21"/>
        </w:rPr>
      </w:pPr>
      <w:r>
        <w:rPr>
          <w:rFonts w:hint="eastAsia" w:ascii="宋体" w:hAnsi="宋体" w:cs="宋体"/>
          <w:color w:val="auto"/>
          <w:szCs w:val="21"/>
        </w:rPr>
        <w:t>投标人：</w:t>
      </w:r>
      <w:r>
        <w:rPr>
          <w:rFonts w:hint="eastAsia" w:ascii="宋体" w:hAnsi="宋体" w:cs="宋体"/>
          <w:color w:val="auto"/>
          <w:szCs w:val="21"/>
          <w:u w:val="single"/>
        </w:rPr>
        <w:t>　　　　　　　　</w:t>
      </w:r>
      <w:r>
        <w:rPr>
          <w:rFonts w:hint="eastAsia" w:ascii="宋体" w:hAnsi="宋体" w:cs="宋体"/>
          <w:color w:val="auto"/>
          <w:szCs w:val="21"/>
        </w:rPr>
        <w:t>（盖单位章）</w:t>
      </w:r>
    </w:p>
    <w:p w14:paraId="440FF4AE">
      <w:pPr>
        <w:spacing w:line="440" w:lineRule="exact"/>
        <w:ind w:firstLine="3570" w:firstLineChars="1700"/>
        <w:rPr>
          <w:rFonts w:hint="eastAsia" w:ascii="宋体" w:hAnsi="宋体" w:cs="宋体"/>
          <w:color w:val="auto"/>
          <w:szCs w:val="21"/>
        </w:rPr>
      </w:pPr>
      <w:r>
        <w:rPr>
          <w:rFonts w:hint="eastAsia" w:ascii="宋体" w:hAnsi="宋体" w:cs="宋体"/>
          <w:color w:val="auto"/>
          <w:szCs w:val="21"/>
        </w:rPr>
        <w:t>日　期：</w:t>
      </w:r>
      <w:r>
        <w:rPr>
          <w:rFonts w:hint="eastAsia" w:ascii="宋体" w:hAnsi="宋体" w:cs="宋体"/>
          <w:color w:val="auto"/>
          <w:szCs w:val="21"/>
          <w:u w:val="single"/>
        </w:rPr>
        <w:t>　　</w:t>
      </w:r>
      <w:r>
        <w:rPr>
          <w:rFonts w:hint="eastAsia" w:ascii="宋体" w:hAnsi="宋体" w:cs="宋体"/>
          <w:color w:val="auto"/>
          <w:szCs w:val="21"/>
        </w:rPr>
        <w:t>年</w:t>
      </w:r>
      <w:r>
        <w:rPr>
          <w:rFonts w:hint="eastAsia" w:ascii="宋体" w:hAnsi="宋体" w:cs="宋体"/>
          <w:color w:val="auto"/>
          <w:szCs w:val="21"/>
          <w:u w:val="single"/>
        </w:rPr>
        <w:t>　　</w:t>
      </w:r>
      <w:r>
        <w:rPr>
          <w:rFonts w:hint="eastAsia" w:ascii="宋体" w:hAnsi="宋体" w:cs="宋体"/>
          <w:color w:val="auto"/>
          <w:szCs w:val="21"/>
        </w:rPr>
        <w:t>月</w:t>
      </w:r>
      <w:r>
        <w:rPr>
          <w:rFonts w:hint="eastAsia" w:ascii="宋体" w:hAnsi="宋体" w:cs="宋体"/>
          <w:color w:val="auto"/>
          <w:szCs w:val="21"/>
          <w:u w:val="single"/>
        </w:rPr>
        <w:t>　　</w:t>
      </w:r>
      <w:r>
        <w:rPr>
          <w:rFonts w:hint="eastAsia" w:ascii="宋体" w:hAnsi="宋体" w:cs="宋体"/>
          <w:color w:val="auto"/>
          <w:szCs w:val="21"/>
        </w:rPr>
        <w:t>日</w:t>
      </w:r>
    </w:p>
    <w:p w14:paraId="345B19BE">
      <w:pPr>
        <w:spacing w:line="440" w:lineRule="exact"/>
        <w:rPr>
          <w:rFonts w:ascii="宋体" w:hAnsi="宋体" w:cs="宋体"/>
          <w:color w:val="auto"/>
          <w:szCs w:val="21"/>
        </w:rPr>
      </w:pPr>
    </w:p>
    <w:p w14:paraId="7C357033">
      <w:pPr>
        <w:spacing w:line="440" w:lineRule="exact"/>
        <w:rPr>
          <w:rFonts w:hint="eastAsia" w:ascii="宋体" w:hAnsi="宋体" w:cs="宋体"/>
          <w:color w:val="auto"/>
          <w:szCs w:val="21"/>
        </w:rPr>
      </w:pPr>
    </w:p>
    <w:p w14:paraId="42CB8EE2">
      <w:pPr>
        <w:spacing w:line="400" w:lineRule="atLeast"/>
        <w:ind w:left="840" w:hanging="840" w:hangingChars="400"/>
        <w:rPr>
          <w:rFonts w:ascii="宋体" w:hAnsi="宋体" w:cs="宋体"/>
          <w:color w:val="auto"/>
          <w:szCs w:val="21"/>
        </w:rPr>
      </w:pPr>
      <w:r>
        <w:rPr>
          <w:rFonts w:hint="eastAsia" w:ascii="宋体" w:hAnsi="宋体" w:cs="宋体"/>
          <w:color w:val="auto"/>
          <w:szCs w:val="21"/>
        </w:rPr>
        <w:t>备注：</w:t>
      </w:r>
    </w:p>
    <w:p w14:paraId="517AE5AE">
      <w:pPr>
        <w:spacing w:line="360" w:lineRule="exact"/>
        <w:ind w:left="210" w:hanging="210" w:hangingChars="100"/>
        <w:rPr>
          <w:rFonts w:hint="eastAsia" w:ascii="宋体" w:hAnsi="宋体"/>
          <w:color w:val="auto"/>
          <w:szCs w:val="21"/>
        </w:rPr>
      </w:pPr>
      <w:r>
        <w:rPr>
          <w:rFonts w:hint="eastAsia" w:ascii="宋体" w:hAnsi="宋体"/>
          <w:color w:val="auto"/>
          <w:szCs w:val="21"/>
        </w:rPr>
        <w:t>1.政府采购工程的投标人应当如实提供中小企业声明函，中小微企业划型按照《中小企业划型标准规定》（工信部联企业〔2011〕300号）执行，非政府采购工程的无需提供中小企业声明函。</w:t>
      </w:r>
    </w:p>
    <w:p w14:paraId="11886C66">
      <w:pPr>
        <w:spacing w:line="360" w:lineRule="exact"/>
        <w:ind w:left="210" w:hanging="210" w:hangingChars="100"/>
        <w:rPr>
          <w:rFonts w:hint="eastAsia" w:ascii="宋体" w:hAnsi="宋体"/>
          <w:color w:val="auto"/>
          <w:szCs w:val="21"/>
        </w:rPr>
      </w:pPr>
      <w:r>
        <w:rPr>
          <w:rFonts w:ascii="宋体" w:hAnsi="宋体"/>
          <w:color w:val="auto"/>
          <w:szCs w:val="21"/>
        </w:rPr>
        <w:t>2</w:t>
      </w:r>
      <w:r>
        <w:rPr>
          <w:rFonts w:hint="eastAsia" w:ascii="宋体" w:hAnsi="宋体"/>
          <w:color w:val="auto"/>
          <w:szCs w:val="21"/>
        </w:rPr>
        <w:t>.从业人员、营业收入、资产总额填报上一年度数据，无上一年度数据的新成立企业可不填报。投标截止日如在6月30日以前，则上一年度数据是指上上个年度的数据，例如投标截止日为2014年6月30日，上一年度数据是指2012年度的数据。如投标截止日如在6月30日以后，则上一年度数据是指上个年度数据，例如投标截止日为2014年7月1日，上一年度数据是2013年度的数据。</w:t>
      </w:r>
    </w:p>
    <w:p w14:paraId="2F2FD63E">
      <w:pPr>
        <w:spacing w:line="360" w:lineRule="exact"/>
        <w:ind w:left="210" w:hanging="210" w:hangingChars="100"/>
        <w:rPr>
          <w:rFonts w:hint="eastAsia" w:eastAsia="黑体"/>
          <w:color w:val="auto"/>
          <w:sz w:val="27"/>
          <w:szCs w:val="27"/>
        </w:rPr>
      </w:pPr>
      <w:r>
        <w:rPr>
          <w:rFonts w:ascii="宋体" w:hAnsi="宋体"/>
          <w:color w:val="auto"/>
          <w:szCs w:val="21"/>
        </w:rPr>
        <w:t>3.</w:t>
      </w:r>
      <w:r>
        <w:rPr>
          <w:rFonts w:hint="eastAsia" w:ascii="宋体" w:hAnsi="宋体"/>
          <w:color w:val="auto"/>
          <w:szCs w:val="21"/>
        </w:rPr>
        <w:t>监狱企业应当在本声明函后附由省级以上监狱管理局、戒毒管理局（含新疆生产建设兵团）出具的属于监狱企业的证明文件扫描件</w:t>
      </w:r>
      <w:r>
        <w:rPr>
          <w:rFonts w:ascii="宋体" w:hAnsi="宋体"/>
          <w:color w:val="auto"/>
          <w:szCs w:val="21"/>
        </w:rPr>
        <w:t>；</w:t>
      </w:r>
      <w:r>
        <w:rPr>
          <w:rFonts w:hint="eastAsia" w:ascii="宋体" w:hAnsi="宋体"/>
          <w:color w:val="auto"/>
          <w:szCs w:val="21"/>
        </w:rPr>
        <w:t>残疾人福利性单位应当提供《残疾人福利性单位声明函》扫描件。</w:t>
      </w:r>
    </w:p>
    <w:p w14:paraId="3A525C4A">
      <w:pPr>
        <w:pStyle w:val="83"/>
        <w:spacing w:before="63"/>
        <w:outlineLvl w:val="0"/>
        <w:rPr>
          <w:color w:val="auto"/>
        </w:rPr>
        <w:sectPr>
          <w:footerReference r:id="rId10" w:type="default"/>
          <w:footerReference r:id="rId11" w:type="even"/>
          <w:pgSz w:w="11906" w:h="16838"/>
          <w:pgMar w:top="1440" w:right="1803" w:bottom="1440" w:left="1803" w:header="851" w:footer="992" w:gutter="0"/>
          <w:cols w:space="720" w:num="1"/>
          <w:docGrid w:type="lines" w:linePitch="319" w:charSpace="0"/>
        </w:sectPr>
      </w:pPr>
      <w:bookmarkStart w:id="2167" w:name="_Toc387753633"/>
      <w:bookmarkStart w:id="2168" w:name="_Toc229305427"/>
      <w:bookmarkStart w:id="2169" w:name="_Toc168475930"/>
      <w:bookmarkStart w:id="2170" w:name="_Toc222031069"/>
      <w:bookmarkStart w:id="2171" w:name="_Toc168476333"/>
      <w:bookmarkStart w:id="2172" w:name="_Toc456173557"/>
      <w:bookmarkStart w:id="2173" w:name="_Toc144974871"/>
      <w:bookmarkStart w:id="2174" w:name="_Toc222033918"/>
      <w:bookmarkStart w:id="2175" w:name="_Toc222032736"/>
      <w:bookmarkStart w:id="2176" w:name="_Toc519085662"/>
      <w:bookmarkStart w:id="2177" w:name="_Toc31723"/>
      <w:bookmarkStart w:id="2178" w:name="_Toc222029567"/>
      <w:bookmarkStart w:id="2179" w:name="_Toc8842"/>
      <w:bookmarkStart w:id="2180" w:name="_Toc31147"/>
      <w:bookmarkStart w:id="2181" w:name="_Toc221952115"/>
      <w:bookmarkStart w:id="2182" w:name="_Toc13285"/>
    </w:p>
    <w:p w14:paraId="4E9551A0">
      <w:pPr>
        <w:pStyle w:val="83"/>
        <w:spacing w:before="63"/>
        <w:outlineLvl w:val="0"/>
        <w:rPr>
          <w:rFonts w:hint="eastAsia"/>
          <w:color w:val="auto"/>
          <w:sz w:val="28"/>
          <w:szCs w:val="28"/>
        </w:rPr>
      </w:pPr>
      <w:bookmarkStart w:id="2183" w:name="_Toc154064028"/>
      <w:r>
        <w:rPr>
          <w:rFonts w:hint="eastAsia"/>
          <w:color w:val="auto"/>
          <w:sz w:val="28"/>
          <w:szCs w:val="28"/>
        </w:rPr>
        <w:t>七</w:t>
      </w:r>
      <w:r>
        <w:rPr>
          <w:color w:val="auto"/>
          <w:sz w:val="28"/>
          <w:szCs w:val="28"/>
        </w:rPr>
        <w:t>、项目管理机构</w:t>
      </w:r>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p>
    <w:p w14:paraId="7DD58BF6">
      <w:pPr>
        <w:pStyle w:val="4"/>
        <w:spacing w:before="159"/>
        <w:jc w:val="center"/>
        <w:rPr>
          <w:rFonts w:hint="eastAsia"/>
          <w:color w:val="auto"/>
          <w:sz w:val="24"/>
        </w:rPr>
      </w:pPr>
      <w:bookmarkStart w:id="2184" w:name="_Toc154064029"/>
      <w:bookmarkStart w:id="2185" w:name="_Toc24710"/>
      <w:bookmarkStart w:id="2186" w:name="_Toc426496250"/>
      <w:bookmarkStart w:id="2187" w:name="_Toc519085663"/>
      <w:bookmarkStart w:id="2188" w:name="_Toc456173558"/>
      <w:r>
        <w:rPr>
          <w:rFonts w:hint="eastAsia"/>
          <w:color w:val="auto"/>
          <w:sz w:val="24"/>
        </w:rPr>
        <w:t>（一）项目管理机构主要人员表</w:t>
      </w:r>
      <w:bookmarkEnd w:id="2184"/>
      <w:bookmarkEnd w:id="2185"/>
      <w:bookmarkEnd w:id="2186"/>
      <w:bookmarkEnd w:id="2187"/>
      <w:bookmarkEnd w:id="2188"/>
    </w:p>
    <w:tbl>
      <w:tblPr>
        <w:tblStyle w:val="41"/>
        <w:tblW w:w="140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60"/>
        <w:gridCol w:w="1080"/>
        <w:gridCol w:w="1080"/>
        <w:gridCol w:w="540"/>
        <w:gridCol w:w="540"/>
        <w:gridCol w:w="720"/>
        <w:gridCol w:w="1080"/>
        <w:gridCol w:w="540"/>
        <w:gridCol w:w="720"/>
        <w:gridCol w:w="720"/>
        <w:gridCol w:w="720"/>
        <w:gridCol w:w="1080"/>
        <w:gridCol w:w="720"/>
        <w:gridCol w:w="1260"/>
        <w:gridCol w:w="900"/>
        <w:gridCol w:w="900"/>
        <w:gridCol w:w="1080"/>
      </w:tblGrid>
      <w:tr w14:paraId="4561E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60" w:type="dxa"/>
            <w:vMerge w:val="restart"/>
            <w:noWrap w:val="0"/>
            <w:vAlign w:val="center"/>
          </w:tcPr>
          <w:p w14:paraId="3404579B">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序号</w:t>
            </w:r>
          </w:p>
        </w:tc>
        <w:tc>
          <w:tcPr>
            <w:tcW w:w="1080" w:type="dxa"/>
            <w:vMerge w:val="restart"/>
            <w:noWrap w:val="0"/>
            <w:vAlign w:val="center"/>
          </w:tcPr>
          <w:p w14:paraId="5DF81728">
            <w:pPr>
              <w:keepNext w:val="0"/>
              <w:keepLines w:val="0"/>
              <w:suppressLineNumbers w:val="0"/>
              <w:spacing w:before="0" w:beforeAutospacing="0" w:after="0" w:afterAutospacing="0" w:line="420" w:lineRule="exact"/>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职务</w:t>
            </w:r>
          </w:p>
        </w:tc>
        <w:tc>
          <w:tcPr>
            <w:tcW w:w="1080" w:type="dxa"/>
            <w:vMerge w:val="restart"/>
            <w:noWrap w:val="0"/>
            <w:vAlign w:val="center"/>
          </w:tcPr>
          <w:p w14:paraId="3B2004EA">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姓名</w:t>
            </w:r>
          </w:p>
        </w:tc>
        <w:tc>
          <w:tcPr>
            <w:tcW w:w="540" w:type="dxa"/>
            <w:vMerge w:val="restart"/>
            <w:noWrap w:val="0"/>
            <w:vAlign w:val="center"/>
          </w:tcPr>
          <w:p w14:paraId="7A744F4A">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性别</w:t>
            </w:r>
          </w:p>
        </w:tc>
        <w:tc>
          <w:tcPr>
            <w:tcW w:w="540" w:type="dxa"/>
            <w:vMerge w:val="restart"/>
            <w:noWrap w:val="0"/>
            <w:vAlign w:val="center"/>
          </w:tcPr>
          <w:p w14:paraId="3C40B5C5">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年龄</w:t>
            </w:r>
          </w:p>
        </w:tc>
        <w:tc>
          <w:tcPr>
            <w:tcW w:w="720" w:type="dxa"/>
            <w:vMerge w:val="restart"/>
            <w:noWrap w:val="0"/>
            <w:vAlign w:val="center"/>
          </w:tcPr>
          <w:p w14:paraId="5A661B1E">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学历</w:t>
            </w:r>
          </w:p>
        </w:tc>
        <w:tc>
          <w:tcPr>
            <w:tcW w:w="1080" w:type="dxa"/>
            <w:vMerge w:val="restart"/>
            <w:noWrap w:val="0"/>
            <w:vAlign w:val="center"/>
          </w:tcPr>
          <w:p w14:paraId="49C82351">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专业</w:t>
            </w:r>
          </w:p>
        </w:tc>
        <w:tc>
          <w:tcPr>
            <w:tcW w:w="540" w:type="dxa"/>
            <w:vMerge w:val="restart"/>
            <w:noWrap w:val="0"/>
            <w:vAlign w:val="center"/>
          </w:tcPr>
          <w:p w14:paraId="5CD5E226">
            <w:pPr>
              <w:keepNext w:val="0"/>
              <w:keepLines w:val="0"/>
              <w:suppressLineNumbers w:val="0"/>
              <w:spacing w:before="0" w:beforeAutospacing="0" w:after="0" w:afterAutospacing="0"/>
              <w:ind w:left="0" w:right="0"/>
              <w:jc w:val="center"/>
              <w:rPr>
                <w:rFonts w:hint="eastAsia" w:ascii="Calibri" w:hAnsi="Calibri" w:eastAsia="宋体" w:cs="Times New Roman"/>
                <w:color w:val="auto"/>
                <w:szCs w:val="21"/>
              </w:rPr>
            </w:pPr>
            <w:r>
              <w:rPr>
                <w:rFonts w:ascii="Calibri" w:hAnsi="Calibri" w:eastAsia="宋体" w:cs="Times New Roman"/>
                <w:color w:val="auto"/>
                <w:szCs w:val="21"/>
              </w:rPr>
              <w:t>专业</w:t>
            </w:r>
            <w:r>
              <w:rPr>
                <w:rFonts w:hint="eastAsia" w:ascii="Calibri" w:hAnsi="Calibri" w:eastAsia="宋体" w:cs="Times New Roman"/>
                <w:color w:val="auto"/>
                <w:szCs w:val="21"/>
              </w:rPr>
              <w:t>工作年限</w:t>
            </w:r>
          </w:p>
        </w:tc>
        <w:tc>
          <w:tcPr>
            <w:tcW w:w="2160" w:type="dxa"/>
            <w:gridSpan w:val="3"/>
            <w:noWrap w:val="0"/>
            <w:vAlign w:val="center"/>
          </w:tcPr>
          <w:p w14:paraId="467012E0">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专业技术职称</w:t>
            </w:r>
          </w:p>
        </w:tc>
        <w:tc>
          <w:tcPr>
            <w:tcW w:w="3960" w:type="dxa"/>
            <w:gridSpan w:val="4"/>
            <w:noWrap w:val="0"/>
            <w:vAlign w:val="center"/>
          </w:tcPr>
          <w:p w14:paraId="2A66080A">
            <w:pPr>
              <w:keepNext w:val="0"/>
              <w:keepLines w:val="0"/>
              <w:suppressLineNumbers w:val="0"/>
              <w:spacing w:before="0" w:beforeAutospacing="0" w:after="0" w:afterAutospacing="0" w:line="420" w:lineRule="exact"/>
              <w:ind w:left="0" w:right="0"/>
              <w:jc w:val="center"/>
              <w:rPr>
                <w:rFonts w:ascii="Calibri" w:hAnsi="Calibri" w:eastAsia="宋体" w:cs="Times New Roman"/>
                <w:color w:val="auto"/>
                <w:szCs w:val="21"/>
              </w:rPr>
            </w:pPr>
            <w:r>
              <w:rPr>
                <w:rFonts w:hint="eastAsia" w:ascii="宋体" w:hAnsi="宋体" w:eastAsia="宋体" w:cs="Times New Roman"/>
                <w:color w:val="auto"/>
                <w:szCs w:val="21"/>
              </w:rPr>
              <w:t>执业或职业资格证明</w:t>
            </w:r>
          </w:p>
        </w:tc>
        <w:tc>
          <w:tcPr>
            <w:tcW w:w="900" w:type="dxa"/>
            <w:vMerge w:val="restart"/>
            <w:noWrap w:val="0"/>
            <w:vAlign w:val="center"/>
          </w:tcPr>
          <w:p w14:paraId="05195F7E">
            <w:pPr>
              <w:keepNext w:val="0"/>
              <w:keepLines w:val="0"/>
              <w:suppressLineNumbers w:val="0"/>
              <w:spacing w:before="0" w:beforeAutospacing="0" w:after="0" w:afterAutospacing="0" w:line="420" w:lineRule="exact"/>
              <w:ind w:left="0" w:right="0"/>
              <w:jc w:val="center"/>
              <w:rPr>
                <w:rFonts w:ascii="Calibri" w:hAnsi="Calibri" w:eastAsia="宋体" w:cs="Times New Roman"/>
                <w:color w:val="auto"/>
                <w:szCs w:val="21"/>
              </w:rPr>
            </w:pPr>
            <w:r>
              <w:rPr>
                <w:rFonts w:hint="eastAsia" w:ascii="宋体" w:hAnsi="宋体" w:eastAsia="宋体" w:cs="Times New Roman"/>
                <w:color w:val="auto"/>
                <w:szCs w:val="21"/>
              </w:rPr>
              <w:t>社会保险</w:t>
            </w:r>
          </w:p>
        </w:tc>
        <w:tc>
          <w:tcPr>
            <w:tcW w:w="1080" w:type="dxa"/>
            <w:vMerge w:val="restart"/>
            <w:noWrap w:val="0"/>
            <w:vAlign w:val="center"/>
          </w:tcPr>
          <w:p w14:paraId="37438BC2">
            <w:pPr>
              <w:keepNext w:val="0"/>
              <w:keepLines w:val="0"/>
              <w:suppressLineNumbers w:val="0"/>
              <w:spacing w:before="0" w:beforeAutospacing="0" w:after="0" w:afterAutospacing="0" w:line="420" w:lineRule="exac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执业、</w:t>
            </w:r>
          </w:p>
          <w:p w14:paraId="430D89A5">
            <w:pPr>
              <w:keepNext w:val="0"/>
              <w:keepLines w:val="0"/>
              <w:suppressLineNumbers w:val="0"/>
              <w:spacing w:before="0" w:beforeAutospacing="0" w:after="0" w:afterAutospacing="0" w:line="420" w:lineRule="exact"/>
              <w:ind w:left="0" w:right="0"/>
              <w:jc w:val="center"/>
              <w:rPr>
                <w:rFonts w:ascii="Calibri" w:hAnsi="Calibri" w:eastAsia="宋体" w:cs="Times New Roman"/>
                <w:color w:val="auto"/>
                <w:szCs w:val="21"/>
                <w:vertAlign w:val="superscript"/>
              </w:rPr>
            </w:pPr>
            <w:r>
              <w:rPr>
                <w:rFonts w:hint="eastAsia" w:ascii="Calibri" w:hAnsi="Calibri" w:eastAsia="宋体" w:cs="Times New Roman"/>
                <w:color w:val="auto"/>
                <w:szCs w:val="21"/>
              </w:rPr>
              <w:t>职业单位</w:t>
            </w:r>
          </w:p>
        </w:tc>
      </w:tr>
      <w:tr w14:paraId="51D05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60" w:type="dxa"/>
            <w:vMerge w:val="continue"/>
            <w:noWrap w:val="0"/>
            <w:vAlign w:val="center"/>
          </w:tcPr>
          <w:p w14:paraId="57DD0C38">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vMerge w:val="continue"/>
            <w:noWrap w:val="0"/>
            <w:vAlign w:val="center"/>
          </w:tcPr>
          <w:p w14:paraId="48200A57">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vMerge w:val="continue"/>
            <w:noWrap w:val="0"/>
            <w:vAlign w:val="center"/>
          </w:tcPr>
          <w:p w14:paraId="6B0929DF">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vMerge w:val="continue"/>
            <w:noWrap w:val="0"/>
            <w:vAlign w:val="center"/>
          </w:tcPr>
          <w:p w14:paraId="46D777CD">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vMerge w:val="continue"/>
            <w:noWrap w:val="0"/>
            <w:vAlign w:val="center"/>
          </w:tcPr>
          <w:p w14:paraId="186C81EA">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720" w:type="dxa"/>
            <w:vMerge w:val="continue"/>
            <w:noWrap w:val="0"/>
            <w:vAlign w:val="center"/>
          </w:tcPr>
          <w:p w14:paraId="2A617A4E">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1080" w:type="dxa"/>
            <w:vMerge w:val="continue"/>
            <w:noWrap w:val="0"/>
            <w:vAlign w:val="center"/>
          </w:tcPr>
          <w:p w14:paraId="5295D687">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vMerge w:val="continue"/>
            <w:noWrap w:val="0"/>
            <w:vAlign w:val="center"/>
          </w:tcPr>
          <w:p w14:paraId="16FDC020">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7431BECD">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初级</w:t>
            </w:r>
          </w:p>
        </w:tc>
        <w:tc>
          <w:tcPr>
            <w:tcW w:w="720" w:type="dxa"/>
            <w:noWrap w:val="0"/>
            <w:vAlign w:val="center"/>
          </w:tcPr>
          <w:p w14:paraId="76ABD1E7">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中级</w:t>
            </w:r>
          </w:p>
        </w:tc>
        <w:tc>
          <w:tcPr>
            <w:tcW w:w="720" w:type="dxa"/>
            <w:noWrap w:val="0"/>
            <w:vAlign w:val="center"/>
          </w:tcPr>
          <w:p w14:paraId="2A9CE88E">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高级</w:t>
            </w:r>
          </w:p>
        </w:tc>
        <w:tc>
          <w:tcPr>
            <w:tcW w:w="1080" w:type="dxa"/>
            <w:noWrap w:val="0"/>
            <w:vAlign w:val="center"/>
          </w:tcPr>
          <w:p w14:paraId="325A93E7">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证书名称</w:t>
            </w:r>
          </w:p>
        </w:tc>
        <w:tc>
          <w:tcPr>
            <w:tcW w:w="720" w:type="dxa"/>
            <w:noWrap w:val="0"/>
            <w:vAlign w:val="center"/>
          </w:tcPr>
          <w:p w14:paraId="0B681B5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级别</w:t>
            </w:r>
          </w:p>
        </w:tc>
        <w:tc>
          <w:tcPr>
            <w:tcW w:w="1260" w:type="dxa"/>
            <w:noWrap w:val="0"/>
            <w:vAlign w:val="center"/>
          </w:tcPr>
          <w:p w14:paraId="25BFEDE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证号</w:t>
            </w:r>
          </w:p>
        </w:tc>
        <w:tc>
          <w:tcPr>
            <w:tcW w:w="900" w:type="dxa"/>
            <w:noWrap w:val="0"/>
            <w:vAlign w:val="center"/>
          </w:tcPr>
          <w:p w14:paraId="0C7FE37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专业</w:t>
            </w:r>
          </w:p>
        </w:tc>
        <w:tc>
          <w:tcPr>
            <w:tcW w:w="900" w:type="dxa"/>
            <w:vMerge w:val="continue"/>
            <w:noWrap w:val="0"/>
            <w:vAlign w:val="center"/>
          </w:tcPr>
          <w:p w14:paraId="24FC87BE">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vMerge w:val="continue"/>
            <w:noWrap w:val="0"/>
            <w:vAlign w:val="center"/>
          </w:tcPr>
          <w:p w14:paraId="36C84A99">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r>
      <w:tr w14:paraId="3E3EC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11CB723F">
            <w:pPr>
              <w:keepNext w:val="0"/>
              <w:keepLines w:val="0"/>
              <w:suppressLineNumbers w:val="0"/>
              <w:spacing w:before="0" w:beforeAutospacing="0" w:after="0" w:afterAutospacing="0"/>
              <w:ind w:left="0" w:right="0"/>
              <w:jc w:val="center"/>
              <w:rPr>
                <w:rFonts w:ascii="Calibri" w:hAnsi="Calibri" w:eastAsia="宋体" w:cs="宋体"/>
                <w:color w:val="auto"/>
                <w:szCs w:val="21"/>
              </w:rPr>
            </w:pPr>
            <w:r>
              <w:rPr>
                <w:rFonts w:hint="eastAsia" w:ascii="Calibri" w:hAnsi="Calibri" w:eastAsia="宋体" w:cs="Times New Roman"/>
                <w:color w:val="auto"/>
                <w:szCs w:val="21"/>
              </w:rPr>
              <w:t>1</w:t>
            </w:r>
          </w:p>
        </w:tc>
        <w:tc>
          <w:tcPr>
            <w:tcW w:w="1080" w:type="dxa"/>
            <w:noWrap w:val="0"/>
            <w:vAlign w:val="center"/>
          </w:tcPr>
          <w:p w14:paraId="695B2100">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noWrap w:val="0"/>
            <w:vAlign w:val="center"/>
          </w:tcPr>
          <w:p w14:paraId="0A2EC823">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noWrap w:val="0"/>
            <w:vAlign w:val="center"/>
          </w:tcPr>
          <w:p w14:paraId="28E4E98C">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noWrap w:val="0"/>
            <w:vAlign w:val="center"/>
          </w:tcPr>
          <w:p w14:paraId="5790EE4C">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720" w:type="dxa"/>
            <w:noWrap w:val="0"/>
            <w:vAlign w:val="center"/>
          </w:tcPr>
          <w:p w14:paraId="5FBC81E2">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1080" w:type="dxa"/>
            <w:noWrap w:val="0"/>
            <w:vAlign w:val="center"/>
          </w:tcPr>
          <w:p w14:paraId="60AFD45D">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noWrap w:val="0"/>
            <w:vAlign w:val="center"/>
          </w:tcPr>
          <w:p w14:paraId="52DAAF3F">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52D0D927">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042C3B96">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048BF3A9">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noWrap w:val="0"/>
            <w:vAlign w:val="center"/>
          </w:tcPr>
          <w:p w14:paraId="0137905B">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1E7956CE">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260" w:type="dxa"/>
            <w:noWrap w:val="0"/>
            <w:vAlign w:val="center"/>
          </w:tcPr>
          <w:p w14:paraId="4373A371">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900" w:type="dxa"/>
            <w:noWrap w:val="0"/>
            <w:vAlign w:val="center"/>
          </w:tcPr>
          <w:p w14:paraId="7467DE2D">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900" w:type="dxa"/>
            <w:noWrap w:val="0"/>
            <w:vAlign w:val="center"/>
          </w:tcPr>
          <w:p w14:paraId="5F9F0E66">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noWrap w:val="0"/>
            <w:vAlign w:val="center"/>
          </w:tcPr>
          <w:p w14:paraId="226787F0">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r>
      <w:tr w14:paraId="0235E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0F5EE7DC">
            <w:pPr>
              <w:keepNext w:val="0"/>
              <w:keepLines w:val="0"/>
              <w:suppressLineNumbers w:val="0"/>
              <w:spacing w:before="0" w:beforeAutospacing="0" w:after="0" w:afterAutospacing="0"/>
              <w:ind w:left="0" w:right="0"/>
              <w:jc w:val="center"/>
              <w:rPr>
                <w:rFonts w:ascii="Calibri" w:hAnsi="Calibri" w:eastAsia="宋体" w:cs="宋体"/>
                <w:color w:val="auto"/>
                <w:szCs w:val="21"/>
              </w:rPr>
            </w:pPr>
            <w:r>
              <w:rPr>
                <w:rFonts w:hint="eastAsia" w:ascii="Calibri" w:hAnsi="Calibri" w:eastAsia="宋体" w:cs="Times New Roman"/>
                <w:color w:val="auto"/>
                <w:szCs w:val="21"/>
              </w:rPr>
              <w:t>2</w:t>
            </w:r>
          </w:p>
        </w:tc>
        <w:tc>
          <w:tcPr>
            <w:tcW w:w="1080" w:type="dxa"/>
            <w:noWrap w:val="0"/>
            <w:vAlign w:val="center"/>
          </w:tcPr>
          <w:p w14:paraId="13A2369A">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noWrap w:val="0"/>
            <w:vAlign w:val="center"/>
          </w:tcPr>
          <w:p w14:paraId="0D77C4E6">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noWrap w:val="0"/>
            <w:vAlign w:val="center"/>
          </w:tcPr>
          <w:p w14:paraId="122B6152">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noWrap w:val="0"/>
            <w:vAlign w:val="center"/>
          </w:tcPr>
          <w:p w14:paraId="73181349">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720" w:type="dxa"/>
            <w:noWrap w:val="0"/>
            <w:vAlign w:val="center"/>
          </w:tcPr>
          <w:p w14:paraId="7495ADB6">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1080" w:type="dxa"/>
            <w:noWrap w:val="0"/>
            <w:vAlign w:val="center"/>
          </w:tcPr>
          <w:p w14:paraId="6634CDEC">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noWrap w:val="0"/>
            <w:vAlign w:val="center"/>
          </w:tcPr>
          <w:p w14:paraId="18D7BE4C">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797BB8B5">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7BD47BC6">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1609E9B9">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noWrap w:val="0"/>
            <w:vAlign w:val="center"/>
          </w:tcPr>
          <w:p w14:paraId="52C4E2BB">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237084A9">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260" w:type="dxa"/>
            <w:noWrap w:val="0"/>
            <w:vAlign w:val="center"/>
          </w:tcPr>
          <w:p w14:paraId="0E183EBC">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900" w:type="dxa"/>
            <w:noWrap w:val="0"/>
            <w:vAlign w:val="center"/>
          </w:tcPr>
          <w:p w14:paraId="3AE43BA2">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900" w:type="dxa"/>
            <w:noWrap w:val="0"/>
            <w:vAlign w:val="center"/>
          </w:tcPr>
          <w:p w14:paraId="1D412291">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noWrap w:val="0"/>
            <w:vAlign w:val="center"/>
          </w:tcPr>
          <w:p w14:paraId="0D540318">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r>
      <w:tr w14:paraId="7FCFC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6B90FA90">
            <w:pPr>
              <w:keepNext w:val="0"/>
              <w:keepLines w:val="0"/>
              <w:suppressLineNumbers w:val="0"/>
              <w:spacing w:before="0" w:beforeAutospacing="0" w:after="0" w:afterAutospacing="0"/>
              <w:ind w:left="0" w:right="0"/>
              <w:jc w:val="center"/>
              <w:rPr>
                <w:rFonts w:ascii="Calibri" w:hAnsi="Calibri" w:eastAsia="宋体" w:cs="宋体"/>
                <w:color w:val="auto"/>
                <w:szCs w:val="21"/>
              </w:rPr>
            </w:pPr>
            <w:r>
              <w:rPr>
                <w:rFonts w:hint="eastAsia" w:ascii="Calibri" w:hAnsi="Calibri" w:eastAsia="宋体" w:cs="Times New Roman"/>
                <w:color w:val="auto"/>
                <w:szCs w:val="21"/>
              </w:rPr>
              <w:t>3</w:t>
            </w:r>
          </w:p>
        </w:tc>
        <w:tc>
          <w:tcPr>
            <w:tcW w:w="1080" w:type="dxa"/>
            <w:noWrap w:val="0"/>
            <w:vAlign w:val="center"/>
          </w:tcPr>
          <w:p w14:paraId="0B10B0F1">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noWrap w:val="0"/>
            <w:vAlign w:val="center"/>
          </w:tcPr>
          <w:p w14:paraId="6D5675F2">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noWrap w:val="0"/>
            <w:vAlign w:val="center"/>
          </w:tcPr>
          <w:p w14:paraId="6AEAD8DC">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noWrap w:val="0"/>
            <w:vAlign w:val="center"/>
          </w:tcPr>
          <w:p w14:paraId="392988B1">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720" w:type="dxa"/>
            <w:noWrap w:val="0"/>
            <w:vAlign w:val="center"/>
          </w:tcPr>
          <w:p w14:paraId="6CA9F61E">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1080" w:type="dxa"/>
            <w:noWrap w:val="0"/>
            <w:vAlign w:val="center"/>
          </w:tcPr>
          <w:p w14:paraId="2278CFCE">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noWrap w:val="0"/>
            <w:vAlign w:val="center"/>
          </w:tcPr>
          <w:p w14:paraId="54FD12DB">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23D85BC0">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7A402A43">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1EE35EFD">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noWrap w:val="0"/>
            <w:vAlign w:val="center"/>
          </w:tcPr>
          <w:p w14:paraId="79B9AC21">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04047A57">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260" w:type="dxa"/>
            <w:noWrap w:val="0"/>
            <w:vAlign w:val="center"/>
          </w:tcPr>
          <w:p w14:paraId="717A66CF">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900" w:type="dxa"/>
            <w:noWrap w:val="0"/>
            <w:vAlign w:val="center"/>
          </w:tcPr>
          <w:p w14:paraId="2528E23F">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900" w:type="dxa"/>
            <w:noWrap w:val="0"/>
            <w:vAlign w:val="center"/>
          </w:tcPr>
          <w:p w14:paraId="78CC6CEA">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noWrap w:val="0"/>
            <w:vAlign w:val="center"/>
          </w:tcPr>
          <w:p w14:paraId="7D6EE1F6">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r>
      <w:tr w14:paraId="23024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4156868D">
            <w:pPr>
              <w:keepNext w:val="0"/>
              <w:keepLines w:val="0"/>
              <w:suppressLineNumbers w:val="0"/>
              <w:spacing w:before="0" w:beforeAutospacing="0" w:after="0" w:afterAutospacing="0"/>
              <w:ind w:left="0" w:right="0"/>
              <w:jc w:val="center"/>
              <w:rPr>
                <w:rFonts w:ascii="Calibri" w:hAnsi="Calibri" w:eastAsia="宋体" w:cs="宋体"/>
                <w:color w:val="auto"/>
                <w:szCs w:val="21"/>
              </w:rPr>
            </w:pPr>
            <w:r>
              <w:rPr>
                <w:rFonts w:hint="eastAsia" w:ascii="Calibri" w:hAnsi="Calibri" w:eastAsia="宋体" w:cs="Times New Roman"/>
                <w:color w:val="auto"/>
                <w:szCs w:val="21"/>
              </w:rPr>
              <w:t>4</w:t>
            </w:r>
          </w:p>
        </w:tc>
        <w:tc>
          <w:tcPr>
            <w:tcW w:w="1080" w:type="dxa"/>
            <w:noWrap w:val="0"/>
            <w:vAlign w:val="center"/>
          </w:tcPr>
          <w:p w14:paraId="39F969FA">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noWrap w:val="0"/>
            <w:vAlign w:val="center"/>
          </w:tcPr>
          <w:p w14:paraId="4E214D3B">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noWrap w:val="0"/>
            <w:vAlign w:val="center"/>
          </w:tcPr>
          <w:p w14:paraId="6F33F091">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noWrap w:val="0"/>
            <w:vAlign w:val="center"/>
          </w:tcPr>
          <w:p w14:paraId="605BAEE7">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720" w:type="dxa"/>
            <w:noWrap w:val="0"/>
            <w:vAlign w:val="center"/>
          </w:tcPr>
          <w:p w14:paraId="7B99650E">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1080" w:type="dxa"/>
            <w:noWrap w:val="0"/>
            <w:vAlign w:val="center"/>
          </w:tcPr>
          <w:p w14:paraId="6D588AE0">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noWrap w:val="0"/>
            <w:vAlign w:val="center"/>
          </w:tcPr>
          <w:p w14:paraId="085B2690">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62E310F9">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01791CAE">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5A0BF8DA">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noWrap w:val="0"/>
            <w:vAlign w:val="center"/>
          </w:tcPr>
          <w:p w14:paraId="6ED92B1A">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35CD9E8A">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260" w:type="dxa"/>
            <w:noWrap w:val="0"/>
            <w:vAlign w:val="center"/>
          </w:tcPr>
          <w:p w14:paraId="2FC837D3">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900" w:type="dxa"/>
            <w:noWrap w:val="0"/>
            <w:vAlign w:val="center"/>
          </w:tcPr>
          <w:p w14:paraId="6EC34755">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900" w:type="dxa"/>
            <w:noWrap w:val="0"/>
            <w:vAlign w:val="center"/>
          </w:tcPr>
          <w:p w14:paraId="463D29E2">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noWrap w:val="0"/>
            <w:vAlign w:val="center"/>
          </w:tcPr>
          <w:p w14:paraId="6D8551F4">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r>
      <w:tr w14:paraId="14503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5940A6B1">
            <w:pPr>
              <w:keepNext w:val="0"/>
              <w:keepLines w:val="0"/>
              <w:suppressLineNumbers w:val="0"/>
              <w:spacing w:before="0" w:beforeAutospacing="0" w:after="0" w:afterAutospacing="0"/>
              <w:ind w:left="0" w:right="0"/>
              <w:jc w:val="center"/>
              <w:rPr>
                <w:rFonts w:ascii="Calibri" w:hAnsi="Calibri" w:eastAsia="宋体" w:cs="宋体"/>
                <w:color w:val="auto"/>
                <w:szCs w:val="21"/>
              </w:rPr>
            </w:pPr>
            <w:r>
              <w:rPr>
                <w:rFonts w:hint="eastAsia" w:ascii="Calibri" w:hAnsi="Calibri" w:eastAsia="宋体" w:cs="Times New Roman"/>
                <w:color w:val="auto"/>
                <w:szCs w:val="21"/>
              </w:rPr>
              <w:t>5</w:t>
            </w:r>
          </w:p>
        </w:tc>
        <w:tc>
          <w:tcPr>
            <w:tcW w:w="1080" w:type="dxa"/>
            <w:noWrap w:val="0"/>
            <w:vAlign w:val="center"/>
          </w:tcPr>
          <w:p w14:paraId="4963826B">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noWrap w:val="0"/>
            <w:vAlign w:val="center"/>
          </w:tcPr>
          <w:p w14:paraId="7E544521">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noWrap w:val="0"/>
            <w:vAlign w:val="center"/>
          </w:tcPr>
          <w:p w14:paraId="7E27027B">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noWrap w:val="0"/>
            <w:vAlign w:val="center"/>
          </w:tcPr>
          <w:p w14:paraId="626AE3E2">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720" w:type="dxa"/>
            <w:noWrap w:val="0"/>
            <w:vAlign w:val="center"/>
          </w:tcPr>
          <w:p w14:paraId="43DE04E9">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1080" w:type="dxa"/>
            <w:noWrap w:val="0"/>
            <w:vAlign w:val="center"/>
          </w:tcPr>
          <w:p w14:paraId="1E6920C4">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noWrap w:val="0"/>
            <w:vAlign w:val="center"/>
          </w:tcPr>
          <w:p w14:paraId="15936848">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5254BAA0">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1364B021">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403A4805">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noWrap w:val="0"/>
            <w:vAlign w:val="center"/>
          </w:tcPr>
          <w:p w14:paraId="72BE21B4">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6766B5A8">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260" w:type="dxa"/>
            <w:noWrap w:val="0"/>
            <w:vAlign w:val="center"/>
          </w:tcPr>
          <w:p w14:paraId="7EA59C03">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900" w:type="dxa"/>
            <w:noWrap w:val="0"/>
            <w:vAlign w:val="center"/>
          </w:tcPr>
          <w:p w14:paraId="29777FEC">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900" w:type="dxa"/>
            <w:noWrap w:val="0"/>
            <w:vAlign w:val="center"/>
          </w:tcPr>
          <w:p w14:paraId="31F42D05">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noWrap w:val="0"/>
            <w:vAlign w:val="center"/>
          </w:tcPr>
          <w:p w14:paraId="2DA2A562">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r>
      <w:tr w14:paraId="1DFB9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31BDE03C">
            <w:pPr>
              <w:keepNext w:val="0"/>
              <w:keepLines w:val="0"/>
              <w:suppressLineNumbers w:val="0"/>
              <w:spacing w:before="0" w:beforeAutospacing="0" w:after="0" w:afterAutospacing="0"/>
              <w:ind w:left="0" w:right="0"/>
              <w:jc w:val="center"/>
              <w:rPr>
                <w:rFonts w:ascii="Calibri" w:hAnsi="Calibri" w:eastAsia="宋体" w:cs="宋体"/>
                <w:color w:val="auto"/>
                <w:szCs w:val="21"/>
              </w:rPr>
            </w:pPr>
            <w:r>
              <w:rPr>
                <w:rFonts w:hint="eastAsia" w:ascii="Calibri" w:hAnsi="Calibri" w:eastAsia="宋体" w:cs="Times New Roman"/>
                <w:color w:val="auto"/>
                <w:szCs w:val="21"/>
              </w:rPr>
              <w:t>6</w:t>
            </w:r>
          </w:p>
        </w:tc>
        <w:tc>
          <w:tcPr>
            <w:tcW w:w="1080" w:type="dxa"/>
            <w:noWrap w:val="0"/>
            <w:vAlign w:val="center"/>
          </w:tcPr>
          <w:p w14:paraId="66D3FE36">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noWrap w:val="0"/>
            <w:vAlign w:val="center"/>
          </w:tcPr>
          <w:p w14:paraId="4914DC36">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noWrap w:val="0"/>
            <w:vAlign w:val="center"/>
          </w:tcPr>
          <w:p w14:paraId="044A10D0">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noWrap w:val="0"/>
            <w:vAlign w:val="center"/>
          </w:tcPr>
          <w:p w14:paraId="4ABA0DD7">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720" w:type="dxa"/>
            <w:noWrap w:val="0"/>
            <w:vAlign w:val="center"/>
          </w:tcPr>
          <w:p w14:paraId="2441203E">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1080" w:type="dxa"/>
            <w:noWrap w:val="0"/>
            <w:vAlign w:val="center"/>
          </w:tcPr>
          <w:p w14:paraId="7E00EE36">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noWrap w:val="0"/>
            <w:vAlign w:val="center"/>
          </w:tcPr>
          <w:p w14:paraId="16180265">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2EC25ADD">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14EDB145">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76F32194">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noWrap w:val="0"/>
            <w:vAlign w:val="center"/>
          </w:tcPr>
          <w:p w14:paraId="62185F7F">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71BE8B56">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260" w:type="dxa"/>
            <w:noWrap w:val="0"/>
            <w:vAlign w:val="center"/>
          </w:tcPr>
          <w:p w14:paraId="051A30E8">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900" w:type="dxa"/>
            <w:noWrap w:val="0"/>
            <w:vAlign w:val="center"/>
          </w:tcPr>
          <w:p w14:paraId="2A7B9BFA">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900" w:type="dxa"/>
            <w:noWrap w:val="0"/>
            <w:vAlign w:val="center"/>
          </w:tcPr>
          <w:p w14:paraId="39E2CB17">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noWrap w:val="0"/>
            <w:vAlign w:val="center"/>
          </w:tcPr>
          <w:p w14:paraId="7FE0AC8F">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r>
      <w:tr w14:paraId="1FF6A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30254917">
            <w:pPr>
              <w:keepNext w:val="0"/>
              <w:keepLines w:val="0"/>
              <w:suppressLineNumbers w:val="0"/>
              <w:spacing w:before="0" w:beforeAutospacing="0" w:after="0" w:afterAutospacing="0"/>
              <w:ind w:left="0" w:right="0"/>
              <w:jc w:val="center"/>
              <w:rPr>
                <w:rFonts w:ascii="Calibri" w:hAnsi="Calibri" w:eastAsia="宋体" w:cs="宋体"/>
                <w:color w:val="auto"/>
                <w:szCs w:val="21"/>
              </w:rPr>
            </w:pPr>
            <w:r>
              <w:rPr>
                <w:rFonts w:hint="eastAsia" w:ascii="Calibri" w:hAnsi="Calibri" w:eastAsia="宋体" w:cs="Times New Roman"/>
                <w:color w:val="auto"/>
                <w:szCs w:val="21"/>
              </w:rPr>
              <w:t>7</w:t>
            </w:r>
          </w:p>
        </w:tc>
        <w:tc>
          <w:tcPr>
            <w:tcW w:w="1080" w:type="dxa"/>
            <w:noWrap w:val="0"/>
            <w:vAlign w:val="center"/>
          </w:tcPr>
          <w:p w14:paraId="7D8F0081">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noWrap w:val="0"/>
            <w:vAlign w:val="center"/>
          </w:tcPr>
          <w:p w14:paraId="0162A4F0">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noWrap w:val="0"/>
            <w:vAlign w:val="center"/>
          </w:tcPr>
          <w:p w14:paraId="79AD0D9B">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noWrap w:val="0"/>
            <w:vAlign w:val="center"/>
          </w:tcPr>
          <w:p w14:paraId="7D66EE1D">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720" w:type="dxa"/>
            <w:noWrap w:val="0"/>
            <w:vAlign w:val="center"/>
          </w:tcPr>
          <w:p w14:paraId="442E5AC7">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1080" w:type="dxa"/>
            <w:noWrap w:val="0"/>
            <w:vAlign w:val="center"/>
          </w:tcPr>
          <w:p w14:paraId="43AC83E4">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noWrap w:val="0"/>
            <w:vAlign w:val="center"/>
          </w:tcPr>
          <w:p w14:paraId="44F35423">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7E584A00">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23CE93BC">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75E95353">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noWrap w:val="0"/>
            <w:vAlign w:val="center"/>
          </w:tcPr>
          <w:p w14:paraId="6C144A47">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72FC3970">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260" w:type="dxa"/>
            <w:noWrap w:val="0"/>
            <w:vAlign w:val="center"/>
          </w:tcPr>
          <w:p w14:paraId="178529EB">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900" w:type="dxa"/>
            <w:noWrap w:val="0"/>
            <w:vAlign w:val="center"/>
          </w:tcPr>
          <w:p w14:paraId="63F3567F">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900" w:type="dxa"/>
            <w:noWrap w:val="0"/>
            <w:vAlign w:val="center"/>
          </w:tcPr>
          <w:p w14:paraId="323D98AB">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noWrap w:val="0"/>
            <w:vAlign w:val="center"/>
          </w:tcPr>
          <w:p w14:paraId="4CB6BE19">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r>
      <w:tr w14:paraId="459BA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333D3390">
            <w:pPr>
              <w:keepNext w:val="0"/>
              <w:keepLines w:val="0"/>
              <w:suppressLineNumbers w:val="0"/>
              <w:spacing w:before="0" w:beforeAutospacing="0" w:after="0" w:afterAutospacing="0"/>
              <w:ind w:left="0" w:right="0"/>
              <w:jc w:val="center"/>
              <w:rPr>
                <w:rFonts w:ascii="Calibri" w:hAnsi="Calibri" w:eastAsia="宋体" w:cs="宋体"/>
                <w:color w:val="auto"/>
                <w:szCs w:val="21"/>
              </w:rPr>
            </w:pPr>
            <w:r>
              <w:rPr>
                <w:rFonts w:hint="eastAsia" w:ascii="Calibri" w:hAnsi="Calibri" w:eastAsia="宋体" w:cs="Times New Roman"/>
                <w:color w:val="auto"/>
                <w:szCs w:val="21"/>
              </w:rPr>
              <w:t>8</w:t>
            </w:r>
          </w:p>
        </w:tc>
        <w:tc>
          <w:tcPr>
            <w:tcW w:w="1080" w:type="dxa"/>
            <w:noWrap w:val="0"/>
            <w:vAlign w:val="center"/>
          </w:tcPr>
          <w:p w14:paraId="47F9E943">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noWrap w:val="0"/>
            <w:vAlign w:val="center"/>
          </w:tcPr>
          <w:p w14:paraId="4EDEAA94">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noWrap w:val="0"/>
            <w:vAlign w:val="center"/>
          </w:tcPr>
          <w:p w14:paraId="40A13B08">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noWrap w:val="0"/>
            <w:vAlign w:val="center"/>
          </w:tcPr>
          <w:p w14:paraId="539FCADC">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720" w:type="dxa"/>
            <w:noWrap w:val="0"/>
            <w:vAlign w:val="center"/>
          </w:tcPr>
          <w:p w14:paraId="0CB8C608">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1080" w:type="dxa"/>
            <w:noWrap w:val="0"/>
            <w:vAlign w:val="center"/>
          </w:tcPr>
          <w:p w14:paraId="7930E1EA">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noWrap w:val="0"/>
            <w:vAlign w:val="center"/>
          </w:tcPr>
          <w:p w14:paraId="7677C59F">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49909981">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0ECBC0C3">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73778B4A">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noWrap w:val="0"/>
            <w:vAlign w:val="center"/>
          </w:tcPr>
          <w:p w14:paraId="204AC6DC">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7F3AC839">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260" w:type="dxa"/>
            <w:noWrap w:val="0"/>
            <w:vAlign w:val="center"/>
          </w:tcPr>
          <w:p w14:paraId="5D069516">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900" w:type="dxa"/>
            <w:noWrap w:val="0"/>
            <w:vAlign w:val="center"/>
          </w:tcPr>
          <w:p w14:paraId="4B1A626D">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900" w:type="dxa"/>
            <w:noWrap w:val="0"/>
            <w:vAlign w:val="center"/>
          </w:tcPr>
          <w:p w14:paraId="4272C560">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noWrap w:val="0"/>
            <w:vAlign w:val="center"/>
          </w:tcPr>
          <w:p w14:paraId="6E7F7F22">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r>
      <w:tr w14:paraId="7D930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47C0B2AB">
            <w:pPr>
              <w:keepNext w:val="0"/>
              <w:keepLines w:val="0"/>
              <w:suppressLineNumbers w:val="0"/>
              <w:spacing w:before="0" w:beforeAutospacing="0" w:after="0" w:afterAutospacing="0"/>
              <w:ind w:left="0" w:right="0"/>
              <w:jc w:val="center"/>
              <w:rPr>
                <w:rFonts w:ascii="宋体" w:hAnsi="宋体" w:eastAsia="宋体" w:cs="宋体"/>
                <w:color w:val="auto"/>
                <w:szCs w:val="21"/>
              </w:rPr>
            </w:pPr>
            <w:r>
              <w:rPr>
                <w:rFonts w:ascii="宋体" w:hAnsi="宋体" w:eastAsia="宋体" w:cs="宋体"/>
                <w:color w:val="auto"/>
                <w:szCs w:val="21"/>
              </w:rPr>
              <w:t>…</w:t>
            </w:r>
          </w:p>
        </w:tc>
        <w:tc>
          <w:tcPr>
            <w:tcW w:w="1080" w:type="dxa"/>
            <w:noWrap w:val="0"/>
            <w:vAlign w:val="center"/>
          </w:tcPr>
          <w:p w14:paraId="2010169F">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noWrap w:val="0"/>
            <w:vAlign w:val="center"/>
          </w:tcPr>
          <w:p w14:paraId="613ED09D">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noWrap w:val="0"/>
            <w:vAlign w:val="center"/>
          </w:tcPr>
          <w:p w14:paraId="0775FAFC">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noWrap w:val="0"/>
            <w:vAlign w:val="center"/>
          </w:tcPr>
          <w:p w14:paraId="3CF45F6A">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720" w:type="dxa"/>
            <w:noWrap w:val="0"/>
            <w:vAlign w:val="center"/>
          </w:tcPr>
          <w:p w14:paraId="36834757">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1080" w:type="dxa"/>
            <w:noWrap w:val="0"/>
            <w:vAlign w:val="center"/>
          </w:tcPr>
          <w:p w14:paraId="48ED48C4">
            <w:pPr>
              <w:keepNext w:val="0"/>
              <w:keepLines w:val="0"/>
              <w:suppressLineNumbers w:val="0"/>
              <w:spacing w:before="0" w:beforeAutospacing="0" w:after="0" w:afterAutospacing="0" w:line="240" w:lineRule="exact"/>
              <w:ind w:left="0" w:right="0"/>
              <w:jc w:val="center"/>
              <w:rPr>
                <w:rFonts w:ascii="Calibri" w:hAnsi="Calibri" w:eastAsia="宋体" w:cs="Times New Roman"/>
                <w:color w:val="auto"/>
                <w:szCs w:val="21"/>
              </w:rPr>
            </w:pPr>
          </w:p>
        </w:tc>
        <w:tc>
          <w:tcPr>
            <w:tcW w:w="540" w:type="dxa"/>
            <w:noWrap w:val="0"/>
            <w:vAlign w:val="center"/>
          </w:tcPr>
          <w:p w14:paraId="67D5ABBE">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3F6C20C9">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53FF172B">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23E5DE7D">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noWrap w:val="0"/>
            <w:vAlign w:val="center"/>
          </w:tcPr>
          <w:p w14:paraId="34843E3A">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720" w:type="dxa"/>
            <w:noWrap w:val="0"/>
            <w:vAlign w:val="center"/>
          </w:tcPr>
          <w:p w14:paraId="18E3A076">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260" w:type="dxa"/>
            <w:noWrap w:val="0"/>
            <w:vAlign w:val="center"/>
          </w:tcPr>
          <w:p w14:paraId="188A8809">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900" w:type="dxa"/>
            <w:noWrap w:val="0"/>
            <w:vAlign w:val="center"/>
          </w:tcPr>
          <w:p w14:paraId="22177E37">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900" w:type="dxa"/>
            <w:noWrap w:val="0"/>
            <w:vAlign w:val="center"/>
          </w:tcPr>
          <w:p w14:paraId="400C9DC0">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c>
          <w:tcPr>
            <w:tcW w:w="1080" w:type="dxa"/>
            <w:noWrap w:val="0"/>
            <w:vAlign w:val="center"/>
          </w:tcPr>
          <w:p w14:paraId="2021E8FE">
            <w:pPr>
              <w:keepNext w:val="0"/>
              <w:keepLines w:val="0"/>
              <w:suppressLineNumbers w:val="0"/>
              <w:spacing w:before="0" w:beforeAutospacing="0" w:after="0" w:afterAutospacing="0"/>
              <w:ind w:left="0" w:right="0"/>
              <w:jc w:val="center"/>
              <w:rPr>
                <w:rFonts w:ascii="Calibri" w:hAnsi="Calibri" w:eastAsia="宋体" w:cs="Times New Roman"/>
                <w:color w:val="auto"/>
                <w:szCs w:val="21"/>
              </w:rPr>
            </w:pPr>
          </w:p>
        </w:tc>
      </w:tr>
    </w:tbl>
    <w:p w14:paraId="3E68730E">
      <w:pPr>
        <w:spacing w:line="360" w:lineRule="exact"/>
        <w:ind w:left="630" w:hanging="630" w:hangingChars="300"/>
        <w:rPr>
          <w:rFonts w:hint="eastAsia" w:ascii="宋体" w:hAnsi="宋体"/>
          <w:color w:val="auto"/>
          <w:szCs w:val="21"/>
        </w:rPr>
      </w:pPr>
      <w:r>
        <w:rPr>
          <w:rFonts w:hint="eastAsia"/>
          <w:color w:val="auto"/>
        </w:rPr>
        <w:t>备注</w:t>
      </w:r>
      <w:r>
        <w:rPr>
          <w:color w:val="auto"/>
        </w:rPr>
        <w:t>：</w:t>
      </w:r>
      <w:r>
        <w:rPr>
          <w:rFonts w:hint="eastAsia"/>
          <w:color w:val="auto"/>
          <w:szCs w:val="21"/>
        </w:rPr>
        <w:t>1</w:t>
      </w:r>
      <w:r>
        <w:rPr>
          <w:rFonts w:hint="eastAsia" w:ascii="宋体" w:hAnsi="宋体"/>
          <w:color w:val="auto"/>
          <w:szCs w:val="21"/>
        </w:rPr>
        <w:t>．执业、职业单位指拟投入的项目管理机构人员目前是否在投标人处注册执业或岗位登记</w:t>
      </w:r>
      <w:r>
        <w:rPr>
          <w:rFonts w:ascii="宋体" w:hAnsi="宋体"/>
          <w:color w:val="auto"/>
          <w:szCs w:val="21"/>
        </w:rPr>
        <w:t>。</w:t>
      </w:r>
    </w:p>
    <w:p w14:paraId="2B50A246">
      <w:pPr>
        <w:spacing w:line="360" w:lineRule="exact"/>
        <w:ind w:left="945" w:leftChars="300" w:hanging="315" w:hangingChars="150"/>
        <w:rPr>
          <w:rFonts w:hint="eastAsia" w:ascii="宋体" w:hAnsi="宋体"/>
          <w:color w:val="auto"/>
          <w:szCs w:val="21"/>
        </w:rPr>
        <w:sectPr>
          <w:footerReference r:id="rId12" w:type="default"/>
          <w:footerReference r:id="rId13" w:type="even"/>
          <w:pgSz w:w="16838" w:h="11906" w:orient="landscape"/>
          <w:pgMar w:top="1803" w:right="1440" w:bottom="1803" w:left="1440" w:header="851" w:footer="992" w:gutter="0"/>
          <w:cols w:space="720" w:num="1"/>
          <w:docGrid w:type="linesAndChars" w:linePitch="319" w:charSpace="0"/>
        </w:sectPr>
      </w:pPr>
      <w:r>
        <w:rPr>
          <w:color w:val="auto"/>
          <w:szCs w:val="21"/>
        </w:rPr>
        <w:t>2</w:t>
      </w:r>
      <w:r>
        <w:rPr>
          <w:rFonts w:hint="eastAsia" w:ascii="宋体" w:hAnsi="宋体"/>
          <w:color w:val="auto"/>
          <w:szCs w:val="21"/>
        </w:rPr>
        <w:t>．附项目管理机构主要人员</w:t>
      </w:r>
      <w:r>
        <w:rPr>
          <w:rFonts w:ascii="宋体" w:hAnsi="宋体"/>
          <w:color w:val="auto"/>
          <w:szCs w:val="21"/>
        </w:rPr>
        <w:t>社会保险证明</w:t>
      </w:r>
      <w:r>
        <w:rPr>
          <w:rFonts w:hint="eastAsia" w:ascii="宋体" w:hAnsi="宋体"/>
          <w:color w:val="auto"/>
          <w:szCs w:val="21"/>
        </w:rPr>
        <w:t>的</w:t>
      </w:r>
      <w:r>
        <w:rPr>
          <w:rFonts w:hint="eastAsia" w:ascii="宋体" w:hAnsi="宋体"/>
          <w:color w:val="auto"/>
        </w:rPr>
        <w:t>扫描件</w:t>
      </w:r>
      <w:r>
        <w:rPr>
          <w:rFonts w:hint="eastAsia"/>
          <w:color w:val="auto"/>
        </w:rPr>
        <w:t>（</w:t>
      </w:r>
      <w:r>
        <w:rPr>
          <w:rFonts w:hint="eastAsia" w:ascii="宋体" w:hAnsi="宋体"/>
          <w:color w:val="auto"/>
        </w:rPr>
        <w:t>属退休人员的须提供退休证明和投标单位的聘用协议（或劳务合同）</w:t>
      </w:r>
      <w:r>
        <w:rPr>
          <w:rFonts w:hint="eastAsia"/>
          <w:color w:val="auto"/>
        </w:rPr>
        <w:t>）</w:t>
      </w:r>
      <w:r>
        <w:rPr>
          <w:rFonts w:hint="eastAsia" w:ascii="宋体" w:hAnsi="宋体"/>
          <w:color w:val="auto"/>
          <w:szCs w:val="21"/>
        </w:rPr>
        <w:t>。</w:t>
      </w:r>
      <w:r>
        <w:rPr>
          <w:rFonts w:ascii="宋体" w:hAnsi="宋体"/>
          <w:color w:val="auto"/>
          <w:szCs w:val="21"/>
        </w:rPr>
        <w:t>社会保险证明是指社会统筹保险基金管理部门出具的基本养老保险对账单或加盖社会统筹保险基金管理部门公章的单位缴费明细，以及企业缴费凭证（社会保险缴费发票或银行转账凭证等证明）；社会保险证明应至少体现以下内容：缴纳保险单位名称、人员姓名、社会保障号（或身份证号）、险种、缴费期限等。社会保险证明中缴费单位应与</w:t>
      </w:r>
      <w:r>
        <w:rPr>
          <w:rFonts w:hint="eastAsia" w:ascii="宋体" w:hAnsi="宋体"/>
          <w:color w:val="auto"/>
          <w:szCs w:val="21"/>
        </w:rPr>
        <w:t>投标</w:t>
      </w:r>
      <w:r>
        <w:rPr>
          <w:rFonts w:ascii="宋体" w:hAnsi="宋体"/>
          <w:color w:val="auto"/>
          <w:szCs w:val="21"/>
        </w:rPr>
        <w:t>单位一致</w:t>
      </w:r>
      <w:r>
        <w:rPr>
          <w:rFonts w:hint="eastAsia" w:ascii="宋体" w:hAnsi="宋体"/>
          <w:color w:val="auto"/>
          <w:szCs w:val="21"/>
        </w:rPr>
        <w:t>。</w:t>
      </w:r>
    </w:p>
    <w:p w14:paraId="3F35DE2A">
      <w:pPr>
        <w:pStyle w:val="4"/>
        <w:spacing w:before="120"/>
        <w:jc w:val="center"/>
        <w:rPr>
          <w:rFonts w:hint="eastAsia"/>
          <w:color w:val="auto"/>
          <w:sz w:val="24"/>
        </w:rPr>
      </w:pPr>
      <w:bookmarkStart w:id="2189" w:name="_Toc1390"/>
      <w:bookmarkStart w:id="2190" w:name="_Toc519085664"/>
      <w:bookmarkStart w:id="2191" w:name="_Toc456173559"/>
      <w:bookmarkStart w:id="2192" w:name="_Toc426496251"/>
      <w:bookmarkStart w:id="2193" w:name="_Toc154064030"/>
      <w:r>
        <w:rPr>
          <w:rFonts w:hint="eastAsia"/>
          <w:color w:val="auto"/>
          <w:sz w:val="24"/>
        </w:rPr>
        <w:t>（二）项目经理简历表</w:t>
      </w:r>
      <w:bookmarkEnd w:id="2189"/>
      <w:bookmarkEnd w:id="2190"/>
      <w:bookmarkEnd w:id="2191"/>
      <w:bookmarkEnd w:id="2192"/>
      <w:bookmarkEnd w:id="2193"/>
    </w:p>
    <w:tbl>
      <w:tblPr>
        <w:tblStyle w:val="41"/>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659"/>
        <w:gridCol w:w="325"/>
        <w:gridCol w:w="1090"/>
        <w:gridCol w:w="846"/>
        <w:gridCol w:w="376"/>
        <w:gridCol w:w="479"/>
        <w:gridCol w:w="1272"/>
        <w:gridCol w:w="267"/>
        <w:gridCol w:w="2051"/>
      </w:tblGrid>
      <w:tr w14:paraId="29FC7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79C23126">
            <w:pPr>
              <w:keepNext w:val="0"/>
              <w:keepLines w:val="0"/>
              <w:suppressLineNumbers w:val="0"/>
              <w:spacing w:before="0" w:beforeAutospacing="0" w:after="0" w:afterAutospacing="0" w:line="240" w:lineRule="auto"/>
              <w:ind w:left="0" w:right="0"/>
              <w:rPr>
                <w:rFonts w:hint="eastAsia" w:ascii="宋体" w:hAnsi="宋体" w:eastAsia="宋体" w:cs="Times New Roman"/>
                <w:color w:val="auto"/>
                <w:szCs w:val="21"/>
              </w:rPr>
            </w:pPr>
            <w:r>
              <w:rPr>
                <w:rFonts w:hint="eastAsia" w:ascii="宋体" w:hAnsi="宋体" w:eastAsia="宋体" w:cs="Times New Roman"/>
                <w:color w:val="auto"/>
                <w:szCs w:val="21"/>
              </w:rPr>
              <w:t>姓  名</w:t>
            </w:r>
          </w:p>
        </w:tc>
        <w:tc>
          <w:tcPr>
            <w:tcW w:w="984" w:type="dxa"/>
            <w:gridSpan w:val="2"/>
            <w:noWrap w:val="0"/>
            <w:vAlign w:val="center"/>
          </w:tcPr>
          <w:p w14:paraId="5603D5A0">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1090" w:type="dxa"/>
            <w:noWrap w:val="0"/>
            <w:vAlign w:val="center"/>
          </w:tcPr>
          <w:p w14:paraId="0BF796DF">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年  龄</w:t>
            </w:r>
          </w:p>
        </w:tc>
        <w:tc>
          <w:tcPr>
            <w:tcW w:w="1222" w:type="dxa"/>
            <w:gridSpan w:val="2"/>
            <w:noWrap w:val="0"/>
            <w:vAlign w:val="center"/>
          </w:tcPr>
          <w:p w14:paraId="367B953D">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2018" w:type="dxa"/>
            <w:gridSpan w:val="3"/>
            <w:noWrap w:val="0"/>
            <w:vAlign w:val="center"/>
          </w:tcPr>
          <w:p w14:paraId="2C6159F2">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学历</w:t>
            </w:r>
          </w:p>
        </w:tc>
        <w:tc>
          <w:tcPr>
            <w:tcW w:w="2051" w:type="dxa"/>
            <w:noWrap w:val="0"/>
            <w:vAlign w:val="center"/>
          </w:tcPr>
          <w:p w14:paraId="01516CCB">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r w14:paraId="6C11D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41A91CAF">
            <w:pPr>
              <w:keepNext w:val="0"/>
              <w:keepLines w:val="0"/>
              <w:suppressLineNumbers w:val="0"/>
              <w:spacing w:before="0" w:beforeAutospacing="0" w:after="0" w:afterAutospacing="0" w:line="240" w:lineRule="auto"/>
              <w:ind w:left="0" w:right="0"/>
              <w:rPr>
                <w:rFonts w:hint="eastAsia" w:ascii="宋体" w:hAnsi="宋体" w:eastAsia="宋体" w:cs="Times New Roman"/>
                <w:color w:val="auto"/>
                <w:szCs w:val="21"/>
              </w:rPr>
            </w:pPr>
            <w:r>
              <w:rPr>
                <w:rFonts w:hint="eastAsia" w:ascii="宋体" w:hAnsi="宋体" w:eastAsia="宋体" w:cs="Times New Roman"/>
                <w:color w:val="auto"/>
                <w:szCs w:val="21"/>
              </w:rPr>
              <w:t>职  称</w:t>
            </w:r>
          </w:p>
        </w:tc>
        <w:tc>
          <w:tcPr>
            <w:tcW w:w="3296" w:type="dxa"/>
            <w:gridSpan w:val="5"/>
            <w:noWrap w:val="0"/>
            <w:vAlign w:val="center"/>
          </w:tcPr>
          <w:p w14:paraId="1B254B38">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2018" w:type="dxa"/>
            <w:gridSpan w:val="3"/>
            <w:noWrap w:val="0"/>
            <w:vAlign w:val="center"/>
          </w:tcPr>
          <w:p w14:paraId="3101870B">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拟在本工程任职</w:t>
            </w:r>
          </w:p>
        </w:tc>
        <w:tc>
          <w:tcPr>
            <w:tcW w:w="2051" w:type="dxa"/>
            <w:noWrap w:val="0"/>
            <w:vAlign w:val="center"/>
          </w:tcPr>
          <w:p w14:paraId="1DE93888">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项目经理</w:t>
            </w:r>
          </w:p>
        </w:tc>
      </w:tr>
      <w:tr w14:paraId="1EFCB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3" w:type="dxa"/>
            <w:gridSpan w:val="4"/>
            <w:noWrap w:val="0"/>
            <w:vAlign w:val="center"/>
          </w:tcPr>
          <w:p w14:paraId="0F540712">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注册执业资格等级</w:t>
            </w:r>
          </w:p>
        </w:tc>
        <w:tc>
          <w:tcPr>
            <w:tcW w:w="1222" w:type="dxa"/>
            <w:gridSpan w:val="2"/>
            <w:noWrap w:val="0"/>
            <w:vAlign w:val="center"/>
          </w:tcPr>
          <w:p w14:paraId="59F130AA">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 xml:space="preserve">      级</w:t>
            </w:r>
          </w:p>
        </w:tc>
        <w:tc>
          <w:tcPr>
            <w:tcW w:w="2018" w:type="dxa"/>
            <w:gridSpan w:val="3"/>
            <w:noWrap w:val="0"/>
            <w:vAlign w:val="center"/>
          </w:tcPr>
          <w:p w14:paraId="7379EC90">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专业</w:t>
            </w:r>
          </w:p>
        </w:tc>
        <w:tc>
          <w:tcPr>
            <w:tcW w:w="2051" w:type="dxa"/>
            <w:noWrap w:val="0"/>
            <w:vAlign w:val="center"/>
          </w:tcPr>
          <w:p w14:paraId="5B372AB1">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r w14:paraId="27A22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72E6EFDB">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毕业学校</w:t>
            </w:r>
          </w:p>
        </w:tc>
        <w:tc>
          <w:tcPr>
            <w:tcW w:w="7365" w:type="dxa"/>
            <w:gridSpan w:val="9"/>
            <w:noWrap w:val="0"/>
            <w:vAlign w:val="center"/>
          </w:tcPr>
          <w:p w14:paraId="69499F35">
            <w:pPr>
              <w:keepNext w:val="0"/>
              <w:keepLines w:val="0"/>
              <w:suppressLineNumbers w:val="0"/>
              <w:spacing w:before="0" w:beforeAutospacing="0" w:after="0" w:afterAutospacing="0" w:line="240" w:lineRule="auto"/>
              <w:ind w:left="0" w:right="0" w:firstLine="840" w:firstLineChars="400"/>
              <w:rPr>
                <w:rFonts w:hint="eastAsia" w:ascii="宋体" w:hAnsi="宋体" w:eastAsia="宋体" w:cs="Times New Roman"/>
                <w:color w:val="auto"/>
                <w:szCs w:val="21"/>
              </w:rPr>
            </w:pPr>
            <w:r>
              <w:rPr>
                <w:rFonts w:hint="eastAsia" w:ascii="宋体" w:hAnsi="宋体" w:eastAsia="宋体" w:cs="Times New Roman"/>
                <w:color w:val="auto"/>
                <w:szCs w:val="21"/>
              </w:rPr>
              <w:t>年毕业于                  学校            专业</w:t>
            </w:r>
          </w:p>
        </w:tc>
      </w:tr>
      <w:tr w14:paraId="74E4E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14" w:type="dxa"/>
            <w:gridSpan w:val="10"/>
            <w:noWrap w:val="0"/>
            <w:vAlign w:val="center"/>
          </w:tcPr>
          <w:p w14:paraId="5FE0280A">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ascii="宋体" w:hAnsi="宋体" w:eastAsia="宋体" w:cs="Times New Roman"/>
                <w:color w:val="auto"/>
                <w:szCs w:val="21"/>
              </w:rPr>
              <w:t>主要</w:t>
            </w:r>
            <w:r>
              <w:rPr>
                <w:rFonts w:hint="eastAsia" w:ascii="宋体" w:hAnsi="宋体" w:eastAsia="宋体" w:cs="Times New Roman"/>
                <w:color w:val="auto"/>
                <w:szCs w:val="21"/>
              </w:rPr>
              <w:t>管理</w:t>
            </w:r>
            <w:r>
              <w:rPr>
                <w:rFonts w:ascii="宋体" w:hAnsi="宋体" w:eastAsia="宋体" w:cs="Times New Roman"/>
                <w:color w:val="auto"/>
                <w:szCs w:val="21"/>
              </w:rPr>
              <w:t>经历</w:t>
            </w:r>
          </w:p>
        </w:tc>
      </w:tr>
      <w:tr w14:paraId="6372E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17A105C8">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时  间</w:t>
            </w:r>
          </w:p>
        </w:tc>
        <w:tc>
          <w:tcPr>
            <w:tcW w:w="3116" w:type="dxa"/>
            <w:gridSpan w:val="5"/>
            <w:noWrap w:val="0"/>
            <w:vAlign w:val="center"/>
          </w:tcPr>
          <w:p w14:paraId="5E99CA14">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担任过类似项目项目经理的</w:t>
            </w:r>
          </w:p>
          <w:p w14:paraId="2B868B46">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项目名称</w:t>
            </w:r>
          </w:p>
        </w:tc>
        <w:tc>
          <w:tcPr>
            <w:tcW w:w="3590" w:type="dxa"/>
            <w:gridSpan w:val="3"/>
            <w:noWrap w:val="0"/>
            <w:vAlign w:val="center"/>
          </w:tcPr>
          <w:p w14:paraId="32546A17">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发包人及联系电话</w:t>
            </w:r>
          </w:p>
        </w:tc>
      </w:tr>
      <w:tr w14:paraId="593D0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6D8F3169">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116" w:type="dxa"/>
            <w:gridSpan w:val="5"/>
            <w:noWrap w:val="0"/>
            <w:vAlign w:val="center"/>
          </w:tcPr>
          <w:p w14:paraId="654C6215">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590" w:type="dxa"/>
            <w:gridSpan w:val="3"/>
            <w:noWrap w:val="0"/>
            <w:vAlign w:val="center"/>
          </w:tcPr>
          <w:p w14:paraId="62984769">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r w14:paraId="089CE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07BD3688">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116" w:type="dxa"/>
            <w:gridSpan w:val="5"/>
            <w:noWrap w:val="0"/>
            <w:vAlign w:val="center"/>
          </w:tcPr>
          <w:p w14:paraId="162ACD74">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590" w:type="dxa"/>
            <w:gridSpan w:val="3"/>
            <w:noWrap w:val="0"/>
            <w:vAlign w:val="center"/>
          </w:tcPr>
          <w:p w14:paraId="7E30A762">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r w14:paraId="54103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05BD051E">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116" w:type="dxa"/>
            <w:gridSpan w:val="5"/>
            <w:noWrap w:val="0"/>
            <w:vAlign w:val="center"/>
          </w:tcPr>
          <w:p w14:paraId="0B64DA8C">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590" w:type="dxa"/>
            <w:gridSpan w:val="3"/>
            <w:noWrap w:val="0"/>
            <w:vAlign w:val="center"/>
          </w:tcPr>
          <w:p w14:paraId="7E42F81D">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r w14:paraId="0EC3D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4DA0C629">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116" w:type="dxa"/>
            <w:gridSpan w:val="5"/>
            <w:noWrap w:val="0"/>
            <w:vAlign w:val="center"/>
          </w:tcPr>
          <w:p w14:paraId="5B4A4636">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590" w:type="dxa"/>
            <w:gridSpan w:val="3"/>
            <w:noWrap w:val="0"/>
            <w:vAlign w:val="center"/>
          </w:tcPr>
          <w:p w14:paraId="3447928F">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r w14:paraId="546C0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0"/>
            <w:noWrap w:val="0"/>
            <w:vAlign w:val="center"/>
          </w:tcPr>
          <w:p w14:paraId="02D26A6E">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Calibri" w:hAnsi="Calibri" w:eastAsia="宋体" w:cs="Times New Roman"/>
                <w:color w:val="auto"/>
                <w:szCs w:val="20"/>
              </w:rPr>
              <w:t>近年项目经理获工程质量奖项</w:t>
            </w:r>
            <w:r>
              <w:rPr>
                <w:rFonts w:ascii="Calibri" w:hAnsi="Calibri" w:eastAsia="宋体" w:cs="Times New Roman"/>
                <w:color w:val="auto"/>
                <w:szCs w:val="20"/>
              </w:rPr>
              <w:t>情况</w:t>
            </w:r>
          </w:p>
        </w:tc>
      </w:tr>
      <w:tr w14:paraId="33669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6433047D">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获奖日期</w:t>
            </w:r>
          </w:p>
        </w:tc>
        <w:tc>
          <w:tcPr>
            <w:tcW w:w="2261" w:type="dxa"/>
            <w:gridSpan w:val="3"/>
            <w:noWrap w:val="0"/>
            <w:vAlign w:val="center"/>
          </w:tcPr>
          <w:p w14:paraId="3A5568B9">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Calibri" w:hAnsi="Calibri" w:eastAsia="宋体" w:cs="Times New Roman"/>
                <w:color w:val="auto"/>
                <w:szCs w:val="21"/>
              </w:rPr>
              <w:t>项目名称</w:t>
            </w:r>
          </w:p>
        </w:tc>
        <w:tc>
          <w:tcPr>
            <w:tcW w:w="2127" w:type="dxa"/>
            <w:gridSpan w:val="3"/>
            <w:noWrap w:val="0"/>
            <w:vAlign w:val="center"/>
          </w:tcPr>
          <w:p w14:paraId="11562A73">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Calibri" w:hAnsi="Calibri" w:eastAsia="宋体" w:cs="Times New Roman"/>
                <w:color w:val="auto"/>
                <w:szCs w:val="21"/>
              </w:rPr>
              <w:t>获奖名称</w:t>
            </w:r>
          </w:p>
        </w:tc>
        <w:tc>
          <w:tcPr>
            <w:tcW w:w="2318" w:type="dxa"/>
            <w:gridSpan w:val="2"/>
            <w:noWrap w:val="0"/>
            <w:vAlign w:val="center"/>
          </w:tcPr>
          <w:p w14:paraId="4794770E">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Calibri" w:hAnsi="Calibri" w:eastAsia="宋体" w:cs="Times New Roman"/>
                <w:color w:val="auto"/>
                <w:szCs w:val="21"/>
              </w:rPr>
              <w:t>颁奖单位</w:t>
            </w:r>
          </w:p>
        </w:tc>
      </w:tr>
      <w:tr w14:paraId="71347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72FE43CC">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2261" w:type="dxa"/>
            <w:gridSpan w:val="3"/>
            <w:noWrap w:val="0"/>
            <w:vAlign w:val="center"/>
          </w:tcPr>
          <w:p w14:paraId="71FD6D53">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color w:val="auto"/>
                <w:szCs w:val="21"/>
              </w:rPr>
            </w:pPr>
          </w:p>
        </w:tc>
        <w:tc>
          <w:tcPr>
            <w:tcW w:w="2127" w:type="dxa"/>
            <w:gridSpan w:val="3"/>
            <w:noWrap w:val="0"/>
            <w:vAlign w:val="center"/>
          </w:tcPr>
          <w:p w14:paraId="24F81089">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color w:val="auto"/>
                <w:szCs w:val="21"/>
              </w:rPr>
            </w:pPr>
          </w:p>
        </w:tc>
        <w:tc>
          <w:tcPr>
            <w:tcW w:w="2318" w:type="dxa"/>
            <w:gridSpan w:val="2"/>
            <w:noWrap w:val="0"/>
            <w:vAlign w:val="center"/>
          </w:tcPr>
          <w:p w14:paraId="24E2A6FB">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color w:val="auto"/>
                <w:szCs w:val="21"/>
              </w:rPr>
            </w:pPr>
          </w:p>
        </w:tc>
      </w:tr>
      <w:tr w14:paraId="02F33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5F6DD59C">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2261" w:type="dxa"/>
            <w:gridSpan w:val="3"/>
            <w:noWrap w:val="0"/>
            <w:vAlign w:val="center"/>
          </w:tcPr>
          <w:p w14:paraId="286741CE">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color w:val="auto"/>
                <w:szCs w:val="21"/>
              </w:rPr>
            </w:pPr>
          </w:p>
        </w:tc>
        <w:tc>
          <w:tcPr>
            <w:tcW w:w="2127" w:type="dxa"/>
            <w:gridSpan w:val="3"/>
            <w:noWrap w:val="0"/>
            <w:vAlign w:val="center"/>
          </w:tcPr>
          <w:p w14:paraId="5E7D1E43">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color w:val="auto"/>
                <w:szCs w:val="21"/>
              </w:rPr>
            </w:pPr>
          </w:p>
        </w:tc>
        <w:tc>
          <w:tcPr>
            <w:tcW w:w="2318" w:type="dxa"/>
            <w:gridSpan w:val="2"/>
            <w:noWrap w:val="0"/>
            <w:vAlign w:val="center"/>
          </w:tcPr>
          <w:p w14:paraId="63D2387B">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color w:val="auto"/>
                <w:szCs w:val="21"/>
              </w:rPr>
            </w:pPr>
          </w:p>
        </w:tc>
      </w:tr>
      <w:tr w14:paraId="772E8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0"/>
            <w:noWrap w:val="0"/>
            <w:vAlign w:val="center"/>
          </w:tcPr>
          <w:p w14:paraId="6DCCB4DD">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近年项目经理获表彰情况</w:t>
            </w:r>
          </w:p>
        </w:tc>
      </w:tr>
      <w:tr w14:paraId="25215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56DF91E9">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获奖日期</w:t>
            </w:r>
          </w:p>
        </w:tc>
        <w:tc>
          <w:tcPr>
            <w:tcW w:w="3116" w:type="dxa"/>
            <w:gridSpan w:val="5"/>
            <w:noWrap w:val="0"/>
            <w:vAlign w:val="center"/>
          </w:tcPr>
          <w:p w14:paraId="34A0C3A2">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获奖名称</w:t>
            </w:r>
          </w:p>
        </w:tc>
        <w:tc>
          <w:tcPr>
            <w:tcW w:w="3590" w:type="dxa"/>
            <w:gridSpan w:val="3"/>
            <w:noWrap w:val="0"/>
            <w:vAlign w:val="center"/>
          </w:tcPr>
          <w:p w14:paraId="3434EDE2">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颁奖单位</w:t>
            </w:r>
          </w:p>
        </w:tc>
      </w:tr>
      <w:tr w14:paraId="5F0DC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29011ABC">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116" w:type="dxa"/>
            <w:gridSpan w:val="5"/>
            <w:noWrap w:val="0"/>
            <w:vAlign w:val="center"/>
          </w:tcPr>
          <w:p w14:paraId="11CD0666">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590" w:type="dxa"/>
            <w:gridSpan w:val="3"/>
            <w:noWrap w:val="0"/>
            <w:vAlign w:val="center"/>
          </w:tcPr>
          <w:p w14:paraId="6CAED599">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r w14:paraId="3A719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6D7A262B">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116" w:type="dxa"/>
            <w:gridSpan w:val="5"/>
            <w:noWrap w:val="0"/>
            <w:vAlign w:val="center"/>
          </w:tcPr>
          <w:p w14:paraId="06E250E3">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590" w:type="dxa"/>
            <w:gridSpan w:val="3"/>
            <w:noWrap w:val="0"/>
            <w:vAlign w:val="center"/>
          </w:tcPr>
          <w:p w14:paraId="326A12A7">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bl>
    <w:p w14:paraId="2EE13A45">
      <w:pPr>
        <w:spacing w:line="400" w:lineRule="exact"/>
        <w:ind w:left="840" w:hanging="840" w:hangingChars="400"/>
        <w:rPr>
          <w:rFonts w:ascii="宋体" w:hAnsi="宋体"/>
          <w:color w:val="auto"/>
        </w:rPr>
      </w:pPr>
      <w:r>
        <w:rPr>
          <w:rFonts w:hint="eastAsia" w:ascii="宋体" w:hAnsi="宋体"/>
          <w:color w:val="auto"/>
        </w:rPr>
        <w:t>备注：</w:t>
      </w:r>
    </w:p>
    <w:p w14:paraId="4B4E8A26">
      <w:pPr>
        <w:spacing w:line="400" w:lineRule="exact"/>
        <w:ind w:left="210" w:hanging="210" w:hangingChars="100"/>
        <w:rPr>
          <w:rFonts w:hint="eastAsia"/>
          <w:color w:val="auto"/>
        </w:rPr>
      </w:pPr>
      <w:r>
        <w:rPr>
          <w:rFonts w:hint="eastAsia"/>
          <w:color w:val="auto"/>
        </w:rPr>
        <w:t>1.项目经理的证明资料按下列顺序附后，资格证书（如有）、注册证书、职称证、学历证扫描件。</w:t>
      </w:r>
    </w:p>
    <w:p w14:paraId="0C4AD896">
      <w:pPr>
        <w:spacing w:line="400" w:lineRule="exact"/>
        <w:ind w:left="210" w:hanging="210" w:hangingChars="100"/>
        <w:rPr>
          <w:rFonts w:ascii="宋体" w:hAnsi="宋体"/>
          <w:color w:val="auto"/>
          <w:szCs w:val="21"/>
        </w:rPr>
      </w:pPr>
      <w:r>
        <w:rPr>
          <w:rFonts w:hint="eastAsia"/>
          <w:color w:val="auto"/>
        </w:rPr>
        <w:t>2</w:t>
      </w:r>
      <w:r>
        <w:rPr>
          <w:rFonts w:hint="eastAsia" w:ascii="宋体" w:hAnsi="宋体"/>
          <w:color w:val="auto"/>
          <w:szCs w:val="21"/>
        </w:rPr>
        <w:t>.</w:t>
      </w:r>
      <w:r>
        <w:rPr>
          <w:rFonts w:hint="eastAsia" w:ascii="宋体" w:hAnsi="宋体"/>
          <w:color w:val="auto"/>
        </w:rPr>
        <w:t>类似项目的证明资料应分别附</w:t>
      </w:r>
      <w:r>
        <w:rPr>
          <w:rFonts w:hint="eastAsia" w:ascii="宋体" w:hAnsi="宋体"/>
          <w:color w:val="auto"/>
          <w:szCs w:val="21"/>
        </w:rPr>
        <w:t>中标通知书（如有）、合同协议书、工程接收证书或工程竣工验收证书（工程竣工验收备案证）及其他证明材料（如需要）的</w:t>
      </w:r>
      <w:r>
        <w:rPr>
          <w:rFonts w:hint="eastAsia" w:ascii="宋体" w:hAnsi="宋体"/>
          <w:color w:val="auto"/>
        </w:rPr>
        <w:t>扫描件</w:t>
      </w:r>
      <w:r>
        <w:rPr>
          <w:rFonts w:hint="eastAsia" w:ascii="宋体" w:hAnsi="宋体"/>
          <w:color w:val="auto"/>
          <w:szCs w:val="21"/>
        </w:rPr>
        <w:t>。</w:t>
      </w:r>
    </w:p>
    <w:p w14:paraId="672C64C1">
      <w:pPr>
        <w:spacing w:line="400" w:lineRule="exact"/>
        <w:ind w:left="210" w:hanging="210" w:hangingChars="100"/>
        <w:rPr>
          <w:rFonts w:hint="eastAsia"/>
          <w:color w:val="auto"/>
        </w:rPr>
      </w:pPr>
      <w:r>
        <w:rPr>
          <w:rFonts w:hint="eastAsia"/>
          <w:color w:val="auto"/>
        </w:rPr>
        <w:t>3.“获工程质量奖项</w:t>
      </w:r>
      <w:r>
        <w:rPr>
          <w:color w:val="auto"/>
        </w:rPr>
        <w:t>情况”</w:t>
      </w:r>
      <w:r>
        <w:rPr>
          <w:rFonts w:hint="eastAsia"/>
          <w:color w:val="auto"/>
        </w:rPr>
        <w:t>的证明资料应附</w:t>
      </w:r>
      <w:r>
        <w:rPr>
          <w:color w:val="auto"/>
        </w:rPr>
        <w:t>中标通知书</w:t>
      </w:r>
      <w:r>
        <w:rPr>
          <w:rFonts w:hint="eastAsia"/>
          <w:color w:val="auto"/>
        </w:rPr>
        <w:t>（如有）、</w:t>
      </w:r>
      <w:r>
        <w:rPr>
          <w:color w:val="auto"/>
        </w:rPr>
        <w:t>合同协议书、</w:t>
      </w:r>
      <w:r>
        <w:rPr>
          <w:rFonts w:hint="eastAsia"/>
          <w:color w:val="auto"/>
        </w:rPr>
        <w:t>工程接收证书或工程竣工验收证书（工程竣工验收备案证）、颁奖机构颁发的获奖证书或表彰文件及其他证明材料等扫描件。</w:t>
      </w:r>
    </w:p>
    <w:p w14:paraId="5DB93236">
      <w:pPr>
        <w:spacing w:line="400" w:lineRule="exact"/>
        <w:rPr>
          <w:rFonts w:hint="eastAsia"/>
          <w:color w:val="auto"/>
        </w:rPr>
      </w:pPr>
      <w:r>
        <w:rPr>
          <w:rFonts w:hint="eastAsia"/>
          <w:color w:val="auto"/>
        </w:rPr>
        <w:t>4</w:t>
      </w:r>
      <w:r>
        <w:rPr>
          <w:rFonts w:hint="eastAsia" w:ascii="宋体" w:hAnsi="宋体"/>
          <w:color w:val="auto"/>
          <w:szCs w:val="21"/>
        </w:rPr>
        <w:t>.“获表彰情况”</w:t>
      </w:r>
      <w:r>
        <w:rPr>
          <w:rFonts w:hint="eastAsia" w:ascii="宋体" w:hAnsi="宋体"/>
          <w:color w:val="auto"/>
        </w:rPr>
        <w:t>的证明资料应附</w:t>
      </w:r>
      <w:r>
        <w:rPr>
          <w:rFonts w:hint="eastAsia"/>
          <w:color w:val="auto"/>
        </w:rPr>
        <w:t>颁奖机构颁发的表彰证书或表彰文件</w:t>
      </w:r>
      <w:r>
        <w:rPr>
          <w:rFonts w:hint="eastAsia" w:ascii="宋体" w:hAnsi="宋体"/>
          <w:color w:val="auto"/>
          <w:szCs w:val="21"/>
        </w:rPr>
        <w:t>的</w:t>
      </w:r>
      <w:r>
        <w:rPr>
          <w:rFonts w:hint="eastAsia" w:ascii="宋体" w:hAnsi="宋体"/>
          <w:color w:val="auto"/>
        </w:rPr>
        <w:t>扫描件</w:t>
      </w:r>
      <w:r>
        <w:rPr>
          <w:rFonts w:hint="eastAsia"/>
          <w:color w:val="auto"/>
        </w:rPr>
        <w:t>。</w:t>
      </w:r>
    </w:p>
    <w:p w14:paraId="5770BAD2">
      <w:pPr>
        <w:pStyle w:val="4"/>
        <w:spacing w:before="120"/>
        <w:jc w:val="center"/>
        <w:rPr>
          <w:color w:val="auto"/>
          <w:sz w:val="24"/>
        </w:rPr>
      </w:pPr>
      <w:bookmarkStart w:id="2194" w:name="_Toc154064031"/>
      <w:bookmarkStart w:id="2195" w:name="_Toc519085665"/>
      <w:bookmarkStart w:id="2196" w:name="_Toc29243"/>
      <w:r>
        <w:rPr>
          <w:rFonts w:hint="eastAsia"/>
          <w:color w:val="auto"/>
          <w:sz w:val="24"/>
        </w:rPr>
        <w:t>（三）设计负责人简历表</w:t>
      </w:r>
      <w:bookmarkEnd w:id="2194"/>
      <w:bookmarkEnd w:id="2195"/>
      <w:bookmarkEnd w:id="2196"/>
    </w:p>
    <w:p w14:paraId="72833134">
      <w:pPr>
        <w:rPr>
          <w:rFonts w:hint="eastAsia"/>
          <w:color w:val="auto"/>
        </w:rPr>
      </w:pP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85"/>
        <w:gridCol w:w="574"/>
        <w:gridCol w:w="325"/>
        <w:gridCol w:w="1090"/>
        <w:gridCol w:w="705"/>
        <w:gridCol w:w="517"/>
        <w:gridCol w:w="479"/>
        <w:gridCol w:w="1413"/>
        <w:gridCol w:w="126"/>
        <w:gridCol w:w="2051"/>
      </w:tblGrid>
      <w:tr w14:paraId="16132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379406EA">
            <w:pPr>
              <w:keepNext w:val="0"/>
              <w:keepLines w:val="0"/>
              <w:suppressLineNumbers w:val="0"/>
              <w:spacing w:before="0" w:beforeAutospacing="0" w:after="0" w:afterAutospacing="0" w:line="240" w:lineRule="auto"/>
              <w:ind w:left="0" w:right="0"/>
              <w:rPr>
                <w:rFonts w:hint="eastAsia" w:ascii="宋体" w:hAnsi="宋体" w:eastAsia="宋体" w:cs="Times New Roman"/>
                <w:color w:val="auto"/>
                <w:szCs w:val="21"/>
              </w:rPr>
            </w:pPr>
            <w:r>
              <w:rPr>
                <w:rFonts w:hint="eastAsia" w:ascii="宋体" w:hAnsi="宋体" w:eastAsia="宋体" w:cs="Times New Roman"/>
                <w:color w:val="auto"/>
                <w:szCs w:val="21"/>
              </w:rPr>
              <w:t>姓  名</w:t>
            </w:r>
          </w:p>
        </w:tc>
        <w:tc>
          <w:tcPr>
            <w:tcW w:w="984" w:type="dxa"/>
            <w:gridSpan w:val="3"/>
            <w:noWrap w:val="0"/>
            <w:vAlign w:val="center"/>
          </w:tcPr>
          <w:p w14:paraId="17E44543">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1090" w:type="dxa"/>
            <w:noWrap w:val="0"/>
            <w:vAlign w:val="center"/>
          </w:tcPr>
          <w:p w14:paraId="02B8929E">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年  龄</w:t>
            </w:r>
          </w:p>
        </w:tc>
        <w:tc>
          <w:tcPr>
            <w:tcW w:w="1222" w:type="dxa"/>
            <w:gridSpan w:val="2"/>
            <w:noWrap w:val="0"/>
            <w:vAlign w:val="center"/>
          </w:tcPr>
          <w:p w14:paraId="66FB17B4">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2018" w:type="dxa"/>
            <w:gridSpan w:val="3"/>
            <w:noWrap w:val="0"/>
            <w:vAlign w:val="center"/>
          </w:tcPr>
          <w:p w14:paraId="3C5BFF97">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学历</w:t>
            </w:r>
          </w:p>
        </w:tc>
        <w:tc>
          <w:tcPr>
            <w:tcW w:w="2051" w:type="dxa"/>
            <w:noWrap w:val="0"/>
            <w:vAlign w:val="center"/>
          </w:tcPr>
          <w:p w14:paraId="46EAFC9E">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r w14:paraId="287F4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3D7A5BDE">
            <w:pPr>
              <w:keepNext w:val="0"/>
              <w:keepLines w:val="0"/>
              <w:suppressLineNumbers w:val="0"/>
              <w:spacing w:before="0" w:beforeAutospacing="0" w:after="0" w:afterAutospacing="0" w:line="240" w:lineRule="auto"/>
              <w:ind w:left="0" w:right="0"/>
              <w:rPr>
                <w:rFonts w:hint="eastAsia" w:ascii="宋体" w:hAnsi="宋体" w:eastAsia="宋体" w:cs="Times New Roman"/>
                <w:color w:val="auto"/>
                <w:szCs w:val="21"/>
              </w:rPr>
            </w:pPr>
            <w:r>
              <w:rPr>
                <w:rFonts w:hint="eastAsia" w:ascii="宋体" w:hAnsi="宋体" w:eastAsia="宋体" w:cs="Times New Roman"/>
                <w:color w:val="auto"/>
                <w:szCs w:val="21"/>
              </w:rPr>
              <w:t>职  称</w:t>
            </w:r>
          </w:p>
        </w:tc>
        <w:tc>
          <w:tcPr>
            <w:tcW w:w="3296" w:type="dxa"/>
            <w:gridSpan w:val="6"/>
            <w:noWrap w:val="0"/>
            <w:vAlign w:val="center"/>
          </w:tcPr>
          <w:p w14:paraId="46200FE3">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2018" w:type="dxa"/>
            <w:gridSpan w:val="3"/>
            <w:noWrap w:val="0"/>
            <w:vAlign w:val="center"/>
          </w:tcPr>
          <w:p w14:paraId="1B32FFE8">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拟在本工程任职</w:t>
            </w:r>
          </w:p>
        </w:tc>
        <w:tc>
          <w:tcPr>
            <w:tcW w:w="2051" w:type="dxa"/>
            <w:noWrap w:val="0"/>
            <w:vAlign w:val="center"/>
          </w:tcPr>
          <w:p w14:paraId="2DB2E289">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设计负责人</w:t>
            </w:r>
          </w:p>
        </w:tc>
      </w:tr>
      <w:tr w14:paraId="69FBA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3" w:type="dxa"/>
            <w:gridSpan w:val="5"/>
            <w:noWrap w:val="0"/>
            <w:vAlign w:val="center"/>
          </w:tcPr>
          <w:p w14:paraId="0B350799">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注册执业资格等级</w:t>
            </w:r>
          </w:p>
        </w:tc>
        <w:tc>
          <w:tcPr>
            <w:tcW w:w="1222" w:type="dxa"/>
            <w:gridSpan w:val="2"/>
            <w:noWrap w:val="0"/>
            <w:vAlign w:val="center"/>
          </w:tcPr>
          <w:p w14:paraId="62015236">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 xml:space="preserve">      级</w:t>
            </w:r>
          </w:p>
        </w:tc>
        <w:tc>
          <w:tcPr>
            <w:tcW w:w="2018" w:type="dxa"/>
            <w:gridSpan w:val="3"/>
            <w:noWrap w:val="0"/>
            <w:vAlign w:val="center"/>
          </w:tcPr>
          <w:p w14:paraId="3A61B906">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专业</w:t>
            </w:r>
          </w:p>
        </w:tc>
        <w:tc>
          <w:tcPr>
            <w:tcW w:w="2051" w:type="dxa"/>
            <w:noWrap w:val="0"/>
            <w:vAlign w:val="center"/>
          </w:tcPr>
          <w:p w14:paraId="4F609A8B">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r w14:paraId="30176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gridSpan w:val="2"/>
            <w:noWrap w:val="0"/>
            <w:vAlign w:val="center"/>
          </w:tcPr>
          <w:p w14:paraId="5483BBD8">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毕业学校</w:t>
            </w:r>
          </w:p>
        </w:tc>
        <w:tc>
          <w:tcPr>
            <w:tcW w:w="7280" w:type="dxa"/>
            <w:gridSpan w:val="9"/>
            <w:noWrap w:val="0"/>
            <w:vAlign w:val="center"/>
          </w:tcPr>
          <w:p w14:paraId="2E088C1B">
            <w:pPr>
              <w:keepNext w:val="0"/>
              <w:keepLines w:val="0"/>
              <w:suppressLineNumbers w:val="0"/>
              <w:spacing w:before="0" w:beforeAutospacing="0" w:after="0" w:afterAutospacing="0" w:line="240" w:lineRule="auto"/>
              <w:ind w:left="0" w:right="0" w:firstLine="840" w:firstLineChars="400"/>
              <w:rPr>
                <w:rFonts w:hint="eastAsia" w:ascii="宋体" w:hAnsi="宋体" w:eastAsia="宋体" w:cs="Times New Roman"/>
                <w:color w:val="auto"/>
                <w:szCs w:val="21"/>
              </w:rPr>
            </w:pPr>
            <w:r>
              <w:rPr>
                <w:rFonts w:hint="eastAsia" w:ascii="宋体" w:hAnsi="宋体" w:eastAsia="宋体" w:cs="Times New Roman"/>
                <w:color w:val="auto"/>
                <w:szCs w:val="21"/>
              </w:rPr>
              <w:t>年毕业于                  学校            专业</w:t>
            </w:r>
          </w:p>
        </w:tc>
      </w:tr>
      <w:tr w14:paraId="435F3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14" w:type="dxa"/>
            <w:gridSpan w:val="11"/>
            <w:noWrap w:val="0"/>
            <w:vAlign w:val="center"/>
          </w:tcPr>
          <w:p w14:paraId="5B77C686">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ascii="宋体" w:hAnsi="宋体" w:eastAsia="宋体" w:cs="Times New Roman"/>
                <w:color w:val="auto"/>
                <w:szCs w:val="21"/>
              </w:rPr>
              <w:t>主要</w:t>
            </w:r>
            <w:r>
              <w:rPr>
                <w:rFonts w:hint="eastAsia" w:ascii="宋体" w:hAnsi="宋体" w:eastAsia="宋体" w:cs="Times New Roman"/>
                <w:color w:val="auto"/>
                <w:szCs w:val="21"/>
              </w:rPr>
              <w:t>管理</w:t>
            </w:r>
            <w:r>
              <w:rPr>
                <w:rFonts w:ascii="宋体" w:hAnsi="宋体" w:eastAsia="宋体" w:cs="Times New Roman"/>
                <w:color w:val="auto"/>
                <w:szCs w:val="21"/>
              </w:rPr>
              <w:t>经历</w:t>
            </w:r>
          </w:p>
        </w:tc>
      </w:tr>
      <w:tr w14:paraId="0FEA1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66E7A37C">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时  间</w:t>
            </w:r>
          </w:p>
        </w:tc>
        <w:tc>
          <w:tcPr>
            <w:tcW w:w="3116" w:type="dxa"/>
            <w:gridSpan w:val="5"/>
            <w:noWrap w:val="0"/>
            <w:vAlign w:val="center"/>
          </w:tcPr>
          <w:p w14:paraId="5B73CB5A">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担任过类似项目</w:t>
            </w:r>
            <w:r>
              <w:rPr>
                <w:rFonts w:hint="eastAsia" w:ascii="Calibri" w:hAnsi="Calibri" w:eastAsia="宋体" w:cs="Times New Roman"/>
                <w:color w:val="auto"/>
                <w:szCs w:val="20"/>
              </w:rPr>
              <w:t>设计负责人</w:t>
            </w:r>
            <w:r>
              <w:rPr>
                <w:rFonts w:hint="eastAsia" w:ascii="宋体" w:hAnsi="宋体" w:eastAsia="宋体" w:cs="Times New Roman"/>
                <w:color w:val="auto"/>
                <w:szCs w:val="21"/>
              </w:rPr>
              <w:t>的项目名称</w:t>
            </w:r>
          </w:p>
        </w:tc>
        <w:tc>
          <w:tcPr>
            <w:tcW w:w="3590" w:type="dxa"/>
            <w:gridSpan w:val="3"/>
            <w:noWrap w:val="0"/>
            <w:vAlign w:val="center"/>
          </w:tcPr>
          <w:p w14:paraId="2579E4F0">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发包人及联系电话</w:t>
            </w:r>
          </w:p>
        </w:tc>
      </w:tr>
      <w:tr w14:paraId="3CF8E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0E768358">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116" w:type="dxa"/>
            <w:gridSpan w:val="5"/>
            <w:noWrap w:val="0"/>
            <w:vAlign w:val="center"/>
          </w:tcPr>
          <w:p w14:paraId="435FA139">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590" w:type="dxa"/>
            <w:gridSpan w:val="3"/>
            <w:noWrap w:val="0"/>
            <w:vAlign w:val="center"/>
          </w:tcPr>
          <w:p w14:paraId="23517252">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r w14:paraId="58DA1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7C96A8B7">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116" w:type="dxa"/>
            <w:gridSpan w:val="5"/>
            <w:noWrap w:val="0"/>
            <w:vAlign w:val="center"/>
          </w:tcPr>
          <w:p w14:paraId="2DCF3AE0">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590" w:type="dxa"/>
            <w:gridSpan w:val="3"/>
            <w:noWrap w:val="0"/>
            <w:vAlign w:val="center"/>
          </w:tcPr>
          <w:p w14:paraId="24A3F972">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r w14:paraId="5A074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1FB2303C">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116" w:type="dxa"/>
            <w:gridSpan w:val="5"/>
            <w:noWrap w:val="0"/>
            <w:vAlign w:val="center"/>
          </w:tcPr>
          <w:p w14:paraId="0DD3B546">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590" w:type="dxa"/>
            <w:gridSpan w:val="3"/>
            <w:noWrap w:val="0"/>
            <w:vAlign w:val="center"/>
          </w:tcPr>
          <w:p w14:paraId="1CF45064">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r w14:paraId="737CF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1B0D537">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116" w:type="dxa"/>
            <w:gridSpan w:val="5"/>
            <w:noWrap w:val="0"/>
            <w:vAlign w:val="center"/>
          </w:tcPr>
          <w:p w14:paraId="18EBAFA9">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590" w:type="dxa"/>
            <w:gridSpan w:val="3"/>
            <w:noWrap w:val="0"/>
            <w:vAlign w:val="center"/>
          </w:tcPr>
          <w:p w14:paraId="58E12043">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r w14:paraId="7B608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1"/>
            <w:noWrap w:val="0"/>
            <w:vAlign w:val="center"/>
          </w:tcPr>
          <w:p w14:paraId="0D568AAB">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Calibri" w:hAnsi="Calibri" w:eastAsia="宋体" w:cs="Times New Roman"/>
                <w:color w:val="auto"/>
                <w:szCs w:val="20"/>
              </w:rPr>
              <w:t>近年设计负责人获设计质量奖项</w:t>
            </w:r>
            <w:r>
              <w:rPr>
                <w:rFonts w:ascii="Calibri" w:hAnsi="Calibri" w:eastAsia="宋体" w:cs="Times New Roman"/>
                <w:color w:val="auto"/>
                <w:szCs w:val="20"/>
              </w:rPr>
              <w:t>情况</w:t>
            </w:r>
          </w:p>
        </w:tc>
      </w:tr>
      <w:tr w14:paraId="2ED28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05DDE2AF">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获奖日期</w:t>
            </w:r>
          </w:p>
        </w:tc>
        <w:tc>
          <w:tcPr>
            <w:tcW w:w="2120" w:type="dxa"/>
            <w:gridSpan w:val="3"/>
            <w:noWrap w:val="0"/>
            <w:vAlign w:val="center"/>
          </w:tcPr>
          <w:p w14:paraId="65BCA22D">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Calibri" w:hAnsi="Calibri" w:eastAsia="宋体" w:cs="Times New Roman"/>
                <w:color w:val="auto"/>
                <w:szCs w:val="21"/>
              </w:rPr>
              <w:t>项目名称</w:t>
            </w:r>
          </w:p>
        </w:tc>
        <w:tc>
          <w:tcPr>
            <w:tcW w:w="2409" w:type="dxa"/>
            <w:gridSpan w:val="3"/>
            <w:noWrap w:val="0"/>
            <w:vAlign w:val="center"/>
          </w:tcPr>
          <w:p w14:paraId="5D925C21">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Calibri" w:hAnsi="Calibri" w:eastAsia="宋体" w:cs="Times New Roman"/>
                <w:color w:val="auto"/>
                <w:szCs w:val="21"/>
              </w:rPr>
              <w:t>获奖名称</w:t>
            </w:r>
          </w:p>
        </w:tc>
        <w:tc>
          <w:tcPr>
            <w:tcW w:w="2177" w:type="dxa"/>
            <w:gridSpan w:val="2"/>
            <w:noWrap w:val="0"/>
            <w:vAlign w:val="center"/>
          </w:tcPr>
          <w:p w14:paraId="0D3A7E97">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Calibri" w:hAnsi="Calibri" w:eastAsia="宋体" w:cs="Times New Roman"/>
                <w:color w:val="auto"/>
                <w:szCs w:val="21"/>
              </w:rPr>
              <w:t>颁奖单位</w:t>
            </w:r>
          </w:p>
        </w:tc>
      </w:tr>
      <w:tr w14:paraId="0F57B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EDBFA6B">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2120" w:type="dxa"/>
            <w:gridSpan w:val="3"/>
            <w:noWrap w:val="0"/>
            <w:vAlign w:val="center"/>
          </w:tcPr>
          <w:p w14:paraId="3292E5B8">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2409" w:type="dxa"/>
            <w:gridSpan w:val="3"/>
            <w:noWrap w:val="0"/>
            <w:vAlign w:val="center"/>
          </w:tcPr>
          <w:p w14:paraId="457A8F30">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2177" w:type="dxa"/>
            <w:gridSpan w:val="2"/>
            <w:noWrap w:val="0"/>
            <w:vAlign w:val="center"/>
          </w:tcPr>
          <w:p w14:paraId="6D709C28">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r w14:paraId="45F72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471E928F">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2120" w:type="dxa"/>
            <w:gridSpan w:val="3"/>
            <w:noWrap w:val="0"/>
            <w:vAlign w:val="center"/>
          </w:tcPr>
          <w:p w14:paraId="05FE9B69">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2409" w:type="dxa"/>
            <w:gridSpan w:val="3"/>
            <w:noWrap w:val="0"/>
            <w:vAlign w:val="center"/>
          </w:tcPr>
          <w:p w14:paraId="5C89BF53">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2177" w:type="dxa"/>
            <w:gridSpan w:val="2"/>
            <w:noWrap w:val="0"/>
            <w:vAlign w:val="center"/>
          </w:tcPr>
          <w:p w14:paraId="4539CD8D">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r w14:paraId="06FC6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1"/>
            <w:noWrap w:val="0"/>
            <w:vAlign w:val="center"/>
          </w:tcPr>
          <w:p w14:paraId="745C75A8">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ascii="宋体" w:hAnsi="宋体" w:eastAsia="宋体" w:cs="Times New Roman"/>
                <w:color w:val="auto"/>
                <w:szCs w:val="21"/>
              </w:rPr>
              <w:t>近年</w:t>
            </w:r>
            <w:r>
              <w:rPr>
                <w:rFonts w:hint="eastAsia" w:ascii="宋体" w:hAnsi="宋体" w:eastAsia="宋体" w:cs="Times New Roman"/>
                <w:color w:val="auto"/>
                <w:szCs w:val="21"/>
              </w:rPr>
              <w:t>设计负责人获表彰情况</w:t>
            </w:r>
          </w:p>
        </w:tc>
      </w:tr>
      <w:tr w14:paraId="28928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04BC504B">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Calibri" w:hAnsi="Calibri" w:eastAsia="宋体" w:cs="Times New Roman"/>
                <w:color w:val="auto"/>
                <w:szCs w:val="21"/>
              </w:rPr>
              <w:t>获奖日期</w:t>
            </w:r>
          </w:p>
        </w:tc>
        <w:tc>
          <w:tcPr>
            <w:tcW w:w="3116" w:type="dxa"/>
            <w:gridSpan w:val="5"/>
            <w:noWrap w:val="0"/>
            <w:vAlign w:val="center"/>
          </w:tcPr>
          <w:p w14:paraId="49F2FA6C">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获奖名称</w:t>
            </w:r>
          </w:p>
        </w:tc>
        <w:tc>
          <w:tcPr>
            <w:tcW w:w="3590" w:type="dxa"/>
            <w:gridSpan w:val="3"/>
            <w:noWrap w:val="0"/>
            <w:vAlign w:val="center"/>
          </w:tcPr>
          <w:p w14:paraId="74ADC36B">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颁奖单位</w:t>
            </w:r>
          </w:p>
        </w:tc>
      </w:tr>
      <w:tr w14:paraId="344A8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555B581A">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116" w:type="dxa"/>
            <w:gridSpan w:val="5"/>
            <w:noWrap w:val="0"/>
            <w:vAlign w:val="center"/>
          </w:tcPr>
          <w:p w14:paraId="4CA4AC1A">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590" w:type="dxa"/>
            <w:gridSpan w:val="3"/>
            <w:noWrap w:val="0"/>
            <w:vAlign w:val="center"/>
          </w:tcPr>
          <w:p w14:paraId="556C2711">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r w14:paraId="11D91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1800A15F">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116" w:type="dxa"/>
            <w:gridSpan w:val="5"/>
            <w:noWrap w:val="0"/>
            <w:vAlign w:val="center"/>
          </w:tcPr>
          <w:p w14:paraId="57CBA0C5">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590" w:type="dxa"/>
            <w:gridSpan w:val="3"/>
            <w:noWrap w:val="0"/>
            <w:vAlign w:val="center"/>
          </w:tcPr>
          <w:p w14:paraId="3DA5508D">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bl>
    <w:p w14:paraId="22D9614A">
      <w:pPr>
        <w:spacing w:line="400" w:lineRule="exact"/>
        <w:ind w:left="840" w:hanging="840" w:hangingChars="400"/>
        <w:rPr>
          <w:rFonts w:ascii="宋体" w:hAnsi="宋体"/>
          <w:color w:val="auto"/>
          <w:szCs w:val="20"/>
        </w:rPr>
      </w:pPr>
      <w:r>
        <w:rPr>
          <w:rFonts w:hint="eastAsia" w:ascii="宋体" w:hAnsi="宋体"/>
          <w:color w:val="auto"/>
          <w:szCs w:val="20"/>
        </w:rPr>
        <w:t>备注：</w:t>
      </w:r>
    </w:p>
    <w:p w14:paraId="5FEBCDE4">
      <w:pPr>
        <w:spacing w:line="400" w:lineRule="exact"/>
        <w:ind w:left="210" w:hanging="210" w:hangingChars="100"/>
        <w:rPr>
          <w:rFonts w:hint="eastAsia"/>
          <w:color w:val="auto"/>
        </w:rPr>
      </w:pPr>
      <w:r>
        <w:rPr>
          <w:rFonts w:hint="eastAsia"/>
          <w:color w:val="auto"/>
        </w:rPr>
        <w:t>1.设计负责人的证明资料按下列顺序附后，资格证书（如有）、注册证书、职称证、学历证扫描件。</w:t>
      </w:r>
    </w:p>
    <w:p w14:paraId="1258C69B">
      <w:pPr>
        <w:spacing w:line="400" w:lineRule="exact"/>
        <w:ind w:left="210" w:hanging="210" w:hangingChars="100"/>
        <w:rPr>
          <w:color w:val="auto"/>
        </w:rPr>
      </w:pPr>
      <w:r>
        <w:rPr>
          <w:rFonts w:hint="eastAsia"/>
          <w:color w:val="auto"/>
        </w:rPr>
        <w:t>2.类似项目的证明资料应分别附中标通知书（如有）、合同协议书及其他证明材料（如需要）的扫描件。</w:t>
      </w:r>
    </w:p>
    <w:p w14:paraId="35F08FC3">
      <w:pPr>
        <w:spacing w:line="400" w:lineRule="exact"/>
        <w:ind w:left="210" w:hanging="210" w:hangingChars="100"/>
        <w:rPr>
          <w:rFonts w:hint="eastAsia"/>
          <w:color w:val="auto"/>
        </w:rPr>
      </w:pPr>
      <w:r>
        <w:rPr>
          <w:rFonts w:hint="eastAsia"/>
          <w:color w:val="auto"/>
        </w:rPr>
        <w:t>3.“获设计质量奖项</w:t>
      </w:r>
      <w:r>
        <w:rPr>
          <w:color w:val="auto"/>
        </w:rPr>
        <w:t>情况”</w:t>
      </w:r>
      <w:r>
        <w:rPr>
          <w:rFonts w:hint="eastAsia"/>
          <w:color w:val="auto"/>
        </w:rPr>
        <w:t>的证明资料应附</w:t>
      </w:r>
      <w:r>
        <w:rPr>
          <w:color w:val="auto"/>
        </w:rPr>
        <w:t>中标通知书</w:t>
      </w:r>
      <w:r>
        <w:rPr>
          <w:rFonts w:hint="eastAsia"/>
          <w:color w:val="auto"/>
        </w:rPr>
        <w:t>（如有）、</w:t>
      </w:r>
      <w:r>
        <w:rPr>
          <w:color w:val="auto"/>
        </w:rPr>
        <w:t>合同协议书</w:t>
      </w:r>
      <w:r>
        <w:rPr>
          <w:rFonts w:hint="eastAsia"/>
          <w:color w:val="auto"/>
        </w:rPr>
        <w:t>、颁奖机构颁发的获奖证书或表彰文件及其他证明材料等扫描件。</w:t>
      </w:r>
    </w:p>
    <w:p w14:paraId="0D0B486D">
      <w:pPr>
        <w:spacing w:line="400" w:lineRule="exact"/>
        <w:ind w:left="210" w:hanging="210" w:hangingChars="100"/>
        <w:rPr>
          <w:rFonts w:hint="eastAsia"/>
          <w:color w:val="auto"/>
        </w:rPr>
      </w:pPr>
      <w:r>
        <w:rPr>
          <w:rFonts w:hint="eastAsia"/>
          <w:color w:val="auto"/>
        </w:rPr>
        <w:t>4.“获表彰情况”的证明资料应附颁奖机构颁发的表彰证书或表彰文件的扫描件。</w:t>
      </w:r>
    </w:p>
    <w:p w14:paraId="5AD9816C">
      <w:pPr>
        <w:spacing w:line="420" w:lineRule="exact"/>
        <w:ind w:left="840" w:leftChars="300" w:hanging="210" w:hangingChars="100"/>
        <w:rPr>
          <w:rFonts w:hint="eastAsia"/>
          <w:color w:val="auto"/>
          <w:szCs w:val="21"/>
        </w:rPr>
      </w:pPr>
    </w:p>
    <w:p w14:paraId="3FBCB663">
      <w:pPr>
        <w:pStyle w:val="4"/>
        <w:spacing w:before="120"/>
        <w:jc w:val="center"/>
        <w:rPr>
          <w:color w:val="auto"/>
          <w:sz w:val="24"/>
        </w:rPr>
      </w:pPr>
      <w:bookmarkStart w:id="2197" w:name="_Toc154064032"/>
      <w:bookmarkStart w:id="2198" w:name="_Toc519085666"/>
      <w:bookmarkStart w:id="2199" w:name="_Toc8566"/>
      <w:r>
        <w:rPr>
          <w:rFonts w:hint="eastAsia"/>
          <w:color w:val="auto"/>
          <w:sz w:val="24"/>
        </w:rPr>
        <w:t>（四）施工负责人简历表</w:t>
      </w:r>
      <w:bookmarkEnd w:id="2197"/>
      <w:bookmarkEnd w:id="2198"/>
      <w:bookmarkEnd w:id="2199"/>
    </w:p>
    <w:p w14:paraId="29FC6913">
      <w:pPr>
        <w:rPr>
          <w:rFonts w:hint="eastAsia"/>
          <w:color w:val="auto"/>
        </w:rPr>
      </w:pPr>
    </w:p>
    <w:tbl>
      <w:tblPr>
        <w:tblStyle w:val="41"/>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31"/>
        <w:gridCol w:w="628"/>
        <w:gridCol w:w="325"/>
        <w:gridCol w:w="1090"/>
        <w:gridCol w:w="563"/>
        <w:gridCol w:w="659"/>
        <w:gridCol w:w="479"/>
        <w:gridCol w:w="1413"/>
        <w:gridCol w:w="126"/>
        <w:gridCol w:w="2051"/>
      </w:tblGrid>
      <w:tr w14:paraId="7A04A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39322B7E">
            <w:pPr>
              <w:keepNext w:val="0"/>
              <w:keepLines w:val="0"/>
              <w:suppressLineNumbers w:val="0"/>
              <w:spacing w:before="0" w:beforeAutospacing="0" w:after="0" w:afterAutospacing="0" w:line="240" w:lineRule="auto"/>
              <w:ind w:left="0" w:right="0"/>
              <w:rPr>
                <w:rFonts w:hint="eastAsia" w:ascii="宋体" w:hAnsi="宋体" w:eastAsia="宋体" w:cs="Times New Roman"/>
                <w:color w:val="auto"/>
                <w:szCs w:val="21"/>
              </w:rPr>
            </w:pPr>
            <w:r>
              <w:rPr>
                <w:rFonts w:hint="eastAsia" w:ascii="宋体" w:hAnsi="宋体" w:eastAsia="宋体" w:cs="Times New Roman"/>
                <w:color w:val="auto"/>
                <w:szCs w:val="21"/>
              </w:rPr>
              <w:t>姓  名</w:t>
            </w:r>
          </w:p>
        </w:tc>
        <w:tc>
          <w:tcPr>
            <w:tcW w:w="984" w:type="dxa"/>
            <w:gridSpan w:val="3"/>
            <w:noWrap w:val="0"/>
            <w:vAlign w:val="center"/>
          </w:tcPr>
          <w:p w14:paraId="4F716884">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1090" w:type="dxa"/>
            <w:noWrap w:val="0"/>
            <w:vAlign w:val="center"/>
          </w:tcPr>
          <w:p w14:paraId="2FE0A2E5">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年  龄</w:t>
            </w:r>
          </w:p>
        </w:tc>
        <w:tc>
          <w:tcPr>
            <w:tcW w:w="1222" w:type="dxa"/>
            <w:gridSpan w:val="2"/>
            <w:noWrap w:val="0"/>
            <w:vAlign w:val="center"/>
          </w:tcPr>
          <w:p w14:paraId="20921A2D">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2018" w:type="dxa"/>
            <w:gridSpan w:val="3"/>
            <w:noWrap w:val="0"/>
            <w:vAlign w:val="center"/>
          </w:tcPr>
          <w:p w14:paraId="4216671C">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学历</w:t>
            </w:r>
          </w:p>
        </w:tc>
        <w:tc>
          <w:tcPr>
            <w:tcW w:w="2051" w:type="dxa"/>
            <w:noWrap w:val="0"/>
            <w:vAlign w:val="center"/>
          </w:tcPr>
          <w:p w14:paraId="6A6404DD">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r w14:paraId="0306A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4B8E28D2">
            <w:pPr>
              <w:keepNext w:val="0"/>
              <w:keepLines w:val="0"/>
              <w:suppressLineNumbers w:val="0"/>
              <w:spacing w:before="0" w:beforeAutospacing="0" w:after="0" w:afterAutospacing="0" w:line="240" w:lineRule="auto"/>
              <w:ind w:left="0" w:right="0"/>
              <w:rPr>
                <w:rFonts w:hint="eastAsia" w:ascii="宋体" w:hAnsi="宋体" w:eastAsia="宋体" w:cs="Times New Roman"/>
                <w:color w:val="auto"/>
                <w:szCs w:val="21"/>
              </w:rPr>
            </w:pPr>
            <w:r>
              <w:rPr>
                <w:rFonts w:hint="eastAsia" w:ascii="宋体" w:hAnsi="宋体" w:eastAsia="宋体" w:cs="Times New Roman"/>
                <w:color w:val="auto"/>
                <w:szCs w:val="21"/>
              </w:rPr>
              <w:t>职  称</w:t>
            </w:r>
          </w:p>
        </w:tc>
        <w:tc>
          <w:tcPr>
            <w:tcW w:w="3296" w:type="dxa"/>
            <w:gridSpan w:val="6"/>
            <w:noWrap w:val="0"/>
            <w:vAlign w:val="center"/>
          </w:tcPr>
          <w:p w14:paraId="6E8BA43D">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2018" w:type="dxa"/>
            <w:gridSpan w:val="3"/>
            <w:noWrap w:val="0"/>
            <w:vAlign w:val="center"/>
          </w:tcPr>
          <w:p w14:paraId="2950851A">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拟在本工程任职</w:t>
            </w:r>
          </w:p>
        </w:tc>
        <w:tc>
          <w:tcPr>
            <w:tcW w:w="2051" w:type="dxa"/>
            <w:noWrap w:val="0"/>
            <w:vAlign w:val="center"/>
          </w:tcPr>
          <w:p w14:paraId="60181ED7">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施工负责人</w:t>
            </w:r>
          </w:p>
        </w:tc>
      </w:tr>
      <w:tr w14:paraId="0E953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3" w:type="dxa"/>
            <w:gridSpan w:val="5"/>
            <w:noWrap w:val="0"/>
            <w:vAlign w:val="center"/>
          </w:tcPr>
          <w:p w14:paraId="1B8C9E9F">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注册建造师执业资格等级</w:t>
            </w:r>
          </w:p>
        </w:tc>
        <w:tc>
          <w:tcPr>
            <w:tcW w:w="1222" w:type="dxa"/>
            <w:gridSpan w:val="2"/>
            <w:noWrap w:val="0"/>
            <w:vAlign w:val="center"/>
          </w:tcPr>
          <w:p w14:paraId="4CF0FB44">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 xml:space="preserve">      级</w:t>
            </w:r>
          </w:p>
        </w:tc>
        <w:tc>
          <w:tcPr>
            <w:tcW w:w="2018" w:type="dxa"/>
            <w:gridSpan w:val="3"/>
            <w:noWrap w:val="0"/>
            <w:vAlign w:val="center"/>
          </w:tcPr>
          <w:p w14:paraId="25A1037F">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专业</w:t>
            </w:r>
          </w:p>
        </w:tc>
        <w:tc>
          <w:tcPr>
            <w:tcW w:w="2051" w:type="dxa"/>
            <w:noWrap w:val="0"/>
            <w:vAlign w:val="center"/>
          </w:tcPr>
          <w:p w14:paraId="60686D1F">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r w14:paraId="579F9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80" w:type="dxa"/>
            <w:gridSpan w:val="2"/>
            <w:noWrap w:val="0"/>
            <w:vAlign w:val="center"/>
          </w:tcPr>
          <w:p w14:paraId="1CEA8FB4">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毕业学校</w:t>
            </w:r>
          </w:p>
        </w:tc>
        <w:tc>
          <w:tcPr>
            <w:tcW w:w="7334" w:type="dxa"/>
            <w:gridSpan w:val="9"/>
            <w:noWrap w:val="0"/>
            <w:vAlign w:val="center"/>
          </w:tcPr>
          <w:p w14:paraId="1809026D">
            <w:pPr>
              <w:keepNext w:val="0"/>
              <w:keepLines w:val="0"/>
              <w:suppressLineNumbers w:val="0"/>
              <w:spacing w:before="0" w:beforeAutospacing="0" w:after="0" w:afterAutospacing="0" w:line="240" w:lineRule="auto"/>
              <w:ind w:left="0" w:right="0" w:firstLine="840" w:firstLineChars="400"/>
              <w:rPr>
                <w:rFonts w:hint="eastAsia" w:ascii="宋体" w:hAnsi="宋体" w:eastAsia="宋体" w:cs="Times New Roman"/>
                <w:color w:val="auto"/>
                <w:szCs w:val="21"/>
              </w:rPr>
            </w:pPr>
            <w:r>
              <w:rPr>
                <w:rFonts w:hint="eastAsia" w:ascii="宋体" w:hAnsi="宋体" w:eastAsia="宋体" w:cs="Times New Roman"/>
                <w:color w:val="auto"/>
                <w:szCs w:val="21"/>
              </w:rPr>
              <w:t>年毕业于                  学校            专业</w:t>
            </w:r>
          </w:p>
        </w:tc>
      </w:tr>
      <w:tr w14:paraId="7139C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14" w:type="dxa"/>
            <w:gridSpan w:val="11"/>
            <w:noWrap w:val="0"/>
            <w:vAlign w:val="center"/>
          </w:tcPr>
          <w:p w14:paraId="15FFCD3D">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ascii="宋体" w:hAnsi="宋体" w:eastAsia="宋体" w:cs="Times New Roman"/>
                <w:color w:val="auto"/>
                <w:szCs w:val="21"/>
              </w:rPr>
              <w:t>主要</w:t>
            </w:r>
            <w:r>
              <w:rPr>
                <w:rFonts w:hint="eastAsia" w:ascii="宋体" w:hAnsi="宋体" w:eastAsia="宋体" w:cs="Times New Roman"/>
                <w:color w:val="auto"/>
                <w:szCs w:val="21"/>
              </w:rPr>
              <w:t>管理</w:t>
            </w:r>
            <w:r>
              <w:rPr>
                <w:rFonts w:ascii="宋体" w:hAnsi="宋体" w:eastAsia="宋体" w:cs="Times New Roman"/>
                <w:color w:val="auto"/>
                <w:szCs w:val="21"/>
              </w:rPr>
              <w:t>经历</w:t>
            </w:r>
          </w:p>
        </w:tc>
      </w:tr>
      <w:tr w14:paraId="3126E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5F65C8AD">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时  间</w:t>
            </w:r>
          </w:p>
        </w:tc>
        <w:tc>
          <w:tcPr>
            <w:tcW w:w="3116" w:type="dxa"/>
            <w:gridSpan w:val="5"/>
            <w:noWrap w:val="0"/>
            <w:vAlign w:val="center"/>
          </w:tcPr>
          <w:p w14:paraId="71A2E105">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担任过类似项目</w:t>
            </w:r>
            <w:r>
              <w:rPr>
                <w:rFonts w:hint="eastAsia" w:ascii="Calibri" w:hAnsi="Calibri" w:eastAsia="宋体" w:cs="Times New Roman"/>
                <w:color w:val="auto"/>
                <w:szCs w:val="20"/>
              </w:rPr>
              <w:t>施工负责人</w:t>
            </w:r>
            <w:r>
              <w:rPr>
                <w:rFonts w:hint="eastAsia" w:ascii="宋体" w:hAnsi="宋体" w:eastAsia="宋体" w:cs="Times New Roman"/>
                <w:color w:val="auto"/>
                <w:szCs w:val="21"/>
              </w:rPr>
              <w:t>的项目名称</w:t>
            </w:r>
          </w:p>
        </w:tc>
        <w:tc>
          <w:tcPr>
            <w:tcW w:w="3590" w:type="dxa"/>
            <w:gridSpan w:val="3"/>
            <w:noWrap w:val="0"/>
            <w:vAlign w:val="center"/>
          </w:tcPr>
          <w:p w14:paraId="3AB32416">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发包人及联系电话</w:t>
            </w:r>
          </w:p>
        </w:tc>
      </w:tr>
      <w:tr w14:paraId="5A120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4DC8A981">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116" w:type="dxa"/>
            <w:gridSpan w:val="5"/>
            <w:noWrap w:val="0"/>
            <w:vAlign w:val="center"/>
          </w:tcPr>
          <w:p w14:paraId="33994DC0">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590" w:type="dxa"/>
            <w:gridSpan w:val="3"/>
            <w:noWrap w:val="0"/>
            <w:vAlign w:val="center"/>
          </w:tcPr>
          <w:p w14:paraId="6211929A">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r w14:paraId="005F5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7D6DAE49">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116" w:type="dxa"/>
            <w:gridSpan w:val="5"/>
            <w:noWrap w:val="0"/>
            <w:vAlign w:val="center"/>
          </w:tcPr>
          <w:p w14:paraId="4B5361BA">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590" w:type="dxa"/>
            <w:gridSpan w:val="3"/>
            <w:noWrap w:val="0"/>
            <w:vAlign w:val="center"/>
          </w:tcPr>
          <w:p w14:paraId="7E52CEBE">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r w14:paraId="04A9D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2B73C6C6">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116" w:type="dxa"/>
            <w:gridSpan w:val="5"/>
            <w:noWrap w:val="0"/>
            <w:vAlign w:val="center"/>
          </w:tcPr>
          <w:p w14:paraId="5D22D84E">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590" w:type="dxa"/>
            <w:gridSpan w:val="3"/>
            <w:noWrap w:val="0"/>
            <w:vAlign w:val="center"/>
          </w:tcPr>
          <w:p w14:paraId="41FB1195">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r w14:paraId="70A93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6FB19A69">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116" w:type="dxa"/>
            <w:gridSpan w:val="5"/>
            <w:noWrap w:val="0"/>
            <w:vAlign w:val="center"/>
          </w:tcPr>
          <w:p w14:paraId="74DF6FBA">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590" w:type="dxa"/>
            <w:gridSpan w:val="3"/>
            <w:noWrap w:val="0"/>
            <w:vAlign w:val="center"/>
          </w:tcPr>
          <w:p w14:paraId="3D241209">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r w14:paraId="1B432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1"/>
            <w:noWrap w:val="0"/>
            <w:vAlign w:val="center"/>
          </w:tcPr>
          <w:p w14:paraId="1BC9BAA5">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Calibri" w:hAnsi="Calibri" w:eastAsia="宋体" w:cs="Times New Roman"/>
                <w:color w:val="auto"/>
                <w:szCs w:val="20"/>
              </w:rPr>
              <w:t>近年施工负责人获工程质量奖项</w:t>
            </w:r>
            <w:r>
              <w:rPr>
                <w:rFonts w:ascii="Calibri" w:hAnsi="Calibri" w:eastAsia="宋体" w:cs="Times New Roman"/>
                <w:color w:val="auto"/>
                <w:szCs w:val="20"/>
              </w:rPr>
              <w:t>情况</w:t>
            </w:r>
          </w:p>
        </w:tc>
      </w:tr>
      <w:tr w14:paraId="20851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1F2BDB28">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Calibri" w:hAnsi="Calibri" w:eastAsia="宋体" w:cs="Times New Roman"/>
                <w:color w:val="auto"/>
                <w:szCs w:val="21"/>
              </w:rPr>
              <w:t>获奖日期</w:t>
            </w:r>
          </w:p>
        </w:tc>
        <w:tc>
          <w:tcPr>
            <w:tcW w:w="1978" w:type="dxa"/>
            <w:gridSpan w:val="3"/>
            <w:noWrap w:val="0"/>
            <w:vAlign w:val="center"/>
          </w:tcPr>
          <w:p w14:paraId="73249284">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Calibri" w:hAnsi="Calibri" w:eastAsia="宋体" w:cs="Times New Roman"/>
                <w:color w:val="auto"/>
                <w:szCs w:val="21"/>
              </w:rPr>
              <w:t>项目名称</w:t>
            </w:r>
          </w:p>
        </w:tc>
        <w:tc>
          <w:tcPr>
            <w:tcW w:w="2551" w:type="dxa"/>
            <w:gridSpan w:val="3"/>
            <w:noWrap w:val="0"/>
            <w:vAlign w:val="center"/>
          </w:tcPr>
          <w:p w14:paraId="2CAD58C0">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Calibri" w:hAnsi="Calibri" w:eastAsia="宋体" w:cs="Times New Roman"/>
                <w:color w:val="auto"/>
                <w:szCs w:val="21"/>
              </w:rPr>
              <w:t>获奖名称</w:t>
            </w:r>
          </w:p>
        </w:tc>
        <w:tc>
          <w:tcPr>
            <w:tcW w:w="2177" w:type="dxa"/>
            <w:gridSpan w:val="2"/>
            <w:noWrap w:val="0"/>
            <w:vAlign w:val="center"/>
          </w:tcPr>
          <w:p w14:paraId="6A0003B1">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Calibri" w:hAnsi="Calibri" w:eastAsia="宋体" w:cs="Times New Roman"/>
                <w:color w:val="auto"/>
                <w:szCs w:val="21"/>
              </w:rPr>
              <w:t>颁奖单位</w:t>
            </w:r>
          </w:p>
        </w:tc>
      </w:tr>
      <w:tr w14:paraId="0F0B2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643F0BC2">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1978" w:type="dxa"/>
            <w:gridSpan w:val="3"/>
            <w:noWrap w:val="0"/>
            <w:vAlign w:val="center"/>
          </w:tcPr>
          <w:p w14:paraId="58916E0D">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2551" w:type="dxa"/>
            <w:gridSpan w:val="3"/>
            <w:noWrap w:val="0"/>
            <w:vAlign w:val="center"/>
          </w:tcPr>
          <w:p w14:paraId="1266238E">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2177" w:type="dxa"/>
            <w:gridSpan w:val="2"/>
            <w:noWrap w:val="0"/>
            <w:vAlign w:val="center"/>
          </w:tcPr>
          <w:p w14:paraId="1F6C077E">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r w14:paraId="1DF43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1F73F242">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1978" w:type="dxa"/>
            <w:gridSpan w:val="3"/>
            <w:noWrap w:val="0"/>
            <w:vAlign w:val="center"/>
          </w:tcPr>
          <w:p w14:paraId="6313D6F2">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2551" w:type="dxa"/>
            <w:gridSpan w:val="3"/>
            <w:noWrap w:val="0"/>
            <w:vAlign w:val="center"/>
          </w:tcPr>
          <w:p w14:paraId="7ECC82BB">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2177" w:type="dxa"/>
            <w:gridSpan w:val="2"/>
            <w:noWrap w:val="0"/>
            <w:vAlign w:val="center"/>
          </w:tcPr>
          <w:p w14:paraId="4FF63ED6">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r w14:paraId="15684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1"/>
            <w:noWrap w:val="0"/>
            <w:vAlign w:val="center"/>
          </w:tcPr>
          <w:p w14:paraId="2AF27DCB">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ascii="宋体" w:hAnsi="宋体" w:eastAsia="宋体" w:cs="Times New Roman"/>
                <w:color w:val="auto"/>
                <w:szCs w:val="21"/>
              </w:rPr>
              <w:t>近年</w:t>
            </w:r>
            <w:r>
              <w:rPr>
                <w:rFonts w:hint="eastAsia" w:ascii="宋体" w:hAnsi="宋体" w:eastAsia="宋体" w:cs="Times New Roman"/>
                <w:color w:val="auto"/>
                <w:szCs w:val="21"/>
              </w:rPr>
              <w:t>施工负责人获表彰情况</w:t>
            </w:r>
          </w:p>
        </w:tc>
      </w:tr>
      <w:tr w14:paraId="309E9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5EFB65E0">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r>
              <w:rPr>
                <w:rFonts w:hint="eastAsia" w:ascii="Calibri" w:hAnsi="Calibri" w:eastAsia="宋体" w:cs="Times New Roman"/>
                <w:color w:val="auto"/>
                <w:szCs w:val="21"/>
              </w:rPr>
              <w:t>获奖日期</w:t>
            </w:r>
          </w:p>
        </w:tc>
        <w:tc>
          <w:tcPr>
            <w:tcW w:w="3116" w:type="dxa"/>
            <w:gridSpan w:val="5"/>
            <w:noWrap w:val="0"/>
            <w:vAlign w:val="center"/>
          </w:tcPr>
          <w:p w14:paraId="4444764C">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获奖名称</w:t>
            </w:r>
          </w:p>
        </w:tc>
        <w:tc>
          <w:tcPr>
            <w:tcW w:w="3590" w:type="dxa"/>
            <w:gridSpan w:val="3"/>
            <w:noWrap w:val="0"/>
            <w:vAlign w:val="center"/>
          </w:tcPr>
          <w:p w14:paraId="2F013F32">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颁奖单位</w:t>
            </w:r>
          </w:p>
        </w:tc>
      </w:tr>
      <w:tr w14:paraId="5A6A9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68F8537D">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116" w:type="dxa"/>
            <w:gridSpan w:val="5"/>
            <w:noWrap w:val="0"/>
            <w:vAlign w:val="center"/>
          </w:tcPr>
          <w:p w14:paraId="38552E4F">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590" w:type="dxa"/>
            <w:gridSpan w:val="3"/>
            <w:noWrap w:val="0"/>
            <w:vAlign w:val="center"/>
          </w:tcPr>
          <w:p w14:paraId="6D38607C">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r w14:paraId="38583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615E63B1">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116" w:type="dxa"/>
            <w:gridSpan w:val="5"/>
            <w:noWrap w:val="0"/>
            <w:vAlign w:val="center"/>
          </w:tcPr>
          <w:p w14:paraId="47C7DAFA">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c>
          <w:tcPr>
            <w:tcW w:w="3590" w:type="dxa"/>
            <w:gridSpan w:val="3"/>
            <w:noWrap w:val="0"/>
            <w:vAlign w:val="center"/>
          </w:tcPr>
          <w:p w14:paraId="04412C2E">
            <w:pPr>
              <w:keepNext w:val="0"/>
              <w:keepLines w:val="0"/>
              <w:suppressLineNumbers w:val="0"/>
              <w:spacing w:before="0" w:beforeAutospacing="0" w:after="0" w:afterAutospacing="0" w:line="240" w:lineRule="auto"/>
              <w:ind w:left="0" w:right="0"/>
              <w:jc w:val="center"/>
              <w:rPr>
                <w:rFonts w:hint="eastAsia" w:ascii="宋体" w:hAnsi="宋体" w:eastAsia="宋体" w:cs="Times New Roman"/>
                <w:color w:val="auto"/>
                <w:szCs w:val="21"/>
              </w:rPr>
            </w:pPr>
          </w:p>
        </w:tc>
      </w:tr>
    </w:tbl>
    <w:p w14:paraId="057279D6">
      <w:pPr>
        <w:spacing w:line="400" w:lineRule="exact"/>
        <w:ind w:left="840" w:hanging="840" w:hangingChars="400"/>
        <w:rPr>
          <w:rFonts w:ascii="宋体" w:hAnsi="宋体"/>
          <w:color w:val="auto"/>
          <w:szCs w:val="20"/>
        </w:rPr>
      </w:pPr>
      <w:r>
        <w:rPr>
          <w:rFonts w:hint="eastAsia" w:ascii="宋体" w:hAnsi="宋体"/>
          <w:color w:val="auto"/>
          <w:szCs w:val="20"/>
        </w:rPr>
        <w:t>备注：</w:t>
      </w:r>
    </w:p>
    <w:p w14:paraId="44B40E68">
      <w:pPr>
        <w:spacing w:line="400" w:lineRule="exact"/>
        <w:ind w:left="210" w:hanging="210" w:hangingChars="100"/>
        <w:rPr>
          <w:rFonts w:hint="eastAsia"/>
          <w:color w:val="auto"/>
        </w:rPr>
      </w:pPr>
      <w:r>
        <w:rPr>
          <w:rFonts w:hint="eastAsia"/>
          <w:color w:val="auto"/>
        </w:rPr>
        <w:t>1.施工负责人的证明资料按下列顺序附后，建造师资格证书（如有）、注册证书(临时执业证书)、安全生产考核合格证书</w:t>
      </w:r>
      <w:r>
        <w:rPr>
          <w:color w:val="auto"/>
        </w:rPr>
        <w:t>（</w:t>
      </w:r>
      <w:r>
        <w:rPr>
          <w:rFonts w:hint="eastAsia"/>
          <w:color w:val="auto"/>
        </w:rPr>
        <w:t>B证</w:t>
      </w:r>
      <w:r>
        <w:rPr>
          <w:color w:val="auto"/>
        </w:rPr>
        <w:t>）</w:t>
      </w:r>
      <w:r>
        <w:rPr>
          <w:rFonts w:hint="eastAsia"/>
          <w:color w:val="auto"/>
        </w:rPr>
        <w:t>、职称证、学历证扫描件。</w:t>
      </w:r>
    </w:p>
    <w:p w14:paraId="42E1C700">
      <w:pPr>
        <w:spacing w:line="400" w:lineRule="exact"/>
        <w:ind w:left="210" w:hanging="210" w:hangingChars="100"/>
        <w:rPr>
          <w:rFonts w:hint="eastAsia"/>
          <w:color w:val="auto"/>
        </w:rPr>
      </w:pPr>
      <w:r>
        <w:rPr>
          <w:rFonts w:hint="eastAsia"/>
          <w:color w:val="auto"/>
        </w:rPr>
        <w:t>2.类似项目的证明资料应分别附中标通知书（如有）、合同协议书、工程接收证书或工程竣工验收证书（工程竣工验收备案证）及其他证明材料（如需要）的扫描件。</w:t>
      </w:r>
    </w:p>
    <w:p w14:paraId="7504DEF8">
      <w:pPr>
        <w:spacing w:line="400" w:lineRule="exact"/>
        <w:ind w:left="210" w:hanging="210" w:hangingChars="100"/>
        <w:rPr>
          <w:rFonts w:hint="eastAsia"/>
          <w:color w:val="auto"/>
        </w:rPr>
      </w:pPr>
      <w:r>
        <w:rPr>
          <w:rFonts w:hint="eastAsia"/>
          <w:color w:val="auto"/>
        </w:rPr>
        <w:t>3.“获工程质量奖项</w:t>
      </w:r>
      <w:r>
        <w:rPr>
          <w:color w:val="auto"/>
        </w:rPr>
        <w:t>情况”</w:t>
      </w:r>
      <w:r>
        <w:rPr>
          <w:rFonts w:hint="eastAsia"/>
          <w:color w:val="auto"/>
        </w:rPr>
        <w:t>的证明资料应附</w:t>
      </w:r>
      <w:r>
        <w:rPr>
          <w:color w:val="auto"/>
        </w:rPr>
        <w:t>中标通知书</w:t>
      </w:r>
      <w:r>
        <w:rPr>
          <w:rFonts w:hint="eastAsia"/>
          <w:color w:val="auto"/>
        </w:rPr>
        <w:t>（如有）、</w:t>
      </w:r>
      <w:r>
        <w:rPr>
          <w:color w:val="auto"/>
        </w:rPr>
        <w:t>合同协议书、</w:t>
      </w:r>
      <w:r>
        <w:rPr>
          <w:rFonts w:hint="eastAsia"/>
          <w:color w:val="auto"/>
        </w:rPr>
        <w:t>工程接收证书或工程竣工验收证书（工程竣工验收备案证）、颁奖机构颁发的获奖证书或表彰文件及其他证明材料等扫描件。</w:t>
      </w:r>
    </w:p>
    <w:p w14:paraId="0C9A166A">
      <w:pPr>
        <w:spacing w:line="400" w:lineRule="exact"/>
        <w:ind w:left="210" w:hanging="210" w:hangingChars="100"/>
        <w:rPr>
          <w:rFonts w:hint="eastAsia"/>
          <w:color w:val="auto"/>
        </w:rPr>
      </w:pPr>
      <w:r>
        <w:rPr>
          <w:rFonts w:hint="eastAsia"/>
          <w:color w:val="auto"/>
        </w:rPr>
        <w:t>4</w:t>
      </w:r>
      <w:r>
        <w:rPr>
          <w:rFonts w:hint="eastAsia" w:ascii="宋体" w:hAnsi="宋体"/>
          <w:color w:val="auto"/>
          <w:szCs w:val="21"/>
        </w:rPr>
        <w:t>.“获表彰情况”</w:t>
      </w:r>
      <w:r>
        <w:rPr>
          <w:rFonts w:hint="eastAsia" w:ascii="宋体" w:hAnsi="宋体"/>
          <w:color w:val="auto"/>
        </w:rPr>
        <w:t>的证明资料应附</w:t>
      </w:r>
      <w:r>
        <w:rPr>
          <w:rFonts w:hint="eastAsia"/>
          <w:color w:val="auto"/>
        </w:rPr>
        <w:t>颁奖机构颁发的表彰证书或表彰文件</w:t>
      </w:r>
      <w:r>
        <w:rPr>
          <w:rFonts w:hint="eastAsia" w:ascii="宋体" w:hAnsi="宋体"/>
          <w:color w:val="auto"/>
          <w:szCs w:val="21"/>
        </w:rPr>
        <w:t>的</w:t>
      </w:r>
      <w:r>
        <w:rPr>
          <w:rFonts w:hint="eastAsia" w:ascii="宋体" w:hAnsi="宋体"/>
          <w:color w:val="auto"/>
        </w:rPr>
        <w:t>扫描件</w:t>
      </w:r>
      <w:r>
        <w:rPr>
          <w:rFonts w:hint="eastAsia"/>
          <w:color w:val="auto"/>
        </w:rPr>
        <w:t>。</w:t>
      </w:r>
    </w:p>
    <w:p w14:paraId="69632D63">
      <w:pPr>
        <w:pStyle w:val="4"/>
        <w:spacing w:before="120"/>
        <w:jc w:val="center"/>
        <w:rPr>
          <w:rFonts w:hint="eastAsia"/>
          <w:color w:val="auto"/>
          <w:sz w:val="24"/>
        </w:rPr>
      </w:pPr>
      <w:bookmarkStart w:id="2200" w:name="_Toc141461642"/>
      <w:bookmarkStart w:id="2201" w:name="_Toc154064033"/>
      <w:bookmarkStart w:id="2202" w:name="_Toc107270917"/>
      <w:r>
        <w:rPr>
          <w:rFonts w:hint="eastAsia"/>
          <w:color w:val="auto"/>
          <w:sz w:val="24"/>
        </w:rPr>
        <w:t>（五）承诺书</w:t>
      </w:r>
      <w:bookmarkEnd w:id="2200"/>
      <w:bookmarkEnd w:id="2201"/>
      <w:bookmarkEnd w:id="2202"/>
    </w:p>
    <w:p w14:paraId="2D8CC1CE">
      <w:pPr>
        <w:spacing w:line="240" w:lineRule="auto"/>
        <w:rPr>
          <w:rFonts w:ascii="宋体" w:hAnsi="宋体"/>
          <w:color w:val="auto"/>
          <w:szCs w:val="20"/>
          <w:u w:val="single"/>
        </w:rPr>
      </w:pPr>
    </w:p>
    <w:p w14:paraId="0767FF42">
      <w:pPr>
        <w:spacing w:line="240" w:lineRule="auto"/>
        <w:rPr>
          <w:rFonts w:hint="eastAsia" w:ascii="宋体" w:hAnsi="宋体"/>
          <w:color w:val="auto"/>
          <w:szCs w:val="20"/>
          <w:u w:val="single"/>
        </w:rPr>
      </w:pPr>
    </w:p>
    <w:p w14:paraId="53984D05">
      <w:pPr>
        <w:spacing w:line="240" w:lineRule="auto"/>
        <w:rPr>
          <w:rFonts w:hint="eastAsia" w:ascii="宋体" w:hAnsi="宋体"/>
          <w:color w:val="auto"/>
          <w:szCs w:val="20"/>
        </w:rPr>
      </w:pPr>
      <w:r>
        <w:rPr>
          <w:rFonts w:hint="eastAsia" w:ascii="宋体" w:hAnsi="宋体"/>
          <w:color w:val="auto"/>
          <w:szCs w:val="20"/>
          <w:u w:val="single"/>
        </w:rPr>
        <w:t xml:space="preserve">                     </w:t>
      </w:r>
      <w:r>
        <w:rPr>
          <w:rFonts w:hint="eastAsia" w:ascii="宋体" w:hAnsi="宋体"/>
          <w:color w:val="auto"/>
          <w:szCs w:val="20"/>
        </w:rPr>
        <w:t>（招标人名称）：</w:t>
      </w:r>
    </w:p>
    <w:p w14:paraId="5BA8FE60">
      <w:pPr>
        <w:spacing w:line="440" w:lineRule="exact"/>
        <w:ind w:firstLine="420" w:firstLineChars="200"/>
        <w:rPr>
          <w:rFonts w:hint="eastAsia"/>
          <w:color w:val="auto"/>
          <w:szCs w:val="21"/>
        </w:rPr>
      </w:pPr>
      <w:r>
        <w:rPr>
          <w:rFonts w:hint="eastAsia" w:ascii="宋体" w:hAnsi="宋体"/>
          <w:color w:val="auto"/>
          <w:szCs w:val="21"/>
        </w:rPr>
        <w:t>我方在此声明，我方拟派往</w:t>
      </w:r>
      <w:r>
        <w:rPr>
          <w:rFonts w:hint="eastAsia" w:ascii="宋体" w:hAnsi="宋体"/>
          <w:color w:val="auto"/>
          <w:szCs w:val="21"/>
          <w:u w:val="single"/>
        </w:rPr>
        <w:t xml:space="preserve">             </w:t>
      </w:r>
      <w:r>
        <w:rPr>
          <w:rFonts w:hint="eastAsia" w:ascii="宋体" w:hAnsi="宋体"/>
          <w:color w:val="auto"/>
          <w:szCs w:val="21"/>
        </w:rPr>
        <w:t>（项目名称）</w:t>
      </w:r>
      <w:r>
        <w:rPr>
          <w:rFonts w:hint="eastAsia" w:ascii="宋体" w:hAnsi="宋体"/>
          <w:color w:val="auto"/>
          <w:szCs w:val="21"/>
          <w:u w:val="single"/>
        </w:rPr>
        <w:t xml:space="preserve">         </w:t>
      </w:r>
      <w:r>
        <w:rPr>
          <w:rFonts w:hint="eastAsia" w:ascii="宋体" w:hAnsi="宋体"/>
          <w:color w:val="auto"/>
          <w:szCs w:val="21"/>
        </w:rPr>
        <w:t>（标段名称）（以下简称“本工程”）的项目经理</w:t>
      </w:r>
      <w:r>
        <w:rPr>
          <w:rFonts w:hint="eastAsia" w:ascii="宋体" w:hAnsi="宋体"/>
          <w:color w:val="auto"/>
          <w:szCs w:val="21"/>
          <w:u w:val="single"/>
        </w:rPr>
        <w:t xml:space="preserve">         </w:t>
      </w:r>
      <w:r>
        <w:rPr>
          <w:rFonts w:hint="eastAsia" w:ascii="宋体" w:hAnsi="宋体"/>
          <w:color w:val="auto"/>
          <w:szCs w:val="21"/>
        </w:rPr>
        <w:t xml:space="preserve"> （项目经理姓名）及施工负责人</w:t>
      </w:r>
      <w:r>
        <w:rPr>
          <w:rFonts w:hint="eastAsia" w:ascii="宋体" w:hAnsi="宋体"/>
          <w:color w:val="auto"/>
          <w:szCs w:val="21"/>
          <w:u w:val="single"/>
        </w:rPr>
        <w:t xml:space="preserve">         </w:t>
      </w:r>
      <w:r>
        <w:rPr>
          <w:rFonts w:hint="eastAsia" w:ascii="宋体" w:hAnsi="宋体"/>
          <w:color w:val="auto"/>
          <w:szCs w:val="21"/>
        </w:rPr>
        <w:t xml:space="preserve"> （施工负责人姓名）现阶段（投标截止时间之前）未</w:t>
      </w:r>
      <w:r>
        <w:rPr>
          <w:rFonts w:ascii="宋体" w:hAnsi="宋体" w:cs="Arial"/>
          <w:color w:val="auto"/>
          <w:kern w:val="0"/>
          <w:szCs w:val="21"/>
        </w:rPr>
        <w:t>同时担任</w:t>
      </w:r>
      <w:r>
        <w:rPr>
          <w:rFonts w:hint="eastAsia" w:ascii="宋体" w:hAnsi="宋体" w:cs="Arial"/>
          <w:color w:val="auto"/>
          <w:kern w:val="0"/>
          <w:szCs w:val="21"/>
        </w:rPr>
        <w:t>其他工程的项目经理或施工负责人。</w:t>
      </w:r>
    </w:p>
    <w:p w14:paraId="2C89C1CC">
      <w:pPr>
        <w:spacing w:line="440" w:lineRule="exact"/>
        <w:ind w:firstLine="420" w:firstLineChars="200"/>
        <w:rPr>
          <w:rFonts w:hint="eastAsia" w:ascii="宋体" w:hAnsi="宋体"/>
          <w:color w:val="auto"/>
          <w:szCs w:val="21"/>
        </w:rPr>
      </w:pPr>
      <w:r>
        <w:rPr>
          <w:rFonts w:hint="eastAsia" w:ascii="宋体" w:hAnsi="宋体"/>
          <w:color w:val="auto"/>
          <w:szCs w:val="21"/>
        </w:rPr>
        <w:t>根据相关规定。我方拟派项目经理能够参加本工程的投标是基于以下理由：</w:t>
      </w:r>
    </w:p>
    <w:p w14:paraId="1CAACA84">
      <w:pPr>
        <w:spacing w:line="440" w:lineRule="exact"/>
        <w:ind w:firstLine="525" w:firstLineChars="250"/>
        <w:rPr>
          <w:rFonts w:hint="eastAsia" w:ascii="宋体" w:hAnsi="宋体"/>
          <w:color w:val="auto"/>
          <w:szCs w:val="21"/>
        </w:rPr>
      </w:pPr>
      <w:r>
        <w:rPr>
          <w:rFonts w:hint="eastAsia"/>
          <w:color w:val="auto"/>
          <w:szCs w:val="21"/>
        </w:rPr>
        <w:t xml:space="preserve">□  </w:t>
      </w:r>
      <w:r>
        <w:rPr>
          <w:rFonts w:hint="eastAsia" w:ascii="宋体" w:hAnsi="宋体"/>
          <w:color w:val="auto"/>
          <w:szCs w:val="21"/>
        </w:rPr>
        <w:t>拟派项目经理符合下列情形：</w:t>
      </w:r>
    </w:p>
    <w:p w14:paraId="66E63084">
      <w:pPr>
        <w:spacing w:line="440" w:lineRule="exact"/>
        <w:ind w:firstLine="945" w:firstLineChars="450"/>
        <w:rPr>
          <w:rFonts w:hint="eastAsia" w:ascii="宋体" w:hAnsi="宋体"/>
          <w:color w:val="auto"/>
          <w:szCs w:val="21"/>
        </w:rPr>
      </w:pPr>
      <w:r>
        <w:rPr>
          <w:rFonts w:hint="eastAsia"/>
          <w:color w:val="auto"/>
          <w:szCs w:val="21"/>
        </w:rPr>
        <w:t>□</w:t>
      </w:r>
      <w:r>
        <w:rPr>
          <w:rFonts w:ascii="宋体" w:hAnsi="宋体"/>
          <w:color w:val="auto"/>
          <w:szCs w:val="21"/>
        </w:rPr>
        <w:t>同一工程相邻分段发包或分期施工的</w:t>
      </w:r>
      <w:r>
        <w:rPr>
          <w:rFonts w:hint="eastAsia" w:ascii="宋体" w:hAnsi="宋体"/>
          <w:color w:val="auto"/>
          <w:szCs w:val="21"/>
        </w:rPr>
        <w:t>;</w:t>
      </w:r>
    </w:p>
    <w:p w14:paraId="1A6411DD">
      <w:pPr>
        <w:spacing w:line="440" w:lineRule="exact"/>
        <w:ind w:firstLine="945" w:firstLineChars="450"/>
        <w:rPr>
          <w:rFonts w:hint="eastAsia" w:ascii="宋体" w:hAnsi="宋体"/>
          <w:color w:val="auto"/>
          <w:szCs w:val="21"/>
        </w:rPr>
      </w:pPr>
      <w:r>
        <w:rPr>
          <w:rFonts w:hint="eastAsia"/>
          <w:color w:val="auto"/>
          <w:szCs w:val="21"/>
        </w:rPr>
        <w:t>□</w:t>
      </w:r>
      <w:r>
        <w:rPr>
          <w:rFonts w:ascii="宋体" w:hAnsi="宋体"/>
          <w:color w:val="auto"/>
          <w:szCs w:val="21"/>
        </w:rPr>
        <w:t>合同约定的工程验收合格的；</w:t>
      </w:r>
    </w:p>
    <w:p w14:paraId="3E729CE5">
      <w:pPr>
        <w:spacing w:line="440" w:lineRule="exact"/>
        <w:ind w:firstLine="945" w:firstLineChars="450"/>
        <w:rPr>
          <w:rFonts w:hint="eastAsia" w:ascii="宋体" w:hAnsi="宋体"/>
          <w:color w:val="auto"/>
          <w:szCs w:val="21"/>
        </w:rPr>
      </w:pPr>
      <w:r>
        <w:rPr>
          <w:rFonts w:hint="eastAsia"/>
          <w:color w:val="auto"/>
          <w:szCs w:val="21"/>
        </w:rPr>
        <w:t>□</w:t>
      </w:r>
      <w:r>
        <w:rPr>
          <w:rFonts w:ascii="宋体" w:hAnsi="宋体"/>
          <w:color w:val="auto"/>
          <w:szCs w:val="21"/>
        </w:rPr>
        <w:t>因非承包方原因致使工程项目停工超过120天（含），经建设单位同意的。</w:t>
      </w:r>
    </w:p>
    <w:p w14:paraId="5FBF1C52">
      <w:pPr>
        <w:spacing w:line="440" w:lineRule="exact"/>
        <w:ind w:firstLine="525" w:firstLineChars="250"/>
        <w:rPr>
          <w:rFonts w:hint="eastAsia" w:ascii="宋体" w:hAnsi="宋体"/>
          <w:color w:val="auto"/>
          <w:szCs w:val="21"/>
        </w:rPr>
      </w:pPr>
      <w:r>
        <w:rPr>
          <w:rFonts w:hint="eastAsia"/>
          <w:color w:val="auto"/>
          <w:szCs w:val="21"/>
        </w:rPr>
        <w:t xml:space="preserve">□  </w:t>
      </w:r>
      <w:r>
        <w:rPr>
          <w:rFonts w:hint="eastAsia" w:ascii="宋体" w:hAnsi="宋体"/>
          <w:color w:val="auto"/>
          <w:szCs w:val="21"/>
        </w:rPr>
        <w:t>拟派项目经理担任其他工程的</w:t>
      </w:r>
      <w:r>
        <w:rPr>
          <w:rFonts w:hint="eastAsia" w:ascii="宋体" w:hAnsi="宋体" w:cs="Arial"/>
          <w:color w:val="auto"/>
          <w:kern w:val="0"/>
          <w:szCs w:val="21"/>
        </w:rPr>
        <w:t>项目经理</w:t>
      </w:r>
      <w:r>
        <w:rPr>
          <w:rFonts w:hint="eastAsia" w:ascii="宋体" w:hAnsi="宋体"/>
          <w:color w:val="auto"/>
          <w:szCs w:val="21"/>
        </w:rPr>
        <w:t>期间因下列原因进行了更换，并办理书面交接手续：</w:t>
      </w:r>
    </w:p>
    <w:p w14:paraId="7AE070A8">
      <w:pPr>
        <w:spacing w:line="440" w:lineRule="exact"/>
        <w:ind w:firstLine="945" w:firstLineChars="450"/>
        <w:rPr>
          <w:rFonts w:hint="eastAsia" w:ascii="宋体" w:hAnsi="宋体"/>
          <w:color w:val="auto"/>
          <w:szCs w:val="21"/>
        </w:rPr>
      </w:pPr>
      <w:r>
        <w:rPr>
          <w:rFonts w:hint="eastAsia"/>
          <w:color w:val="auto"/>
          <w:szCs w:val="21"/>
        </w:rPr>
        <w:t>□</w:t>
      </w:r>
      <w:r>
        <w:rPr>
          <w:rFonts w:hint="eastAsia" w:ascii="宋体" w:hAnsi="宋体"/>
          <w:color w:val="auto"/>
          <w:szCs w:val="21"/>
        </w:rPr>
        <w:t>发包方与拟派项目经理受聘企业已解除承包合同的；</w:t>
      </w:r>
    </w:p>
    <w:p w14:paraId="53FBFF57">
      <w:pPr>
        <w:spacing w:line="440" w:lineRule="exact"/>
        <w:ind w:firstLine="945" w:firstLineChars="450"/>
        <w:rPr>
          <w:rFonts w:hint="eastAsia" w:ascii="宋体" w:hAnsi="宋体"/>
          <w:color w:val="auto"/>
          <w:szCs w:val="21"/>
        </w:rPr>
      </w:pPr>
      <w:r>
        <w:rPr>
          <w:rFonts w:hint="eastAsia"/>
          <w:color w:val="auto"/>
          <w:szCs w:val="21"/>
        </w:rPr>
        <w:t>□</w:t>
      </w:r>
      <w:r>
        <w:rPr>
          <w:rFonts w:hint="eastAsia" w:ascii="宋体" w:hAnsi="宋体"/>
          <w:color w:val="auto"/>
          <w:szCs w:val="21"/>
        </w:rPr>
        <w:t>发包方同意更换</w:t>
      </w:r>
      <w:r>
        <w:rPr>
          <w:rFonts w:hint="eastAsia" w:ascii="宋体" w:hAnsi="宋体" w:cs="Arial"/>
          <w:color w:val="auto"/>
          <w:kern w:val="0"/>
          <w:szCs w:val="21"/>
        </w:rPr>
        <w:t>项目经理</w:t>
      </w:r>
      <w:r>
        <w:rPr>
          <w:rFonts w:hint="eastAsia" w:ascii="宋体" w:hAnsi="宋体"/>
          <w:color w:val="auto"/>
          <w:szCs w:val="21"/>
        </w:rPr>
        <w:t>的；</w:t>
      </w:r>
    </w:p>
    <w:p w14:paraId="7887AF9D">
      <w:pPr>
        <w:spacing w:line="440" w:lineRule="exact"/>
        <w:ind w:firstLine="945" w:firstLineChars="450"/>
        <w:rPr>
          <w:rFonts w:hint="eastAsia" w:ascii="宋体" w:hAnsi="宋体"/>
          <w:color w:val="auto"/>
          <w:szCs w:val="21"/>
        </w:rPr>
      </w:pPr>
      <w:r>
        <w:rPr>
          <w:rFonts w:hint="eastAsia"/>
          <w:color w:val="auto"/>
          <w:szCs w:val="21"/>
        </w:rPr>
        <w:t>□</w:t>
      </w:r>
      <w:r>
        <w:rPr>
          <w:rFonts w:hint="eastAsia" w:ascii="宋体" w:hAnsi="宋体"/>
          <w:color w:val="auto"/>
          <w:szCs w:val="21"/>
        </w:rPr>
        <w:t>因不可抗力等特殊情况必须更换</w:t>
      </w:r>
      <w:r>
        <w:rPr>
          <w:rFonts w:hint="eastAsia" w:ascii="宋体" w:hAnsi="宋体" w:cs="Arial"/>
          <w:color w:val="auto"/>
          <w:kern w:val="0"/>
          <w:szCs w:val="21"/>
        </w:rPr>
        <w:t>项目经理</w:t>
      </w:r>
      <w:r>
        <w:rPr>
          <w:rFonts w:hint="eastAsia" w:ascii="宋体" w:hAnsi="宋体"/>
          <w:color w:val="auto"/>
          <w:szCs w:val="21"/>
        </w:rPr>
        <w:t>的。</w:t>
      </w:r>
    </w:p>
    <w:p w14:paraId="722BBEA1">
      <w:pPr>
        <w:spacing w:line="440" w:lineRule="exact"/>
        <w:ind w:firstLine="525" w:firstLineChars="250"/>
        <w:rPr>
          <w:rFonts w:hint="eastAsia" w:ascii="宋体" w:hAnsi="宋体"/>
          <w:color w:val="auto"/>
          <w:szCs w:val="21"/>
        </w:rPr>
      </w:pPr>
      <w:r>
        <w:rPr>
          <w:rFonts w:hint="eastAsia"/>
          <w:color w:val="auto"/>
          <w:szCs w:val="21"/>
        </w:rPr>
        <w:t xml:space="preserve">□ </w:t>
      </w:r>
      <w:r>
        <w:rPr>
          <w:rFonts w:hint="eastAsia"/>
          <w:color w:val="auto"/>
          <w:szCs w:val="21"/>
          <w:u w:val="single"/>
        </w:rPr>
        <w:t xml:space="preserve">                                                   </w:t>
      </w:r>
      <w:r>
        <w:rPr>
          <w:rFonts w:hint="eastAsia"/>
          <w:color w:val="auto"/>
          <w:szCs w:val="21"/>
        </w:rPr>
        <w:t xml:space="preserve"> 。</w:t>
      </w:r>
    </w:p>
    <w:p w14:paraId="435A0A71">
      <w:pPr>
        <w:spacing w:line="440" w:lineRule="exact"/>
        <w:ind w:firstLine="420" w:firstLineChars="200"/>
        <w:rPr>
          <w:rFonts w:hint="eastAsia" w:ascii="宋体" w:hAnsi="宋体"/>
          <w:color w:val="auto"/>
          <w:szCs w:val="21"/>
        </w:rPr>
      </w:pPr>
      <w:r>
        <w:rPr>
          <w:rFonts w:hint="eastAsia" w:ascii="宋体" w:hAnsi="宋体"/>
          <w:color w:val="auto"/>
          <w:szCs w:val="21"/>
        </w:rPr>
        <w:t>根据相关规定。我方拟派</w:t>
      </w:r>
      <w:r>
        <w:rPr>
          <w:rFonts w:hint="eastAsia" w:ascii="宋体" w:hAnsi="宋体" w:cs="Arial"/>
          <w:color w:val="auto"/>
          <w:kern w:val="0"/>
          <w:szCs w:val="21"/>
        </w:rPr>
        <w:t>施工负责人</w:t>
      </w:r>
      <w:r>
        <w:rPr>
          <w:rFonts w:hint="eastAsia" w:ascii="宋体" w:hAnsi="宋体"/>
          <w:color w:val="auto"/>
          <w:szCs w:val="21"/>
        </w:rPr>
        <w:t>能够参加本工程的投标是基于以下理由：</w:t>
      </w:r>
    </w:p>
    <w:p w14:paraId="3917468A">
      <w:pPr>
        <w:spacing w:line="440" w:lineRule="exact"/>
        <w:ind w:firstLine="525" w:firstLineChars="250"/>
        <w:rPr>
          <w:rFonts w:hint="eastAsia" w:ascii="宋体" w:hAnsi="宋体"/>
          <w:color w:val="auto"/>
          <w:szCs w:val="21"/>
        </w:rPr>
      </w:pPr>
      <w:r>
        <w:rPr>
          <w:rFonts w:hint="eastAsia"/>
          <w:color w:val="auto"/>
          <w:szCs w:val="21"/>
        </w:rPr>
        <w:t xml:space="preserve">□  </w:t>
      </w:r>
      <w:r>
        <w:rPr>
          <w:rFonts w:hint="eastAsia" w:ascii="宋体" w:hAnsi="宋体"/>
          <w:color w:val="auto"/>
          <w:szCs w:val="21"/>
        </w:rPr>
        <w:t>拟派</w:t>
      </w:r>
      <w:r>
        <w:rPr>
          <w:rFonts w:hint="eastAsia" w:ascii="宋体" w:hAnsi="宋体" w:cs="Arial"/>
          <w:color w:val="auto"/>
          <w:kern w:val="0"/>
          <w:szCs w:val="21"/>
        </w:rPr>
        <w:t>施工负责人</w:t>
      </w:r>
      <w:r>
        <w:rPr>
          <w:rFonts w:hint="eastAsia" w:ascii="宋体" w:hAnsi="宋体"/>
          <w:color w:val="auto"/>
          <w:szCs w:val="21"/>
        </w:rPr>
        <w:t>符合下列情形：</w:t>
      </w:r>
    </w:p>
    <w:p w14:paraId="1DDBE68F">
      <w:pPr>
        <w:spacing w:line="440" w:lineRule="exact"/>
        <w:ind w:firstLine="945" w:firstLineChars="450"/>
        <w:rPr>
          <w:rFonts w:hint="eastAsia" w:ascii="宋体" w:hAnsi="宋体"/>
          <w:color w:val="auto"/>
          <w:szCs w:val="21"/>
        </w:rPr>
      </w:pPr>
      <w:r>
        <w:rPr>
          <w:rFonts w:hint="eastAsia"/>
          <w:color w:val="auto"/>
          <w:szCs w:val="21"/>
        </w:rPr>
        <w:t>□</w:t>
      </w:r>
      <w:r>
        <w:rPr>
          <w:rFonts w:ascii="宋体" w:hAnsi="宋体"/>
          <w:color w:val="auto"/>
          <w:szCs w:val="21"/>
        </w:rPr>
        <w:t>同一工程相邻分段发包或分期施工的</w:t>
      </w:r>
      <w:r>
        <w:rPr>
          <w:rFonts w:hint="eastAsia" w:ascii="宋体" w:hAnsi="宋体"/>
          <w:color w:val="auto"/>
          <w:szCs w:val="21"/>
        </w:rPr>
        <w:t>;</w:t>
      </w:r>
    </w:p>
    <w:p w14:paraId="24ED8BAD">
      <w:pPr>
        <w:spacing w:line="440" w:lineRule="exact"/>
        <w:ind w:firstLine="945" w:firstLineChars="450"/>
        <w:rPr>
          <w:rFonts w:hint="eastAsia" w:ascii="宋体" w:hAnsi="宋体"/>
          <w:color w:val="auto"/>
          <w:szCs w:val="21"/>
        </w:rPr>
      </w:pPr>
      <w:r>
        <w:rPr>
          <w:rFonts w:hint="eastAsia"/>
          <w:color w:val="auto"/>
          <w:szCs w:val="21"/>
        </w:rPr>
        <w:t>□</w:t>
      </w:r>
      <w:r>
        <w:rPr>
          <w:rFonts w:ascii="宋体" w:hAnsi="宋体"/>
          <w:color w:val="auto"/>
          <w:szCs w:val="21"/>
        </w:rPr>
        <w:t>合同约定的工程验收合格的；</w:t>
      </w:r>
    </w:p>
    <w:p w14:paraId="70E0825E">
      <w:pPr>
        <w:spacing w:line="440" w:lineRule="exact"/>
        <w:ind w:firstLine="945" w:firstLineChars="450"/>
        <w:rPr>
          <w:rFonts w:hint="eastAsia" w:ascii="宋体" w:hAnsi="宋体"/>
          <w:color w:val="auto"/>
          <w:szCs w:val="21"/>
        </w:rPr>
      </w:pPr>
      <w:r>
        <w:rPr>
          <w:rFonts w:hint="eastAsia"/>
          <w:color w:val="auto"/>
          <w:szCs w:val="21"/>
        </w:rPr>
        <w:t>□</w:t>
      </w:r>
      <w:r>
        <w:rPr>
          <w:rFonts w:ascii="宋体" w:hAnsi="宋体"/>
          <w:color w:val="auto"/>
          <w:szCs w:val="21"/>
        </w:rPr>
        <w:t>因非承包方原因致使工程项目停工超过120天（含），经建设单位同意的。</w:t>
      </w:r>
    </w:p>
    <w:p w14:paraId="6248BBA8">
      <w:pPr>
        <w:spacing w:line="440" w:lineRule="exact"/>
        <w:ind w:firstLine="525" w:firstLineChars="250"/>
        <w:rPr>
          <w:rFonts w:hint="eastAsia" w:ascii="宋体" w:hAnsi="宋体"/>
          <w:color w:val="auto"/>
          <w:szCs w:val="21"/>
        </w:rPr>
      </w:pPr>
      <w:r>
        <w:rPr>
          <w:rFonts w:hint="eastAsia"/>
          <w:color w:val="auto"/>
          <w:szCs w:val="21"/>
        </w:rPr>
        <w:t xml:space="preserve">□  </w:t>
      </w:r>
      <w:r>
        <w:rPr>
          <w:rFonts w:hint="eastAsia" w:ascii="宋体" w:hAnsi="宋体"/>
          <w:color w:val="auto"/>
          <w:szCs w:val="21"/>
        </w:rPr>
        <w:t>拟派</w:t>
      </w:r>
      <w:r>
        <w:rPr>
          <w:rFonts w:hint="eastAsia" w:ascii="宋体" w:hAnsi="宋体" w:cs="Arial"/>
          <w:color w:val="auto"/>
          <w:kern w:val="0"/>
          <w:szCs w:val="21"/>
        </w:rPr>
        <w:t>施工负责人</w:t>
      </w:r>
      <w:r>
        <w:rPr>
          <w:rFonts w:hint="eastAsia" w:ascii="宋体" w:hAnsi="宋体"/>
          <w:color w:val="auto"/>
          <w:szCs w:val="21"/>
        </w:rPr>
        <w:t>担任其他工程的</w:t>
      </w:r>
      <w:r>
        <w:rPr>
          <w:rFonts w:hint="eastAsia" w:ascii="宋体" w:hAnsi="宋体" w:cs="Arial"/>
          <w:color w:val="auto"/>
          <w:kern w:val="0"/>
          <w:szCs w:val="21"/>
        </w:rPr>
        <w:t>施工负责人</w:t>
      </w:r>
      <w:r>
        <w:rPr>
          <w:rFonts w:hint="eastAsia" w:ascii="宋体" w:hAnsi="宋体"/>
          <w:color w:val="auto"/>
          <w:szCs w:val="21"/>
        </w:rPr>
        <w:t>期间因下列原因进行了更换，并办理书面交接手续：</w:t>
      </w:r>
    </w:p>
    <w:p w14:paraId="7F3C6A17">
      <w:pPr>
        <w:spacing w:line="440" w:lineRule="exact"/>
        <w:ind w:firstLine="945" w:firstLineChars="450"/>
        <w:rPr>
          <w:rFonts w:hint="eastAsia" w:ascii="宋体" w:hAnsi="宋体"/>
          <w:color w:val="auto"/>
          <w:szCs w:val="21"/>
        </w:rPr>
      </w:pPr>
      <w:r>
        <w:rPr>
          <w:rFonts w:hint="eastAsia"/>
          <w:color w:val="auto"/>
          <w:szCs w:val="21"/>
        </w:rPr>
        <w:t>□</w:t>
      </w:r>
      <w:r>
        <w:rPr>
          <w:rFonts w:hint="eastAsia" w:ascii="宋体" w:hAnsi="宋体"/>
          <w:color w:val="auto"/>
          <w:szCs w:val="21"/>
        </w:rPr>
        <w:t>发包方与拟派</w:t>
      </w:r>
      <w:r>
        <w:rPr>
          <w:rFonts w:hint="eastAsia" w:ascii="宋体" w:hAnsi="宋体" w:cs="Arial"/>
          <w:color w:val="auto"/>
          <w:kern w:val="0"/>
          <w:szCs w:val="21"/>
        </w:rPr>
        <w:t>施工负责人</w:t>
      </w:r>
      <w:r>
        <w:rPr>
          <w:rFonts w:hint="eastAsia" w:ascii="宋体" w:hAnsi="宋体"/>
          <w:color w:val="auto"/>
          <w:szCs w:val="21"/>
        </w:rPr>
        <w:t>受聘企业已解除承包合同的；</w:t>
      </w:r>
    </w:p>
    <w:p w14:paraId="164891EE">
      <w:pPr>
        <w:spacing w:line="440" w:lineRule="exact"/>
        <w:ind w:firstLine="945" w:firstLineChars="450"/>
        <w:rPr>
          <w:rFonts w:hint="eastAsia" w:ascii="宋体" w:hAnsi="宋体"/>
          <w:color w:val="auto"/>
          <w:szCs w:val="21"/>
        </w:rPr>
      </w:pPr>
      <w:r>
        <w:rPr>
          <w:rFonts w:hint="eastAsia"/>
          <w:color w:val="auto"/>
          <w:szCs w:val="21"/>
        </w:rPr>
        <w:t>□</w:t>
      </w:r>
      <w:r>
        <w:rPr>
          <w:rFonts w:hint="eastAsia" w:ascii="宋体" w:hAnsi="宋体"/>
          <w:color w:val="auto"/>
          <w:szCs w:val="21"/>
        </w:rPr>
        <w:t>发包方同意更换</w:t>
      </w:r>
      <w:r>
        <w:rPr>
          <w:rFonts w:hint="eastAsia" w:ascii="宋体" w:hAnsi="宋体" w:cs="Arial"/>
          <w:color w:val="auto"/>
          <w:kern w:val="0"/>
          <w:szCs w:val="21"/>
        </w:rPr>
        <w:t>施工负责人</w:t>
      </w:r>
      <w:r>
        <w:rPr>
          <w:rFonts w:hint="eastAsia" w:ascii="宋体" w:hAnsi="宋体"/>
          <w:color w:val="auto"/>
          <w:szCs w:val="21"/>
        </w:rPr>
        <w:t>的；</w:t>
      </w:r>
    </w:p>
    <w:p w14:paraId="60CCF1CD">
      <w:pPr>
        <w:spacing w:line="440" w:lineRule="exact"/>
        <w:ind w:firstLine="945" w:firstLineChars="450"/>
        <w:rPr>
          <w:rFonts w:hint="eastAsia" w:ascii="宋体" w:hAnsi="宋体"/>
          <w:color w:val="auto"/>
          <w:szCs w:val="21"/>
        </w:rPr>
      </w:pPr>
      <w:r>
        <w:rPr>
          <w:rFonts w:hint="eastAsia"/>
          <w:color w:val="auto"/>
          <w:szCs w:val="21"/>
        </w:rPr>
        <w:t>□</w:t>
      </w:r>
      <w:r>
        <w:rPr>
          <w:rFonts w:hint="eastAsia" w:ascii="宋体" w:hAnsi="宋体"/>
          <w:color w:val="auto"/>
          <w:szCs w:val="21"/>
        </w:rPr>
        <w:t>因不可抗力等特殊情况必须更换</w:t>
      </w:r>
      <w:r>
        <w:rPr>
          <w:rFonts w:hint="eastAsia" w:ascii="宋体" w:hAnsi="宋体" w:cs="Arial"/>
          <w:color w:val="auto"/>
          <w:kern w:val="0"/>
          <w:szCs w:val="21"/>
        </w:rPr>
        <w:t>施工负责人</w:t>
      </w:r>
      <w:r>
        <w:rPr>
          <w:rFonts w:hint="eastAsia" w:ascii="宋体" w:hAnsi="宋体"/>
          <w:color w:val="auto"/>
          <w:szCs w:val="21"/>
        </w:rPr>
        <w:t>的。</w:t>
      </w:r>
    </w:p>
    <w:p w14:paraId="741CAB67">
      <w:pPr>
        <w:spacing w:line="440" w:lineRule="exact"/>
        <w:ind w:firstLine="420" w:firstLineChars="200"/>
        <w:rPr>
          <w:rFonts w:ascii="宋体" w:hAnsi="宋体"/>
          <w:color w:val="auto"/>
          <w:szCs w:val="21"/>
        </w:rPr>
      </w:pPr>
      <w:r>
        <w:rPr>
          <w:rFonts w:hint="eastAsia"/>
          <w:color w:val="auto"/>
          <w:szCs w:val="21"/>
        </w:rPr>
        <w:t xml:space="preserve">□ </w:t>
      </w:r>
      <w:r>
        <w:rPr>
          <w:rFonts w:hint="eastAsia"/>
          <w:color w:val="auto"/>
          <w:szCs w:val="21"/>
          <w:u w:val="single"/>
        </w:rPr>
        <w:t xml:space="preserve">                                                   </w:t>
      </w:r>
      <w:r>
        <w:rPr>
          <w:rFonts w:hint="eastAsia"/>
          <w:color w:val="auto"/>
          <w:szCs w:val="21"/>
        </w:rPr>
        <w:t xml:space="preserve"> 。</w:t>
      </w:r>
    </w:p>
    <w:p w14:paraId="050256D4">
      <w:pPr>
        <w:spacing w:line="440" w:lineRule="exact"/>
        <w:ind w:firstLine="420" w:firstLineChars="200"/>
        <w:rPr>
          <w:rFonts w:hint="eastAsia" w:ascii="宋体" w:hAnsi="宋体"/>
          <w:color w:val="auto"/>
          <w:szCs w:val="21"/>
        </w:rPr>
      </w:pPr>
      <w:r>
        <w:rPr>
          <w:rFonts w:hint="eastAsia" w:ascii="宋体" w:hAnsi="宋体"/>
          <w:color w:val="auto"/>
          <w:szCs w:val="21"/>
        </w:rPr>
        <w:t>我方保证上述信息的真实性和准确性，并承担相应的法律责任。</w:t>
      </w:r>
    </w:p>
    <w:p w14:paraId="47CE5CF2">
      <w:pPr>
        <w:spacing w:line="440" w:lineRule="exact"/>
        <w:ind w:firstLine="420" w:firstLineChars="200"/>
        <w:rPr>
          <w:rFonts w:hint="eastAsia" w:ascii="宋体" w:hAnsi="宋体"/>
          <w:color w:val="auto"/>
          <w:szCs w:val="21"/>
        </w:rPr>
      </w:pPr>
      <w:r>
        <w:rPr>
          <w:rFonts w:hint="eastAsia" w:ascii="宋体" w:hAnsi="宋体"/>
          <w:color w:val="auto"/>
          <w:szCs w:val="21"/>
        </w:rPr>
        <w:t>特此承诺</w:t>
      </w:r>
    </w:p>
    <w:p w14:paraId="059A779F">
      <w:pPr>
        <w:spacing w:line="440" w:lineRule="exact"/>
        <w:ind w:firstLine="3885" w:firstLineChars="1850"/>
        <w:rPr>
          <w:rFonts w:hint="eastAsia" w:ascii="宋体" w:hAnsi="宋体"/>
          <w:color w:val="auto"/>
          <w:szCs w:val="21"/>
        </w:rPr>
      </w:pPr>
    </w:p>
    <w:p w14:paraId="17F8BF5D">
      <w:pPr>
        <w:spacing w:line="440" w:lineRule="exact"/>
        <w:ind w:firstLine="3885" w:firstLineChars="1850"/>
        <w:rPr>
          <w:rFonts w:hint="eastAsia" w:ascii="宋体" w:hAnsi="宋体"/>
          <w:color w:val="auto"/>
          <w:szCs w:val="21"/>
        </w:rPr>
      </w:pPr>
      <w:r>
        <w:rPr>
          <w:rFonts w:hint="eastAsia" w:ascii="宋体" w:hAnsi="宋体"/>
          <w:color w:val="auto"/>
          <w:szCs w:val="21"/>
        </w:rPr>
        <w:t>投标人：</w:t>
      </w:r>
      <w:r>
        <w:rPr>
          <w:rFonts w:hint="eastAsia" w:ascii="宋体" w:hAnsi="宋体"/>
          <w:color w:val="auto"/>
          <w:szCs w:val="21"/>
          <w:u w:val="single"/>
        </w:rPr>
        <w:t xml:space="preserve">                     </w:t>
      </w:r>
      <w:r>
        <w:rPr>
          <w:rFonts w:hint="eastAsia" w:ascii="宋体" w:hAnsi="宋体"/>
          <w:color w:val="auto"/>
          <w:szCs w:val="21"/>
        </w:rPr>
        <w:t xml:space="preserve"> （盖单位章）</w:t>
      </w:r>
    </w:p>
    <w:p w14:paraId="430D5F24">
      <w:pPr>
        <w:spacing w:line="440" w:lineRule="exact"/>
        <w:ind w:firstLine="3885" w:firstLineChars="1850"/>
        <w:rPr>
          <w:rFonts w:hint="eastAsia" w:ascii="宋体" w:hAnsi="宋体"/>
          <w:color w:val="auto"/>
          <w:szCs w:val="21"/>
        </w:rPr>
      </w:pPr>
      <w:r>
        <w:rPr>
          <w:rFonts w:hint="eastAsia" w:ascii="宋体" w:hAnsi="宋体"/>
          <w:color w:val="auto"/>
          <w:szCs w:val="21"/>
        </w:rPr>
        <w:t>法定代表人：</w:t>
      </w:r>
      <w:r>
        <w:rPr>
          <w:rFonts w:hint="eastAsia" w:ascii="宋体" w:hAnsi="宋体"/>
          <w:color w:val="auto"/>
          <w:szCs w:val="21"/>
          <w:u w:val="single"/>
        </w:rPr>
        <w:t xml:space="preserve">                     </w:t>
      </w:r>
      <w:r>
        <w:rPr>
          <w:rFonts w:hint="eastAsia" w:ascii="宋体" w:hAnsi="宋体"/>
          <w:color w:val="auto"/>
          <w:szCs w:val="21"/>
        </w:rPr>
        <w:t xml:space="preserve"> （签字）</w:t>
      </w:r>
    </w:p>
    <w:p w14:paraId="27DA869A">
      <w:pPr>
        <w:spacing w:line="440" w:lineRule="exact"/>
        <w:ind w:firstLine="420" w:firstLineChars="200"/>
        <w:rPr>
          <w:rFonts w:hint="eastAsia" w:ascii="宋体" w:hAnsi="宋体"/>
          <w:color w:val="auto"/>
          <w:szCs w:val="21"/>
        </w:rPr>
      </w:pPr>
    </w:p>
    <w:p w14:paraId="678E9ED8">
      <w:pPr>
        <w:spacing w:line="440" w:lineRule="exact"/>
        <w:ind w:firstLine="420" w:firstLineChars="200"/>
        <w:rPr>
          <w:rFonts w:hint="eastAsia" w:ascii="宋体" w:hAnsi="宋体"/>
          <w:color w:val="auto"/>
          <w:szCs w:val="21"/>
        </w:rPr>
      </w:pPr>
      <w:r>
        <w:rPr>
          <w:rFonts w:hint="eastAsia" w:ascii="宋体" w:hAnsi="宋体"/>
          <w:color w:val="auto"/>
          <w:szCs w:val="21"/>
        </w:rPr>
        <w:t xml:space="preserve">                                             </w:t>
      </w:r>
      <w:r>
        <w:rPr>
          <w:rFonts w:hint="eastAsia" w:ascii="宋体" w:hAnsi="宋体"/>
          <w:color w:val="auto"/>
          <w:szCs w:val="21"/>
          <w:u w:val="single"/>
        </w:rPr>
        <w:t xml:space="preserve">         </w:t>
      </w:r>
      <w:r>
        <w:rPr>
          <w:rFonts w:hint="eastAsia" w:ascii="宋体" w:hAnsi="宋体"/>
          <w:color w:val="auto"/>
          <w:szCs w:val="21"/>
        </w:rPr>
        <w:t xml:space="preserve"> 年</w:t>
      </w:r>
      <w:r>
        <w:rPr>
          <w:rFonts w:hint="eastAsia" w:ascii="宋体" w:hAnsi="宋体"/>
          <w:color w:val="auto"/>
          <w:szCs w:val="21"/>
          <w:u w:val="single"/>
        </w:rPr>
        <w:t xml:space="preserve">      </w:t>
      </w:r>
      <w:r>
        <w:rPr>
          <w:rFonts w:hint="eastAsia" w:ascii="宋体" w:hAnsi="宋体"/>
          <w:color w:val="auto"/>
          <w:szCs w:val="21"/>
        </w:rPr>
        <w:t xml:space="preserve"> 月 </w:t>
      </w:r>
      <w:r>
        <w:rPr>
          <w:rFonts w:hint="eastAsia" w:ascii="宋体" w:hAnsi="宋体"/>
          <w:color w:val="auto"/>
          <w:szCs w:val="21"/>
          <w:u w:val="single"/>
        </w:rPr>
        <w:t xml:space="preserve">     </w:t>
      </w:r>
      <w:r>
        <w:rPr>
          <w:rFonts w:hint="eastAsia" w:ascii="宋体" w:hAnsi="宋体"/>
          <w:color w:val="auto"/>
          <w:szCs w:val="21"/>
        </w:rPr>
        <w:t xml:space="preserve"> 日</w:t>
      </w:r>
    </w:p>
    <w:p w14:paraId="613781DF">
      <w:pPr>
        <w:spacing w:line="440" w:lineRule="exact"/>
        <w:ind w:left="630" w:hanging="630" w:hangingChars="300"/>
        <w:rPr>
          <w:rFonts w:ascii="宋体" w:hAnsi="宋体"/>
          <w:color w:val="auto"/>
          <w:szCs w:val="21"/>
        </w:rPr>
      </w:pPr>
    </w:p>
    <w:p w14:paraId="60773A4E">
      <w:pPr>
        <w:spacing w:line="440" w:lineRule="exact"/>
        <w:ind w:left="630" w:hanging="630" w:hangingChars="300"/>
        <w:rPr>
          <w:rFonts w:ascii="宋体" w:hAnsi="宋体"/>
          <w:color w:val="auto"/>
          <w:szCs w:val="21"/>
        </w:rPr>
      </w:pPr>
    </w:p>
    <w:p w14:paraId="498464FE">
      <w:pPr>
        <w:spacing w:line="440" w:lineRule="exact"/>
        <w:ind w:left="630" w:hanging="630" w:hangingChars="300"/>
        <w:rPr>
          <w:rFonts w:ascii="宋体" w:hAnsi="宋体"/>
          <w:color w:val="auto"/>
          <w:szCs w:val="21"/>
        </w:rPr>
      </w:pPr>
    </w:p>
    <w:p w14:paraId="51E67F8C">
      <w:pPr>
        <w:spacing w:line="440" w:lineRule="exact"/>
        <w:ind w:left="630" w:hanging="630" w:hangingChars="300"/>
        <w:rPr>
          <w:rFonts w:hint="eastAsia" w:ascii="宋体" w:hAnsi="宋体"/>
          <w:color w:val="auto"/>
          <w:szCs w:val="21"/>
        </w:rPr>
      </w:pPr>
    </w:p>
    <w:p w14:paraId="3BE53CEB">
      <w:pPr>
        <w:spacing w:line="420" w:lineRule="exact"/>
        <w:ind w:left="840" w:hanging="840" w:hangingChars="400"/>
        <w:rPr>
          <w:rFonts w:hint="eastAsia"/>
          <w:color w:val="auto"/>
          <w:szCs w:val="20"/>
        </w:rPr>
      </w:pPr>
      <w:r>
        <w:rPr>
          <w:rFonts w:hint="eastAsia"/>
          <w:color w:val="auto"/>
          <w:szCs w:val="20"/>
        </w:rPr>
        <w:t>备注：1. 投标人应当根据“承诺书”的格式，如实说明拟派项目经理和施工负责人能够参加本工程投标的理由，并附相关证明材料的扫描件。</w:t>
      </w:r>
    </w:p>
    <w:p w14:paraId="39F392EC">
      <w:pPr>
        <w:spacing w:line="420" w:lineRule="exact"/>
        <w:ind w:left="840" w:leftChars="300" w:hanging="210" w:hangingChars="100"/>
        <w:rPr>
          <w:rFonts w:hint="eastAsia"/>
          <w:color w:val="auto"/>
          <w:szCs w:val="20"/>
        </w:rPr>
      </w:pPr>
      <w:r>
        <w:rPr>
          <w:rFonts w:hint="eastAsia"/>
          <w:color w:val="auto"/>
          <w:szCs w:val="20"/>
        </w:rPr>
        <w:t>2. 投标人“承诺书”的实质内容应当与格式规定的实质内容一致。</w:t>
      </w:r>
    </w:p>
    <w:p w14:paraId="51F024E3">
      <w:pPr>
        <w:spacing w:line="420" w:lineRule="exact"/>
        <w:rPr>
          <w:color w:val="auto"/>
          <w:szCs w:val="20"/>
        </w:rPr>
      </w:pPr>
    </w:p>
    <w:p w14:paraId="0B8371AE">
      <w:pPr>
        <w:spacing w:line="420" w:lineRule="exact"/>
        <w:rPr>
          <w:color w:val="auto"/>
          <w:szCs w:val="20"/>
        </w:rPr>
      </w:pPr>
    </w:p>
    <w:p w14:paraId="7D6C0621">
      <w:pPr>
        <w:spacing w:line="420" w:lineRule="exact"/>
        <w:rPr>
          <w:color w:val="auto"/>
          <w:szCs w:val="20"/>
        </w:rPr>
      </w:pPr>
    </w:p>
    <w:p w14:paraId="14E9A620">
      <w:pPr>
        <w:spacing w:line="420" w:lineRule="exact"/>
        <w:rPr>
          <w:color w:val="auto"/>
          <w:szCs w:val="20"/>
        </w:rPr>
      </w:pPr>
    </w:p>
    <w:p w14:paraId="22BB15C0">
      <w:pPr>
        <w:spacing w:line="420" w:lineRule="exact"/>
        <w:rPr>
          <w:color w:val="auto"/>
          <w:szCs w:val="20"/>
        </w:rPr>
      </w:pPr>
    </w:p>
    <w:p w14:paraId="18ACAB92">
      <w:pPr>
        <w:spacing w:line="420" w:lineRule="exact"/>
        <w:rPr>
          <w:color w:val="auto"/>
          <w:szCs w:val="20"/>
        </w:rPr>
      </w:pPr>
    </w:p>
    <w:p w14:paraId="783F3639">
      <w:pPr>
        <w:spacing w:line="420" w:lineRule="exact"/>
        <w:rPr>
          <w:color w:val="auto"/>
          <w:szCs w:val="20"/>
        </w:rPr>
      </w:pPr>
    </w:p>
    <w:p w14:paraId="1D8C16AF">
      <w:pPr>
        <w:spacing w:line="420" w:lineRule="exact"/>
        <w:rPr>
          <w:color w:val="auto"/>
          <w:szCs w:val="20"/>
        </w:rPr>
      </w:pPr>
    </w:p>
    <w:p w14:paraId="42FF96A4">
      <w:pPr>
        <w:spacing w:line="420" w:lineRule="exact"/>
        <w:rPr>
          <w:color w:val="auto"/>
          <w:szCs w:val="20"/>
        </w:rPr>
      </w:pPr>
    </w:p>
    <w:p w14:paraId="3BDA61AF">
      <w:pPr>
        <w:spacing w:line="420" w:lineRule="exact"/>
        <w:rPr>
          <w:color w:val="auto"/>
          <w:szCs w:val="20"/>
        </w:rPr>
      </w:pPr>
    </w:p>
    <w:p w14:paraId="5BCBE7C7">
      <w:pPr>
        <w:spacing w:line="420" w:lineRule="exact"/>
        <w:rPr>
          <w:color w:val="auto"/>
          <w:szCs w:val="20"/>
        </w:rPr>
      </w:pPr>
    </w:p>
    <w:p w14:paraId="7BA3647B">
      <w:pPr>
        <w:spacing w:line="420" w:lineRule="exact"/>
        <w:rPr>
          <w:color w:val="auto"/>
          <w:szCs w:val="20"/>
        </w:rPr>
      </w:pPr>
    </w:p>
    <w:p w14:paraId="52F4E5F2">
      <w:pPr>
        <w:spacing w:line="420" w:lineRule="exact"/>
        <w:rPr>
          <w:color w:val="auto"/>
          <w:szCs w:val="20"/>
        </w:rPr>
      </w:pPr>
    </w:p>
    <w:p w14:paraId="32D652B2">
      <w:pPr>
        <w:spacing w:line="420" w:lineRule="exact"/>
        <w:rPr>
          <w:color w:val="auto"/>
          <w:szCs w:val="20"/>
        </w:rPr>
      </w:pPr>
    </w:p>
    <w:p w14:paraId="18E57ED4">
      <w:pPr>
        <w:spacing w:line="420" w:lineRule="exact"/>
        <w:rPr>
          <w:color w:val="auto"/>
          <w:szCs w:val="20"/>
        </w:rPr>
      </w:pPr>
    </w:p>
    <w:p w14:paraId="6EC10F83">
      <w:pPr>
        <w:spacing w:line="420" w:lineRule="exact"/>
        <w:rPr>
          <w:color w:val="auto"/>
          <w:szCs w:val="20"/>
        </w:rPr>
      </w:pPr>
    </w:p>
    <w:p w14:paraId="762B0642">
      <w:pPr>
        <w:spacing w:line="420" w:lineRule="exact"/>
        <w:rPr>
          <w:color w:val="auto"/>
          <w:szCs w:val="20"/>
        </w:rPr>
      </w:pPr>
    </w:p>
    <w:p w14:paraId="560977DF">
      <w:pPr>
        <w:spacing w:line="420" w:lineRule="exact"/>
        <w:rPr>
          <w:color w:val="auto"/>
          <w:szCs w:val="20"/>
        </w:rPr>
      </w:pPr>
    </w:p>
    <w:p w14:paraId="3969E254">
      <w:pPr>
        <w:spacing w:line="420" w:lineRule="exact"/>
        <w:rPr>
          <w:color w:val="auto"/>
          <w:szCs w:val="20"/>
        </w:rPr>
      </w:pPr>
    </w:p>
    <w:p w14:paraId="26695F25">
      <w:pPr>
        <w:spacing w:line="420" w:lineRule="exact"/>
        <w:rPr>
          <w:rFonts w:hint="eastAsia"/>
          <w:color w:val="auto"/>
        </w:rPr>
      </w:pPr>
    </w:p>
    <w:p w14:paraId="6711EF91">
      <w:pPr>
        <w:pStyle w:val="4"/>
        <w:spacing w:before="120"/>
        <w:jc w:val="center"/>
        <w:rPr>
          <w:rFonts w:hint="eastAsia"/>
          <w:color w:val="auto"/>
          <w:sz w:val="24"/>
        </w:rPr>
      </w:pPr>
      <w:bookmarkStart w:id="2203" w:name="_Toc461454883"/>
      <w:bookmarkStart w:id="2204" w:name="_Toc154064034"/>
      <w:r>
        <w:rPr>
          <w:rFonts w:hint="eastAsia"/>
          <w:color w:val="auto"/>
          <w:sz w:val="24"/>
        </w:rPr>
        <w:t>（六）其他主要项目管理人员简历表</w:t>
      </w:r>
      <w:bookmarkEnd w:id="2203"/>
      <w:bookmarkEnd w:id="2204"/>
    </w:p>
    <w:p w14:paraId="641C5A27">
      <w:pPr>
        <w:ind w:firstLine="1050" w:firstLineChars="500"/>
        <w:rPr>
          <w:rFonts w:hint="eastAsia" w:ascii="宋体" w:hAnsi="宋体"/>
          <w:color w:val="auto"/>
          <w:szCs w:val="21"/>
        </w:rPr>
      </w:pPr>
    </w:p>
    <w:tbl>
      <w:tblPr>
        <w:tblStyle w:val="41"/>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85"/>
        <w:gridCol w:w="574"/>
        <w:gridCol w:w="325"/>
        <w:gridCol w:w="1090"/>
        <w:gridCol w:w="1222"/>
        <w:gridCol w:w="479"/>
        <w:gridCol w:w="1539"/>
        <w:gridCol w:w="2051"/>
      </w:tblGrid>
      <w:tr w14:paraId="655CD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1049" w:type="dxa"/>
            <w:noWrap w:val="0"/>
            <w:vAlign w:val="center"/>
          </w:tcPr>
          <w:p w14:paraId="009FBF55">
            <w:pPr>
              <w:keepNext w:val="0"/>
              <w:keepLines w:val="0"/>
              <w:suppressLineNumbers w:val="0"/>
              <w:spacing w:before="0" w:beforeAutospacing="0" w:after="0" w:afterAutospacing="0"/>
              <w:ind w:left="0" w:right="0"/>
              <w:rPr>
                <w:rFonts w:hint="eastAsia" w:ascii="宋体" w:hAnsi="宋体" w:eastAsia="宋体" w:cs="Times New Roman"/>
                <w:color w:val="auto"/>
                <w:szCs w:val="21"/>
              </w:rPr>
            </w:pPr>
            <w:r>
              <w:rPr>
                <w:rFonts w:hint="eastAsia" w:ascii="宋体" w:hAnsi="宋体" w:eastAsia="宋体" w:cs="Times New Roman"/>
                <w:color w:val="auto"/>
                <w:szCs w:val="21"/>
              </w:rPr>
              <w:t>姓  名</w:t>
            </w:r>
          </w:p>
        </w:tc>
        <w:tc>
          <w:tcPr>
            <w:tcW w:w="984" w:type="dxa"/>
            <w:gridSpan w:val="3"/>
            <w:noWrap w:val="0"/>
            <w:vAlign w:val="center"/>
          </w:tcPr>
          <w:p w14:paraId="2C986EC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090" w:type="dxa"/>
            <w:noWrap w:val="0"/>
            <w:vAlign w:val="center"/>
          </w:tcPr>
          <w:p w14:paraId="78B3CF9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年  龄</w:t>
            </w:r>
          </w:p>
        </w:tc>
        <w:tc>
          <w:tcPr>
            <w:tcW w:w="1222" w:type="dxa"/>
            <w:noWrap w:val="0"/>
            <w:vAlign w:val="center"/>
          </w:tcPr>
          <w:p w14:paraId="108A6CB8">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2018" w:type="dxa"/>
            <w:gridSpan w:val="2"/>
            <w:noWrap w:val="0"/>
            <w:vAlign w:val="center"/>
          </w:tcPr>
          <w:p w14:paraId="65F9E905">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学历</w:t>
            </w:r>
          </w:p>
        </w:tc>
        <w:tc>
          <w:tcPr>
            <w:tcW w:w="2051" w:type="dxa"/>
            <w:noWrap w:val="0"/>
            <w:vAlign w:val="center"/>
          </w:tcPr>
          <w:p w14:paraId="70C2FA0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3009C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534577CE">
            <w:pPr>
              <w:keepNext w:val="0"/>
              <w:keepLines w:val="0"/>
              <w:suppressLineNumbers w:val="0"/>
              <w:spacing w:before="0" w:beforeAutospacing="0" w:after="0" w:afterAutospacing="0"/>
              <w:ind w:left="0" w:right="0"/>
              <w:rPr>
                <w:rFonts w:hint="eastAsia" w:ascii="宋体" w:hAnsi="宋体" w:eastAsia="宋体" w:cs="Times New Roman"/>
                <w:color w:val="auto"/>
                <w:szCs w:val="21"/>
              </w:rPr>
            </w:pPr>
            <w:r>
              <w:rPr>
                <w:rFonts w:hint="eastAsia" w:ascii="宋体" w:hAnsi="宋体" w:eastAsia="宋体" w:cs="Times New Roman"/>
                <w:color w:val="auto"/>
                <w:szCs w:val="21"/>
              </w:rPr>
              <w:t>职  称</w:t>
            </w:r>
          </w:p>
        </w:tc>
        <w:tc>
          <w:tcPr>
            <w:tcW w:w="3296" w:type="dxa"/>
            <w:gridSpan w:val="5"/>
            <w:noWrap w:val="0"/>
            <w:vAlign w:val="center"/>
          </w:tcPr>
          <w:p w14:paraId="1C361F1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2018" w:type="dxa"/>
            <w:gridSpan w:val="2"/>
            <w:noWrap w:val="0"/>
            <w:vAlign w:val="center"/>
          </w:tcPr>
          <w:p w14:paraId="1BC421F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拟在本工程任职</w:t>
            </w:r>
          </w:p>
        </w:tc>
        <w:tc>
          <w:tcPr>
            <w:tcW w:w="2051" w:type="dxa"/>
            <w:noWrap w:val="0"/>
            <w:vAlign w:val="center"/>
          </w:tcPr>
          <w:p w14:paraId="2350376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313F7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3" w:type="dxa"/>
            <w:gridSpan w:val="5"/>
            <w:noWrap w:val="0"/>
            <w:vAlign w:val="center"/>
          </w:tcPr>
          <w:p w14:paraId="1189D85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注册执业资格等级</w:t>
            </w:r>
          </w:p>
        </w:tc>
        <w:tc>
          <w:tcPr>
            <w:tcW w:w="1222" w:type="dxa"/>
            <w:noWrap w:val="0"/>
            <w:vAlign w:val="center"/>
          </w:tcPr>
          <w:p w14:paraId="022B962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 xml:space="preserve">      级</w:t>
            </w:r>
          </w:p>
        </w:tc>
        <w:tc>
          <w:tcPr>
            <w:tcW w:w="2018" w:type="dxa"/>
            <w:gridSpan w:val="2"/>
            <w:noWrap w:val="0"/>
            <w:vAlign w:val="center"/>
          </w:tcPr>
          <w:p w14:paraId="17F13A3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专业</w:t>
            </w:r>
          </w:p>
        </w:tc>
        <w:tc>
          <w:tcPr>
            <w:tcW w:w="2051" w:type="dxa"/>
            <w:noWrap w:val="0"/>
            <w:vAlign w:val="center"/>
          </w:tcPr>
          <w:p w14:paraId="6206F6A0">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70465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gridSpan w:val="2"/>
            <w:noWrap w:val="0"/>
            <w:vAlign w:val="center"/>
          </w:tcPr>
          <w:p w14:paraId="1C2707D2">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毕业学校</w:t>
            </w:r>
          </w:p>
        </w:tc>
        <w:tc>
          <w:tcPr>
            <w:tcW w:w="7280" w:type="dxa"/>
            <w:gridSpan w:val="7"/>
            <w:noWrap w:val="0"/>
            <w:vAlign w:val="center"/>
          </w:tcPr>
          <w:p w14:paraId="7A019B54">
            <w:pPr>
              <w:keepNext w:val="0"/>
              <w:keepLines w:val="0"/>
              <w:suppressLineNumbers w:val="0"/>
              <w:spacing w:before="0" w:beforeAutospacing="0" w:after="0" w:afterAutospacing="0"/>
              <w:ind w:left="0" w:right="0" w:firstLine="840" w:firstLineChars="400"/>
              <w:rPr>
                <w:rFonts w:hint="eastAsia" w:ascii="宋体" w:hAnsi="宋体" w:eastAsia="宋体" w:cs="Times New Roman"/>
                <w:color w:val="auto"/>
                <w:szCs w:val="21"/>
              </w:rPr>
            </w:pPr>
            <w:r>
              <w:rPr>
                <w:rFonts w:hint="eastAsia" w:ascii="宋体" w:hAnsi="宋体" w:eastAsia="宋体" w:cs="Times New Roman"/>
                <w:color w:val="auto"/>
                <w:szCs w:val="21"/>
              </w:rPr>
              <w:t>年毕业于                  学校            专业</w:t>
            </w:r>
          </w:p>
        </w:tc>
      </w:tr>
      <w:tr w14:paraId="29D64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14" w:type="dxa"/>
            <w:gridSpan w:val="9"/>
            <w:noWrap w:val="0"/>
            <w:vAlign w:val="center"/>
          </w:tcPr>
          <w:p w14:paraId="1C5B0D57">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ascii="宋体" w:hAnsi="宋体" w:eastAsia="宋体" w:cs="Times New Roman"/>
                <w:color w:val="auto"/>
                <w:szCs w:val="21"/>
              </w:rPr>
              <w:t>主要</w:t>
            </w:r>
            <w:r>
              <w:rPr>
                <w:rFonts w:hint="eastAsia" w:ascii="宋体" w:hAnsi="宋体" w:eastAsia="宋体" w:cs="Times New Roman"/>
                <w:color w:val="auto"/>
                <w:szCs w:val="21"/>
              </w:rPr>
              <w:t>管理</w:t>
            </w:r>
            <w:r>
              <w:rPr>
                <w:rFonts w:ascii="宋体" w:hAnsi="宋体" w:eastAsia="宋体" w:cs="Times New Roman"/>
                <w:color w:val="auto"/>
                <w:szCs w:val="21"/>
              </w:rPr>
              <w:t>经历</w:t>
            </w:r>
          </w:p>
        </w:tc>
      </w:tr>
      <w:tr w14:paraId="1C5FC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11FE1C0B">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时  间</w:t>
            </w:r>
          </w:p>
        </w:tc>
        <w:tc>
          <w:tcPr>
            <w:tcW w:w="3116" w:type="dxa"/>
            <w:gridSpan w:val="4"/>
            <w:noWrap w:val="0"/>
            <w:vAlign w:val="center"/>
          </w:tcPr>
          <w:p w14:paraId="4F26550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参加过的类似项目名称</w:t>
            </w:r>
          </w:p>
        </w:tc>
        <w:tc>
          <w:tcPr>
            <w:tcW w:w="3590" w:type="dxa"/>
            <w:gridSpan w:val="2"/>
            <w:noWrap w:val="0"/>
            <w:vAlign w:val="center"/>
          </w:tcPr>
          <w:p w14:paraId="609ADE9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发包人及联系电话</w:t>
            </w:r>
          </w:p>
        </w:tc>
      </w:tr>
      <w:tr w14:paraId="6BBFB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0D8569D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116" w:type="dxa"/>
            <w:gridSpan w:val="4"/>
            <w:noWrap w:val="0"/>
            <w:vAlign w:val="center"/>
          </w:tcPr>
          <w:p w14:paraId="150C8D5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590" w:type="dxa"/>
            <w:gridSpan w:val="2"/>
            <w:noWrap w:val="0"/>
            <w:vAlign w:val="center"/>
          </w:tcPr>
          <w:p w14:paraId="25D2A65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57BAE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7B8FF3EB">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116" w:type="dxa"/>
            <w:gridSpan w:val="4"/>
            <w:noWrap w:val="0"/>
            <w:vAlign w:val="center"/>
          </w:tcPr>
          <w:p w14:paraId="4033987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590" w:type="dxa"/>
            <w:gridSpan w:val="2"/>
            <w:noWrap w:val="0"/>
            <w:vAlign w:val="center"/>
          </w:tcPr>
          <w:p w14:paraId="27689DF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60BF1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039267C7">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116" w:type="dxa"/>
            <w:gridSpan w:val="4"/>
            <w:noWrap w:val="0"/>
            <w:vAlign w:val="center"/>
          </w:tcPr>
          <w:p w14:paraId="66D494F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590" w:type="dxa"/>
            <w:gridSpan w:val="2"/>
            <w:noWrap w:val="0"/>
            <w:vAlign w:val="center"/>
          </w:tcPr>
          <w:p w14:paraId="4DB87E28">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040EE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68CA160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116" w:type="dxa"/>
            <w:gridSpan w:val="4"/>
            <w:noWrap w:val="0"/>
            <w:vAlign w:val="center"/>
          </w:tcPr>
          <w:p w14:paraId="24E3674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590" w:type="dxa"/>
            <w:gridSpan w:val="2"/>
            <w:noWrap w:val="0"/>
            <w:vAlign w:val="center"/>
          </w:tcPr>
          <w:p w14:paraId="50BCA35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0AEC7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6910BE6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116" w:type="dxa"/>
            <w:gridSpan w:val="4"/>
            <w:noWrap w:val="0"/>
            <w:vAlign w:val="center"/>
          </w:tcPr>
          <w:p w14:paraId="78848742">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590" w:type="dxa"/>
            <w:gridSpan w:val="2"/>
            <w:noWrap w:val="0"/>
            <w:vAlign w:val="center"/>
          </w:tcPr>
          <w:p w14:paraId="3ED2AAB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5CAA4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191C29E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116" w:type="dxa"/>
            <w:gridSpan w:val="4"/>
            <w:noWrap w:val="0"/>
            <w:vAlign w:val="center"/>
          </w:tcPr>
          <w:p w14:paraId="330514F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590" w:type="dxa"/>
            <w:gridSpan w:val="2"/>
            <w:noWrap w:val="0"/>
            <w:vAlign w:val="center"/>
          </w:tcPr>
          <w:p w14:paraId="01A9ED05">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3CEF2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5699CEE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116" w:type="dxa"/>
            <w:gridSpan w:val="4"/>
            <w:noWrap w:val="0"/>
            <w:vAlign w:val="center"/>
          </w:tcPr>
          <w:p w14:paraId="0632F277">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590" w:type="dxa"/>
            <w:gridSpan w:val="2"/>
            <w:noWrap w:val="0"/>
            <w:vAlign w:val="center"/>
          </w:tcPr>
          <w:p w14:paraId="0C4D0CD0">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644FD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02716C5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116" w:type="dxa"/>
            <w:gridSpan w:val="4"/>
            <w:noWrap w:val="0"/>
            <w:vAlign w:val="center"/>
          </w:tcPr>
          <w:p w14:paraId="6C315AB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590" w:type="dxa"/>
            <w:gridSpan w:val="2"/>
            <w:noWrap w:val="0"/>
            <w:vAlign w:val="center"/>
          </w:tcPr>
          <w:p w14:paraId="4F2CD69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33F9B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003C2B2">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116" w:type="dxa"/>
            <w:gridSpan w:val="4"/>
            <w:noWrap w:val="0"/>
            <w:vAlign w:val="center"/>
          </w:tcPr>
          <w:p w14:paraId="1EC56F60">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590" w:type="dxa"/>
            <w:gridSpan w:val="2"/>
            <w:noWrap w:val="0"/>
            <w:vAlign w:val="center"/>
          </w:tcPr>
          <w:p w14:paraId="507F824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bl>
    <w:p w14:paraId="337ABFB3">
      <w:pPr>
        <w:spacing w:line="440" w:lineRule="exact"/>
        <w:jc w:val="right"/>
        <w:rPr>
          <w:rFonts w:ascii="宋体" w:hAnsi="宋体"/>
          <w:color w:val="auto"/>
          <w:szCs w:val="21"/>
        </w:rPr>
      </w:pPr>
    </w:p>
    <w:p w14:paraId="639CC825">
      <w:pPr>
        <w:ind w:left="840" w:hanging="840" w:hangingChars="400"/>
        <w:rPr>
          <w:rFonts w:hint="eastAsia" w:ascii="宋体" w:hAnsi="宋体"/>
          <w:color w:val="auto"/>
        </w:rPr>
      </w:pPr>
    </w:p>
    <w:p w14:paraId="172F21CC">
      <w:pPr>
        <w:ind w:left="840" w:hanging="840" w:hangingChars="400"/>
        <w:rPr>
          <w:rFonts w:hint="eastAsia" w:ascii="宋体" w:hAnsi="宋体"/>
          <w:color w:val="auto"/>
        </w:rPr>
      </w:pPr>
    </w:p>
    <w:p w14:paraId="5BE80063">
      <w:pPr>
        <w:ind w:left="840" w:hanging="840" w:hangingChars="400"/>
        <w:rPr>
          <w:rFonts w:hint="eastAsia" w:ascii="宋体" w:hAnsi="宋体"/>
          <w:color w:val="auto"/>
        </w:rPr>
      </w:pPr>
    </w:p>
    <w:p w14:paraId="21C2D567">
      <w:pPr>
        <w:ind w:left="840" w:hanging="840" w:hangingChars="400"/>
        <w:rPr>
          <w:rFonts w:hint="eastAsia" w:ascii="宋体" w:hAnsi="宋体"/>
          <w:color w:val="auto"/>
        </w:rPr>
      </w:pPr>
    </w:p>
    <w:p w14:paraId="566B9207">
      <w:pPr>
        <w:ind w:left="840" w:hanging="840" w:hangingChars="400"/>
        <w:rPr>
          <w:rFonts w:hint="eastAsia" w:ascii="宋体" w:hAnsi="宋体"/>
          <w:color w:val="auto"/>
        </w:rPr>
      </w:pPr>
    </w:p>
    <w:p w14:paraId="7DB639B3">
      <w:pPr>
        <w:ind w:left="840" w:hanging="840" w:hangingChars="400"/>
        <w:rPr>
          <w:rFonts w:hint="eastAsia" w:ascii="宋体" w:hAnsi="宋体"/>
          <w:color w:val="auto"/>
        </w:rPr>
      </w:pPr>
    </w:p>
    <w:p w14:paraId="02D71F79">
      <w:pPr>
        <w:ind w:left="840" w:hanging="840" w:hangingChars="400"/>
        <w:rPr>
          <w:rFonts w:hint="eastAsia" w:ascii="宋体" w:hAnsi="宋体"/>
          <w:color w:val="auto"/>
        </w:rPr>
      </w:pPr>
      <w:r>
        <w:rPr>
          <w:rFonts w:hint="eastAsia" w:ascii="宋体" w:hAnsi="宋体"/>
          <w:color w:val="auto"/>
        </w:rPr>
        <w:t>备注：</w:t>
      </w:r>
      <w:r>
        <w:rPr>
          <w:rFonts w:hint="eastAsia"/>
          <w:color w:val="auto"/>
        </w:rPr>
        <w:t>1</w:t>
      </w:r>
      <w:r>
        <w:rPr>
          <w:rFonts w:hint="eastAsia" w:ascii="宋体" w:hAnsi="宋体"/>
          <w:color w:val="auto"/>
        </w:rPr>
        <w:t>.应附资格证书（如有）、注册证书（如有）、岗位培训考核合格证书（如有）、职称证、学历证扫描件。</w:t>
      </w:r>
    </w:p>
    <w:p w14:paraId="71FF52AC">
      <w:pPr>
        <w:ind w:firstLine="630" w:firstLineChars="300"/>
        <w:rPr>
          <w:rFonts w:hint="eastAsia"/>
          <w:color w:val="auto"/>
        </w:rPr>
      </w:pPr>
      <w:r>
        <w:rPr>
          <w:rFonts w:hint="eastAsia"/>
          <w:color w:val="auto"/>
          <w:szCs w:val="21"/>
        </w:rPr>
        <w:t>2</w:t>
      </w:r>
      <w:r>
        <w:rPr>
          <w:rFonts w:hint="eastAsia" w:ascii="宋体" w:hAnsi="宋体"/>
          <w:color w:val="auto"/>
          <w:szCs w:val="21"/>
        </w:rPr>
        <w:t>.每张表格只填写一个人，并标明序号</w:t>
      </w:r>
      <w:r>
        <w:rPr>
          <w:rFonts w:hint="eastAsia" w:ascii="宋体" w:hAnsi="宋体"/>
          <w:color w:val="auto"/>
        </w:rPr>
        <w:t>。</w:t>
      </w:r>
    </w:p>
    <w:p w14:paraId="6AD177F2">
      <w:pPr>
        <w:spacing w:line="420" w:lineRule="exact"/>
        <w:ind w:left="525" w:leftChars="250" w:firstLine="105" w:firstLineChars="50"/>
        <w:rPr>
          <w:rFonts w:hint="eastAsia"/>
          <w:color w:val="auto"/>
        </w:rPr>
      </w:pPr>
    </w:p>
    <w:p w14:paraId="66C2F16D">
      <w:pPr>
        <w:spacing w:line="440" w:lineRule="exact"/>
        <w:rPr>
          <w:rFonts w:hint="eastAsia" w:ascii="宋体" w:hAnsi="宋体"/>
          <w:color w:val="auto"/>
          <w:szCs w:val="21"/>
        </w:rPr>
      </w:pPr>
    </w:p>
    <w:p w14:paraId="6A3498AD">
      <w:pPr>
        <w:spacing w:line="400" w:lineRule="atLeast"/>
        <w:ind w:left="840" w:hanging="840" w:hangingChars="400"/>
        <w:rPr>
          <w:rFonts w:hint="eastAsia" w:ascii="宋体" w:hAnsi="宋体" w:cs="宋体"/>
          <w:color w:val="auto"/>
          <w:szCs w:val="21"/>
        </w:rPr>
      </w:pPr>
    </w:p>
    <w:p w14:paraId="4A06B1C3">
      <w:pPr>
        <w:pStyle w:val="83"/>
        <w:spacing w:before="48"/>
        <w:outlineLvl w:val="0"/>
        <w:rPr>
          <w:rFonts w:hint="eastAsia"/>
          <w:color w:val="auto"/>
          <w:sz w:val="28"/>
          <w:szCs w:val="28"/>
        </w:rPr>
      </w:pPr>
      <w:bookmarkStart w:id="2205" w:name="_Toc31229"/>
      <w:bookmarkStart w:id="2206" w:name="_Toc30149"/>
      <w:bookmarkStart w:id="2207" w:name="_Toc154064035"/>
      <w:bookmarkStart w:id="2208" w:name="_Toc1612"/>
      <w:bookmarkStart w:id="2209" w:name="_Toc26279"/>
      <w:r>
        <w:rPr>
          <w:rFonts w:hint="eastAsia"/>
          <w:color w:val="auto"/>
          <w:sz w:val="28"/>
          <w:szCs w:val="28"/>
        </w:rPr>
        <w:t>八、</w:t>
      </w:r>
      <w:bookmarkStart w:id="2210" w:name="_Toc144974875"/>
      <w:bookmarkStart w:id="2211" w:name="_Toc247527847"/>
      <w:bookmarkStart w:id="2212" w:name="_Toc152045807"/>
      <w:bookmarkStart w:id="2213" w:name="_Toc152042596"/>
      <w:bookmarkStart w:id="2214" w:name="_Toc247514299"/>
      <w:r>
        <w:rPr>
          <w:rFonts w:hint="eastAsia"/>
          <w:color w:val="auto"/>
          <w:sz w:val="28"/>
          <w:szCs w:val="28"/>
        </w:rPr>
        <w:t>资格审查资料</w:t>
      </w:r>
      <w:bookmarkEnd w:id="2205"/>
      <w:bookmarkEnd w:id="2206"/>
      <w:bookmarkEnd w:id="2207"/>
      <w:bookmarkEnd w:id="2208"/>
      <w:bookmarkEnd w:id="2209"/>
      <w:bookmarkEnd w:id="2210"/>
      <w:bookmarkEnd w:id="2211"/>
      <w:bookmarkEnd w:id="2212"/>
      <w:bookmarkEnd w:id="2213"/>
      <w:bookmarkEnd w:id="2214"/>
    </w:p>
    <w:p w14:paraId="68B3AC1A">
      <w:pPr>
        <w:pStyle w:val="4"/>
        <w:spacing w:before="120"/>
        <w:jc w:val="center"/>
        <w:rPr>
          <w:color w:val="auto"/>
          <w:sz w:val="24"/>
        </w:rPr>
      </w:pPr>
      <w:bookmarkStart w:id="2215" w:name="_Toc152042597"/>
      <w:bookmarkStart w:id="2216" w:name="_Toc21589"/>
      <w:bookmarkStart w:id="2217" w:name="_Toc519085671"/>
      <w:bookmarkStart w:id="2218" w:name="_Toc144974876"/>
      <w:bookmarkStart w:id="2219" w:name="_Toc247527848"/>
      <w:bookmarkStart w:id="2220" w:name="_Toc152045808"/>
      <w:bookmarkStart w:id="2221" w:name="_Toc154064036"/>
      <w:bookmarkStart w:id="2222" w:name="_Toc247514300"/>
      <w:r>
        <w:rPr>
          <w:color w:val="auto"/>
          <w:sz w:val="24"/>
        </w:rPr>
        <w:t>（一）投标人基本情况</w:t>
      </w:r>
      <w:bookmarkEnd w:id="2215"/>
      <w:bookmarkEnd w:id="2216"/>
      <w:bookmarkEnd w:id="2217"/>
      <w:bookmarkEnd w:id="2218"/>
      <w:bookmarkEnd w:id="2219"/>
      <w:bookmarkEnd w:id="2220"/>
      <w:bookmarkEnd w:id="2221"/>
      <w:bookmarkEnd w:id="2222"/>
    </w:p>
    <w:p w14:paraId="28B37F04">
      <w:pPr>
        <w:pStyle w:val="106"/>
        <w:jc w:val="center"/>
        <w:outlineLvl w:val="3"/>
        <w:rPr>
          <w:color w:val="auto"/>
          <w:szCs w:val="24"/>
        </w:rPr>
      </w:pPr>
      <w:bookmarkStart w:id="2223" w:name="_Toc154064037"/>
      <w:bookmarkStart w:id="2224" w:name="_Toc519085672"/>
      <w:bookmarkStart w:id="2225" w:name="_Toc426496257"/>
      <w:bookmarkStart w:id="2226" w:name="_Toc456173567"/>
      <w:r>
        <w:rPr>
          <w:rFonts w:hint="eastAsia"/>
          <w:color w:val="auto"/>
          <w:szCs w:val="24"/>
        </w:rPr>
        <w:t>1-1投标人基本情况表</w:t>
      </w:r>
      <w:bookmarkEnd w:id="2223"/>
      <w:bookmarkEnd w:id="2224"/>
      <w:bookmarkEnd w:id="2225"/>
      <w:bookmarkEnd w:id="2226"/>
    </w:p>
    <w:tbl>
      <w:tblPr>
        <w:tblStyle w:val="41"/>
        <w:tblW w:w="856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898"/>
        <w:gridCol w:w="951"/>
        <w:gridCol w:w="840"/>
        <w:gridCol w:w="420"/>
        <w:gridCol w:w="311"/>
        <w:gridCol w:w="1078"/>
        <w:gridCol w:w="490"/>
        <w:gridCol w:w="860"/>
        <w:gridCol w:w="992"/>
      </w:tblGrid>
      <w:tr w14:paraId="503E0E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3BC727D6">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投标人名称</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14:paraId="396F1DB8">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r>
      <w:tr w14:paraId="339F57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73B1EE13">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注册地址</w:t>
            </w:r>
          </w:p>
        </w:tc>
        <w:tc>
          <w:tcPr>
            <w:tcW w:w="3420" w:type="dxa"/>
            <w:gridSpan w:val="5"/>
            <w:tcBorders>
              <w:top w:val="single" w:color="auto" w:sz="4" w:space="0"/>
              <w:left w:val="single" w:color="auto" w:sz="4" w:space="0"/>
              <w:bottom w:val="single" w:color="auto" w:sz="4" w:space="0"/>
              <w:right w:val="single" w:color="auto" w:sz="4" w:space="0"/>
            </w:tcBorders>
            <w:noWrap w:val="0"/>
            <w:vAlign w:val="center"/>
          </w:tcPr>
          <w:p w14:paraId="4EE336F0">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427990E9">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邮政编码</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72BF6DF4">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r>
      <w:tr w14:paraId="5BFD68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5" w:hRule="atLeast"/>
        </w:trPr>
        <w:tc>
          <w:tcPr>
            <w:tcW w:w="1728" w:type="dxa"/>
            <w:vMerge w:val="restart"/>
            <w:tcBorders>
              <w:top w:val="single" w:color="auto" w:sz="4" w:space="0"/>
              <w:left w:val="single" w:color="auto" w:sz="4" w:space="0"/>
              <w:bottom w:val="single" w:color="auto" w:sz="4" w:space="0"/>
              <w:right w:val="single" w:color="auto" w:sz="4" w:space="0"/>
            </w:tcBorders>
            <w:noWrap w:val="0"/>
            <w:vAlign w:val="center"/>
          </w:tcPr>
          <w:p w14:paraId="7DE09A84">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联系方式</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37E438F9">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联系人</w:t>
            </w:r>
          </w:p>
        </w:tc>
        <w:tc>
          <w:tcPr>
            <w:tcW w:w="2522" w:type="dxa"/>
            <w:gridSpan w:val="4"/>
            <w:tcBorders>
              <w:top w:val="single" w:color="auto" w:sz="4" w:space="0"/>
              <w:left w:val="single" w:color="auto" w:sz="4" w:space="0"/>
              <w:bottom w:val="single" w:color="auto" w:sz="4" w:space="0"/>
              <w:right w:val="single" w:color="auto" w:sz="4" w:space="0"/>
            </w:tcBorders>
            <w:noWrap w:val="0"/>
            <w:vAlign w:val="center"/>
          </w:tcPr>
          <w:p w14:paraId="4BEDE606">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36CE21E8">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电 话</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5EAB65EC">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r>
      <w:tr w14:paraId="239E07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21" w:hRule="atLeast"/>
        </w:trPr>
        <w:tc>
          <w:tcPr>
            <w:tcW w:w="1728" w:type="dxa"/>
            <w:vMerge w:val="continue"/>
            <w:tcBorders>
              <w:top w:val="single" w:color="auto" w:sz="4" w:space="0"/>
              <w:left w:val="single" w:color="auto" w:sz="4" w:space="0"/>
              <w:bottom w:val="single" w:color="auto" w:sz="4" w:space="0"/>
              <w:right w:val="single" w:color="auto" w:sz="4" w:space="0"/>
            </w:tcBorders>
            <w:noWrap w:val="0"/>
            <w:vAlign w:val="center"/>
          </w:tcPr>
          <w:p w14:paraId="1A5DC856">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7B801E74">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传  真</w:t>
            </w:r>
          </w:p>
        </w:tc>
        <w:tc>
          <w:tcPr>
            <w:tcW w:w="2522" w:type="dxa"/>
            <w:gridSpan w:val="4"/>
            <w:tcBorders>
              <w:top w:val="single" w:color="auto" w:sz="4" w:space="0"/>
              <w:left w:val="single" w:color="auto" w:sz="4" w:space="0"/>
              <w:bottom w:val="single" w:color="auto" w:sz="4" w:space="0"/>
              <w:right w:val="single" w:color="auto" w:sz="4" w:space="0"/>
            </w:tcBorders>
            <w:noWrap w:val="0"/>
            <w:vAlign w:val="center"/>
          </w:tcPr>
          <w:p w14:paraId="0F6607CE">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5EA46E5B">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网 址</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047CD3E0">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r>
      <w:tr w14:paraId="433DF6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04636FF8">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组织结构</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14:paraId="092E65B7">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r>
      <w:tr w14:paraId="6918BE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6"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71FCD645">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法定代表人</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3C93434D">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姓名</w:t>
            </w:r>
          </w:p>
        </w:tc>
        <w:tc>
          <w:tcPr>
            <w:tcW w:w="951" w:type="dxa"/>
            <w:tcBorders>
              <w:top w:val="single" w:color="auto" w:sz="4" w:space="0"/>
              <w:left w:val="single" w:color="auto" w:sz="4" w:space="0"/>
              <w:bottom w:val="single" w:color="auto" w:sz="4" w:space="0"/>
              <w:right w:val="single" w:color="auto" w:sz="4" w:space="0"/>
            </w:tcBorders>
            <w:noWrap w:val="0"/>
            <w:vAlign w:val="center"/>
          </w:tcPr>
          <w:p w14:paraId="1BE39B13">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c>
          <w:tcPr>
            <w:tcW w:w="1260" w:type="dxa"/>
            <w:gridSpan w:val="2"/>
            <w:tcBorders>
              <w:top w:val="single" w:color="auto" w:sz="4" w:space="0"/>
              <w:left w:val="single" w:color="auto" w:sz="4" w:space="0"/>
              <w:bottom w:val="single" w:color="auto" w:sz="4" w:space="0"/>
              <w:right w:val="single" w:color="auto" w:sz="4" w:space="0"/>
            </w:tcBorders>
            <w:noWrap w:val="0"/>
            <w:vAlign w:val="center"/>
          </w:tcPr>
          <w:p w14:paraId="77973E66">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技术职称</w:t>
            </w:r>
          </w:p>
        </w:tc>
        <w:tc>
          <w:tcPr>
            <w:tcW w:w="1879" w:type="dxa"/>
            <w:gridSpan w:val="3"/>
            <w:tcBorders>
              <w:top w:val="single" w:color="auto" w:sz="4" w:space="0"/>
              <w:left w:val="single" w:color="auto" w:sz="4" w:space="0"/>
              <w:bottom w:val="single" w:color="auto" w:sz="4" w:space="0"/>
              <w:right w:val="single" w:color="auto" w:sz="4" w:space="0"/>
            </w:tcBorders>
            <w:noWrap w:val="0"/>
            <w:vAlign w:val="center"/>
          </w:tcPr>
          <w:p w14:paraId="088DF36B">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c>
          <w:tcPr>
            <w:tcW w:w="860" w:type="dxa"/>
            <w:tcBorders>
              <w:top w:val="single" w:color="auto" w:sz="4" w:space="0"/>
              <w:left w:val="single" w:color="auto" w:sz="4" w:space="0"/>
              <w:bottom w:val="single" w:color="auto" w:sz="4" w:space="0"/>
              <w:right w:val="single" w:color="auto" w:sz="4" w:space="0"/>
            </w:tcBorders>
            <w:noWrap w:val="0"/>
            <w:vAlign w:val="center"/>
          </w:tcPr>
          <w:p w14:paraId="3C385BEA">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电话</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6AB59191">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r>
      <w:tr w14:paraId="07F608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7FCE4A51">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技术负责人</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0C6A4CD5">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姓名</w:t>
            </w:r>
          </w:p>
        </w:tc>
        <w:tc>
          <w:tcPr>
            <w:tcW w:w="951" w:type="dxa"/>
            <w:tcBorders>
              <w:top w:val="single" w:color="auto" w:sz="4" w:space="0"/>
              <w:left w:val="single" w:color="auto" w:sz="4" w:space="0"/>
              <w:bottom w:val="single" w:color="auto" w:sz="4" w:space="0"/>
              <w:right w:val="single" w:color="auto" w:sz="4" w:space="0"/>
            </w:tcBorders>
            <w:noWrap w:val="0"/>
            <w:vAlign w:val="center"/>
          </w:tcPr>
          <w:p w14:paraId="7DA1167E">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c>
          <w:tcPr>
            <w:tcW w:w="1260" w:type="dxa"/>
            <w:gridSpan w:val="2"/>
            <w:tcBorders>
              <w:top w:val="single" w:color="auto" w:sz="4" w:space="0"/>
              <w:left w:val="single" w:color="auto" w:sz="4" w:space="0"/>
              <w:bottom w:val="single" w:color="auto" w:sz="4" w:space="0"/>
              <w:right w:val="single" w:color="auto" w:sz="4" w:space="0"/>
            </w:tcBorders>
            <w:noWrap w:val="0"/>
            <w:vAlign w:val="center"/>
          </w:tcPr>
          <w:p w14:paraId="6E62C6CE">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技术职称</w:t>
            </w:r>
          </w:p>
        </w:tc>
        <w:tc>
          <w:tcPr>
            <w:tcW w:w="1879" w:type="dxa"/>
            <w:gridSpan w:val="3"/>
            <w:tcBorders>
              <w:top w:val="single" w:color="auto" w:sz="4" w:space="0"/>
              <w:left w:val="single" w:color="auto" w:sz="4" w:space="0"/>
              <w:bottom w:val="single" w:color="auto" w:sz="4" w:space="0"/>
              <w:right w:val="single" w:color="auto" w:sz="4" w:space="0"/>
            </w:tcBorders>
            <w:noWrap w:val="0"/>
            <w:vAlign w:val="center"/>
          </w:tcPr>
          <w:p w14:paraId="3B8729DB">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c>
          <w:tcPr>
            <w:tcW w:w="860" w:type="dxa"/>
            <w:tcBorders>
              <w:top w:val="single" w:color="auto" w:sz="4" w:space="0"/>
              <w:left w:val="single" w:color="auto" w:sz="4" w:space="0"/>
              <w:bottom w:val="single" w:color="auto" w:sz="4" w:space="0"/>
              <w:right w:val="single" w:color="auto" w:sz="4" w:space="0"/>
            </w:tcBorders>
            <w:noWrap w:val="0"/>
            <w:vAlign w:val="center"/>
          </w:tcPr>
          <w:p w14:paraId="39108A96">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电话</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7E35EA3">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r>
      <w:tr w14:paraId="714AC4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0C9052F1">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成立时间</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6CF5CF39">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c>
          <w:tcPr>
            <w:tcW w:w="4991" w:type="dxa"/>
            <w:gridSpan w:val="7"/>
            <w:tcBorders>
              <w:top w:val="single" w:color="auto" w:sz="4" w:space="0"/>
              <w:left w:val="single" w:color="auto" w:sz="4" w:space="0"/>
              <w:bottom w:val="single" w:color="auto" w:sz="4" w:space="0"/>
              <w:right w:val="single" w:color="auto" w:sz="4" w:space="0"/>
            </w:tcBorders>
            <w:noWrap w:val="0"/>
            <w:vAlign w:val="center"/>
          </w:tcPr>
          <w:p w14:paraId="4AAC86C3">
            <w:pPr>
              <w:keepNext w:val="0"/>
              <w:keepLines w:val="0"/>
              <w:suppressLineNumbers w:val="0"/>
              <w:topLinePunct/>
              <w:spacing w:before="0" w:beforeAutospacing="0" w:after="0" w:afterAutospacing="0" w:line="440" w:lineRule="exact"/>
              <w:ind w:left="0" w:right="0" w:firstLine="105" w:firstLineChars="50"/>
              <w:jc w:val="center"/>
              <w:rPr>
                <w:rFonts w:ascii="Calibri" w:hAnsi="Calibri" w:eastAsia="宋体" w:cs="Times New Roman"/>
                <w:color w:val="auto"/>
                <w:szCs w:val="21"/>
              </w:rPr>
            </w:pPr>
            <w:r>
              <w:rPr>
                <w:rFonts w:ascii="Calibri" w:hAnsi="Calibri" w:eastAsia="宋体" w:cs="Times New Roman"/>
                <w:color w:val="auto"/>
                <w:szCs w:val="21"/>
              </w:rPr>
              <w:t>员工总人数：</w:t>
            </w:r>
          </w:p>
        </w:tc>
      </w:tr>
      <w:tr w14:paraId="1D52C8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2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0774DFC3">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企业资质等级</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31D52E21">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c>
          <w:tcPr>
            <w:tcW w:w="840" w:type="dxa"/>
            <w:vMerge w:val="restart"/>
            <w:tcBorders>
              <w:top w:val="single" w:color="auto" w:sz="4" w:space="0"/>
              <w:left w:val="single" w:color="auto" w:sz="4" w:space="0"/>
              <w:bottom w:val="single" w:color="auto" w:sz="4" w:space="0"/>
              <w:right w:val="single" w:color="auto" w:sz="4" w:space="0"/>
            </w:tcBorders>
            <w:noWrap w:val="0"/>
            <w:vAlign w:val="center"/>
          </w:tcPr>
          <w:p w14:paraId="08E0C944">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其中</w:t>
            </w: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17624F2A">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项目经理</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2423A3EF">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r>
      <w:tr w14:paraId="786880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88"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269CC200">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营业执照号</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72BBCE73">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594AD77F">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766849C7">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高级职称人员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0F84A948">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r>
      <w:tr w14:paraId="68FF96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66"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045773AE">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注册资金</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7070C524">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7155E359">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686B471A">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中级职称人员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00927559">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r>
      <w:tr w14:paraId="186124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4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4494783D">
            <w:pPr>
              <w:keepNext w:val="0"/>
              <w:keepLines w:val="0"/>
              <w:suppressLineNumbers w:val="0"/>
              <w:topLinePunct/>
              <w:spacing w:before="0" w:beforeAutospacing="0" w:after="0" w:afterAutospacing="0" w:line="440" w:lineRule="exact"/>
              <w:ind w:left="0" w:right="0"/>
              <w:jc w:val="center"/>
              <w:rPr>
                <w:rFonts w:hint="eastAsia" w:ascii="Calibri" w:hAnsi="Calibri" w:eastAsia="宋体" w:cs="Times New Roman"/>
                <w:color w:val="auto"/>
              </w:rPr>
            </w:pPr>
            <w:r>
              <w:rPr>
                <w:rFonts w:hint="eastAsia" w:ascii="Calibri" w:hAnsi="Calibri" w:eastAsia="宋体" w:cs="Times New Roman"/>
                <w:color w:val="auto"/>
              </w:rPr>
              <w:t>基本账户</w:t>
            </w:r>
          </w:p>
          <w:p w14:paraId="08741403">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hint="eastAsia" w:ascii="Calibri" w:hAnsi="Calibri" w:eastAsia="宋体" w:cs="Times New Roman"/>
                <w:color w:val="auto"/>
              </w:rPr>
              <w:t>开户银行</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4164804F">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0C08DB98">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17A11DE0">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初级职称人员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1530EC4F">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r>
      <w:tr w14:paraId="78EF5E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6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0B1B22E5">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hint="eastAsia" w:ascii="Calibri" w:hAnsi="Calibri" w:eastAsia="宋体" w:cs="Times New Roman"/>
                <w:color w:val="auto"/>
              </w:rPr>
              <w:t>基本账户账号</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35B496D1">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3B69C308">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66AAC506">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rPr>
            </w:pPr>
            <w:r>
              <w:rPr>
                <w:rFonts w:ascii="Calibri" w:hAnsi="Calibri" w:eastAsia="宋体" w:cs="Times New Roman"/>
                <w:color w:val="auto"/>
                <w:szCs w:val="21"/>
              </w:rPr>
              <w:t>技工</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3EA9991A">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r>
      <w:tr w14:paraId="2A202D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41" w:hRule="atLeast"/>
        </w:trPr>
        <w:tc>
          <w:tcPr>
            <w:tcW w:w="1728" w:type="dxa"/>
            <w:tcBorders>
              <w:top w:val="single" w:color="auto" w:sz="4" w:space="0"/>
              <w:left w:val="single" w:color="auto" w:sz="4" w:space="0"/>
              <w:right w:val="single" w:color="auto" w:sz="4" w:space="0"/>
            </w:tcBorders>
            <w:noWrap w:val="0"/>
            <w:vAlign w:val="center"/>
          </w:tcPr>
          <w:p w14:paraId="05C330EA">
            <w:pPr>
              <w:keepNext w:val="0"/>
              <w:keepLines w:val="0"/>
              <w:suppressLineNumbers w:val="0"/>
              <w:topLinePunct/>
              <w:spacing w:before="0" w:beforeAutospacing="0" w:after="0" w:afterAutospacing="0" w:line="440" w:lineRule="exact"/>
              <w:ind w:left="0" w:right="0" w:firstLine="210" w:firstLineChars="100"/>
              <w:jc w:val="center"/>
              <w:rPr>
                <w:rFonts w:ascii="Calibri" w:hAnsi="Calibri" w:eastAsia="宋体" w:cs="Times New Roman"/>
                <w:color w:val="auto"/>
                <w:szCs w:val="21"/>
              </w:rPr>
            </w:pPr>
            <w:r>
              <w:rPr>
                <w:rFonts w:ascii="Calibri" w:hAnsi="Calibri" w:eastAsia="宋体" w:cs="Times New Roman"/>
                <w:color w:val="auto"/>
                <w:szCs w:val="21"/>
              </w:rPr>
              <w:t>经营范围</w:t>
            </w:r>
          </w:p>
        </w:tc>
        <w:tc>
          <w:tcPr>
            <w:tcW w:w="6840" w:type="dxa"/>
            <w:gridSpan w:val="9"/>
            <w:tcBorders>
              <w:top w:val="single" w:color="auto" w:sz="4" w:space="0"/>
              <w:left w:val="single" w:color="auto" w:sz="4" w:space="0"/>
              <w:right w:val="single" w:color="auto" w:sz="4" w:space="0"/>
            </w:tcBorders>
            <w:noWrap w:val="0"/>
            <w:vAlign w:val="center"/>
          </w:tcPr>
          <w:p w14:paraId="2B422878">
            <w:pPr>
              <w:keepNext w:val="0"/>
              <w:keepLines w:val="0"/>
              <w:suppressLineNumbers w:val="0"/>
              <w:topLinePunct/>
              <w:spacing w:before="0" w:beforeAutospacing="0" w:after="0" w:afterAutospacing="0" w:line="440" w:lineRule="exact"/>
              <w:ind w:left="0" w:right="0"/>
              <w:rPr>
                <w:rFonts w:ascii="Calibri" w:hAnsi="Calibri" w:eastAsia="宋体" w:cs="Times New Roman"/>
                <w:color w:val="auto"/>
                <w:szCs w:val="21"/>
              </w:rPr>
            </w:pPr>
          </w:p>
        </w:tc>
      </w:tr>
      <w:tr w14:paraId="47B282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7604E8FB">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备注</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14:paraId="0E47B26C">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color w:val="auto"/>
                <w:szCs w:val="21"/>
              </w:rPr>
            </w:pPr>
          </w:p>
        </w:tc>
      </w:tr>
    </w:tbl>
    <w:p w14:paraId="026805C2">
      <w:pPr>
        <w:spacing w:line="360" w:lineRule="exact"/>
        <w:ind w:left="945" w:hanging="945" w:hangingChars="450"/>
        <w:rPr>
          <w:color w:val="auto"/>
          <w:szCs w:val="21"/>
        </w:rPr>
      </w:pPr>
    </w:p>
    <w:p w14:paraId="5BBF48A8">
      <w:pPr>
        <w:spacing w:line="360" w:lineRule="exact"/>
        <w:ind w:left="945" w:hanging="945" w:hangingChars="450"/>
        <w:rPr>
          <w:rFonts w:hint="eastAsia"/>
          <w:color w:val="auto"/>
          <w:szCs w:val="21"/>
        </w:rPr>
      </w:pPr>
      <w:r>
        <w:rPr>
          <w:rFonts w:hint="eastAsia"/>
          <w:color w:val="auto"/>
          <w:szCs w:val="21"/>
        </w:rPr>
        <w:t>备注：1. 本表后应附企业法人营业执照、企业资质证书、安全生产许可证（如有）、</w:t>
      </w:r>
      <w:r>
        <w:rPr>
          <w:color w:val="auto"/>
          <w:szCs w:val="21"/>
        </w:rPr>
        <w:t>基本账户开户许可证</w:t>
      </w:r>
      <w:r>
        <w:rPr>
          <w:rFonts w:hint="eastAsia"/>
          <w:color w:val="auto"/>
          <w:szCs w:val="21"/>
        </w:rPr>
        <w:t>（基本账户信息）、</w:t>
      </w:r>
      <w:r>
        <w:rPr>
          <w:color w:val="auto"/>
          <w:szCs w:val="21"/>
        </w:rPr>
        <w:t>质量</w:t>
      </w:r>
      <w:r>
        <w:rPr>
          <w:rFonts w:hint="eastAsia"/>
          <w:color w:val="auto"/>
          <w:szCs w:val="21"/>
        </w:rPr>
        <w:t>、</w:t>
      </w:r>
      <w:r>
        <w:rPr>
          <w:color w:val="auto"/>
          <w:szCs w:val="21"/>
        </w:rPr>
        <w:t>环境</w:t>
      </w:r>
      <w:r>
        <w:rPr>
          <w:rFonts w:hint="eastAsia"/>
          <w:color w:val="auto"/>
          <w:szCs w:val="21"/>
        </w:rPr>
        <w:t>、职业健康安全管理体系认证证书等材料的扫描件。</w:t>
      </w:r>
    </w:p>
    <w:p w14:paraId="7AD0ED0B">
      <w:pPr>
        <w:spacing w:line="360" w:lineRule="exact"/>
        <w:ind w:firstLine="630" w:firstLineChars="300"/>
        <w:rPr>
          <w:rFonts w:hint="eastAsia" w:ascii="宋体" w:hAnsi="宋体"/>
          <w:color w:val="auto"/>
          <w:szCs w:val="21"/>
        </w:rPr>
      </w:pPr>
      <w:r>
        <w:rPr>
          <w:color w:val="auto"/>
          <w:szCs w:val="21"/>
        </w:rPr>
        <w:t>2</w:t>
      </w:r>
      <w:r>
        <w:rPr>
          <w:rFonts w:hint="eastAsia" w:ascii="宋体" w:hAnsi="宋体"/>
          <w:color w:val="auto"/>
          <w:szCs w:val="21"/>
        </w:rPr>
        <w:t>．联合体形式投标的，联合体各成员应分别填写。</w:t>
      </w:r>
    </w:p>
    <w:p w14:paraId="7BC23818">
      <w:pPr>
        <w:spacing w:line="400" w:lineRule="exact"/>
        <w:rPr>
          <w:color w:val="auto"/>
        </w:rPr>
      </w:pPr>
    </w:p>
    <w:p w14:paraId="3E8AE1CB">
      <w:pPr>
        <w:spacing w:line="400" w:lineRule="exact"/>
        <w:rPr>
          <w:rFonts w:hint="eastAsia"/>
          <w:color w:val="auto"/>
        </w:rPr>
      </w:pPr>
    </w:p>
    <w:p w14:paraId="2512AAE2">
      <w:pPr>
        <w:pStyle w:val="106"/>
        <w:jc w:val="center"/>
        <w:outlineLvl w:val="3"/>
        <w:rPr>
          <w:rFonts w:hint="eastAsia"/>
          <w:bCs/>
          <w:color w:val="auto"/>
        </w:rPr>
      </w:pPr>
      <w:bookmarkStart w:id="2227" w:name="_Toc107270913"/>
      <w:bookmarkStart w:id="2228" w:name="_Toc141461636"/>
      <w:bookmarkStart w:id="2229" w:name="_Toc154064038"/>
      <w:r>
        <w:rPr>
          <w:rFonts w:hint="eastAsia"/>
          <w:color w:val="auto"/>
          <w:szCs w:val="24"/>
        </w:rPr>
        <w:t>1-2关联单位情况说明</w:t>
      </w:r>
      <w:bookmarkEnd w:id="2227"/>
      <w:bookmarkEnd w:id="2228"/>
      <w:bookmarkEnd w:id="2229"/>
    </w:p>
    <w:p w14:paraId="27D04618">
      <w:pPr>
        <w:widowControl/>
        <w:spacing w:line="360" w:lineRule="exact"/>
        <w:ind w:firstLine="560" w:firstLineChars="200"/>
        <w:jc w:val="center"/>
        <w:outlineLvl w:val="3"/>
        <w:rPr>
          <w:rFonts w:hint="eastAsia" w:eastAsia="黑体" w:cs="宋体"/>
          <w:bCs/>
          <w:color w:val="auto"/>
          <w:kern w:val="20"/>
          <w:sz w:val="28"/>
          <w:szCs w:val="28"/>
        </w:rPr>
      </w:pPr>
    </w:p>
    <w:p w14:paraId="2E870C07">
      <w:pPr>
        <w:widowControl/>
        <w:spacing w:line="360" w:lineRule="exact"/>
        <w:ind w:firstLine="210" w:firstLineChars="100"/>
        <w:rPr>
          <w:rFonts w:hint="eastAsia"/>
          <w:color w:val="auto"/>
          <w:szCs w:val="20"/>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fixed"/>
        <w:tblCellMar>
          <w:top w:w="0" w:type="dxa"/>
          <w:left w:w="0" w:type="dxa"/>
          <w:bottom w:w="0" w:type="dxa"/>
          <w:right w:w="0" w:type="dxa"/>
        </w:tblCellMar>
      </w:tblPr>
      <w:tblGrid>
        <w:gridCol w:w="9234"/>
      </w:tblGrid>
      <w:tr w14:paraId="439B0AE1">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0" w:type="dxa"/>
            <w:bottom w:w="0" w:type="dxa"/>
            <w:right w:w="0" w:type="dxa"/>
          </w:tblCellMar>
        </w:tblPrEx>
        <w:trPr>
          <w:trHeight w:val="8400" w:hRule="atLeast"/>
          <w:jc w:val="center"/>
        </w:trPr>
        <w:tc>
          <w:tcPr>
            <w:tcW w:w="9234" w:type="dxa"/>
            <w:noWrap w:val="0"/>
            <w:vAlign w:val="top"/>
          </w:tcPr>
          <w:p w14:paraId="74462D47">
            <w:pPr>
              <w:keepNext w:val="0"/>
              <w:keepLines w:val="0"/>
              <w:suppressLineNumbers w:val="0"/>
              <w:tabs>
                <w:tab w:val="left" w:pos="0"/>
              </w:tabs>
              <w:snapToGrid w:val="0"/>
              <w:spacing w:before="0" w:beforeAutospacing="0" w:after="0" w:afterAutospacing="0" w:line="360" w:lineRule="exact"/>
              <w:ind w:left="0" w:right="0"/>
              <w:rPr>
                <w:rFonts w:ascii="Calibri" w:hAnsi="Calibri" w:eastAsia="宋体" w:cs="Times New Roman"/>
                <w:color w:val="auto"/>
                <w:szCs w:val="21"/>
              </w:rPr>
            </w:pPr>
          </w:p>
          <w:p w14:paraId="3DF2F454">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rPr>
            </w:pPr>
            <w:r>
              <w:rPr>
                <w:rFonts w:ascii="宋体" w:hAnsi="宋体" w:eastAsia="宋体" w:cs="Times New Roman"/>
                <w:color w:val="auto"/>
                <w:szCs w:val="20"/>
              </w:rPr>
              <w:t>单位负责人</w:t>
            </w:r>
            <w:r>
              <w:rPr>
                <w:rFonts w:hint="eastAsia" w:ascii="宋体" w:hAnsi="宋体" w:eastAsia="宋体" w:cs="Times New Roman"/>
                <w:color w:val="auto"/>
                <w:szCs w:val="20"/>
              </w:rPr>
              <w:t>与本</w:t>
            </w:r>
            <w:r>
              <w:rPr>
                <w:rFonts w:ascii="宋体" w:hAnsi="宋体" w:eastAsia="宋体" w:cs="Times New Roman"/>
                <w:color w:val="auto"/>
                <w:szCs w:val="20"/>
              </w:rPr>
              <w:t>单位负责人为同一人</w:t>
            </w:r>
            <w:r>
              <w:rPr>
                <w:rFonts w:hint="eastAsia" w:ascii="宋体" w:hAnsi="宋体" w:eastAsia="宋体" w:cs="Times New Roman"/>
                <w:color w:val="auto"/>
                <w:szCs w:val="20"/>
              </w:rPr>
              <w:t>的单位：</w:t>
            </w:r>
          </w:p>
          <w:p w14:paraId="262896A8">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rPr>
            </w:pPr>
          </w:p>
          <w:p w14:paraId="44B1DB55">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rPr>
            </w:pPr>
          </w:p>
          <w:p w14:paraId="292B42D3">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rPr>
            </w:pPr>
          </w:p>
          <w:p w14:paraId="077FE724">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rPr>
            </w:pPr>
          </w:p>
          <w:p w14:paraId="51E3E178">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rPr>
            </w:pPr>
          </w:p>
          <w:p w14:paraId="54B0B772">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rPr>
            </w:pPr>
          </w:p>
          <w:p w14:paraId="0AB90116">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rPr>
            </w:pPr>
            <w:r>
              <w:rPr>
                <w:rFonts w:hint="eastAsia" w:ascii="宋体" w:hAnsi="宋体" w:eastAsia="宋体" w:cs="Times New Roman"/>
                <w:color w:val="auto"/>
                <w:szCs w:val="20"/>
              </w:rPr>
              <w:t>与本</w:t>
            </w:r>
            <w:r>
              <w:rPr>
                <w:rFonts w:ascii="宋体" w:hAnsi="宋体" w:eastAsia="宋体" w:cs="Times New Roman"/>
                <w:color w:val="auto"/>
                <w:szCs w:val="20"/>
              </w:rPr>
              <w:t>单位存在控股</w:t>
            </w:r>
            <w:r>
              <w:rPr>
                <w:rFonts w:hint="eastAsia" w:ascii="宋体" w:hAnsi="宋体" w:eastAsia="宋体" w:cs="Times New Roman"/>
                <w:color w:val="auto"/>
                <w:szCs w:val="20"/>
              </w:rPr>
              <w:t>与被控股</w:t>
            </w:r>
            <w:r>
              <w:rPr>
                <w:rFonts w:ascii="宋体" w:hAnsi="宋体" w:eastAsia="宋体" w:cs="Times New Roman"/>
                <w:color w:val="auto"/>
                <w:szCs w:val="20"/>
              </w:rPr>
              <w:t>关系的单位</w:t>
            </w:r>
            <w:r>
              <w:rPr>
                <w:rFonts w:hint="eastAsia" w:ascii="宋体" w:hAnsi="宋体" w:eastAsia="宋体" w:cs="Times New Roman"/>
                <w:color w:val="auto"/>
                <w:szCs w:val="20"/>
              </w:rPr>
              <w:t>：</w:t>
            </w:r>
          </w:p>
          <w:p w14:paraId="0FB8931D">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rPr>
            </w:pPr>
          </w:p>
          <w:p w14:paraId="7E0A4FA8">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rPr>
            </w:pPr>
          </w:p>
          <w:p w14:paraId="0A8DE60E">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rPr>
            </w:pPr>
          </w:p>
          <w:p w14:paraId="221C7C6F">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rPr>
            </w:pPr>
          </w:p>
          <w:p w14:paraId="72C24AD8">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rPr>
            </w:pPr>
          </w:p>
          <w:p w14:paraId="49942157">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rPr>
            </w:pPr>
          </w:p>
          <w:p w14:paraId="3D8C8C33">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rPr>
            </w:pPr>
          </w:p>
          <w:p w14:paraId="15BB7918">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rPr>
            </w:pPr>
          </w:p>
          <w:p w14:paraId="27831420">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color w:val="auto"/>
                <w:szCs w:val="20"/>
              </w:rPr>
            </w:pPr>
          </w:p>
          <w:p w14:paraId="7F1CEBB9">
            <w:pPr>
              <w:keepNext w:val="0"/>
              <w:keepLines w:val="0"/>
              <w:suppressLineNumbers w:val="0"/>
              <w:spacing w:before="0" w:beforeAutospacing="0" w:after="0" w:afterAutospacing="0" w:line="240" w:lineRule="auto"/>
              <w:ind w:left="945" w:right="0" w:hanging="945" w:hangingChars="450"/>
              <w:rPr>
                <w:rFonts w:ascii="宋体" w:hAnsi="宋体" w:eastAsia="宋体" w:cs="Times New Roman"/>
                <w:color w:val="auto"/>
                <w:szCs w:val="20"/>
              </w:rPr>
            </w:pPr>
            <w:r>
              <w:rPr>
                <w:rFonts w:hint="eastAsia" w:ascii="宋体" w:hAnsi="宋体" w:eastAsia="宋体" w:cs="Times New Roman"/>
                <w:color w:val="auto"/>
                <w:szCs w:val="20"/>
              </w:rPr>
              <w:t>与本</w:t>
            </w:r>
            <w:r>
              <w:rPr>
                <w:rFonts w:ascii="宋体" w:hAnsi="宋体" w:eastAsia="宋体" w:cs="Times New Roman"/>
                <w:color w:val="auto"/>
                <w:szCs w:val="20"/>
              </w:rPr>
              <w:t>单位存在管理</w:t>
            </w:r>
            <w:r>
              <w:rPr>
                <w:rFonts w:hint="eastAsia" w:ascii="宋体" w:hAnsi="宋体" w:eastAsia="宋体" w:cs="Times New Roman"/>
                <w:color w:val="auto"/>
                <w:szCs w:val="20"/>
              </w:rPr>
              <w:t>与被管理</w:t>
            </w:r>
            <w:r>
              <w:rPr>
                <w:rFonts w:ascii="宋体" w:hAnsi="宋体" w:eastAsia="宋体" w:cs="Times New Roman"/>
                <w:color w:val="auto"/>
                <w:szCs w:val="20"/>
              </w:rPr>
              <w:t>关系的单位</w:t>
            </w:r>
            <w:r>
              <w:rPr>
                <w:rFonts w:hint="eastAsia" w:ascii="宋体" w:hAnsi="宋体" w:eastAsia="宋体" w:cs="Times New Roman"/>
                <w:color w:val="auto"/>
                <w:szCs w:val="20"/>
              </w:rPr>
              <w:t>：</w:t>
            </w:r>
          </w:p>
          <w:p w14:paraId="093FB90A">
            <w:pPr>
              <w:keepNext w:val="0"/>
              <w:keepLines w:val="0"/>
              <w:suppressLineNumbers w:val="0"/>
              <w:snapToGrid w:val="0"/>
              <w:spacing w:before="0" w:beforeAutospacing="0" w:after="0" w:afterAutospacing="0" w:line="360" w:lineRule="exact"/>
              <w:ind w:left="0" w:right="0"/>
              <w:rPr>
                <w:rFonts w:ascii="Calibri" w:hAnsi="Calibri" w:eastAsia="宋体" w:cs="Times New Roman"/>
                <w:color w:val="auto"/>
                <w:szCs w:val="21"/>
              </w:rPr>
            </w:pPr>
          </w:p>
          <w:p w14:paraId="1EB9141A">
            <w:pPr>
              <w:keepNext w:val="0"/>
              <w:keepLines w:val="0"/>
              <w:suppressLineNumbers w:val="0"/>
              <w:snapToGrid w:val="0"/>
              <w:spacing w:before="0" w:beforeAutospacing="0" w:after="0" w:afterAutospacing="0" w:line="360" w:lineRule="exact"/>
              <w:ind w:left="0" w:right="0"/>
              <w:rPr>
                <w:rFonts w:ascii="Calibri" w:hAnsi="Calibri" w:eastAsia="宋体" w:cs="Times New Roman"/>
                <w:color w:val="auto"/>
                <w:szCs w:val="21"/>
              </w:rPr>
            </w:pPr>
          </w:p>
          <w:p w14:paraId="7DE4BB0D">
            <w:pPr>
              <w:keepNext w:val="0"/>
              <w:keepLines w:val="0"/>
              <w:suppressLineNumbers w:val="0"/>
              <w:tabs>
                <w:tab w:val="left" w:pos="6039"/>
              </w:tabs>
              <w:snapToGrid w:val="0"/>
              <w:spacing w:before="0" w:beforeAutospacing="0" w:after="0" w:afterAutospacing="0" w:line="360" w:lineRule="exact"/>
              <w:ind w:left="0" w:right="0"/>
              <w:rPr>
                <w:rFonts w:ascii="Calibri" w:hAnsi="Calibri" w:eastAsia="宋体" w:cs="Times New Roman"/>
                <w:color w:val="auto"/>
                <w:szCs w:val="21"/>
              </w:rPr>
            </w:pPr>
          </w:p>
        </w:tc>
      </w:tr>
    </w:tbl>
    <w:p w14:paraId="2F26F50F">
      <w:pPr>
        <w:widowControl/>
        <w:spacing w:line="360" w:lineRule="exact"/>
        <w:ind w:firstLine="420" w:firstLineChars="200"/>
        <w:jc w:val="center"/>
        <w:outlineLvl w:val="3"/>
        <w:rPr>
          <w:color w:val="auto"/>
          <w:szCs w:val="30"/>
        </w:rPr>
      </w:pPr>
    </w:p>
    <w:p w14:paraId="44344624">
      <w:pPr>
        <w:spacing w:line="240" w:lineRule="auto"/>
        <w:ind w:left="945" w:hanging="945" w:hangingChars="450"/>
        <w:rPr>
          <w:rFonts w:hint="eastAsia" w:ascii="宋体" w:hAnsi="宋体"/>
          <w:color w:val="auto"/>
          <w:szCs w:val="20"/>
        </w:rPr>
      </w:pPr>
    </w:p>
    <w:p w14:paraId="097E803B">
      <w:pPr>
        <w:spacing w:line="240" w:lineRule="auto"/>
        <w:ind w:left="945" w:hanging="945" w:hangingChars="450"/>
        <w:rPr>
          <w:rFonts w:hint="eastAsia" w:ascii="宋体" w:hAnsi="宋体"/>
          <w:color w:val="auto"/>
          <w:szCs w:val="20"/>
        </w:rPr>
      </w:pPr>
    </w:p>
    <w:p w14:paraId="600316DE">
      <w:pPr>
        <w:spacing w:line="360" w:lineRule="exact"/>
        <w:ind w:left="945" w:hanging="945" w:hangingChars="450"/>
        <w:rPr>
          <w:rFonts w:hint="eastAsia"/>
          <w:color w:val="auto"/>
          <w:szCs w:val="21"/>
        </w:rPr>
      </w:pPr>
    </w:p>
    <w:p w14:paraId="47CB3C74">
      <w:pPr>
        <w:spacing w:line="360" w:lineRule="exact"/>
        <w:ind w:left="945" w:hanging="945" w:hangingChars="450"/>
        <w:rPr>
          <w:rFonts w:hint="eastAsia"/>
          <w:color w:val="auto"/>
          <w:szCs w:val="21"/>
        </w:rPr>
      </w:pPr>
      <w:r>
        <w:rPr>
          <w:rFonts w:hint="eastAsia"/>
          <w:color w:val="auto"/>
          <w:szCs w:val="21"/>
        </w:rPr>
        <w:t>备注：1. 投标人应当如实披露相关关联单位的情况。没有相关关联单位的明确填“无”。</w:t>
      </w:r>
    </w:p>
    <w:p w14:paraId="4C22D31D">
      <w:pPr>
        <w:spacing w:line="360" w:lineRule="exact"/>
        <w:ind w:left="945" w:leftChars="300" w:hanging="315" w:hangingChars="150"/>
        <w:rPr>
          <w:rFonts w:hint="eastAsia"/>
          <w:color w:val="auto"/>
          <w:szCs w:val="21"/>
        </w:rPr>
      </w:pPr>
      <w:r>
        <w:rPr>
          <w:color w:val="auto"/>
          <w:szCs w:val="21"/>
        </w:rPr>
        <w:t>2</w:t>
      </w:r>
      <w:r>
        <w:rPr>
          <w:rFonts w:hint="eastAsia"/>
          <w:color w:val="auto"/>
          <w:szCs w:val="21"/>
        </w:rPr>
        <w:t>．联合体投标的，联合体各成员应分别填写。</w:t>
      </w:r>
    </w:p>
    <w:p w14:paraId="18FC4E0A">
      <w:pPr>
        <w:spacing w:line="400" w:lineRule="atLeast"/>
        <w:jc w:val="left"/>
        <w:rPr>
          <w:rFonts w:hint="eastAsia" w:ascii="宋体" w:hAnsi="宋体"/>
          <w:color w:val="auto"/>
          <w:szCs w:val="20"/>
        </w:rPr>
      </w:pPr>
    </w:p>
    <w:p w14:paraId="3AD785A7">
      <w:pPr>
        <w:keepNext/>
        <w:keepLines/>
        <w:spacing w:line="400" w:lineRule="exact"/>
        <w:ind w:firstLine="118"/>
        <w:jc w:val="center"/>
        <w:outlineLvl w:val="2"/>
        <w:rPr>
          <w:rFonts w:eastAsia="黑体" w:cs="宋体"/>
          <w:bCs/>
          <w:color w:val="auto"/>
          <w:sz w:val="24"/>
          <w:szCs w:val="20"/>
        </w:rPr>
        <w:sectPr>
          <w:headerReference r:id="rId14" w:type="default"/>
          <w:footerReference r:id="rId15" w:type="default"/>
          <w:footerReference r:id="rId16" w:type="even"/>
          <w:pgSz w:w="11906" w:h="16838"/>
          <w:pgMar w:top="1440" w:right="1800" w:bottom="1440" w:left="1800" w:header="851" w:footer="992" w:gutter="0"/>
          <w:cols w:space="720" w:num="1"/>
          <w:docGrid w:linePitch="312" w:charSpace="0"/>
        </w:sectPr>
      </w:pPr>
    </w:p>
    <w:p w14:paraId="36D073B9">
      <w:pPr>
        <w:pStyle w:val="106"/>
        <w:jc w:val="center"/>
        <w:outlineLvl w:val="3"/>
        <w:rPr>
          <w:rFonts w:hint="eastAsia"/>
          <w:color w:val="auto"/>
          <w:szCs w:val="24"/>
        </w:rPr>
      </w:pPr>
      <w:bookmarkStart w:id="2230" w:name="_Toc426496259"/>
      <w:bookmarkStart w:id="2231" w:name="_Toc456173569"/>
      <w:bookmarkStart w:id="2232" w:name="_Toc519085674"/>
      <w:bookmarkStart w:id="2233" w:name="_Toc154064039"/>
      <w:r>
        <w:rPr>
          <w:rFonts w:hint="eastAsia"/>
          <w:color w:val="auto"/>
          <w:szCs w:val="24"/>
        </w:rPr>
        <w:t>1-3</w:t>
      </w:r>
      <w:bookmarkEnd w:id="2230"/>
      <w:bookmarkEnd w:id="2231"/>
      <w:bookmarkEnd w:id="2232"/>
      <w:r>
        <w:rPr>
          <w:rFonts w:hint="eastAsia"/>
          <w:color w:val="auto"/>
          <w:szCs w:val="24"/>
        </w:rPr>
        <w:t>拟投入主要施工设备、试验和检测仪器设备</w:t>
      </w:r>
      <w:bookmarkEnd w:id="2233"/>
    </w:p>
    <w:p w14:paraId="20731B54">
      <w:pPr>
        <w:spacing w:line="400" w:lineRule="exact"/>
        <w:rPr>
          <w:rFonts w:hint="eastAsia"/>
          <w:color w:val="auto"/>
        </w:rPr>
      </w:pPr>
    </w:p>
    <w:p w14:paraId="407D0A71">
      <w:pPr>
        <w:spacing w:line="400" w:lineRule="atLeast"/>
        <w:ind w:left="1365" w:leftChars="300" w:hanging="735" w:hangingChars="350"/>
        <w:rPr>
          <w:rFonts w:hint="eastAsia" w:ascii="宋体" w:hAnsi="宋体"/>
          <w:color w:val="auto"/>
          <w:szCs w:val="21"/>
        </w:rPr>
      </w:pPr>
      <w:r>
        <w:rPr>
          <w:rFonts w:hint="eastAsia" w:ascii="宋体" w:hAnsi="宋体"/>
          <w:color w:val="auto"/>
          <w:szCs w:val="21"/>
        </w:rPr>
        <w:t>说明：“拟投入主要施工设备情况表”见本章 “承包人实施计划”---</w:t>
      </w:r>
      <w:r>
        <w:rPr>
          <w:rFonts w:ascii="宋体" w:hAnsi="宋体"/>
          <w:color w:val="auto"/>
          <w:szCs w:val="21"/>
        </w:rPr>
        <w:t xml:space="preserve"> </w:t>
      </w:r>
      <w:r>
        <w:rPr>
          <w:rFonts w:hint="eastAsia" w:ascii="宋体" w:hAnsi="宋体"/>
          <w:color w:val="auto"/>
          <w:szCs w:val="21"/>
        </w:rPr>
        <w:t>“</w:t>
      </w:r>
      <w:r>
        <w:rPr>
          <w:rFonts w:ascii="宋体" w:hAnsi="宋体"/>
          <w:color w:val="auto"/>
          <w:szCs w:val="21"/>
        </w:rPr>
        <w:t>拟投入本</w:t>
      </w:r>
      <w:r>
        <w:rPr>
          <w:rFonts w:hint="eastAsia" w:ascii="宋体" w:hAnsi="宋体"/>
          <w:color w:val="auto"/>
          <w:szCs w:val="21"/>
        </w:rPr>
        <w:t>项目</w:t>
      </w:r>
      <w:r>
        <w:rPr>
          <w:rFonts w:ascii="宋体" w:hAnsi="宋体"/>
          <w:color w:val="auto"/>
          <w:szCs w:val="21"/>
        </w:rPr>
        <w:t>的主要设备表</w:t>
      </w:r>
      <w:r>
        <w:rPr>
          <w:rFonts w:hint="eastAsia" w:ascii="宋体" w:hAnsi="宋体"/>
          <w:color w:val="auto"/>
          <w:szCs w:val="21"/>
        </w:rPr>
        <w:t>”</w:t>
      </w:r>
    </w:p>
    <w:p w14:paraId="3E7C5C20">
      <w:pPr>
        <w:spacing w:line="400" w:lineRule="exact"/>
        <w:ind w:firstLine="630" w:firstLineChars="300"/>
        <w:rPr>
          <w:rFonts w:hint="eastAsia"/>
          <w:color w:val="auto"/>
        </w:rPr>
      </w:pPr>
    </w:p>
    <w:p w14:paraId="17BDCE45">
      <w:pPr>
        <w:spacing w:line="400" w:lineRule="exact"/>
        <w:ind w:left="1365" w:leftChars="550" w:hanging="210" w:hangingChars="100"/>
        <w:rPr>
          <w:rFonts w:hint="eastAsia"/>
          <w:color w:val="auto"/>
        </w:rPr>
      </w:pPr>
      <w:bookmarkStart w:id="2234" w:name="_Toc27033"/>
      <w:r>
        <w:rPr>
          <w:rFonts w:hint="eastAsia"/>
          <w:color w:val="auto"/>
        </w:rPr>
        <w:t>“</w:t>
      </w:r>
      <w:r>
        <w:rPr>
          <w:color w:val="auto"/>
        </w:rPr>
        <w:t>拟</w:t>
      </w:r>
      <w:r>
        <w:rPr>
          <w:rFonts w:hint="eastAsia"/>
          <w:color w:val="auto"/>
        </w:rPr>
        <w:t>投入</w:t>
      </w:r>
      <w:r>
        <w:rPr>
          <w:color w:val="auto"/>
        </w:rPr>
        <w:t>本</w:t>
      </w:r>
      <w:r>
        <w:rPr>
          <w:rFonts w:hint="eastAsia"/>
          <w:color w:val="auto"/>
        </w:rPr>
        <w:t>项目</w:t>
      </w:r>
      <w:r>
        <w:rPr>
          <w:color w:val="auto"/>
        </w:rPr>
        <w:t>的</w:t>
      </w:r>
      <w:r>
        <w:rPr>
          <w:rFonts w:hint="eastAsia"/>
          <w:color w:val="auto"/>
        </w:rPr>
        <w:t>试</w:t>
      </w:r>
      <w:r>
        <w:rPr>
          <w:color w:val="auto"/>
        </w:rPr>
        <w:t>验和检测仪器设备表</w:t>
      </w:r>
      <w:bookmarkEnd w:id="2234"/>
      <w:r>
        <w:rPr>
          <w:rFonts w:hint="eastAsia"/>
          <w:color w:val="auto"/>
        </w:rPr>
        <w:t>”</w:t>
      </w:r>
      <w:r>
        <w:rPr>
          <w:rFonts w:hint="eastAsia" w:ascii="宋体" w:hAnsi="宋体"/>
          <w:color w:val="auto"/>
          <w:szCs w:val="21"/>
        </w:rPr>
        <w:t xml:space="preserve"> 见本章 “承包人实施计划”---</w:t>
      </w:r>
      <w:r>
        <w:rPr>
          <w:rFonts w:ascii="宋体" w:hAnsi="宋体"/>
          <w:color w:val="auto"/>
          <w:szCs w:val="21"/>
        </w:rPr>
        <w:t xml:space="preserve"> </w:t>
      </w:r>
      <w:r>
        <w:rPr>
          <w:rFonts w:hint="eastAsia" w:ascii="宋体" w:hAnsi="宋体"/>
          <w:color w:val="auto"/>
          <w:szCs w:val="21"/>
        </w:rPr>
        <w:t>“</w:t>
      </w:r>
      <w:r>
        <w:rPr>
          <w:rFonts w:ascii="宋体" w:hAnsi="宋体"/>
          <w:color w:val="auto"/>
          <w:szCs w:val="21"/>
        </w:rPr>
        <w:t>拟投入本</w:t>
      </w:r>
      <w:r>
        <w:rPr>
          <w:rFonts w:hint="eastAsia" w:ascii="宋体" w:hAnsi="宋体"/>
          <w:color w:val="auto"/>
          <w:szCs w:val="21"/>
        </w:rPr>
        <w:t>项目</w:t>
      </w:r>
      <w:r>
        <w:rPr>
          <w:rFonts w:ascii="宋体" w:hAnsi="宋体"/>
          <w:color w:val="auto"/>
          <w:szCs w:val="21"/>
        </w:rPr>
        <w:t>的主要设备表</w:t>
      </w:r>
      <w:r>
        <w:rPr>
          <w:rFonts w:hint="eastAsia" w:ascii="宋体" w:hAnsi="宋体"/>
          <w:color w:val="auto"/>
          <w:szCs w:val="21"/>
        </w:rPr>
        <w:t>”</w:t>
      </w:r>
    </w:p>
    <w:p w14:paraId="09191E38">
      <w:pPr>
        <w:spacing w:line="400" w:lineRule="exact"/>
        <w:rPr>
          <w:rFonts w:hint="eastAsia"/>
          <w:color w:val="auto"/>
        </w:rPr>
      </w:pPr>
    </w:p>
    <w:p w14:paraId="7ADBF5E9">
      <w:pPr>
        <w:spacing w:line="400" w:lineRule="exact"/>
        <w:rPr>
          <w:rFonts w:hint="eastAsia"/>
          <w:color w:val="auto"/>
        </w:rPr>
      </w:pPr>
    </w:p>
    <w:p w14:paraId="53D72A61">
      <w:pPr>
        <w:spacing w:line="400" w:lineRule="exact"/>
        <w:rPr>
          <w:rFonts w:hint="eastAsia"/>
          <w:color w:val="auto"/>
        </w:rPr>
      </w:pPr>
    </w:p>
    <w:p w14:paraId="43C08871">
      <w:pPr>
        <w:spacing w:line="400" w:lineRule="exact"/>
        <w:rPr>
          <w:rFonts w:hint="eastAsia"/>
          <w:color w:val="auto"/>
        </w:rPr>
      </w:pPr>
    </w:p>
    <w:p w14:paraId="1A3D0C7E">
      <w:pPr>
        <w:spacing w:line="400" w:lineRule="exact"/>
        <w:rPr>
          <w:rFonts w:hint="eastAsia"/>
          <w:color w:val="auto"/>
        </w:rPr>
      </w:pPr>
    </w:p>
    <w:p w14:paraId="5611CD41">
      <w:pPr>
        <w:spacing w:line="400" w:lineRule="exact"/>
        <w:rPr>
          <w:rFonts w:hint="eastAsia"/>
          <w:color w:val="auto"/>
        </w:rPr>
      </w:pPr>
    </w:p>
    <w:p w14:paraId="00E6B1BE">
      <w:pPr>
        <w:spacing w:line="400" w:lineRule="exact"/>
        <w:rPr>
          <w:rFonts w:hint="eastAsia"/>
          <w:color w:val="auto"/>
        </w:rPr>
      </w:pPr>
    </w:p>
    <w:p w14:paraId="0F32CE54">
      <w:pPr>
        <w:spacing w:line="400" w:lineRule="exact"/>
        <w:rPr>
          <w:rFonts w:hint="eastAsia"/>
          <w:color w:val="auto"/>
        </w:rPr>
      </w:pPr>
    </w:p>
    <w:p w14:paraId="2D97FC5B">
      <w:pPr>
        <w:spacing w:line="400" w:lineRule="exact"/>
        <w:rPr>
          <w:rFonts w:hint="eastAsia"/>
          <w:color w:val="auto"/>
        </w:rPr>
      </w:pPr>
    </w:p>
    <w:p w14:paraId="71B612B8">
      <w:pPr>
        <w:spacing w:line="400" w:lineRule="exact"/>
        <w:rPr>
          <w:rFonts w:hint="eastAsia"/>
          <w:color w:val="auto"/>
        </w:rPr>
      </w:pPr>
    </w:p>
    <w:p w14:paraId="7FC60D33">
      <w:pPr>
        <w:spacing w:line="400" w:lineRule="exact"/>
        <w:rPr>
          <w:rFonts w:hint="eastAsia"/>
          <w:color w:val="auto"/>
        </w:rPr>
      </w:pPr>
    </w:p>
    <w:p w14:paraId="77B6C0BC">
      <w:pPr>
        <w:spacing w:line="400" w:lineRule="exact"/>
        <w:rPr>
          <w:rFonts w:hint="eastAsia"/>
          <w:color w:val="auto"/>
        </w:rPr>
      </w:pPr>
    </w:p>
    <w:p w14:paraId="71C60A74">
      <w:pPr>
        <w:spacing w:line="400" w:lineRule="exact"/>
        <w:rPr>
          <w:rFonts w:hint="eastAsia"/>
          <w:color w:val="auto"/>
        </w:rPr>
      </w:pPr>
    </w:p>
    <w:p w14:paraId="49FA23A4">
      <w:pPr>
        <w:spacing w:line="400" w:lineRule="exact"/>
        <w:rPr>
          <w:rFonts w:hint="eastAsia"/>
          <w:color w:val="auto"/>
        </w:rPr>
      </w:pPr>
    </w:p>
    <w:p w14:paraId="1E2A40C6">
      <w:pPr>
        <w:spacing w:line="400" w:lineRule="exact"/>
        <w:rPr>
          <w:rFonts w:hint="eastAsia"/>
          <w:color w:val="auto"/>
        </w:rPr>
      </w:pPr>
    </w:p>
    <w:p w14:paraId="58DFB9FD">
      <w:pPr>
        <w:spacing w:line="400" w:lineRule="exact"/>
        <w:rPr>
          <w:rFonts w:hint="eastAsia"/>
          <w:color w:val="auto"/>
        </w:rPr>
      </w:pPr>
    </w:p>
    <w:p w14:paraId="3149E397">
      <w:pPr>
        <w:spacing w:line="400" w:lineRule="exact"/>
        <w:rPr>
          <w:rFonts w:hint="eastAsia"/>
          <w:color w:val="auto"/>
        </w:rPr>
      </w:pPr>
    </w:p>
    <w:p w14:paraId="47F13119">
      <w:pPr>
        <w:spacing w:line="400" w:lineRule="exact"/>
        <w:rPr>
          <w:rFonts w:hint="eastAsia"/>
          <w:color w:val="auto"/>
        </w:rPr>
      </w:pPr>
    </w:p>
    <w:p w14:paraId="328397F1">
      <w:pPr>
        <w:spacing w:line="400" w:lineRule="exact"/>
        <w:rPr>
          <w:rFonts w:hint="eastAsia"/>
          <w:color w:val="auto"/>
        </w:rPr>
      </w:pPr>
    </w:p>
    <w:p w14:paraId="0EE7A5B1">
      <w:pPr>
        <w:spacing w:line="400" w:lineRule="exact"/>
        <w:rPr>
          <w:rFonts w:hint="eastAsia"/>
          <w:color w:val="auto"/>
        </w:rPr>
      </w:pPr>
    </w:p>
    <w:p w14:paraId="0E4CC611">
      <w:pPr>
        <w:spacing w:line="400" w:lineRule="exact"/>
        <w:rPr>
          <w:rFonts w:hint="eastAsia"/>
          <w:color w:val="auto"/>
        </w:rPr>
      </w:pPr>
    </w:p>
    <w:p w14:paraId="4D20E055">
      <w:pPr>
        <w:spacing w:line="400" w:lineRule="exact"/>
        <w:rPr>
          <w:rFonts w:hint="eastAsia"/>
          <w:color w:val="auto"/>
        </w:rPr>
      </w:pPr>
    </w:p>
    <w:p w14:paraId="71FC55BB">
      <w:pPr>
        <w:spacing w:line="400" w:lineRule="exact"/>
        <w:rPr>
          <w:rFonts w:hint="eastAsia"/>
          <w:color w:val="auto"/>
        </w:rPr>
      </w:pPr>
    </w:p>
    <w:p w14:paraId="18CCCBC3">
      <w:pPr>
        <w:spacing w:line="400" w:lineRule="exact"/>
        <w:rPr>
          <w:rFonts w:hint="eastAsia"/>
          <w:color w:val="auto"/>
        </w:rPr>
      </w:pPr>
    </w:p>
    <w:p w14:paraId="50AB868C">
      <w:pPr>
        <w:spacing w:line="400" w:lineRule="exact"/>
        <w:rPr>
          <w:rFonts w:hint="eastAsia"/>
          <w:color w:val="auto"/>
        </w:rPr>
      </w:pPr>
    </w:p>
    <w:p w14:paraId="6233897B">
      <w:pPr>
        <w:topLinePunct/>
        <w:spacing w:line="440" w:lineRule="exact"/>
        <w:rPr>
          <w:rFonts w:hint="eastAsia"/>
          <w:color w:val="auto"/>
          <w:sz w:val="20"/>
        </w:rPr>
      </w:pPr>
    </w:p>
    <w:p w14:paraId="3535E2B9">
      <w:pPr>
        <w:pStyle w:val="4"/>
        <w:spacing w:before="159"/>
        <w:jc w:val="center"/>
        <w:rPr>
          <w:rFonts w:hint="eastAsia"/>
          <w:color w:val="auto"/>
          <w:sz w:val="24"/>
        </w:rPr>
      </w:pPr>
      <w:bookmarkStart w:id="2235" w:name="_Toc154064040"/>
      <w:bookmarkStart w:id="2236" w:name="_Toc11375"/>
      <w:bookmarkStart w:id="2237" w:name="_Toc144974877"/>
      <w:bookmarkStart w:id="2238" w:name="_Toc152045809"/>
      <w:bookmarkStart w:id="2239" w:name="_Toc519085675"/>
      <w:bookmarkStart w:id="2240" w:name="_Toc247514301"/>
      <w:bookmarkStart w:id="2241" w:name="_Toc152042598"/>
      <w:bookmarkStart w:id="2242" w:name="_Toc247527849"/>
      <w:r>
        <w:rPr>
          <w:color w:val="auto"/>
          <w:sz w:val="24"/>
        </w:rPr>
        <w:t>（二）近年财务状况</w:t>
      </w:r>
      <w:bookmarkEnd w:id="2235"/>
      <w:bookmarkEnd w:id="2236"/>
      <w:bookmarkEnd w:id="2237"/>
      <w:bookmarkEnd w:id="2238"/>
      <w:bookmarkEnd w:id="2239"/>
      <w:bookmarkEnd w:id="2240"/>
      <w:bookmarkEnd w:id="2241"/>
      <w:bookmarkEnd w:id="2242"/>
    </w:p>
    <w:p w14:paraId="4C5D5D51">
      <w:pPr>
        <w:rPr>
          <w:rFonts w:hint="eastAsia"/>
          <w:color w:val="auto"/>
        </w:rPr>
      </w:pPr>
    </w:p>
    <w:p w14:paraId="7095E799">
      <w:pPr>
        <w:pStyle w:val="106"/>
        <w:jc w:val="center"/>
        <w:outlineLvl w:val="3"/>
        <w:rPr>
          <w:rFonts w:hint="eastAsia"/>
          <w:color w:val="auto"/>
          <w:szCs w:val="24"/>
        </w:rPr>
      </w:pPr>
      <w:bookmarkStart w:id="2243" w:name="_Toc456173571"/>
      <w:bookmarkStart w:id="2244" w:name="_Toc154064041"/>
      <w:bookmarkStart w:id="2245" w:name="_Toc426496261"/>
      <w:bookmarkStart w:id="2246" w:name="_Toc519085676"/>
      <w:r>
        <w:rPr>
          <w:rFonts w:hint="eastAsia"/>
          <w:color w:val="auto"/>
          <w:szCs w:val="24"/>
        </w:rPr>
        <w:t>2-1近年财务状况表</w:t>
      </w:r>
      <w:bookmarkEnd w:id="2243"/>
      <w:bookmarkEnd w:id="2244"/>
      <w:bookmarkEnd w:id="2245"/>
      <w:bookmarkEnd w:id="2246"/>
    </w:p>
    <w:tbl>
      <w:tblPr>
        <w:tblStyle w:val="41"/>
        <w:tblW w:w="84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95"/>
        <w:gridCol w:w="735"/>
        <w:gridCol w:w="1337"/>
        <w:gridCol w:w="1449"/>
        <w:gridCol w:w="1449"/>
        <w:gridCol w:w="1449"/>
      </w:tblGrid>
      <w:tr w14:paraId="7C343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6BA7EF77">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名称</w:t>
            </w:r>
          </w:p>
        </w:tc>
        <w:tc>
          <w:tcPr>
            <w:tcW w:w="735" w:type="dxa"/>
            <w:noWrap w:val="0"/>
            <w:vAlign w:val="center"/>
          </w:tcPr>
          <w:p w14:paraId="07912B2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单位</w:t>
            </w:r>
          </w:p>
        </w:tc>
        <w:tc>
          <w:tcPr>
            <w:tcW w:w="1337" w:type="dxa"/>
            <w:noWrap w:val="0"/>
            <w:vAlign w:val="center"/>
          </w:tcPr>
          <w:p w14:paraId="33E9848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　</w:t>
            </w:r>
            <w:r>
              <w:rPr>
                <w:rFonts w:hint="eastAsia" w:ascii="宋体" w:hAnsi="宋体" w:eastAsia="宋体" w:cs="Times New Roman"/>
                <w:color w:val="auto"/>
                <w:szCs w:val="21"/>
                <w:u w:val="single"/>
              </w:rPr>
              <w:t>　　　</w:t>
            </w:r>
            <w:r>
              <w:rPr>
                <w:rFonts w:hint="eastAsia" w:ascii="宋体" w:hAnsi="宋体" w:eastAsia="宋体" w:cs="Times New Roman"/>
                <w:color w:val="auto"/>
                <w:szCs w:val="21"/>
              </w:rPr>
              <w:t>年</w:t>
            </w:r>
          </w:p>
        </w:tc>
        <w:tc>
          <w:tcPr>
            <w:tcW w:w="1449" w:type="dxa"/>
            <w:noWrap w:val="0"/>
            <w:vAlign w:val="center"/>
          </w:tcPr>
          <w:p w14:paraId="42D9C92B">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　</w:t>
            </w:r>
            <w:r>
              <w:rPr>
                <w:rFonts w:hint="eastAsia" w:ascii="宋体" w:hAnsi="宋体" w:eastAsia="宋体" w:cs="Times New Roman"/>
                <w:color w:val="auto"/>
                <w:szCs w:val="21"/>
                <w:u w:val="single"/>
              </w:rPr>
              <w:t>　　　</w:t>
            </w:r>
            <w:r>
              <w:rPr>
                <w:rFonts w:hint="eastAsia" w:ascii="宋体" w:hAnsi="宋体" w:eastAsia="宋体" w:cs="Times New Roman"/>
                <w:color w:val="auto"/>
                <w:szCs w:val="21"/>
              </w:rPr>
              <w:t>年</w:t>
            </w:r>
          </w:p>
        </w:tc>
        <w:tc>
          <w:tcPr>
            <w:tcW w:w="1449" w:type="dxa"/>
            <w:noWrap w:val="0"/>
            <w:vAlign w:val="center"/>
          </w:tcPr>
          <w:p w14:paraId="47D5113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u w:val="single"/>
              </w:rPr>
              <w:t>　　　</w:t>
            </w:r>
            <w:r>
              <w:rPr>
                <w:rFonts w:hint="eastAsia" w:ascii="宋体" w:hAnsi="宋体" w:eastAsia="宋体" w:cs="Times New Roman"/>
                <w:color w:val="auto"/>
                <w:szCs w:val="21"/>
              </w:rPr>
              <w:t>年</w:t>
            </w:r>
          </w:p>
        </w:tc>
        <w:tc>
          <w:tcPr>
            <w:tcW w:w="1449" w:type="dxa"/>
            <w:noWrap w:val="0"/>
            <w:vAlign w:val="center"/>
          </w:tcPr>
          <w:p w14:paraId="7D2F773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近</w:t>
            </w:r>
            <w:r>
              <w:rPr>
                <w:rFonts w:hint="eastAsia" w:ascii="Calibri" w:hAnsi="Calibri" w:eastAsia="宋体" w:cs="Times New Roman"/>
                <w:color w:val="auto"/>
                <w:szCs w:val="21"/>
              </w:rPr>
              <w:t>3</w:t>
            </w:r>
            <w:r>
              <w:rPr>
                <w:rFonts w:hint="eastAsia" w:ascii="宋体" w:hAnsi="宋体" w:eastAsia="宋体" w:cs="Times New Roman"/>
                <w:color w:val="auto"/>
                <w:szCs w:val="21"/>
              </w:rPr>
              <w:t>年平均值　</w:t>
            </w:r>
          </w:p>
        </w:tc>
      </w:tr>
      <w:tr w14:paraId="5D31B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078EBE85">
            <w:pPr>
              <w:keepNext w:val="0"/>
              <w:keepLines w:val="0"/>
              <w:suppressLineNumbers w:val="0"/>
              <w:spacing w:before="0" w:beforeAutospacing="0" w:after="0" w:afterAutospacing="0"/>
              <w:ind w:left="0" w:right="0"/>
              <w:rPr>
                <w:rFonts w:hint="eastAsia" w:ascii="宋体" w:hAnsi="宋体" w:eastAsia="宋体" w:cs="Times New Roman"/>
                <w:color w:val="auto"/>
                <w:szCs w:val="21"/>
              </w:rPr>
            </w:pPr>
            <w:r>
              <w:rPr>
                <w:rFonts w:hint="eastAsia" w:ascii="宋体" w:hAnsi="宋体" w:eastAsia="宋体" w:cs="Times New Roman"/>
                <w:color w:val="auto"/>
                <w:szCs w:val="21"/>
              </w:rPr>
              <w:t>一．注册资金</w:t>
            </w:r>
          </w:p>
        </w:tc>
        <w:tc>
          <w:tcPr>
            <w:tcW w:w="735" w:type="dxa"/>
            <w:noWrap w:val="0"/>
            <w:vAlign w:val="center"/>
          </w:tcPr>
          <w:p w14:paraId="2DF76688">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万元</w:t>
            </w:r>
          </w:p>
        </w:tc>
        <w:tc>
          <w:tcPr>
            <w:tcW w:w="1337" w:type="dxa"/>
            <w:noWrap w:val="0"/>
            <w:vAlign w:val="center"/>
          </w:tcPr>
          <w:p w14:paraId="5BD346B7">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35E9EC3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4859EE04">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535832B2">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w:t>
            </w:r>
          </w:p>
        </w:tc>
      </w:tr>
      <w:tr w14:paraId="54672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18ACF2A3">
            <w:pPr>
              <w:keepNext w:val="0"/>
              <w:keepLines w:val="0"/>
              <w:suppressLineNumbers w:val="0"/>
              <w:spacing w:before="0" w:beforeAutospacing="0" w:after="0" w:afterAutospacing="0"/>
              <w:ind w:left="0" w:right="0"/>
              <w:rPr>
                <w:rFonts w:hint="eastAsia" w:ascii="宋体" w:hAnsi="宋体" w:eastAsia="宋体" w:cs="Times New Roman"/>
                <w:color w:val="auto"/>
                <w:szCs w:val="21"/>
              </w:rPr>
            </w:pPr>
            <w:r>
              <w:rPr>
                <w:rFonts w:hint="eastAsia" w:ascii="宋体" w:hAnsi="宋体" w:eastAsia="宋体" w:cs="Times New Roman"/>
                <w:color w:val="auto"/>
                <w:szCs w:val="21"/>
              </w:rPr>
              <w:t>二．净资产</w:t>
            </w:r>
          </w:p>
        </w:tc>
        <w:tc>
          <w:tcPr>
            <w:tcW w:w="735" w:type="dxa"/>
            <w:noWrap w:val="0"/>
            <w:vAlign w:val="center"/>
          </w:tcPr>
          <w:p w14:paraId="2FB646E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万元</w:t>
            </w:r>
          </w:p>
        </w:tc>
        <w:tc>
          <w:tcPr>
            <w:tcW w:w="1337" w:type="dxa"/>
            <w:noWrap w:val="0"/>
            <w:vAlign w:val="center"/>
          </w:tcPr>
          <w:p w14:paraId="33D099E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1284E604">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385D21F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0A5706E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w:t>
            </w:r>
          </w:p>
        </w:tc>
      </w:tr>
      <w:tr w14:paraId="45EF34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1C348D02">
            <w:pPr>
              <w:keepNext w:val="0"/>
              <w:keepLines w:val="0"/>
              <w:suppressLineNumbers w:val="0"/>
              <w:spacing w:before="0" w:beforeAutospacing="0" w:after="0" w:afterAutospacing="0"/>
              <w:ind w:left="0" w:right="0"/>
              <w:rPr>
                <w:rFonts w:hint="eastAsia" w:ascii="宋体" w:hAnsi="宋体" w:eastAsia="宋体" w:cs="Times New Roman"/>
                <w:color w:val="auto"/>
                <w:szCs w:val="21"/>
              </w:rPr>
            </w:pPr>
            <w:r>
              <w:rPr>
                <w:rFonts w:hint="eastAsia" w:ascii="宋体" w:hAnsi="宋体" w:eastAsia="宋体" w:cs="Times New Roman"/>
                <w:color w:val="auto"/>
                <w:szCs w:val="21"/>
              </w:rPr>
              <w:t>三．总资产</w:t>
            </w:r>
          </w:p>
        </w:tc>
        <w:tc>
          <w:tcPr>
            <w:tcW w:w="735" w:type="dxa"/>
            <w:noWrap w:val="0"/>
            <w:vAlign w:val="center"/>
          </w:tcPr>
          <w:p w14:paraId="321DB24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万元</w:t>
            </w:r>
          </w:p>
        </w:tc>
        <w:tc>
          <w:tcPr>
            <w:tcW w:w="1337" w:type="dxa"/>
            <w:noWrap w:val="0"/>
            <w:vAlign w:val="center"/>
          </w:tcPr>
          <w:p w14:paraId="7D30CEB0">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11D7EAA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5DB34FE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548081B5">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63B6C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3BA6AF28">
            <w:pPr>
              <w:keepNext w:val="0"/>
              <w:keepLines w:val="0"/>
              <w:suppressLineNumbers w:val="0"/>
              <w:spacing w:before="0" w:beforeAutospacing="0" w:after="0" w:afterAutospacing="0"/>
              <w:ind w:left="0" w:right="0"/>
              <w:rPr>
                <w:rFonts w:hint="eastAsia" w:ascii="宋体" w:hAnsi="宋体" w:eastAsia="宋体" w:cs="Times New Roman"/>
                <w:color w:val="auto"/>
                <w:szCs w:val="21"/>
              </w:rPr>
            </w:pPr>
            <w:r>
              <w:rPr>
                <w:rFonts w:hint="eastAsia" w:ascii="宋体" w:hAnsi="宋体" w:eastAsia="宋体" w:cs="Times New Roman"/>
                <w:color w:val="auto"/>
                <w:szCs w:val="21"/>
              </w:rPr>
              <w:t>四．固定资产</w:t>
            </w:r>
          </w:p>
        </w:tc>
        <w:tc>
          <w:tcPr>
            <w:tcW w:w="735" w:type="dxa"/>
            <w:noWrap w:val="0"/>
            <w:vAlign w:val="center"/>
          </w:tcPr>
          <w:p w14:paraId="1A5DC9D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万元</w:t>
            </w:r>
          </w:p>
        </w:tc>
        <w:tc>
          <w:tcPr>
            <w:tcW w:w="1337" w:type="dxa"/>
            <w:noWrap w:val="0"/>
            <w:vAlign w:val="center"/>
          </w:tcPr>
          <w:p w14:paraId="78CA21F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421216D2">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7586264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0C99E1C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w:t>
            </w:r>
          </w:p>
        </w:tc>
      </w:tr>
      <w:tr w14:paraId="13CFB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1F93F983">
            <w:pPr>
              <w:keepNext w:val="0"/>
              <w:keepLines w:val="0"/>
              <w:suppressLineNumbers w:val="0"/>
              <w:spacing w:before="0" w:beforeAutospacing="0" w:after="0" w:afterAutospacing="0"/>
              <w:ind w:left="0" w:right="0"/>
              <w:rPr>
                <w:rFonts w:hint="eastAsia" w:ascii="宋体" w:hAnsi="宋体" w:eastAsia="宋体" w:cs="Times New Roman"/>
                <w:color w:val="auto"/>
                <w:szCs w:val="21"/>
              </w:rPr>
            </w:pPr>
            <w:r>
              <w:rPr>
                <w:rFonts w:hint="eastAsia" w:ascii="宋体" w:hAnsi="宋体" w:eastAsia="宋体" w:cs="Times New Roman"/>
                <w:color w:val="auto"/>
                <w:szCs w:val="21"/>
              </w:rPr>
              <w:t>五．流动资产</w:t>
            </w:r>
          </w:p>
        </w:tc>
        <w:tc>
          <w:tcPr>
            <w:tcW w:w="735" w:type="dxa"/>
            <w:noWrap w:val="0"/>
            <w:vAlign w:val="center"/>
          </w:tcPr>
          <w:p w14:paraId="0D348F28">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万元</w:t>
            </w:r>
          </w:p>
        </w:tc>
        <w:tc>
          <w:tcPr>
            <w:tcW w:w="1337" w:type="dxa"/>
            <w:noWrap w:val="0"/>
            <w:vAlign w:val="center"/>
          </w:tcPr>
          <w:p w14:paraId="3DE311B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3D4B6D5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0893AEDB">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7573703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4AF9B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3B9D0DA6">
            <w:pPr>
              <w:keepNext w:val="0"/>
              <w:keepLines w:val="0"/>
              <w:suppressLineNumbers w:val="0"/>
              <w:spacing w:before="0" w:beforeAutospacing="0" w:after="0" w:afterAutospacing="0"/>
              <w:ind w:left="0" w:right="0"/>
              <w:rPr>
                <w:rFonts w:hint="eastAsia" w:ascii="宋体" w:hAnsi="宋体" w:eastAsia="宋体" w:cs="Times New Roman"/>
                <w:color w:val="auto"/>
                <w:szCs w:val="21"/>
              </w:rPr>
            </w:pPr>
            <w:r>
              <w:rPr>
                <w:rFonts w:hint="eastAsia" w:ascii="宋体" w:hAnsi="宋体" w:eastAsia="宋体" w:cs="Times New Roman"/>
                <w:color w:val="auto"/>
                <w:szCs w:val="21"/>
              </w:rPr>
              <w:t>六．流动负债</w:t>
            </w:r>
          </w:p>
        </w:tc>
        <w:tc>
          <w:tcPr>
            <w:tcW w:w="735" w:type="dxa"/>
            <w:noWrap w:val="0"/>
            <w:vAlign w:val="center"/>
          </w:tcPr>
          <w:p w14:paraId="62E81D6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万元</w:t>
            </w:r>
          </w:p>
        </w:tc>
        <w:tc>
          <w:tcPr>
            <w:tcW w:w="1337" w:type="dxa"/>
            <w:noWrap w:val="0"/>
            <w:vAlign w:val="center"/>
          </w:tcPr>
          <w:p w14:paraId="1C548E1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607345E7">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5BCD3C12">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6EAD7A5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2307F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686272D6">
            <w:pPr>
              <w:keepNext w:val="0"/>
              <w:keepLines w:val="0"/>
              <w:suppressLineNumbers w:val="0"/>
              <w:spacing w:before="0" w:beforeAutospacing="0" w:after="0" w:afterAutospacing="0"/>
              <w:ind w:left="0" w:right="0"/>
              <w:rPr>
                <w:rFonts w:hint="eastAsia" w:ascii="宋体" w:hAnsi="宋体" w:eastAsia="宋体" w:cs="Times New Roman"/>
                <w:color w:val="auto"/>
                <w:szCs w:val="21"/>
              </w:rPr>
            </w:pPr>
            <w:r>
              <w:rPr>
                <w:rFonts w:hint="eastAsia" w:ascii="宋体" w:hAnsi="宋体" w:eastAsia="宋体" w:cs="Times New Roman"/>
                <w:color w:val="auto"/>
                <w:szCs w:val="21"/>
              </w:rPr>
              <w:t>七．负债合计</w:t>
            </w:r>
          </w:p>
        </w:tc>
        <w:tc>
          <w:tcPr>
            <w:tcW w:w="735" w:type="dxa"/>
            <w:noWrap w:val="0"/>
            <w:vAlign w:val="center"/>
          </w:tcPr>
          <w:p w14:paraId="30FDDEC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万元</w:t>
            </w:r>
          </w:p>
        </w:tc>
        <w:tc>
          <w:tcPr>
            <w:tcW w:w="1337" w:type="dxa"/>
            <w:noWrap w:val="0"/>
            <w:vAlign w:val="center"/>
          </w:tcPr>
          <w:p w14:paraId="3A264A27">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084A9D77">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7E24A6C5">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09477154">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565DA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3E0ED336">
            <w:pPr>
              <w:keepNext w:val="0"/>
              <w:keepLines w:val="0"/>
              <w:suppressLineNumbers w:val="0"/>
              <w:spacing w:before="0" w:beforeAutospacing="0" w:after="0" w:afterAutospacing="0"/>
              <w:ind w:left="0" w:right="0"/>
              <w:rPr>
                <w:rFonts w:hint="eastAsia" w:ascii="宋体" w:hAnsi="宋体" w:eastAsia="宋体" w:cs="Times New Roman"/>
                <w:color w:val="auto"/>
                <w:szCs w:val="21"/>
              </w:rPr>
            </w:pPr>
            <w:r>
              <w:rPr>
                <w:rFonts w:hint="eastAsia" w:ascii="宋体" w:hAnsi="宋体" w:eastAsia="宋体" w:cs="Times New Roman"/>
                <w:color w:val="auto"/>
                <w:szCs w:val="21"/>
              </w:rPr>
              <w:t>八．营业收入</w:t>
            </w:r>
          </w:p>
        </w:tc>
        <w:tc>
          <w:tcPr>
            <w:tcW w:w="735" w:type="dxa"/>
            <w:noWrap w:val="0"/>
            <w:vAlign w:val="center"/>
          </w:tcPr>
          <w:p w14:paraId="1F05312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万元</w:t>
            </w:r>
          </w:p>
        </w:tc>
        <w:tc>
          <w:tcPr>
            <w:tcW w:w="1337" w:type="dxa"/>
            <w:noWrap w:val="0"/>
            <w:vAlign w:val="center"/>
          </w:tcPr>
          <w:p w14:paraId="4636B87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3C2C2B4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1F471B8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24C65AD0">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1E167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3E059C9A">
            <w:pPr>
              <w:keepNext w:val="0"/>
              <w:keepLines w:val="0"/>
              <w:suppressLineNumbers w:val="0"/>
              <w:spacing w:before="0" w:beforeAutospacing="0" w:after="0" w:afterAutospacing="0"/>
              <w:ind w:left="0" w:right="0"/>
              <w:rPr>
                <w:rFonts w:hint="eastAsia" w:ascii="宋体" w:hAnsi="宋体" w:eastAsia="宋体" w:cs="Times New Roman"/>
                <w:color w:val="auto"/>
                <w:szCs w:val="21"/>
              </w:rPr>
            </w:pPr>
            <w:r>
              <w:rPr>
                <w:rFonts w:hint="eastAsia" w:ascii="宋体" w:hAnsi="宋体" w:eastAsia="宋体" w:cs="Times New Roman"/>
                <w:color w:val="auto"/>
                <w:szCs w:val="21"/>
              </w:rPr>
              <w:t>九．净利润</w:t>
            </w:r>
          </w:p>
        </w:tc>
        <w:tc>
          <w:tcPr>
            <w:tcW w:w="735" w:type="dxa"/>
            <w:noWrap w:val="0"/>
            <w:vAlign w:val="center"/>
          </w:tcPr>
          <w:p w14:paraId="797B4D6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万元</w:t>
            </w:r>
          </w:p>
        </w:tc>
        <w:tc>
          <w:tcPr>
            <w:tcW w:w="1337" w:type="dxa"/>
            <w:noWrap w:val="0"/>
            <w:vAlign w:val="center"/>
          </w:tcPr>
          <w:p w14:paraId="5A8F8F2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52A3CD6B">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5F905F6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4E757EC7">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w:t>
            </w:r>
          </w:p>
        </w:tc>
      </w:tr>
      <w:tr w14:paraId="4D7BD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2CB029E5">
            <w:pPr>
              <w:keepNext w:val="0"/>
              <w:keepLines w:val="0"/>
              <w:suppressLineNumbers w:val="0"/>
              <w:spacing w:before="0" w:beforeAutospacing="0" w:after="0" w:afterAutospacing="0"/>
              <w:ind w:left="0" w:right="0"/>
              <w:rPr>
                <w:rFonts w:hint="eastAsia" w:ascii="宋体" w:hAnsi="宋体" w:eastAsia="宋体" w:cs="Times New Roman"/>
                <w:color w:val="auto"/>
                <w:szCs w:val="21"/>
              </w:rPr>
            </w:pPr>
            <w:r>
              <w:rPr>
                <w:rFonts w:hint="eastAsia" w:ascii="宋体" w:hAnsi="宋体" w:eastAsia="宋体" w:cs="Times New Roman"/>
                <w:color w:val="auto"/>
                <w:szCs w:val="21"/>
              </w:rPr>
              <w:t>十．现金流量净额</w:t>
            </w:r>
          </w:p>
        </w:tc>
        <w:tc>
          <w:tcPr>
            <w:tcW w:w="735" w:type="dxa"/>
            <w:noWrap w:val="0"/>
            <w:vAlign w:val="center"/>
          </w:tcPr>
          <w:p w14:paraId="37C7BF1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万元</w:t>
            </w:r>
          </w:p>
        </w:tc>
        <w:tc>
          <w:tcPr>
            <w:tcW w:w="1337" w:type="dxa"/>
            <w:noWrap w:val="0"/>
            <w:vAlign w:val="center"/>
          </w:tcPr>
          <w:p w14:paraId="322C735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6A58BCE8">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2A07BC9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078E7B1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w:t>
            </w:r>
          </w:p>
        </w:tc>
      </w:tr>
      <w:tr w14:paraId="7B2F7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17E8A164">
            <w:pPr>
              <w:keepNext w:val="0"/>
              <w:keepLines w:val="0"/>
              <w:suppressLineNumbers w:val="0"/>
              <w:spacing w:before="0" w:beforeAutospacing="0" w:after="0" w:afterAutospacing="0"/>
              <w:ind w:left="0" w:right="0"/>
              <w:rPr>
                <w:rFonts w:hint="eastAsia" w:ascii="宋体" w:hAnsi="宋体" w:eastAsia="宋体" w:cs="Times New Roman"/>
                <w:color w:val="auto"/>
                <w:szCs w:val="21"/>
              </w:rPr>
            </w:pPr>
            <w:r>
              <w:rPr>
                <w:rFonts w:hint="eastAsia" w:ascii="宋体" w:hAnsi="宋体" w:eastAsia="宋体" w:cs="Times New Roman"/>
                <w:color w:val="auto"/>
                <w:szCs w:val="21"/>
              </w:rPr>
              <w:t>十一．主要财务指标</w:t>
            </w:r>
          </w:p>
        </w:tc>
        <w:tc>
          <w:tcPr>
            <w:tcW w:w="735" w:type="dxa"/>
            <w:noWrap w:val="0"/>
            <w:vAlign w:val="center"/>
          </w:tcPr>
          <w:p w14:paraId="5F585974">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337" w:type="dxa"/>
            <w:noWrap w:val="0"/>
            <w:vAlign w:val="center"/>
          </w:tcPr>
          <w:p w14:paraId="24419B7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29E7A568">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55A63B1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0988FA54">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w:t>
            </w:r>
          </w:p>
        </w:tc>
      </w:tr>
      <w:tr w14:paraId="20933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496BAD56">
            <w:pPr>
              <w:keepNext w:val="0"/>
              <w:keepLines w:val="0"/>
              <w:suppressLineNumbers w:val="0"/>
              <w:spacing w:before="0" w:beforeAutospacing="0" w:after="0" w:afterAutospacing="0"/>
              <w:ind w:left="0" w:right="0"/>
              <w:rPr>
                <w:rFonts w:hint="eastAsia" w:ascii="宋体" w:hAnsi="宋体" w:eastAsia="宋体" w:cs="Times New Roman"/>
                <w:color w:val="auto"/>
                <w:szCs w:val="21"/>
              </w:rPr>
            </w:pPr>
            <w:r>
              <w:rPr>
                <w:rFonts w:hint="eastAsia" w:ascii="Calibri" w:hAnsi="Calibri" w:eastAsia="宋体" w:cs="Times New Roman"/>
                <w:color w:val="auto"/>
                <w:szCs w:val="21"/>
              </w:rPr>
              <w:t>1</w:t>
            </w:r>
            <w:r>
              <w:rPr>
                <w:rFonts w:hint="eastAsia" w:ascii="宋体" w:hAnsi="宋体" w:eastAsia="宋体" w:cs="Times New Roman"/>
                <w:color w:val="auto"/>
                <w:szCs w:val="21"/>
              </w:rPr>
              <w:t>．净资产收益率</w:t>
            </w:r>
          </w:p>
        </w:tc>
        <w:tc>
          <w:tcPr>
            <w:tcW w:w="735" w:type="dxa"/>
            <w:noWrap w:val="0"/>
            <w:vAlign w:val="top"/>
          </w:tcPr>
          <w:p w14:paraId="027848CC">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color w:val="auto"/>
                <w:szCs w:val="21"/>
              </w:rPr>
            </w:pPr>
            <w:r>
              <w:rPr>
                <w:rFonts w:ascii="Calibri" w:hAnsi="Calibri" w:eastAsia="宋体" w:cs="Times New Roman"/>
                <w:color w:val="auto"/>
                <w:szCs w:val="21"/>
              </w:rPr>
              <w:t>%</w:t>
            </w:r>
          </w:p>
        </w:tc>
        <w:tc>
          <w:tcPr>
            <w:tcW w:w="1337" w:type="dxa"/>
            <w:noWrap w:val="0"/>
            <w:vAlign w:val="center"/>
          </w:tcPr>
          <w:p w14:paraId="18BF4732">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60B25EA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748886E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25FAB8C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7141F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3778ADFF">
            <w:pPr>
              <w:keepNext w:val="0"/>
              <w:keepLines w:val="0"/>
              <w:suppressLineNumbers w:val="0"/>
              <w:spacing w:before="0" w:beforeAutospacing="0" w:after="0" w:afterAutospacing="0"/>
              <w:ind w:left="0" w:right="0"/>
              <w:rPr>
                <w:rFonts w:hint="eastAsia" w:ascii="宋体" w:hAnsi="宋体" w:eastAsia="宋体" w:cs="Times New Roman"/>
                <w:color w:val="auto"/>
                <w:szCs w:val="21"/>
              </w:rPr>
            </w:pPr>
            <w:r>
              <w:rPr>
                <w:rFonts w:hint="eastAsia" w:ascii="Calibri" w:hAnsi="Calibri" w:eastAsia="宋体" w:cs="Times New Roman"/>
                <w:color w:val="auto"/>
                <w:szCs w:val="21"/>
              </w:rPr>
              <w:t>2</w:t>
            </w:r>
            <w:r>
              <w:rPr>
                <w:rFonts w:hint="eastAsia" w:ascii="宋体" w:hAnsi="宋体" w:eastAsia="宋体" w:cs="Times New Roman"/>
                <w:color w:val="auto"/>
                <w:szCs w:val="21"/>
              </w:rPr>
              <w:t>．总资产报酬率</w:t>
            </w:r>
          </w:p>
        </w:tc>
        <w:tc>
          <w:tcPr>
            <w:tcW w:w="735" w:type="dxa"/>
            <w:noWrap w:val="0"/>
            <w:vAlign w:val="top"/>
          </w:tcPr>
          <w:p w14:paraId="62415568">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color w:val="auto"/>
                <w:szCs w:val="21"/>
              </w:rPr>
            </w:pPr>
            <w:r>
              <w:rPr>
                <w:rFonts w:ascii="Calibri" w:hAnsi="Calibri" w:eastAsia="宋体" w:cs="Times New Roman"/>
                <w:color w:val="auto"/>
                <w:szCs w:val="21"/>
              </w:rPr>
              <w:t>%</w:t>
            </w:r>
          </w:p>
        </w:tc>
        <w:tc>
          <w:tcPr>
            <w:tcW w:w="1337" w:type="dxa"/>
            <w:noWrap w:val="0"/>
            <w:vAlign w:val="center"/>
          </w:tcPr>
          <w:p w14:paraId="0D88818B">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6329EE4B">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10DAB24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213B12E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3D912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0F3933D2">
            <w:pPr>
              <w:keepNext w:val="0"/>
              <w:keepLines w:val="0"/>
              <w:suppressLineNumbers w:val="0"/>
              <w:spacing w:before="0" w:beforeAutospacing="0" w:after="0" w:afterAutospacing="0"/>
              <w:ind w:left="0" w:right="0"/>
              <w:rPr>
                <w:rFonts w:hint="eastAsia" w:ascii="宋体" w:hAnsi="宋体" w:eastAsia="宋体" w:cs="Times New Roman"/>
                <w:color w:val="auto"/>
                <w:szCs w:val="21"/>
              </w:rPr>
            </w:pPr>
            <w:r>
              <w:rPr>
                <w:rFonts w:hint="eastAsia" w:ascii="Calibri" w:hAnsi="Calibri" w:eastAsia="宋体" w:cs="Times New Roman"/>
                <w:color w:val="auto"/>
                <w:szCs w:val="21"/>
              </w:rPr>
              <w:t>3</w:t>
            </w:r>
            <w:r>
              <w:rPr>
                <w:rFonts w:hint="eastAsia" w:ascii="宋体" w:hAnsi="宋体" w:eastAsia="宋体" w:cs="Times New Roman"/>
                <w:color w:val="auto"/>
                <w:szCs w:val="21"/>
              </w:rPr>
              <w:t>．主营业务利润率</w:t>
            </w:r>
          </w:p>
        </w:tc>
        <w:tc>
          <w:tcPr>
            <w:tcW w:w="735" w:type="dxa"/>
            <w:noWrap w:val="0"/>
            <w:vAlign w:val="top"/>
          </w:tcPr>
          <w:p w14:paraId="12BD917E">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color w:val="auto"/>
                <w:szCs w:val="21"/>
              </w:rPr>
            </w:pPr>
            <w:r>
              <w:rPr>
                <w:rFonts w:ascii="Calibri" w:hAnsi="Calibri" w:eastAsia="宋体" w:cs="Times New Roman"/>
                <w:color w:val="auto"/>
                <w:szCs w:val="21"/>
              </w:rPr>
              <w:t>%</w:t>
            </w:r>
          </w:p>
        </w:tc>
        <w:tc>
          <w:tcPr>
            <w:tcW w:w="1337" w:type="dxa"/>
            <w:noWrap w:val="0"/>
            <w:vAlign w:val="center"/>
          </w:tcPr>
          <w:p w14:paraId="681AEEE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506F66C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1BC071C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7BFAEAE7">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w:t>
            </w:r>
          </w:p>
        </w:tc>
      </w:tr>
      <w:tr w14:paraId="1B57E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52E61413">
            <w:pPr>
              <w:keepNext w:val="0"/>
              <w:keepLines w:val="0"/>
              <w:suppressLineNumbers w:val="0"/>
              <w:spacing w:before="0" w:beforeAutospacing="0" w:after="0" w:afterAutospacing="0"/>
              <w:ind w:left="0" w:right="0"/>
              <w:rPr>
                <w:rFonts w:hint="eastAsia" w:ascii="宋体" w:hAnsi="宋体" w:eastAsia="宋体" w:cs="Times New Roman"/>
                <w:color w:val="auto"/>
                <w:szCs w:val="21"/>
              </w:rPr>
            </w:pPr>
            <w:r>
              <w:rPr>
                <w:rFonts w:hint="eastAsia" w:ascii="Calibri" w:hAnsi="Calibri" w:eastAsia="宋体" w:cs="Times New Roman"/>
                <w:color w:val="auto"/>
                <w:szCs w:val="21"/>
              </w:rPr>
              <w:t>4</w:t>
            </w:r>
            <w:r>
              <w:rPr>
                <w:rFonts w:hint="eastAsia" w:ascii="宋体" w:hAnsi="宋体" w:eastAsia="宋体" w:cs="Times New Roman"/>
                <w:color w:val="auto"/>
                <w:szCs w:val="21"/>
              </w:rPr>
              <w:t>．资产负债率</w:t>
            </w:r>
          </w:p>
        </w:tc>
        <w:tc>
          <w:tcPr>
            <w:tcW w:w="735" w:type="dxa"/>
            <w:noWrap w:val="0"/>
            <w:vAlign w:val="top"/>
          </w:tcPr>
          <w:p w14:paraId="754572C7">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color w:val="auto"/>
                <w:szCs w:val="21"/>
              </w:rPr>
            </w:pPr>
            <w:r>
              <w:rPr>
                <w:rFonts w:ascii="Calibri" w:hAnsi="Calibri" w:eastAsia="宋体" w:cs="Times New Roman"/>
                <w:color w:val="auto"/>
                <w:szCs w:val="21"/>
              </w:rPr>
              <w:t>%</w:t>
            </w:r>
          </w:p>
        </w:tc>
        <w:tc>
          <w:tcPr>
            <w:tcW w:w="1337" w:type="dxa"/>
            <w:noWrap w:val="0"/>
            <w:vAlign w:val="center"/>
          </w:tcPr>
          <w:p w14:paraId="214A48C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07F54B8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55D198B8">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131DF82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56240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2C1D2B70">
            <w:pPr>
              <w:keepNext w:val="0"/>
              <w:keepLines w:val="0"/>
              <w:suppressLineNumbers w:val="0"/>
              <w:spacing w:before="0" w:beforeAutospacing="0" w:after="0" w:afterAutospacing="0"/>
              <w:ind w:left="0" w:right="0"/>
              <w:rPr>
                <w:rFonts w:hint="eastAsia" w:ascii="宋体" w:hAnsi="宋体" w:eastAsia="宋体" w:cs="Times New Roman"/>
                <w:color w:val="auto"/>
                <w:szCs w:val="21"/>
              </w:rPr>
            </w:pPr>
            <w:r>
              <w:rPr>
                <w:rFonts w:hint="eastAsia" w:ascii="Calibri" w:hAnsi="Calibri" w:eastAsia="宋体" w:cs="Times New Roman"/>
                <w:color w:val="auto"/>
                <w:szCs w:val="21"/>
              </w:rPr>
              <w:t>5</w:t>
            </w:r>
            <w:r>
              <w:rPr>
                <w:rFonts w:hint="eastAsia" w:ascii="宋体" w:hAnsi="宋体" w:eastAsia="宋体" w:cs="Times New Roman"/>
                <w:color w:val="auto"/>
                <w:szCs w:val="21"/>
              </w:rPr>
              <w:t>．流动比率</w:t>
            </w:r>
          </w:p>
        </w:tc>
        <w:tc>
          <w:tcPr>
            <w:tcW w:w="735" w:type="dxa"/>
            <w:noWrap w:val="0"/>
            <w:vAlign w:val="top"/>
          </w:tcPr>
          <w:p w14:paraId="01E2D211">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color w:val="auto"/>
                <w:szCs w:val="21"/>
              </w:rPr>
            </w:pPr>
            <w:r>
              <w:rPr>
                <w:rFonts w:ascii="Calibri" w:hAnsi="Calibri" w:eastAsia="宋体" w:cs="Times New Roman"/>
                <w:color w:val="auto"/>
                <w:szCs w:val="21"/>
              </w:rPr>
              <w:t>%</w:t>
            </w:r>
          </w:p>
        </w:tc>
        <w:tc>
          <w:tcPr>
            <w:tcW w:w="1337" w:type="dxa"/>
            <w:noWrap w:val="0"/>
            <w:vAlign w:val="center"/>
          </w:tcPr>
          <w:p w14:paraId="5C2A9A62">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4BF446EB">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25740B6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31463D9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2EF22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544B35D7">
            <w:pPr>
              <w:keepNext w:val="0"/>
              <w:keepLines w:val="0"/>
              <w:suppressLineNumbers w:val="0"/>
              <w:spacing w:before="0" w:beforeAutospacing="0" w:after="0" w:afterAutospacing="0"/>
              <w:ind w:left="0" w:right="0"/>
              <w:rPr>
                <w:rFonts w:hint="eastAsia" w:ascii="宋体" w:hAnsi="宋体" w:eastAsia="宋体" w:cs="Times New Roman"/>
                <w:color w:val="auto"/>
                <w:szCs w:val="21"/>
              </w:rPr>
            </w:pPr>
            <w:r>
              <w:rPr>
                <w:rFonts w:hint="eastAsia" w:ascii="Calibri" w:hAnsi="Calibri" w:eastAsia="宋体" w:cs="Times New Roman"/>
                <w:color w:val="auto"/>
                <w:szCs w:val="21"/>
              </w:rPr>
              <w:t>6</w:t>
            </w:r>
            <w:r>
              <w:rPr>
                <w:rFonts w:hint="eastAsia" w:ascii="宋体" w:hAnsi="宋体" w:eastAsia="宋体" w:cs="Times New Roman"/>
                <w:color w:val="auto"/>
                <w:szCs w:val="21"/>
              </w:rPr>
              <w:t>．速动比率</w:t>
            </w:r>
          </w:p>
        </w:tc>
        <w:tc>
          <w:tcPr>
            <w:tcW w:w="735" w:type="dxa"/>
            <w:noWrap w:val="0"/>
            <w:vAlign w:val="top"/>
          </w:tcPr>
          <w:p w14:paraId="66F8ED16">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color w:val="auto"/>
                <w:szCs w:val="21"/>
              </w:rPr>
            </w:pPr>
            <w:r>
              <w:rPr>
                <w:rFonts w:ascii="Calibri" w:hAnsi="Calibri" w:eastAsia="宋体" w:cs="Times New Roman"/>
                <w:color w:val="auto"/>
                <w:szCs w:val="21"/>
              </w:rPr>
              <w:t>%</w:t>
            </w:r>
          </w:p>
        </w:tc>
        <w:tc>
          <w:tcPr>
            <w:tcW w:w="1337" w:type="dxa"/>
            <w:noWrap w:val="0"/>
            <w:vAlign w:val="center"/>
          </w:tcPr>
          <w:p w14:paraId="2685C1BB">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0A9FE08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7ABFBF7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449" w:type="dxa"/>
            <w:noWrap w:val="0"/>
            <w:vAlign w:val="center"/>
          </w:tcPr>
          <w:p w14:paraId="5D75FEF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bl>
    <w:p w14:paraId="3B36B004">
      <w:pPr>
        <w:autoSpaceDE w:val="0"/>
        <w:autoSpaceDN w:val="0"/>
        <w:adjustRightInd w:val="0"/>
        <w:snapToGrid w:val="0"/>
        <w:spacing w:line="325" w:lineRule="exact"/>
        <w:ind w:left="840" w:hanging="840" w:hangingChars="400"/>
        <w:rPr>
          <w:rFonts w:hint="eastAsia"/>
          <w:color w:val="auto"/>
          <w:szCs w:val="21"/>
        </w:rPr>
      </w:pPr>
    </w:p>
    <w:p w14:paraId="3DB5A643">
      <w:pPr>
        <w:autoSpaceDE w:val="0"/>
        <w:autoSpaceDN w:val="0"/>
        <w:adjustRightInd w:val="0"/>
        <w:snapToGrid w:val="0"/>
        <w:spacing w:line="325" w:lineRule="exact"/>
        <w:ind w:left="840" w:hanging="840" w:hangingChars="400"/>
        <w:rPr>
          <w:rFonts w:hint="eastAsia" w:ascii="宋体" w:cs="宋体"/>
          <w:color w:val="auto"/>
          <w:kern w:val="0"/>
          <w:szCs w:val="21"/>
        </w:rPr>
      </w:pPr>
      <w:r>
        <w:rPr>
          <w:rFonts w:hint="eastAsia"/>
          <w:color w:val="auto"/>
          <w:szCs w:val="21"/>
        </w:rPr>
        <w:t>备注：</w:t>
      </w:r>
      <w:r>
        <w:rPr>
          <w:color w:val="auto"/>
          <w:szCs w:val="21"/>
        </w:rPr>
        <w:t>1</w:t>
      </w:r>
      <w:r>
        <w:rPr>
          <w:rFonts w:hint="eastAsia" w:ascii="宋体" w:hAnsi="宋体"/>
          <w:color w:val="auto"/>
          <w:szCs w:val="21"/>
        </w:rPr>
        <w:t>.</w:t>
      </w:r>
      <w:r>
        <w:rPr>
          <w:rFonts w:hint="eastAsia" w:ascii="宋体" w:cs="宋体"/>
          <w:color w:val="auto"/>
          <w:kern w:val="0"/>
          <w:szCs w:val="21"/>
        </w:rPr>
        <w:t>本表后应附近年财务会计报表，包括资产负债表、现金流量表、利润表和财务情况说明书的</w:t>
      </w:r>
      <w:r>
        <w:rPr>
          <w:rFonts w:hint="eastAsia" w:ascii="宋体" w:hAnsi="宋体"/>
          <w:color w:val="auto"/>
        </w:rPr>
        <w:t>扫描件</w:t>
      </w:r>
      <w:r>
        <w:rPr>
          <w:rFonts w:hint="eastAsia" w:ascii="宋体" w:hAnsi="宋体"/>
          <w:color w:val="auto"/>
          <w:szCs w:val="21"/>
        </w:rPr>
        <w:t>；具体年份要求见申请（投标）人须知前附表。</w:t>
      </w:r>
    </w:p>
    <w:p w14:paraId="010EC0EE">
      <w:pPr>
        <w:autoSpaceDE w:val="0"/>
        <w:autoSpaceDN w:val="0"/>
        <w:adjustRightInd w:val="0"/>
        <w:snapToGrid w:val="0"/>
        <w:spacing w:line="325" w:lineRule="exact"/>
        <w:ind w:left="840" w:hanging="840" w:hangingChars="400"/>
        <w:rPr>
          <w:rFonts w:ascii="宋体" w:cs="宋体"/>
          <w:color w:val="auto"/>
          <w:kern w:val="0"/>
          <w:szCs w:val="21"/>
        </w:rPr>
      </w:pPr>
      <w:r>
        <w:rPr>
          <w:rFonts w:ascii="宋体" w:cs="宋体"/>
          <w:color w:val="auto"/>
          <w:kern w:val="0"/>
          <w:szCs w:val="21"/>
        </w:rPr>
        <w:t xml:space="preserve">  </w:t>
      </w:r>
      <w:r>
        <w:rPr>
          <w:rFonts w:hint="eastAsia" w:ascii="宋体" w:cs="宋体"/>
          <w:color w:val="auto"/>
          <w:kern w:val="0"/>
          <w:szCs w:val="21"/>
        </w:rPr>
        <w:t xml:space="preserve">    </w:t>
      </w:r>
      <w:r>
        <w:rPr>
          <w:rFonts w:cs="宋体"/>
          <w:color w:val="auto"/>
          <w:kern w:val="0"/>
          <w:szCs w:val="21"/>
        </w:rPr>
        <w:t>2</w:t>
      </w:r>
      <w:r>
        <w:rPr>
          <w:rFonts w:hint="eastAsia" w:ascii="宋体" w:hAnsi="宋体"/>
          <w:color w:val="auto"/>
          <w:szCs w:val="21"/>
        </w:rPr>
        <w:t>.</w:t>
      </w:r>
      <w:r>
        <w:rPr>
          <w:rFonts w:hint="eastAsia" w:ascii="宋体" w:cs="宋体"/>
          <w:color w:val="auto"/>
          <w:kern w:val="0"/>
          <w:szCs w:val="21"/>
        </w:rPr>
        <w:t>本表所列数据必须与本表各附件中的数据相一致。</w:t>
      </w:r>
      <w:r>
        <w:rPr>
          <w:rFonts w:hint="eastAsia" w:ascii="宋体" w:hAnsi="宋体"/>
          <w:color w:val="auto"/>
          <w:szCs w:val="21"/>
        </w:rPr>
        <w:t>如果有不一致之处，以不利于投标人的数据为准。</w:t>
      </w:r>
    </w:p>
    <w:p w14:paraId="7CD8355B">
      <w:pPr>
        <w:autoSpaceDE w:val="0"/>
        <w:autoSpaceDN w:val="0"/>
        <w:adjustRightInd w:val="0"/>
        <w:snapToGrid w:val="0"/>
        <w:spacing w:line="325" w:lineRule="exact"/>
        <w:rPr>
          <w:rFonts w:hint="eastAsia" w:ascii="宋体" w:cs="宋体"/>
          <w:color w:val="auto"/>
          <w:kern w:val="0"/>
          <w:szCs w:val="21"/>
        </w:rPr>
      </w:pPr>
      <w:r>
        <w:rPr>
          <w:rFonts w:ascii="宋体" w:cs="宋体"/>
          <w:color w:val="auto"/>
          <w:kern w:val="0"/>
          <w:szCs w:val="21"/>
        </w:rPr>
        <w:t xml:space="preserve">  </w:t>
      </w:r>
      <w:r>
        <w:rPr>
          <w:rFonts w:hint="eastAsia" w:ascii="宋体" w:cs="宋体"/>
          <w:color w:val="auto"/>
          <w:kern w:val="0"/>
          <w:szCs w:val="21"/>
        </w:rPr>
        <w:t xml:space="preserve">    </w:t>
      </w:r>
      <w:r>
        <w:rPr>
          <w:rFonts w:cs="宋体"/>
          <w:color w:val="auto"/>
          <w:kern w:val="0"/>
          <w:szCs w:val="21"/>
        </w:rPr>
        <w:t>3</w:t>
      </w:r>
      <w:r>
        <w:rPr>
          <w:rFonts w:hint="eastAsia" w:ascii="宋体" w:hAnsi="宋体"/>
          <w:color w:val="auto"/>
          <w:szCs w:val="21"/>
        </w:rPr>
        <w:t>.</w:t>
      </w:r>
      <w:r>
        <w:rPr>
          <w:rFonts w:hint="eastAsia" w:ascii="宋体" w:cs="宋体"/>
          <w:color w:val="auto"/>
          <w:kern w:val="0"/>
          <w:szCs w:val="21"/>
        </w:rPr>
        <w:t>以联合体形式</w:t>
      </w:r>
      <w:r>
        <w:rPr>
          <w:rFonts w:hint="eastAsia"/>
          <w:color w:val="auto"/>
          <w:szCs w:val="21"/>
        </w:rPr>
        <w:t>投标</w:t>
      </w:r>
      <w:r>
        <w:rPr>
          <w:rFonts w:hint="eastAsia" w:ascii="宋体" w:cs="宋体"/>
          <w:color w:val="auto"/>
          <w:kern w:val="0"/>
          <w:szCs w:val="21"/>
        </w:rPr>
        <w:t>的，联合体各成员应分别填写。</w:t>
      </w:r>
    </w:p>
    <w:p w14:paraId="5DE04101">
      <w:pPr>
        <w:autoSpaceDE w:val="0"/>
        <w:autoSpaceDN w:val="0"/>
        <w:adjustRightInd w:val="0"/>
        <w:snapToGrid w:val="0"/>
        <w:spacing w:line="325" w:lineRule="exact"/>
        <w:rPr>
          <w:rFonts w:hint="eastAsia" w:ascii="宋体" w:cs="宋体"/>
          <w:color w:val="auto"/>
          <w:kern w:val="0"/>
          <w:szCs w:val="21"/>
        </w:rPr>
      </w:pPr>
    </w:p>
    <w:p w14:paraId="6A9448EB">
      <w:pPr>
        <w:autoSpaceDE w:val="0"/>
        <w:autoSpaceDN w:val="0"/>
        <w:adjustRightInd w:val="0"/>
        <w:snapToGrid w:val="0"/>
        <w:spacing w:line="325" w:lineRule="exact"/>
        <w:rPr>
          <w:rFonts w:hint="eastAsia" w:ascii="宋体" w:cs="宋体"/>
          <w:color w:val="auto"/>
          <w:kern w:val="0"/>
          <w:szCs w:val="21"/>
        </w:rPr>
      </w:pPr>
    </w:p>
    <w:p w14:paraId="6CB07561">
      <w:pPr>
        <w:autoSpaceDE w:val="0"/>
        <w:autoSpaceDN w:val="0"/>
        <w:adjustRightInd w:val="0"/>
        <w:snapToGrid w:val="0"/>
        <w:spacing w:line="325" w:lineRule="exact"/>
        <w:rPr>
          <w:rFonts w:hint="eastAsia" w:ascii="宋体" w:cs="宋体"/>
          <w:color w:val="auto"/>
          <w:kern w:val="0"/>
          <w:szCs w:val="21"/>
        </w:rPr>
      </w:pPr>
    </w:p>
    <w:p w14:paraId="19E0729E">
      <w:pPr>
        <w:autoSpaceDE w:val="0"/>
        <w:autoSpaceDN w:val="0"/>
        <w:adjustRightInd w:val="0"/>
        <w:snapToGrid w:val="0"/>
        <w:spacing w:line="325" w:lineRule="exact"/>
        <w:rPr>
          <w:rFonts w:hint="eastAsia" w:ascii="宋体" w:cs="宋体"/>
          <w:color w:val="auto"/>
          <w:kern w:val="0"/>
          <w:szCs w:val="21"/>
        </w:rPr>
      </w:pPr>
    </w:p>
    <w:p w14:paraId="7B95A461">
      <w:pPr>
        <w:autoSpaceDE w:val="0"/>
        <w:autoSpaceDN w:val="0"/>
        <w:adjustRightInd w:val="0"/>
        <w:snapToGrid w:val="0"/>
        <w:spacing w:line="325" w:lineRule="exact"/>
        <w:rPr>
          <w:rFonts w:hint="eastAsia" w:ascii="宋体" w:cs="宋体"/>
          <w:color w:val="auto"/>
          <w:kern w:val="0"/>
          <w:szCs w:val="21"/>
        </w:rPr>
      </w:pPr>
    </w:p>
    <w:p w14:paraId="5420BE76">
      <w:pPr>
        <w:pStyle w:val="106"/>
        <w:jc w:val="center"/>
        <w:outlineLvl w:val="3"/>
        <w:rPr>
          <w:rFonts w:hint="eastAsia"/>
          <w:color w:val="auto"/>
          <w:szCs w:val="24"/>
        </w:rPr>
      </w:pPr>
      <w:bookmarkStart w:id="2247" w:name="_Toc519085677"/>
      <w:bookmarkStart w:id="2248" w:name="_Toc456173572"/>
      <w:bookmarkStart w:id="2249" w:name="_Toc426496262"/>
      <w:bookmarkStart w:id="2250" w:name="_Toc154064042"/>
      <w:r>
        <w:rPr>
          <w:rFonts w:hint="eastAsia"/>
          <w:color w:val="auto"/>
          <w:szCs w:val="24"/>
        </w:rPr>
        <w:t>2-2拟投入的流动资金函(格式)</w:t>
      </w:r>
      <w:bookmarkEnd w:id="2247"/>
      <w:bookmarkEnd w:id="2248"/>
      <w:bookmarkEnd w:id="2249"/>
      <w:bookmarkEnd w:id="2250"/>
    </w:p>
    <w:p w14:paraId="7D5AB40D">
      <w:pPr>
        <w:spacing w:line="400" w:lineRule="exact"/>
        <w:rPr>
          <w:rFonts w:hint="eastAsia" w:ascii="宋体" w:hAnsi="宋体"/>
          <w:color w:val="auto"/>
          <w:szCs w:val="21"/>
          <w:u w:val="single"/>
        </w:rPr>
      </w:pPr>
    </w:p>
    <w:p w14:paraId="3E0B06D7">
      <w:pPr>
        <w:spacing w:line="400" w:lineRule="exact"/>
        <w:rPr>
          <w:rFonts w:hint="eastAsia" w:ascii="宋体" w:hAnsi="宋体"/>
          <w:color w:val="auto"/>
          <w:szCs w:val="21"/>
        </w:rPr>
      </w:pPr>
      <w:r>
        <w:rPr>
          <w:rFonts w:hint="eastAsia" w:ascii="宋体" w:hAnsi="宋体"/>
          <w:color w:val="auto"/>
          <w:szCs w:val="21"/>
          <w:u w:val="single"/>
        </w:rPr>
        <w:t>　　　　　　　　</w:t>
      </w:r>
      <w:r>
        <w:rPr>
          <w:rFonts w:hint="eastAsia" w:ascii="宋体" w:hAnsi="宋体"/>
          <w:color w:val="auto"/>
          <w:szCs w:val="21"/>
        </w:rPr>
        <w:t>(招标人名称)：</w:t>
      </w:r>
    </w:p>
    <w:p w14:paraId="7638E48A">
      <w:pPr>
        <w:spacing w:line="400" w:lineRule="exact"/>
        <w:ind w:firstLine="420" w:firstLineChars="200"/>
        <w:rPr>
          <w:rFonts w:hint="eastAsia" w:ascii="宋体" w:hAnsi="宋体"/>
          <w:color w:val="auto"/>
          <w:szCs w:val="21"/>
        </w:rPr>
      </w:pPr>
      <w:r>
        <w:rPr>
          <w:rFonts w:hint="eastAsia" w:ascii="宋体" w:hAnsi="宋体"/>
          <w:color w:val="auto"/>
          <w:szCs w:val="21"/>
        </w:rPr>
        <w:t>我方拟投入</w:t>
      </w:r>
      <w:r>
        <w:rPr>
          <w:rFonts w:hint="eastAsia" w:ascii="宋体" w:hAnsi="宋体"/>
          <w:color w:val="auto"/>
          <w:u w:val="single"/>
        </w:rPr>
        <w:t xml:space="preserve">       </w:t>
      </w:r>
      <w:r>
        <w:rPr>
          <w:rFonts w:hint="eastAsia" w:ascii="宋体" w:hAnsi="宋体"/>
          <w:color w:val="auto"/>
        </w:rPr>
        <w:t>（项目名称）</w:t>
      </w:r>
      <w:r>
        <w:rPr>
          <w:rFonts w:hint="eastAsia" w:ascii="宋体" w:hAnsi="宋体"/>
          <w:color w:val="auto"/>
          <w:u w:val="single"/>
        </w:rPr>
        <w:t xml:space="preserve">    </w:t>
      </w:r>
      <w:r>
        <w:rPr>
          <w:rFonts w:hint="eastAsia" w:ascii="宋体" w:hAnsi="宋体"/>
          <w:color w:val="auto"/>
        </w:rPr>
        <w:t>（标段名称）工程总承包</w:t>
      </w:r>
      <w:r>
        <w:rPr>
          <w:rFonts w:hint="eastAsia" w:ascii="宋体" w:hAnsi="宋体"/>
          <w:color w:val="auto"/>
          <w:szCs w:val="21"/>
        </w:rPr>
        <w:t>的流动资金为</w:t>
      </w:r>
      <w:r>
        <w:rPr>
          <w:rFonts w:hint="eastAsia" w:ascii="宋体" w:hAnsi="宋体"/>
          <w:color w:val="auto"/>
          <w:szCs w:val="21"/>
          <w:u w:val="single"/>
        </w:rPr>
        <w:t>　　　　</w:t>
      </w:r>
      <w:r>
        <w:rPr>
          <w:rFonts w:hint="eastAsia" w:ascii="宋体" w:hAnsi="宋体"/>
          <w:color w:val="auto"/>
          <w:szCs w:val="21"/>
        </w:rPr>
        <w:t>万元，资金来源于</w:t>
      </w:r>
      <w:r>
        <w:rPr>
          <w:rFonts w:hint="eastAsia" w:ascii="宋体" w:hAnsi="宋体"/>
          <w:color w:val="auto"/>
          <w:szCs w:val="21"/>
          <w:u w:val="single"/>
        </w:rPr>
        <w:t>　　　　　　　</w:t>
      </w:r>
      <w:r>
        <w:rPr>
          <w:rFonts w:hint="eastAsia" w:ascii="宋体" w:hAnsi="宋体"/>
          <w:color w:val="auto"/>
          <w:szCs w:val="21"/>
        </w:rPr>
        <w:t>，资金来源证明文件附后。</w:t>
      </w:r>
    </w:p>
    <w:p w14:paraId="525A97F4">
      <w:pPr>
        <w:spacing w:line="400" w:lineRule="exact"/>
        <w:ind w:firstLine="420" w:firstLineChars="200"/>
        <w:rPr>
          <w:rFonts w:hint="eastAsia" w:ascii="宋体" w:hAnsi="宋体"/>
          <w:color w:val="auto"/>
          <w:szCs w:val="21"/>
        </w:rPr>
      </w:pPr>
      <w:r>
        <w:rPr>
          <w:rFonts w:hint="eastAsia"/>
          <w:color w:val="auto"/>
          <w:szCs w:val="21"/>
        </w:rPr>
        <w:t>我方可使用的银行授信余额和银行存款共计</w:t>
      </w:r>
      <w:r>
        <w:rPr>
          <w:rFonts w:hint="eastAsia"/>
          <w:color w:val="auto"/>
          <w:szCs w:val="21"/>
          <w:u w:val="single"/>
        </w:rPr>
        <w:t xml:space="preserve">            </w:t>
      </w:r>
      <w:r>
        <w:rPr>
          <w:rFonts w:hint="eastAsia"/>
          <w:color w:val="auto"/>
          <w:szCs w:val="21"/>
        </w:rPr>
        <w:t>万元。</w:t>
      </w:r>
    </w:p>
    <w:p w14:paraId="55C228E7">
      <w:pPr>
        <w:spacing w:line="400" w:lineRule="exact"/>
        <w:ind w:firstLine="420" w:firstLineChars="200"/>
        <w:rPr>
          <w:rFonts w:hint="eastAsia" w:ascii="宋体" w:hAnsi="宋体"/>
          <w:color w:val="auto"/>
          <w:szCs w:val="21"/>
        </w:rPr>
      </w:pPr>
    </w:p>
    <w:p w14:paraId="0C06D05D">
      <w:pPr>
        <w:spacing w:line="400" w:lineRule="exact"/>
        <w:ind w:firstLine="420" w:firstLineChars="200"/>
        <w:rPr>
          <w:rFonts w:hint="eastAsia" w:ascii="宋体" w:hAnsi="宋体"/>
          <w:color w:val="auto"/>
          <w:szCs w:val="21"/>
        </w:rPr>
      </w:pPr>
      <w:r>
        <w:rPr>
          <w:rFonts w:hint="eastAsia" w:ascii="宋体" w:hAnsi="宋体"/>
          <w:color w:val="auto"/>
          <w:szCs w:val="21"/>
        </w:rPr>
        <w:t>　　　　　　　　　　　　　　　　　　　　　投标人：</w:t>
      </w:r>
      <w:r>
        <w:rPr>
          <w:rFonts w:hint="eastAsia" w:ascii="宋体" w:hAnsi="宋体"/>
          <w:color w:val="auto"/>
          <w:szCs w:val="21"/>
          <w:u w:val="single"/>
        </w:rPr>
        <w:t>　　　　　　　　</w:t>
      </w:r>
      <w:r>
        <w:rPr>
          <w:rFonts w:hint="eastAsia" w:ascii="宋体" w:hAnsi="宋体"/>
          <w:color w:val="auto"/>
          <w:szCs w:val="21"/>
        </w:rPr>
        <w:t>(盖单位章)</w:t>
      </w:r>
    </w:p>
    <w:p w14:paraId="4E336E69">
      <w:pPr>
        <w:spacing w:line="400" w:lineRule="exact"/>
        <w:ind w:firstLine="420" w:firstLineChars="200"/>
        <w:rPr>
          <w:rFonts w:hint="eastAsia" w:ascii="宋体" w:hAnsi="宋体"/>
          <w:color w:val="auto"/>
          <w:szCs w:val="21"/>
        </w:rPr>
      </w:pPr>
      <w:r>
        <w:rPr>
          <w:rFonts w:hint="eastAsia" w:ascii="宋体" w:hAnsi="宋体"/>
          <w:color w:val="auto"/>
          <w:szCs w:val="21"/>
        </w:rPr>
        <w:t>　　　　　　　　　　　　　　　　　　　　　　　　 　</w:t>
      </w:r>
      <w:r>
        <w:rPr>
          <w:rFonts w:hint="eastAsia" w:ascii="宋体" w:hAnsi="宋体"/>
          <w:color w:val="auto"/>
          <w:szCs w:val="21"/>
          <w:u w:val="single"/>
        </w:rPr>
        <w:t>　　　　　</w:t>
      </w:r>
      <w:r>
        <w:rPr>
          <w:rFonts w:hint="eastAsia" w:ascii="宋体" w:hAnsi="宋体"/>
          <w:color w:val="auto"/>
          <w:szCs w:val="21"/>
        </w:rPr>
        <w:t>年</w:t>
      </w:r>
      <w:r>
        <w:rPr>
          <w:rFonts w:hint="eastAsia" w:ascii="宋体" w:hAnsi="宋体"/>
          <w:color w:val="auto"/>
          <w:szCs w:val="21"/>
          <w:u w:val="single"/>
        </w:rPr>
        <w:t>　　</w:t>
      </w:r>
      <w:r>
        <w:rPr>
          <w:rFonts w:hint="eastAsia" w:ascii="宋体" w:hAnsi="宋体"/>
          <w:color w:val="auto"/>
          <w:szCs w:val="21"/>
        </w:rPr>
        <w:t>月</w:t>
      </w:r>
      <w:r>
        <w:rPr>
          <w:rFonts w:hint="eastAsia" w:ascii="宋体" w:hAnsi="宋体"/>
          <w:color w:val="auto"/>
          <w:szCs w:val="21"/>
          <w:u w:val="single"/>
        </w:rPr>
        <w:t>　　</w:t>
      </w:r>
      <w:r>
        <w:rPr>
          <w:rFonts w:hint="eastAsia" w:ascii="宋体" w:hAnsi="宋体"/>
          <w:color w:val="auto"/>
          <w:szCs w:val="21"/>
        </w:rPr>
        <w:t>日</w:t>
      </w:r>
    </w:p>
    <w:p w14:paraId="3115DC03">
      <w:pPr>
        <w:spacing w:line="400" w:lineRule="exact"/>
        <w:jc w:val="right"/>
        <w:rPr>
          <w:rFonts w:hint="eastAsia"/>
          <w:color w:val="auto"/>
        </w:rPr>
      </w:pPr>
    </w:p>
    <w:p w14:paraId="5CF142F6">
      <w:pPr>
        <w:spacing w:line="400" w:lineRule="exact"/>
        <w:jc w:val="right"/>
        <w:rPr>
          <w:rFonts w:hint="eastAsia"/>
          <w:color w:val="auto"/>
        </w:rPr>
      </w:pPr>
    </w:p>
    <w:p w14:paraId="70409EB2">
      <w:pPr>
        <w:spacing w:line="400" w:lineRule="exact"/>
        <w:rPr>
          <w:rFonts w:hint="eastAsia"/>
          <w:color w:val="auto"/>
        </w:rPr>
      </w:pPr>
    </w:p>
    <w:p w14:paraId="514CD747">
      <w:pPr>
        <w:spacing w:line="400" w:lineRule="exact"/>
        <w:rPr>
          <w:rFonts w:hint="eastAsia"/>
          <w:color w:val="auto"/>
        </w:rPr>
      </w:pPr>
    </w:p>
    <w:p w14:paraId="2BC710CC">
      <w:pPr>
        <w:spacing w:line="400" w:lineRule="exact"/>
        <w:rPr>
          <w:rFonts w:hint="eastAsia"/>
          <w:color w:val="auto"/>
        </w:rPr>
      </w:pPr>
    </w:p>
    <w:p w14:paraId="7933E6B7">
      <w:pPr>
        <w:spacing w:line="400" w:lineRule="exact"/>
        <w:rPr>
          <w:rFonts w:hint="eastAsia"/>
          <w:color w:val="auto"/>
        </w:rPr>
      </w:pPr>
    </w:p>
    <w:p w14:paraId="12622AE0">
      <w:pPr>
        <w:spacing w:line="400" w:lineRule="exact"/>
        <w:rPr>
          <w:rFonts w:hint="eastAsia"/>
          <w:color w:val="auto"/>
        </w:rPr>
      </w:pPr>
    </w:p>
    <w:p w14:paraId="7E6DE0DE">
      <w:pPr>
        <w:spacing w:line="400" w:lineRule="exact"/>
        <w:rPr>
          <w:rFonts w:hint="eastAsia"/>
          <w:color w:val="auto"/>
        </w:rPr>
      </w:pPr>
    </w:p>
    <w:p w14:paraId="58F6B5AA">
      <w:pPr>
        <w:spacing w:line="400" w:lineRule="exact"/>
        <w:rPr>
          <w:rFonts w:hint="eastAsia"/>
          <w:color w:val="auto"/>
        </w:rPr>
      </w:pPr>
    </w:p>
    <w:p w14:paraId="68615413">
      <w:pPr>
        <w:spacing w:line="400" w:lineRule="exact"/>
        <w:rPr>
          <w:rFonts w:hint="eastAsia"/>
          <w:color w:val="auto"/>
        </w:rPr>
      </w:pPr>
    </w:p>
    <w:p w14:paraId="469EB447">
      <w:pPr>
        <w:spacing w:line="240" w:lineRule="auto"/>
        <w:ind w:left="840" w:hanging="840" w:hangingChars="400"/>
        <w:rPr>
          <w:rFonts w:hint="eastAsia" w:ascii="宋体" w:hAnsi="宋体"/>
          <w:color w:val="auto"/>
          <w:szCs w:val="20"/>
        </w:rPr>
      </w:pPr>
      <w:r>
        <w:rPr>
          <w:rFonts w:hint="eastAsia" w:ascii="宋体" w:hAnsi="宋体"/>
          <w:color w:val="auto"/>
          <w:szCs w:val="20"/>
        </w:rPr>
        <w:t>备注：1.如招标人为避免投标人中标后因流动资金不足影响工程进度，而要求投标人具有一定的流动资金的，投标人应当填写此表。</w:t>
      </w:r>
    </w:p>
    <w:p w14:paraId="768EA487">
      <w:pPr>
        <w:spacing w:line="240" w:lineRule="auto"/>
        <w:ind w:left="840" w:hanging="840" w:hangingChars="400"/>
        <w:rPr>
          <w:rFonts w:hint="eastAsia" w:ascii="宋体" w:hAnsi="宋体"/>
          <w:color w:val="auto"/>
          <w:szCs w:val="20"/>
        </w:rPr>
      </w:pPr>
      <w:r>
        <w:rPr>
          <w:rFonts w:hint="eastAsia" w:ascii="宋体" w:hAnsi="宋体"/>
          <w:color w:val="auto"/>
          <w:szCs w:val="20"/>
        </w:rPr>
        <w:t xml:space="preserve">    </w:t>
      </w:r>
      <w:r>
        <w:rPr>
          <w:rFonts w:ascii="宋体" w:hAnsi="宋体"/>
          <w:color w:val="auto"/>
          <w:szCs w:val="20"/>
        </w:rPr>
        <w:t xml:space="preserve"> </w:t>
      </w:r>
      <w:r>
        <w:rPr>
          <w:rFonts w:hint="eastAsia" w:ascii="宋体" w:hAnsi="宋体"/>
          <w:color w:val="auto"/>
          <w:szCs w:val="20"/>
        </w:rPr>
        <w:t>2.资金来源填写银行存款、银行信贷或其它形式，如银行授信总额度、本年度可使用的银行授信余额等。</w:t>
      </w:r>
    </w:p>
    <w:p w14:paraId="6D2AA073">
      <w:pPr>
        <w:spacing w:line="240" w:lineRule="auto"/>
        <w:ind w:left="840" w:hanging="840" w:hangingChars="400"/>
        <w:rPr>
          <w:rFonts w:hint="eastAsia" w:ascii="宋体" w:hAnsi="宋体"/>
          <w:color w:val="auto"/>
          <w:szCs w:val="20"/>
        </w:rPr>
      </w:pPr>
      <w:r>
        <w:rPr>
          <w:rFonts w:hint="eastAsia" w:ascii="宋体" w:hAnsi="宋体"/>
          <w:color w:val="auto"/>
          <w:szCs w:val="20"/>
        </w:rPr>
        <w:t>　　 3.本表后附相关资金来源证明文件扫描件，银行存款证明、银行信贷证明应采用相关银行出具的格式。</w:t>
      </w:r>
    </w:p>
    <w:p w14:paraId="07F93177">
      <w:pPr>
        <w:spacing w:line="240" w:lineRule="auto"/>
        <w:ind w:left="840" w:hanging="840" w:hangingChars="400"/>
        <w:rPr>
          <w:rFonts w:ascii="宋体" w:hAnsi="宋体"/>
          <w:color w:val="auto"/>
          <w:szCs w:val="20"/>
        </w:rPr>
      </w:pPr>
      <w:r>
        <w:rPr>
          <w:rFonts w:hint="eastAsia" w:ascii="宋体" w:hAnsi="宋体"/>
          <w:color w:val="auto"/>
          <w:szCs w:val="20"/>
        </w:rPr>
        <w:t xml:space="preserve">    </w:t>
      </w:r>
    </w:p>
    <w:p w14:paraId="21057718">
      <w:pPr>
        <w:spacing w:line="400" w:lineRule="exact"/>
        <w:rPr>
          <w:rFonts w:hint="eastAsia"/>
          <w:color w:val="auto"/>
        </w:rPr>
      </w:pPr>
    </w:p>
    <w:p w14:paraId="11F2F209">
      <w:pPr>
        <w:spacing w:line="400" w:lineRule="exact"/>
        <w:rPr>
          <w:rFonts w:hint="eastAsia"/>
          <w:color w:val="auto"/>
        </w:rPr>
      </w:pPr>
    </w:p>
    <w:p w14:paraId="4B9932A7">
      <w:pPr>
        <w:spacing w:line="400" w:lineRule="exact"/>
        <w:rPr>
          <w:rFonts w:hint="eastAsia"/>
          <w:color w:val="auto"/>
        </w:rPr>
      </w:pPr>
    </w:p>
    <w:p w14:paraId="43714028">
      <w:pPr>
        <w:spacing w:line="400" w:lineRule="exact"/>
        <w:rPr>
          <w:rFonts w:hint="eastAsia"/>
          <w:color w:val="auto"/>
        </w:rPr>
      </w:pPr>
    </w:p>
    <w:p w14:paraId="16FB2FAC">
      <w:pPr>
        <w:spacing w:line="400" w:lineRule="exact"/>
        <w:rPr>
          <w:rFonts w:hint="eastAsia"/>
          <w:color w:val="auto"/>
        </w:rPr>
      </w:pPr>
    </w:p>
    <w:p w14:paraId="0B855311">
      <w:pPr>
        <w:spacing w:line="400" w:lineRule="exact"/>
        <w:rPr>
          <w:rFonts w:hint="eastAsia"/>
          <w:color w:val="auto"/>
        </w:rPr>
      </w:pPr>
    </w:p>
    <w:p w14:paraId="093C2A76">
      <w:pPr>
        <w:autoSpaceDE w:val="0"/>
        <w:autoSpaceDN w:val="0"/>
        <w:adjustRightInd w:val="0"/>
        <w:snapToGrid w:val="0"/>
        <w:spacing w:line="325" w:lineRule="exact"/>
        <w:rPr>
          <w:rFonts w:hint="eastAsia" w:ascii="宋体" w:cs="宋体"/>
          <w:color w:val="auto"/>
          <w:kern w:val="0"/>
          <w:szCs w:val="21"/>
        </w:rPr>
      </w:pPr>
    </w:p>
    <w:p w14:paraId="2E99ECE4">
      <w:pPr>
        <w:spacing w:line="440" w:lineRule="exact"/>
        <w:rPr>
          <w:rFonts w:hint="eastAsia" w:eastAsia="黑体"/>
          <w:color w:val="auto"/>
          <w:sz w:val="23"/>
          <w:szCs w:val="23"/>
        </w:rPr>
      </w:pPr>
    </w:p>
    <w:p w14:paraId="2119F660">
      <w:pPr>
        <w:pStyle w:val="4"/>
        <w:spacing w:before="159"/>
        <w:jc w:val="center"/>
        <w:rPr>
          <w:color w:val="auto"/>
          <w:sz w:val="24"/>
        </w:rPr>
      </w:pPr>
      <w:bookmarkStart w:id="2251" w:name="_Toc152042599"/>
      <w:bookmarkStart w:id="2252" w:name="_Toc247514302"/>
      <w:bookmarkStart w:id="2253" w:name="_Toc144974878"/>
      <w:bookmarkStart w:id="2254" w:name="_Toc154064043"/>
      <w:bookmarkStart w:id="2255" w:name="_Toc247527850"/>
      <w:bookmarkStart w:id="2256" w:name="_Toc14818"/>
      <w:bookmarkStart w:id="2257" w:name="_Toc152045810"/>
      <w:bookmarkStart w:id="2258" w:name="_Toc519085678"/>
      <w:r>
        <w:rPr>
          <w:color w:val="auto"/>
          <w:sz w:val="24"/>
        </w:rPr>
        <w:t>（三）近年完成的类似项目情况</w:t>
      </w:r>
      <w:bookmarkEnd w:id="2251"/>
      <w:bookmarkEnd w:id="2252"/>
      <w:bookmarkEnd w:id="2253"/>
      <w:bookmarkEnd w:id="2254"/>
      <w:bookmarkEnd w:id="2255"/>
      <w:bookmarkEnd w:id="2256"/>
      <w:bookmarkEnd w:id="2257"/>
      <w:bookmarkEnd w:id="2258"/>
    </w:p>
    <w:p w14:paraId="08DE622F">
      <w:pPr>
        <w:jc w:val="center"/>
        <w:rPr>
          <w:rFonts w:hint="eastAsia" w:ascii="黑体" w:hAnsi="黑体" w:eastAsia="黑体"/>
          <w:color w:val="auto"/>
          <w:sz w:val="24"/>
        </w:rPr>
      </w:pPr>
      <w:bookmarkStart w:id="2259" w:name="_Toc456555782"/>
      <w:bookmarkStart w:id="2260" w:name="_Toc519085679"/>
    </w:p>
    <w:p w14:paraId="72CE38C2">
      <w:pPr>
        <w:pStyle w:val="106"/>
        <w:jc w:val="center"/>
        <w:outlineLvl w:val="3"/>
        <w:rPr>
          <w:rFonts w:hint="eastAsia"/>
          <w:color w:val="auto"/>
          <w:szCs w:val="24"/>
        </w:rPr>
      </w:pPr>
      <w:bookmarkStart w:id="2261" w:name="_Toc154064044"/>
      <w:r>
        <w:rPr>
          <w:rFonts w:hint="eastAsia"/>
          <w:color w:val="auto"/>
          <w:szCs w:val="24"/>
        </w:rPr>
        <w:t>3-1 近年完成的类似项目汇总表</w:t>
      </w:r>
      <w:bookmarkEnd w:id="2259"/>
      <w:bookmarkEnd w:id="2260"/>
      <w:bookmarkEnd w:id="2261"/>
    </w:p>
    <w:p w14:paraId="5965205E">
      <w:pPr>
        <w:spacing w:line="440" w:lineRule="exact"/>
        <w:rPr>
          <w:rFonts w:hint="eastAsia" w:ascii="黑体" w:hAnsi="宋体" w:eastAsia="黑体"/>
          <w:color w:val="auto"/>
          <w:sz w:val="24"/>
        </w:rPr>
      </w:pPr>
    </w:p>
    <w:tbl>
      <w:tblPr>
        <w:tblStyle w:val="4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46"/>
        <w:gridCol w:w="1394"/>
        <w:gridCol w:w="1080"/>
        <w:gridCol w:w="1112"/>
        <w:gridCol w:w="1778"/>
        <w:gridCol w:w="1080"/>
      </w:tblGrid>
      <w:tr w14:paraId="18D4B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1A1B325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序号</w:t>
            </w:r>
          </w:p>
        </w:tc>
        <w:tc>
          <w:tcPr>
            <w:tcW w:w="1846" w:type="dxa"/>
            <w:noWrap w:val="0"/>
            <w:vAlign w:val="top"/>
          </w:tcPr>
          <w:p w14:paraId="5D7873A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项目名称</w:t>
            </w:r>
          </w:p>
        </w:tc>
        <w:tc>
          <w:tcPr>
            <w:tcW w:w="1394" w:type="dxa"/>
            <w:noWrap w:val="0"/>
            <w:vAlign w:val="top"/>
          </w:tcPr>
          <w:p w14:paraId="73F8381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宋体" w:hAnsi="宋体" w:eastAsia="宋体" w:cs="Times New Roman"/>
                <w:color w:val="auto"/>
                <w:szCs w:val="21"/>
              </w:rPr>
              <w:t>发包人名称</w:t>
            </w:r>
          </w:p>
        </w:tc>
        <w:tc>
          <w:tcPr>
            <w:tcW w:w="1080" w:type="dxa"/>
            <w:noWrap w:val="0"/>
            <w:vAlign w:val="top"/>
          </w:tcPr>
          <w:p w14:paraId="278BDDA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工程规模</w:t>
            </w:r>
          </w:p>
        </w:tc>
        <w:tc>
          <w:tcPr>
            <w:tcW w:w="1112" w:type="dxa"/>
            <w:noWrap w:val="0"/>
            <w:vAlign w:val="top"/>
          </w:tcPr>
          <w:p w14:paraId="739B1BE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宋体" w:hAnsi="宋体" w:eastAsia="宋体" w:cs="Times New Roman"/>
                <w:color w:val="auto"/>
                <w:szCs w:val="21"/>
              </w:rPr>
              <w:t>合同价格</w:t>
            </w:r>
            <w:r>
              <w:rPr>
                <w:rFonts w:hint="eastAsia" w:ascii="Calibri" w:hAnsi="Calibri" w:eastAsia="宋体" w:cs="Times New Roman"/>
                <w:color w:val="auto"/>
                <w:szCs w:val="21"/>
              </w:rPr>
              <w:t>（万元）</w:t>
            </w:r>
          </w:p>
        </w:tc>
        <w:tc>
          <w:tcPr>
            <w:tcW w:w="1778" w:type="dxa"/>
            <w:noWrap w:val="0"/>
            <w:vAlign w:val="top"/>
          </w:tcPr>
          <w:p w14:paraId="5DDE268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宋体" w:hAnsi="宋体" w:eastAsia="宋体" w:cs="Times New Roman"/>
                <w:color w:val="auto"/>
                <w:szCs w:val="21"/>
              </w:rPr>
              <w:t>开、竣工日期</w:t>
            </w:r>
          </w:p>
        </w:tc>
        <w:tc>
          <w:tcPr>
            <w:tcW w:w="1080" w:type="dxa"/>
            <w:noWrap w:val="0"/>
            <w:vAlign w:val="top"/>
          </w:tcPr>
          <w:p w14:paraId="72A57F7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宋体" w:hAnsi="宋体" w:eastAsia="宋体" w:cs="Times New Roman"/>
                <w:color w:val="auto"/>
                <w:szCs w:val="21"/>
              </w:rPr>
              <w:t>项目经理</w:t>
            </w:r>
          </w:p>
        </w:tc>
      </w:tr>
      <w:tr w14:paraId="3C463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658BD2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7F74334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63BAE69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6A347C8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7A77959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3FE9684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4A90F5B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75B5D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C86D4D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2DC7797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014F085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5FFA8A1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539198F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01CAC4C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26A434E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1B42D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978242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4FA9332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2AC81A2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119B704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03400EF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16DCD8D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71E0FF2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5BE55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BE87F0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73D2D9F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13D7439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5D35FA7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2CDFB00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4128C5C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3CD36CF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480A2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78FA93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476A5C4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3D39254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44D1E31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477DAB9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11CEE55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32F40A8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5EB83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24CB83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010F3D5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55483DB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27C3A7E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3A7729E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2A3D46F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0E8DD26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5135D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8DFE7E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5D6A6B0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141BC94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46111D9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2B5C05A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4DDCA42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7EFF341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45CD6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77FED4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0484F1F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26ADE29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30F840B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25373AA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08635CE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2871876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140F4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6AAD62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2771A8B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074AD1E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101145F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15EE729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3711F34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0AA1C0B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1F964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4E9DAA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338CD80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6D6AF21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12D9324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475205B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43FBB3D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10886C9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3B15C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680629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6964850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61AC7EB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7E6D89B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14E3D2E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200F05B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69C20B1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6776D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E737D2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44CAA4C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71EA959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135AFEB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164885C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5831BB6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0F40EFD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28369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4D64A7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0315A14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20ACCCC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2833741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6B8F651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55DC08C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655EDCC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71AA1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F5DA09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4DACAA7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5FD18E8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6B2B407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028071D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04998D0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5396884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74986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E8BB77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3F7E14B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680DCD5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7B94711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012C388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06C254E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52ED4B1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02510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935971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69DDFE2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6078D13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727570B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1EA58D4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53CECCD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70ED82A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bl>
    <w:p w14:paraId="4BC67C3B">
      <w:pPr>
        <w:spacing w:line="440" w:lineRule="exact"/>
        <w:ind w:left="720" w:hanging="720" w:hangingChars="300"/>
        <w:rPr>
          <w:rFonts w:hint="eastAsia" w:ascii="黑体" w:hAnsi="宋体" w:eastAsia="黑体"/>
          <w:color w:val="auto"/>
          <w:sz w:val="24"/>
        </w:rPr>
      </w:pPr>
    </w:p>
    <w:p w14:paraId="45209FCC">
      <w:pPr>
        <w:spacing w:line="440" w:lineRule="exact"/>
        <w:ind w:left="720" w:hanging="720" w:hangingChars="300"/>
        <w:rPr>
          <w:rFonts w:hint="eastAsia" w:ascii="黑体" w:hAnsi="宋体" w:eastAsia="黑体"/>
          <w:color w:val="auto"/>
          <w:sz w:val="24"/>
        </w:rPr>
      </w:pPr>
    </w:p>
    <w:p w14:paraId="2633E18D">
      <w:pPr>
        <w:spacing w:line="440" w:lineRule="exact"/>
        <w:ind w:left="720" w:hanging="720" w:hangingChars="300"/>
        <w:rPr>
          <w:rFonts w:hint="eastAsia" w:ascii="黑体" w:hAnsi="宋体" w:eastAsia="黑体"/>
          <w:color w:val="auto"/>
          <w:sz w:val="24"/>
        </w:rPr>
      </w:pPr>
    </w:p>
    <w:p w14:paraId="277D2331">
      <w:pPr>
        <w:spacing w:line="440" w:lineRule="exact"/>
        <w:ind w:left="720" w:hanging="720" w:hangingChars="300"/>
        <w:rPr>
          <w:rFonts w:hint="eastAsia" w:ascii="黑体" w:hAnsi="宋体" w:eastAsia="黑体"/>
          <w:color w:val="auto"/>
          <w:sz w:val="24"/>
        </w:rPr>
      </w:pPr>
    </w:p>
    <w:p w14:paraId="1A49B2A0">
      <w:pPr>
        <w:spacing w:line="440" w:lineRule="exact"/>
        <w:ind w:left="720" w:hanging="720" w:hangingChars="300"/>
        <w:rPr>
          <w:rFonts w:hint="eastAsia" w:ascii="黑体" w:hAnsi="宋体" w:eastAsia="黑体"/>
          <w:color w:val="auto"/>
          <w:sz w:val="24"/>
        </w:rPr>
      </w:pPr>
    </w:p>
    <w:p w14:paraId="4EF8AC02">
      <w:pPr>
        <w:spacing w:line="440" w:lineRule="exact"/>
        <w:rPr>
          <w:rFonts w:hint="eastAsia" w:ascii="黑体" w:hAnsi="宋体" w:eastAsia="黑体"/>
          <w:color w:val="auto"/>
          <w:sz w:val="24"/>
        </w:rPr>
      </w:pPr>
    </w:p>
    <w:p w14:paraId="6D8D1C34">
      <w:pPr>
        <w:pStyle w:val="106"/>
        <w:jc w:val="center"/>
        <w:outlineLvl w:val="3"/>
        <w:rPr>
          <w:rFonts w:hint="eastAsia"/>
          <w:color w:val="auto"/>
          <w:szCs w:val="24"/>
        </w:rPr>
      </w:pPr>
      <w:bookmarkStart w:id="2262" w:name="_Toc456555783"/>
      <w:bookmarkStart w:id="2263" w:name="_Toc519085680"/>
      <w:bookmarkStart w:id="2264" w:name="_Toc154064045"/>
      <w:r>
        <w:rPr>
          <w:rFonts w:hint="eastAsia"/>
          <w:color w:val="auto"/>
          <w:szCs w:val="24"/>
        </w:rPr>
        <w:t>3-2 近年完成的类似项目情况表</w:t>
      </w:r>
      <w:bookmarkEnd w:id="2262"/>
      <w:bookmarkEnd w:id="2263"/>
      <w:bookmarkEnd w:id="2264"/>
    </w:p>
    <w:p w14:paraId="7F564C43">
      <w:pPr>
        <w:jc w:val="center"/>
        <w:rPr>
          <w:rFonts w:hint="eastAsia" w:ascii="黑体" w:hAnsi="宋体" w:eastAsia="黑体"/>
          <w:b/>
          <w:color w:val="auto"/>
          <w:sz w:val="24"/>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139AD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AF1A5C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项目名称</w:t>
            </w:r>
          </w:p>
        </w:tc>
        <w:tc>
          <w:tcPr>
            <w:tcW w:w="6094" w:type="dxa"/>
            <w:noWrap w:val="0"/>
            <w:vAlign w:val="center"/>
          </w:tcPr>
          <w:p w14:paraId="4DBAC1D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76DCF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CBEBDA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项目所在地</w:t>
            </w:r>
          </w:p>
        </w:tc>
        <w:tc>
          <w:tcPr>
            <w:tcW w:w="6094" w:type="dxa"/>
            <w:noWrap w:val="0"/>
            <w:vAlign w:val="center"/>
          </w:tcPr>
          <w:p w14:paraId="3A93F72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33AA6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49BD0F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发包人名称</w:t>
            </w:r>
          </w:p>
        </w:tc>
        <w:tc>
          <w:tcPr>
            <w:tcW w:w="6094" w:type="dxa"/>
            <w:noWrap w:val="0"/>
            <w:vAlign w:val="center"/>
          </w:tcPr>
          <w:p w14:paraId="3596243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6B3FB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C95747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发包人地址</w:t>
            </w:r>
          </w:p>
        </w:tc>
        <w:tc>
          <w:tcPr>
            <w:tcW w:w="6094" w:type="dxa"/>
            <w:noWrap w:val="0"/>
            <w:vAlign w:val="center"/>
          </w:tcPr>
          <w:p w14:paraId="583BC8B4">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295FF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B5B3FA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发包人联系人及电话</w:t>
            </w:r>
          </w:p>
        </w:tc>
        <w:tc>
          <w:tcPr>
            <w:tcW w:w="6094" w:type="dxa"/>
            <w:noWrap w:val="0"/>
            <w:vAlign w:val="center"/>
          </w:tcPr>
          <w:p w14:paraId="2A95C1C5">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3DA09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1AFD22B">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合同价格</w:t>
            </w:r>
          </w:p>
        </w:tc>
        <w:tc>
          <w:tcPr>
            <w:tcW w:w="6094" w:type="dxa"/>
            <w:noWrap w:val="0"/>
            <w:vAlign w:val="center"/>
          </w:tcPr>
          <w:p w14:paraId="66EC731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636AB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770E0E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开工日期</w:t>
            </w:r>
          </w:p>
        </w:tc>
        <w:tc>
          <w:tcPr>
            <w:tcW w:w="6094" w:type="dxa"/>
            <w:noWrap w:val="0"/>
            <w:vAlign w:val="center"/>
          </w:tcPr>
          <w:p w14:paraId="1B3C58C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187B3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D452555">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竣工日期</w:t>
            </w:r>
          </w:p>
        </w:tc>
        <w:tc>
          <w:tcPr>
            <w:tcW w:w="6094" w:type="dxa"/>
            <w:noWrap w:val="0"/>
            <w:vAlign w:val="center"/>
          </w:tcPr>
          <w:p w14:paraId="2CC28748">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15DC7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13969C4">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承担的工作</w:t>
            </w:r>
          </w:p>
        </w:tc>
        <w:tc>
          <w:tcPr>
            <w:tcW w:w="6094" w:type="dxa"/>
            <w:noWrap w:val="0"/>
            <w:vAlign w:val="center"/>
          </w:tcPr>
          <w:p w14:paraId="6A470CA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10300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BE4F1D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工程质量</w:t>
            </w:r>
          </w:p>
        </w:tc>
        <w:tc>
          <w:tcPr>
            <w:tcW w:w="6094" w:type="dxa"/>
            <w:noWrap w:val="0"/>
            <w:vAlign w:val="center"/>
          </w:tcPr>
          <w:p w14:paraId="624C2EE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45400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F7264D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项目经理</w:t>
            </w:r>
          </w:p>
        </w:tc>
        <w:tc>
          <w:tcPr>
            <w:tcW w:w="6094" w:type="dxa"/>
            <w:noWrap w:val="0"/>
            <w:vAlign w:val="center"/>
          </w:tcPr>
          <w:p w14:paraId="3F0F8F9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35C69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577791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总监理工程师及电话</w:t>
            </w:r>
          </w:p>
        </w:tc>
        <w:tc>
          <w:tcPr>
            <w:tcW w:w="6094" w:type="dxa"/>
            <w:noWrap w:val="0"/>
            <w:vAlign w:val="center"/>
          </w:tcPr>
          <w:p w14:paraId="0C7EFA6B">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46D43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2411" w:type="dxa"/>
            <w:noWrap w:val="0"/>
            <w:vAlign w:val="center"/>
          </w:tcPr>
          <w:p w14:paraId="40045C4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项目描述</w:t>
            </w:r>
          </w:p>
        </w:tc>
        <w:tc>
          <w:tcPr>
            <w:tcW w:w="6094" w:type="dxa"/>
            <w:noWrap w:val="0"/>
            <w:vAlign w:val="center"/>
          </w:tcPr>
          <w:p w14:paraId="1BAAD9D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19C0E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527B004">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备注</w:t>
            </w:r>
          </w:p>
        </w:tc>
        <w:tc>
          <w:tcPr>
            <w:tcW w:w="6094" w:type="dxa"/>
            <w:noWrap w:val="0"/>
            <w:vAlign w:val="center"/>
          </w:tcPr>
          <w:p w14:paraId="41C3762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bl>
    <w:p w14:paraId="11C1CB72">
      <w:pPr>
        <w:spacing w:line="440" w:lineRule="exact"/>
        <w:ind w:left="630" w:hanging="630" w:hangingChars="300"/>
        <w:rPr>
          <w:rFonts w:hint="eastAsia" w:ascii="宋体" w:hAnsi="宋体"/>
          <w:color w:val="auto"/>
          <w:szCs w:val="21"/>
        </w:rPr>
      </w:pPr>
      <w:r>
        <w:rPr>
          <w:rFonts w:hint="eastAsia" w:ascii="宋体" w:hAnsi="宋体"/>
          <w:color w:val="auto"/>
          <w:szCs w:val="21"/>
        </w:rPr>
        <w:t>备注：1．“类似项目</w:t>
      </w:r>
      <w:r>
        <w:rPr>
          <w:rFonts w:ascii="宋体" w:hAnsi="宋体"/>
          <w:color w:val="auto"/>
          <w:szCs w:val="21"/>
        </w:rPr>
        <w:t>”</w:t>
      </w:r>
      <w:r>
        <w:rPr>
          <w:rFonts w:hint="eastAsia" w:ascii="宋体" w:hAnsi="宋体"/>
          <w:color w:val="auto"/>
          <w:szCs w:val="21"/>
        </w:rPr>
        <w:t>见申请（投标）人须知前附表；具体年份要求见申请（投标）人须知前附表。</w:t>
      </w:r>
    </w:p>
    <w:p w14:paraId="7F147D9D">
      <w:pPr>
        <w:spacing w:line="440" w:lineRule="exact"/>
        <w:ind w:left="781" w:leftChars="272" w:hanging="210" w:hangingChars="100"/>
        <w:rPr>
          <w:rFonts w:hint="eastAsia" w:ascii="宋体" w:hAnsi="宋体"/>
          <w:color w:val="auto"/>
          <w:szCs w:val="21"/>
        </w:rPr>
      </w:pPr>
      <w:r>
        <w:rPr>
          <w:rFonts w:hint="eastAsia" w:ascii="宋体" w:hAnsi="宋体"/>
          <w:color w:val="auto"/>
          <w:szCs w:val="21"/>
        </w:rPr>
        <w:t>2．本表后附中标通知书（如有）、合同协议书、工程接收证书或工程竣工验收证书（或工程竣工验收备案证）（如有）及其他证明材料（如需要）的</w:t>
      </w:r>
      <w:r>
        <w:rPr>
          <w:rFonts w:hint="eastAsia" w:ascii="宋体" w:hAnsi="宋体"/>
          <w:color w:val="auto"/>
        </w:rPr>
        <w:t>扫描件</w:t>
      </w:r>
      <w:r>
        <w:rPr>
          <w:rFonts w:hint="eastAsia" w:ascii="宋体" w:hAnsi="宋体"/>
          <w:color w:val="auto"/>
          <w:szCs w:val="21"/>
        </w:rPr>
        <w:t>。其中招标发包的工程应附中标通知书。每张表格只填写一个项目，并标明序号。</w:t>
      </w:r>
    </w:p>
    <w:p w14:paraId="3E2E977E">
      <w:pPr>
        <w:spacing w:line="440" w:lineRule="exact"/>
        <w:jc w:val="center"/>
        <w:rPr>
          <w:rFonts w:ascii="宋体" w:hAnsi="宋体"/>
          <w:color w:val="auto"/>
          <w:sz w:val="23"/>
          <w:szCs w:val="23"/>
        </w:rPr>
      </w:pPr>
    </w:p>
    <w:p w14:paraId="5E968678">
      <w:pPr>
        <w:spacing w:line="440" w:lineRule="exact"/>
        <w:rPr>
          <w:rFonts w:hint="eastAsia"/>
          <w:color w:val="auto"/>
        </w:rPr>
      </w:pPr>
      <w:bookmarkStart w:id="2265" w:name="_Toc247514303"/>
      <w:bookmarkStart w:id="2266" w:name="_Toc152045811"/>
      <w:bookmarkStart w:id="2267" w:name="_Toc247527851"/>
      <w:bookmarkStart w:id="2268" w:name="_Toc144974879"/>
      <w:bookmarkStart w:id="2269" w:name="_Toc152042600"/>
    </w:p>
    <w:p w14:paraId="22C27822">
      <w:pPr>
        <w:spacing w:line="440" w:lineRule="exact"/>
        <w:rPr>
          <w:rFonts w:hint="eastAsia"/>
          <w:color w:val="auto"/>
        </w:rPr>
      </w:pPr>
    </w:p>
    <w:p w14:paraId="4BE07B8E">
      <w:pPr>
        <w:spacing w:line="440" w:lineRule="exact"/>
        <w:rPr>
          <w:rFonts w:hint="eastAsia"/>
          <w:color w:val="auto"/>
        </w:rPr>
      </w:pPr>
    </w:p>
    <w:p w14:paraId="685DB99F">
      <w:pPr>
        <w:pStyle w:val="4"/>
        <w:spacing w:before="159"/>
        <w:jc w:val="center"/>
        <w:rPr>
          <w:color w:val="auto"/>
          <w:sz w:val="24"/>
        </w:rPr>
      </w:pPr>
      <w:bookmarkStart w:id="2270" w:name="_Toc154064046"/>
      <w:r>
        <w:rPr>
          <w:color w:val="auto"/>
          <w:sz w:val="24"/>
        </w:rPr>
        <w:t>（四）近年完成的类似</w:t>
      </w:r>
      <w:r>
        <w:rPr>
          <w:rFonts w:hint="eastAsia"/>
          <w:color w:val="auto"/>
          <w:sz w:val="24"/>
        </w:rPr>
        <w:t>设计</w:t>
      </w:r>
      <w:r>
        <w:rPr>
          <w:color w:val="auto"/>
          <w:sz w:val="24"/>
        </w:rPr>
        <w:t>项目情况</w:t>
      </w:r>
      <w:bookmarkEnd w:id="2270"/>
    </w:p>
    <w:p w14:paraId="58827370">
      <w:pPr>
        <w:jc w:val="center"/>
        <w:rPr>
          <w:rFonts w:hint="eastAsia" w:ascii="黑体" w:hAnsi="黑体" w:eastAsia="黑体"/>
          <w:color w:val="auto"/>
          <w:sz w:val="24"/>
        </w:rPr>
      </w:pPr>
    </w:p>
    <w:p w14:paraId="3B936B4D">
      <w:pPr>
        <w:pStyle w:val="106"/>
        <w:jc w:val="center"/>
        <w:outlineLvl w:val="3"/>
        <w:rPr>
          <w:rFonts w:hint="eastAsia"/>
          <w:color w:val="auto"/>
          <w:szCs w:val="24"/>
        </w:rPr>
      </w:pPr>
      <w:bookmarkStart w:id="2271" w:name="_Toc154064047"/>
      <w:r>
        <w:rPr>
          <w:rFonts w:hint="eastAsia"/>
          <w:color w:val="auto"/>
          <w:szCs w:val="24"/>
        </w:rPr>
        <w:t>4-1 近年完成的类似设计项目汇总表</w:t>
      </w:r>
      <w:bookmarkEnd w:id="2271"/>
    </w:p>
    <w:p w14:paraId="5E605544">
      <w:pPr>
        <w:spacing w:line="440" w:lineRule="exact"/>
        <w:rPr>
          <w:rFonts w:hint="eastAsia" w:ascii="黑体" w:hAnsi="宋体" w:eastAsia="黑体"/>
          <w:color w:val="auto"/>
          <w:sz w:val="24"/>
        </w:rPr>
      </w:pPr>
    </w:p>
    <w:tbl>
      <w:tblPr>
        <w:tblStyle w:val="4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46"/>
        <w:gridCol w:w="1394"/>
        <w:gridCol w:w="1080"/>
        <w:gridCol w:w="1112"/>
        <w:gridCol w:w="1778"/>
        <w:gridCol w:w="1080"/>
      </w:tblGrid>
      <w:tr w14:paraId="06013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7AEED72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序号</w:t>
            </w:r>
          </w:p>
        </w:tc>
        <w:tc>
          <w:tcPr>
            <w:tcW w:w="1846" w:type="dxa"/>
            <w:noWrap w:val="0"/>
            <w:vAlign w:val="top"/>
          </w:tcPr>
          <w:p w14:paraId="63FA2A5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项目名称</w:t>
            </w:r>
          </w:p>
        </w:tc>
        <w:tc>
          <w:tcPr>
            <w:tcW w:w="1394" w:type="dxa"/>
            <w:noWrap w:val="0"/>
            <w:vAlign w:val="top"/>
          </w:tcPr>
          <w:p w14:paraId="561A529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宋体" w:hAnsi="宋体" w:eastAsia="宋体" w:cs="Times New Roman"/>
                <w:color w:val="auto"/>
                <w:szCs w:val="21"/>
              </w:rPr>
              <w:t>发包人名称</w:t>
            </w:r>
          </w:p>
        </w:tc>
        <w:tc>
          <w:tcPr>
            <w:tcW w:w="1080" w:type="dxa"/>
            <w:noWrap w:val="0"/>
            <w:vAlign w:val="top"/>
          </w:tcPr>
          <w:p w14:paraId="16CF37F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工程规模</w:t>
            </w:r>
          </w:p>
        </w:tc>
        <w:tc>
          <w:tcPr>
            <w:tcW w:w="1112" w:type="dxa"/>
            <w:noWrap w:val="0"/>
            <w:vAlign w:val="top"/>
          </w:tcPr>
          <w:p w14:paraId="21D4A42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宋体" w:hAnsi="宋体" w:eastAsia="宋体" w:cs="Times New Roman"/>
                <w:color w:val="auto"/>
                <w:szCs w:val="21"/>
              </w:rPr>
              <w:t>合同价格</w:t>
            </w:r>
            <w:r>
              <w:rPr>
                <w:rFonts w:hint="eastAsia" w:ascii="Calibri" w:hAnsi="Calibri" w:eastAsia="宋体" w:cs="Times New Roman"/>
                <w:color w:val="auto"/>
                <w:szCs w:val="21"/>
              </w:rPr>
              <w:t>（万元）</w:t>
            </w:r>
          </w:p>
        </w:tc>
        <w:tc>
          <w:tcPr>
            <w:tcW w:w="1778" w:type="dxa"/>
            <w:noWrap w:val="0"/>
            <w:vAlign w:val="top"/>
          </w:tcPr>
          <w:p w14:paraId="42AB45A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宋体" w:hAnsi="宋体" w:eastAsia="宋体" w:cs="Times New Roman"/>
                <w:color w:val="auto"/>
                <w:szCs w:val="21"/>
              </w:rPr>
              <w:t>开、完成日期</w:t>
            </w:r>
          </w:p>
        </w:tc>
        <w:tc>
          <w:tcPr>
            <w:tcW w:w="1080" w:type="dxa"/>
            <w:noWrap w:val="0"/>
            <w:vAlign w:val="top"/>
          </w:tcPr>
          <w:p w14:paraId="21926D28">
            <w:pPr>
              <w:keepNext w:val="0"/>
              <w:keepLines w:val="0"/>
              <w:suppressLineNumbers w:val="0"/>
              <w:topLinePunct/>
              <w:spacing w:before="0" w:beforeAutospacing="0" w:after="0" w:afterAutospacing="0" w:line="400" w:lineRule="atLeast"/>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项目</w:t>
            </w:r>
          </w:p>
          <w:p w14:paraId="52421A4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宋体" w:hAnsi="宋体" w:eastAsia="宋体" w:cs="Times New Roman"/>
                <w:color w:val="auto"/>
                <w:szCs w:val="21"/>
              </w:rPr>
              <w:t>负责人</w:t>
            </w:r>
          </w:p>
        </w:tc>
      </w:tr>
      <w:tr w14:paraId="41B6F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8DB4DC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6A564FC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561CB92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5EE6782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3878CC6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66A9F2E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390AE75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360BC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CCC661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53C8E46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282E7D5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29908D4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58C2555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75BF7E6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53EC0BF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63AA6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09A2D1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48C2F12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66E8FB7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14F2C61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64BF29E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6352D53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40009FE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3A2C3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E024BD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004F660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0B55CBD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6DDCFF3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0D6F922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106E60A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1C0B975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2EE34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9F5B3B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557ADF7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4E6310C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29ECDB3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7093982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23F4D41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40DA13C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78C3D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B31507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646DD7B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3B575BE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38C89D3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3D4BE12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0BE1AE4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10DA413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7CA72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272D97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42FF55E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33BEF19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649155E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435A9F6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4DF314A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7640A27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16D8D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02D978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5D434D8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3B14E43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74ABEB7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5195B4A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259E343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47A32F6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4C9D7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B378BB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78962C6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0FFDDA0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4D9DB8E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0912949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37717AA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168D880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37F10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D403B7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675F5A2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2C726A1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2C44BC4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41973C8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470DC92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19F2E71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6E1E0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929A0D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054FB50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593772B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0769127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7BEA6D5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35BEE8C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1128E80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039EC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E98B15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3AADD8D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3397E44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197073B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4A07544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3E92896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173E6A5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6B90D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E93B0F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6FBCB05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4AE31E9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2999FD0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28D740A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56C91B8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3A67535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4F9D2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1A6F1D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080348C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124C940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44EF74B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398693C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10A59A0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35E79DE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0D752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2A4014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0739F99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7338DDF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14CB0EA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30AADCE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61B2652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73CADED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62C90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7D4AF6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492E733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14C4950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22D6E52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7AB8113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73DAB8A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620630E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bl>
    <w:p w14:paraId="53D5684D">
      <w:pPr>
        <w:spacing w:line="440" w:lineRule="exact"/>
        <w:ind w:left="720" w:hanging="720" w:hangingChars="300"/>
        <w:rPr>
          <w:rFonts w:hint="eastAsia" w:ascii="黑体" w:hAnsi="宋体" w:eastAsia="黑体"/>
          <w:color w:val="auto"/>
          <w:sz w:val="24"/>
        </w:rPr>
      </w:pPr>
    </w:p>
    <w:p w14:paraId="06695C37">
      <w:pPr>
        <w:spacing w:line="440" w:lineRule="exact"/>
        <w:ind w:left="720" w:hanging="720" w:hangingChars="300"/>
        <w:rPr>
          <w:rFonts w:hint="eastAsia" w:ascii="黑体" w:hAnsi="宋体" w:eastAsia="黑体"/>
          <w:color w:val="auto"/>
          <w:sz w:val="24"/>
        </w:rPr>
      </w:pPr>
    </w:p>
    <w:p w14:paraId="16FEABDB">
      <w:pPr>
        <w:spacing w:line="440" w:lineRule="exact"/>
        <w:ind w:left="720" w:hanging="720" w:hangingChars="300"/>
        <w:rPr>
          <w:rFonts w:hint="eastAsia" w:ascii="黑体" w:hAnsi="宋体" w:eastAsia="黑体"/>
          <w:color w:val="auto"/>
          <w:sz w:val="24"/>
        </w:rPr>
      </w:pPr>
    </w:p>
    <w:p w14:paraId="0F61BFE2">
      <w:pPr>
        <w:spacing w:line="440" w:lineRule="exact"/>
        <w:ind w:left="720" w:hanging="720" w:hangingChars="300"/>
        <w:rPr>
          <w:rFonts w:hint="eastAsia" w:ascii="黑体" w:hAnsi="宋体" w:eastAsia="黑体"/>
          <w:color w:val="auto"/>
          <w:sz w:val="24"/>
        </w:rPr>
      </w:pPr>
    </w:p>
    <w:p w14:paraId="17CEE71B">
      <w:pPr>
        <w:spacing w:line="440" w:lineRule="exact"/>
        <w:ind w:left="720" w:hanging="720" w:hangingChars="300"/>
        <w:rPr>
          <w:rFonts w:hint="eastAsia" w:ascii="黑体" w:hAnsi="宋体" w:eastAsia="黑体"/>
          <w:color w:val="auto"/>
          <w:sz w:val="24"/>
        </w:rPr>
      </w:pPr>
    </w:p>
    <w:p w14:paraId="28F65805">
      <w:pPr>
        <w:spacing w:line="440" w:lineRule="exact"/>
        <w:ind w:left="720" w:hanging="720" w:hangingChars="300"/>
        <w:rPr>
          <w:rFonts w:hint="eastAsia" w:ascii="黑体" w:hAnsi="宋体" w:eastAsia="黑体"/>
          <w:color w:val="auto"/>
          <w:sz w:val="24"/>
        </w:rPr>
      </w:pPr>
    </w:p>
    <w:p w14:paraId="75C80C26">
      <w:pPr>
        <w:spacing w:line="440" w:lineRule="exact"/>
        <w:rPr>
          <w:rFonts w:hint="eastAsia" w:ascii="黑体" w:hAnsi="宋体" w:eastAsia="黑体"/>
          <w:color w:val="auto"/>
          <w:sz w:val="24"/>
        </w:rPr>
      </w:pPr>
    </w:p>
    <w:p w14:paraId="3ADFAFEF">
      <w:pPr>
        <w:pStyle w:val="106"/>
        <w:jc w:val="center"/>
        <w:outlineLvl w:val="3"/>
        <w:rPr>
          <w:rFonts w:hint="eastAsia"/>
          <w:color w:val="auto"/>
          <w:szCs w:val="24"/>
        </w:rPr>
      </w:pPr>
      <w:bookmarkStart w:id="2272" w:name="_Toc154064048"/>
      <w:r>
        <w:rPr>
          <w:rFonts w:hint="eastAsia"/>
          <w:color w:val="auto"/>
          <w:szCs w:val="24"/>
        </w:rPr>
        <w:t>4-2 近年完成的类似设计项目情况表</w:t>
      </w:r>
      <w:bookmarkEnd w:id="2272"/>
    </w:p>
    <w:p w14:paraId="74214B4E">
      <w:pPr>
        <w:jc w:val="center"/>
        <w:rPr>
          <w:rFonts w:hint="eastAsia" w:ascii="黑体" w:hAnsi="宋体" w:eastAsia="黑体"/>
          <w:b/>
          <w:color w:val="auto"/>
          <w:sz w:val="24"/>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18495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03CB30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项目名称</w:t>
            </w:r>
          </w:p>
        </w:tc>
        <w:tc>
          <w:tcPr>
            <w:tcW w:w="6094" w:type="dxa"/>
            <w:noWrap w:val="0"/>
            <w:vAlign w:val="center"/>
          </w:tcPr>
          <w:p w14:paraId="2FA7FD37">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0D17D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F02353B">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项目所在地</w:t>
            </w:r>
          </w:p>
        </w:tc>
        <w:tc>
          <w:tcPr>
            <w:tcW w:w="6094" w:type="dxa"/>
            <w:noWrap w:val="0"/>
            <w:vAlign w:val="center"/>
          </w:tcPr>
          <w:p w14:paraId="6C839F3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2AC58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CF98E22">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发包人名称</w:t>
            </w:r>
          </w:p>
        </w:tc>
        <w:tc>
          <w:tcPr>
            <w:tcW w:w="6094" w:type="dxa"/>
            <w:noWrap w:val="0"/>
            <w:vAlign w:val="center"/>
          </w:tcPr>
          <w:p w14:paraId="7FB37CE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7074A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4E8552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发包人地址</w:t>
            </w:r>
          </w:p>
        </w:tc>
        <w:tc>
          <w:tcPr>
            <w:tcW w:w="6094" w:type="dxa"/>
            <w:noWrap w:val="0"/>
            <w:vAlign w:val="center"/>
          </w:tcPr>
          <w:p w14:paraId="6EDD5845">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53FC8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231125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发包人联系人及电话</w:t>
            </w:r>
          </w:p>
        </w:tc>
        <w:tc>
          <w:tcPr>
            <w:tcW w:w="6094" w:type="dxa"/>
            <w:noWrap w:val="0"/>
            <w:vAlign w:val="center"/>
          </w:tcPr>
          <w:p w14:paraId="45C0F1AB">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6166F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880F36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合同价格</w:t>
            </w:r>
          </w:p>
        </w:tc>
        <w:tc>
          <w:tcPr>
            <w:tcW w:w="6094" w:type="dxa"/>
            <w:noWrap w:val="0"/>
            <w:vAlign w:val="center"/>
          </w:tcPr>
          <w:p w14:paraId="43113C9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78904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5D0912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合同签订时间</w:t>
            </w:r>
          </w:p>
        </w:tc>
        <w:tc>
          <w:tcPr>
            <w:tcW w:w="6094" w:type="dxa"/>
            <w:noWrap w:val="0"/>
            <w:vAlign w:val="center"/>
          </w:tcPr>
          <w:p w14:paraId="4DD255D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27F41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C45612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开始设计时间</w:t>
            </w:r>
          </w:p>
        </w:tc>
        <w:tc>
          <w:tcPr>
            <w:tcW w:w="6094" w:type="dxa"/>
            <w:noWrap w:val="0"/>
            <w:vAlign w:val="center"/>
          </w:tcPr>
          <w:p w14:paraId="27C0CD8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6F107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5EF87C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完成设计时间</w:t>
            </w:r>
          </w:p>
        </w:tc>
        <w:tc>
          <w:tcPr>
            <w:tcW w:w="6094" w:type="dxa"/>
            <w:noWrap w:val="0"/>
            <w:vAlign w:val="center"/>
          </w:tcPr>
          <w:p w14:paraId="58F93874">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3EAB5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10D6FB5">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承担的工作</w:t>
            </w:r>
          </w:p>
        </w:tc>
        <w:tc>
          <w:tcPr>
            <w:tcW w:w="6094" w:type="dxa"/>
            <w:noWrap w:val="0"/>
            <w:vAlign w:val="center"/>
          </w:tcPr>
          <w:p w14:paraId="109400E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75244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B8A045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项目负责人</w:t>
            </w:r>
          </w:p>
        </w:tc>
        <w:tc>
          <w:tcPr>
            <w:tcW w:w="6094" w:type="dxa"/>
            <w:noWrap w:val="0"/>
            <w:vAlign w:val="center"/>
          </w:tcPr>
          <w:p w14:paraId="1D48E1A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585D1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DFAE27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获奖情况</w:t>
            </w:r>
          </w:p>
        </w:tc>
        <w:tc>
          <w:tcPr>
            <w:tcW w:w="6094" w:type="dxa"/>
            <w:noWrap w:val="0"/>
            <w:vAlign w:val="center"/>
          </w:tcPr>
          <w:p w14:paraId="6EAFF070">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6446C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9" w:hRule="atLeast"/>
          <w:jc w:val="center"/>
        </w:trPr>
        <w:tc>
          <w:tcPr>
            <w:tcW w:w="2411" w:type="dxa"/>
            <w:noWrap w:val="0"/>
            <w:vAlign w:val="center"/>
          </w:tcPr>
          <w:p w14:paraId="377A468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项目描述</w:t>
            </w:r>
          </w:p>
        </w:tc>
        <w:tc>
          <w:tcPr>
            <w:tcW w:w="6094" w:type="dxa"/>
            <w:noWrap w:val="0"/>
            <w:vAlign w:val="center"/>
          </w:tcPr>
          <w:p w14:paraId="3C10C62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5C9CD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FAD778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备注</w:t>
            </w:r>
          </w:p>
        </w:tc>
        <w:tc>
          <w:tcPr>
            <w:tcW w:w="6094" w:type="dxa"/>
            <w:noWrap w:val="0"/>
            <w:vAlign w:val="center"/>
          </w:tcPr>
          <w:p w14:paraId="02C9D68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bl>
    <w:p w14:paraId="51DF293F">
      <w:pPr>
        <w:spacing w:line="440" w:lineRule="exact"/>
        <w:ind w:left="630" w:hanging="630" w:hangingChars="300"/>
        <w:rPr>
          <w:rFonts w:hint="eastAsia" w:ascii="黑体" w:hAnsi="宋体" w:eastAsia="黑体"/>
          <w:color w:val="auto"/>
          <w:szCs w:val="21"/>
        </w:rPr>
      </w:pPr>
    </w:p>
    <w:p w14:paraId="075DEBDC">
      <w:pPr>
        <w:spacing w:line="440" w:lineRule="exact"/>
        <w:ind w:left="630" w:hanging="630" w:hangingChars="300"/>
        <w:rPr>
          <w:rFonts w:hint="eastAsia" w:ascii="宋体" w:hAnsi="宋体"/>
          <w:color w:val="auto"/>
          <w:szCs w:val="21"/>
        </w:rPr>
      </w:pPr>
      <w:r>
        <w:rPr>
          <w:rFonts w:hint="eastAsia" w:ascii="黑体" w:hAnsi="宋体" w:eastAsia="黑体"/>
          <w:color w:val="auto"/>
          <w:szCs w:val="21"/>
        </w:rPr>
        <w:t>备注：</w:t>
      </w:r>
      <w:r>
        <w:rPr>
          <w:rFonts w:hint="eastAsia"/>
          <w:color w:val="auto"/>
          <w:szCs w:val="21"/>
        </w:rPr>
        <w:t>1</w:t>
      </w:r>
      <w:r>
        <w:rPr>
          <w:rFonts w:hint="eastAsia" w:ascii="宋体" w:hAnsi="宋体"/>
          <w:color w:val="auto"/>
          <w:szCs w:val="21"/>
        </w:rPr>
        <w:t>．“类似设计项目</w:t>
      </w:r>
      <w:r>
        <w:rPr>
          <w:rFonts w:ascii="宋体" w:hAnsi="宋体"/>
          <w:color w:val="auto"/>
          <w:szCs w:val="21"/>
        </w:rPr>
        <w:t>”</w:t>
      </w:r>
      <w:r>
        <w:rPr>
          <w:rFonts w:hint="eastAsia" w:ascii="宋体" w:hAnsi="宋体"/>
          <w:color w:val="auto"/>
          <w:szCs w:val="21"/>
        </w:rPr>
        <w:t>见申请（投标）人须知前附表；具体年份要求见申请（投标）人须知前附表。</w:t>
      </w:r>
    </w:p>
    <w:p w14:paraId="62D5A71E">
      <w:pPr>
        <w:spacing w:line="440" w:lineRule="exact"/>
        <w:ind w:left="840" w:leftChars="300" w:hanging="210" w:hangingChars="100"/>
        <w:rPr>
          <w:rFonts w:ascii="宋体" w:hAnsi="宋体"/>
          <w:color w:val="auto"/>
          <w:szCs w:val="21"/>
        </w:rPr>
      </w:pPr>
      <w:r>
        <w:rPr>
          <w:rFonts w:hint="eastAsia"/>
          <w:color w:val="auto"/>
          <w:szCs w:val="21"/>
        </w:rPr>
        <w:t>2</w:t>
      </w:r>
      <w:r>
        <w:rPr>
          <w:rFonts w:hint="eastAsia" w:ascii="宋体" w:hAnsi="宋体"/>
          <w:color w:val="auto"/>
          <w:szCs w:val="21"/>
        </w:rPr>
        <w:t>．本表后附中标通知书（如有）、合同协议书及其他证明材料（如业主证明）、获奖文件（如有）的</w:t>
      </w:r>
      <w:r>
        <w:rPr>
          <w:rFonts w:hint="eastAsia" w:ascii="宋体" w:hAnsi="宋体"/>
          <w:color w:val="auto"/>
        </w:rPr>
        <w:t>扫描件</w:t>
      </w:r>
      <w:r>
        <w:rPr>
          <w:rFonts w:hint="eastAsia" w:ascii="宋体" w:hAnsi="宋体"/>
          <w:color w:val="auto"/>
          <w:szCs w:val="21"/>
        </w:rPr>
        <w:t>。其中招标发包的工程应附中标通知书。每张表格只填写一个项目，并标明序号。</w:t>
      </w:r>
    </w:p>
    <w:p w14:paraId="6DF54C2C">
      <w:pPr>
        <w:spacing w:line="440" w:lineRule="exact"/>
        <w:ind w:left="840" w:leftChars="300" w:hanging="210" w:hangingChars="100"/>
        <w:rPr>
          <w:rFonts w:hint="eastAsia" w:ascii="宋体" w:hAnsi="宋体"/>
          <w:color w:val="auto"/>
          <w:szCs w:val="21"/>
        </w:rPr>
      </w:pPr>
    </w:p>
    <w:p w14:paraId="14D83464">
      <w:pPr>
        <w:pStyle w:val="4"/>
        <w:spacing w:before="159"/>
        <w:jc w:val="center"/>
        <w:rPr>
          <w:color w:val="auto"/>
          <w:sz w:val="24"/>
        </w:rPr>
      </w:pPr>
      <w:bookmarkStart w:id="2273" w:name="_Toc154064049"/>
      <w:bookmarkStart w:id="2274" w:name="_Toc519085681"/>
      <w:r>
        <w:rPr>
          <w:color w:val="auto"/>
          <w:sz w:val="24"/>
        </w:rPr>
        <w:t>（五）近年完成的类似</w:t>
      </w:r>
      <w:r>
        <w:rPr>
          <w:rFonts w:hint="eastAsia"/>
          <w:color w:val="auto"/>
          <w:sz w:val="24"/>
        </w:rPr>
        <w:t>施工</w:t>
      </w:r>
      <w:r>
        <w:rPr>
          <w:color w:val="auto"/>
          <w:sz w:val="24"/>
        </w:rPr>
        <w:t>项目情况</w:t>
      </w:r>
      <w:bookmarkEnd w:id="2273"/>
    </w:p>
    <w:p w14:paraId="0FEB67D5">
      <w:pPr>
        <w:jc w:val="center"/>
        <w:rPr>
          <w:rFonts w:hint="eastAsia" w:ascii="黑体" w:hAnsi="黑体" w:eastAsia="黑体"/>
          <w:color w:val="auto"/>
          <w:sz w:val="24"/>
        </w:rPr>
      </w:pPr>
    </w:p>
    <w:p w14:paraId="4738678F">
      <w:pPr>
        <w:pStyle w:val="106"/>
        <w:jc w:val="center"/>
        <w:outlineLvl w:val="3"/>
        <w:rPr>
          <w:rFonts w:hint="eastAsia"/>
          <w:color w:val="auto"/>
          <w:szCs w:val="24"/>
        </w:rPr>
      </w:pPr>
      <w:bookmarkStart w:id="2275" w:name="_Toc154064050"/>
      <w:r>
        <w:rPr>
          <w:rFonts w:hint="eastAsia"/>
          <w:color w:val="auto"/>
          <w:szCs w:val="24"/>
        </w:rPr>
        <w:t>5-1 近年完成的类似施工项目汇总表</w:t>
      </w:r>
      <w:bookmarkEnd w:id="2275"/>
    </w:p>
    <w:p w14:paraId="24D09726">
      <w:pPr>
        <w:spacing w:line="440" w:lineRule="exact"/>
        <w:rPr>
          <w:rFonts w:hint="eastAsia" w:ascii="黑体" w:hAnsi="宋体" w:eastAsia="黑体"/>
          <w:color w:val="auto"/>
          <w:sz w:val="24"/>
        </w:rPr>
      </w:pPr>
    </w:p>
    <w:tbl>
      <w:tblPr>
        <w:tblStyle w:val="4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46"/>
        <w:gridCol w:w="1394"/>
        <w:gridCol w:w="1080"/>
        <w:gridCol w:w="1112"/>
        <w:gridCol w:w="1778"/>
        <w:gridCol w:w="1080"/>
      </w:tblGrid>
      <w:tr w14:paraId="5966A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5FA53D1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序号</w:t>
            </w:r>
          </w:p>
        </w:tc>
        <w:tc>
          <w:tcPr>
            <w:tcW w:w="1846" w:type="dxa"/>
            <w:noWrap w:val="0"/>
            <w:vAlign w:val="top"/>
          </w:tcPr>
          <w:p w14:paraId="523B3D2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项目名称</w:t>
            </w:r>
          </w:p>
        </w:tc>
        <w:tc>
          <w:tcPr>
            <w:tcW w:w="1394" w:type="dxa"/>
            <w:noWrap w:val="0"/>
            <w:vAlign w:val="top"/>
          </w:tcPr>
          <w:p w14:paraId="0BB720C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宋体" w:hAnsi="宋体" w:eastAsia="宋体" w:cs="Times New Roman"/>
                <w:color w:val="auto"/>
                <w:szCs w:val="21"/>
              </w:rPr>
              <w:t>发包人名称</w:t>
            </w:r>
          </w:p>
        </w:tc>
        <w:tc>
          <w:tcPr>
            <w:tcW w:w="1080" w:type="dxa"/>
            <w:noWrap w:val="0"/>
            <w:vAlign w:val="top"/>
          </w:tcPr>
          <w:p w14:paraId="43C5B52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工程规模</w:t>
            </w:r>
          </w:p>
        </w:tc>
        <w:tc>
          <w:tcPr>
            <w:tcW w:w="1112" w:type="dxa"/>
            <w:noWrap w:val="0"/>
            <w:vAlign w:val="top"/>
          </w:tcPr>
          <w:p w14:paraId="1F7BDB5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宋体" w:hAnsi="宋体" w:eastAsia="宋体" w:cs="Times New Roman"/>
                <w:color w:val="auto"/>
                <w:szCs w:val="21"/>
              </w:rPr>
              <w:t>合同价格</w:t>
            </w:r>
            <w:r>
              <w:rPr>
                <w:rFonts w:hint="eastAsia" w:ascii="Calibri" w:hAnsi="Calibri" w:eastAsia="宋体" w:cs="Times New Roman"/>
                <w:color w:val="auto"/>
                <w:szCs w:val="21"/>
              </w:rPr>
              <w:t>（万元）</w:t>
            </w:r>
          </w:p>
        </w:tc>
        <w:tc>
          <w:tcPr>
            <w:tcW w:w="1778" w:type="dxa"/>
            <w:noWrap w:val="0"/>
            <w:vAlign w:val="top"/>
          </w:tcPr>
          <w:p w14:paraId="313BD48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宋体" w:hAnsi="宋体" w:eastAsia="宋体" w:cs="Times New Roman"/>
                <w:color w:val="auto"/>
                <w:szCs w:val="21"/>
              </w:rPr>
              <w:t>开、竣工日期</w:t>
            </w:r>
          </w:p>
        </w:tc>
        <w:tc>
          <w:tcPr>
            <w:tcW w:w="1080" w:type="dxa"/>
            <w:noWrap w:val="0"/>
            <w:vAlign w:val="top"/>
          </w:tcPr>
          <w:p w14:paraId="43447DC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宋体" w:hAnsi="宋体" w:eastAsia="宋体" w:cs="Times New Roman"/>
                <w:color w:val="auto"/>
                <w:szCs w:val="21"/>
              </w:rPr>
              <w:t>项目经理</w:t>
            </w:r>
          </w:p>
        </w:tc>
      </w:tr>
      <w:tr w14:paraId="5BFCD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FE169A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5762C99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731A082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4153992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4111034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402E087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17CC72B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52AC5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40D8D6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3303414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1736146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61CDC9E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32C7927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22355D8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5A875FF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71A62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F039B6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04F33A7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3DA1FEB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78B3A54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725711B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3488D2A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24035BA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1CA07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A84E40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48304C9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4A390A9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743251A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2D40080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5D2AEA7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6C44159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3FADC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8A94E2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4FF58E3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7D198F5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670E0B9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1A0F784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0C9089C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499BC7D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6129D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CA7EDF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67B209A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6CA0CAD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73DCD13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1201FFE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01D1DB2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72E6DAF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40467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2B96E6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09CCEF6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65EFCC2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51CB28A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0BF3407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34043E7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3C4374A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58A5D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F6F636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178B34A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1C49AF4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41F5640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31D6A10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35686A0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5F4F6B3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1819D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32C10D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31D3BD6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222F13B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07986CD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5103F8A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5D82764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08A1377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5EA27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A10620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4D14E10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2D2FA05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0F6EF37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5C9CBCB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71CC019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4846CE6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7E708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36F552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271F1D9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3034688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343FCDD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156024F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458DC36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4BAB4AB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7E85F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A4E269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25DB4D1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2AF0F98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379F97E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543BC5F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0723366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5767CB6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430D4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9BBD22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6C1787E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397500B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6BC8B24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4E989CF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5D18BB6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6E7877B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3534D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9E95BF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12EBEC4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6DCE975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0FA75DD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31CDDF1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26D7E32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40E855E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6B336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F6221B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76B8B84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4748EA7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615E20D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06F3748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57C63C4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293E535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2FA09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D0BE95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703D91B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4DE2E3E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3987AB9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74F8D4B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33DC5BA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36D1FD6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bl>
    <w:p w14:paraId="322C41E4">
      <w:pPr>
        <w:spacing w:line="440" w:lineRule="exact"/>
        <w:ind w:left="720" w:hanging="720" w:hangingChars="300"/>
        <w:rPr>
          <w:rFonts w:hint="eastAsia" w:ascii="黑体" w:hAnsi="宋体" w:eastAsia="黑体"/>
          <w:color w:val="auto"/>
          <w:sz w:val="24"/>
        </w:rPr>
      </w:pPr>
    </w:p>
    <w:p w14:paraId="4D998D4D">
      <w:pPr>
        <w:spacing w:line="440" w:lineRule="exact"/>
        <w:ind w:left="720" w:hanging="720" w:hangingChars="300"/>
        <w:rPr>
          <w:rFonts w:hint="eastAsia" w:ascii="黑体" w:hAnsi="宋体" w:eastAsia="黑体"/>
          <w:color w:val="auto"/>
          <w:sz w:val="24"/>
        </w:rPr>
      </w:pPr>
    </w:p>
    <w:p w14:paraId="406AA511">
      <w:pPr>
        <w:spacing w:line="440" w:lineRule="exact"/>
        <w:ind w:left="720" w:hanging="720" w:hangingChars="300"/>
        <w:rPr>
          <w:rFonts w:hint="eastAsia" w:ascii="黑体" w:hAnsi="宋体" w:eastAsia="黑体"/>
          <w:color w:val="auto"/>
          <w:sz w:val="24"/>
        </w:rPr>
      </w:pPr>
    </w:p>
    <w:p w14:paraId="07EA173A">
      <w:pPr>
        <w:spacing w:line="440" w:lineRule="exact"/>
        <w:ind w:left="720" w:hanging="720" w:hangingChars="300"/>
        <w:rPr>
          <w:rFonts w:hint="eastAsia" w:ascii="黑体" w:hAnsi="宋体" w:eastAsia="黑体"/>
          <w:color w:val="auto"/>
          <w:sz w:val="24"/>
        </w:rPr>
      </w:pPr>
    </w:p>
    <w:p w14:paraId="316F0D7F">
      <w:pPr>
        <w:spacing w:line="440" w:lineRule="exact"/>
        <w:ind w:left="720" w:hanging="720" w:hangingChars="300"/>
        <w:rPr>
          <w:rFonts w:hint="eastAsia" w:ascii="黑体" w:hAnsi="宋体" w:eastAsia="黑体"/>
          <w:color w:val="auto"/>
          <w:sz w:val="24"/>
        </w:rPr>
      </w:pPr>
    </w:p>
    <w:p w14:paraId="027C9703">
      <w:pPr>
        <w:spacing w:line="440" w:lineRule="exact"/>
        <w:ind w:left="720" w:hanging="720" w:hangingChars="300"/>
        <w:rPr>
          <w:rFonts w:hint="eastAsia" w:ascii="黑体" w:hAnsi="宋体" w:eastAsia="黑体"/>
          <w:color w:val="auto"/>
          <w:sz w:val="24"/>
        </w:rPr>
      </w:pPr>
    </w:p>
    <w:p w14:paraId="1D5B1C51">
      <w:pPr>
        <w:spacing w:line="440" w:lineRule="exact"/>
        <w:ind w:left="720" w:hanging="720" w:hangingChars="300"/>
        <w:rPr>
          <w:rFonts w:hint="eastAsia" w:ascii="黑体" w:hAnsi="宋体" w:eastAsia="黑体"/>
          <w:color w:val="auto"/>
          <w:sz w:val="24"/>
        </w:rPr>
      </w:pPr>
    </w:p>
    <w:p w14:paraId="2528DBE4">
      <w:pPr>
        <w:pStyle w:val="106"/>
        <w:jc w:val="center"/>
        <w:outlineLvl w:val="3"/>
        <w:rPr>
          <w:rFonts w:hint="eastAsia"/>
          <w:color w:val="auto"/>
          <w:szCs w:val="24"/>
        </w:rPr>
      </w:pPr>
      <w:bookmarkStart w:id="2276" w:name="_Toc154064051"/>
      <w:r>
        <w:rPr>
          <w:rFonts w:hint="eastAsia"/>
          <w:color w:val="auto"/>
          <w:szCs w:val="24"/>
        </w:rPr>
        <w:t>5-2 近年完成的类似施工项目情况表</w:t>
      </w:r>
      <w:bookmarkEnd w:id="2276"/>
    </w:p>
    <w:p w14:paraId="1ED67484">
      <w:pPr>
        <w:jc w:val="center"/>
        <w:rPr>
          <w:rFonts w:hint="eastAsia" w:ascii="黑体" w:hAnsi="宋体" w:eastAsia="黑体"/>
          <w:b/>
          <w:color w:val="auto"/>
          <w:sz w:val="24"/>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05845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B9EF16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项目名称</w:t>
            </w:r>
          </w:p>
        </w:tc>
        <w:tc>
          <w:tcPr>
            <w:tcW w:w="6094" w:type="dxa"/>
            <w:noWrap w:val="0"/>
            <w:vAlign w:val="center"/>
          </w:tcPr>
          <w:p w14:paraId="69D96A5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2CFAA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5EDB69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项目所在地</w:t>
            </w:r>
          </w:p>
        </w:tc>
        <w:tc>
          <w:tcPr>
            <w:tcW w:w="6094" w:type="dxa"/>
            <w:noWrap w:val="0"/>
            <w:vAlign w:val="center"/>
          </w:tcPr>
          <w:p w14:paraId="3B944E80">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5F67F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71DEB42">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发包人名称</w:t>
            </w:r>
          </w:p>
        </w:tc>
        <w:tc>
          <w:tcPr>
            <w:tcW w:w="6094" w:type="dxa"/>
            <w:noWrap w:val="0"/>
            <w:vAlign w:val="center"/>
          </w:tcPr>
          <w:p w14:paraId="52DCBC7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3E57A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C6D351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发包人地址</w:t>
            </w:r>
          </w:p>
        </w:tc>
        <w:tc>
          <w:tcPr>
            <w:tcW w:w="6094" w:type="dxa"/>
            <w:noWrap w:val="0"/>
            <w:vAlign w:val="center"/>
          </w:tcPr>
          <w:p w14:paraId="34884DD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68C00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5D9CBC8">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发包人联系人及电话</w:t>
            </w:r>
          </w:p>
        </w:tc>
        <w:tc>
          <w:tcPr>
            <w:tcW w:w="6094" w:type="dxa"/>
            <w:noWrap w:val="0"/>
            <w:vAlign w:val="center"/>
          </w:tcPr>
          <w:p w14:paraId="2BB720C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26B0A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C3703D5">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合同价格</w:t>
            </w:r>
          </w:p>
        </w:tc>
        <w:tc>
          <w:tcPr>
            <w:tcW w:w="6094" w:type="dxa"/>
            <w:noWrap w:val="0"/>
            <w:vAlign w:val="center"/>
          </w:tcPr>
          <w:p w14:paraId="1D4262D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15058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B68088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开工日期</w:t>
            </w:r>
          </w:p>
        </w:tc>
        <w:tc>
          <w:tcPr>
            <w:tcW w:w="6094" w:type="dxa"/>
            <w:noWrap w:val="0"/>
            <w:vAlign w:val="center"/>
          </w:tcPr>
          <w:p w14:paraId="28254A3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6D4D4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7BCDBC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竣工日期</w:t>
            </w:r>
          </w:p>
        </w:tc>
        <w:tc>
          <w:tcPr>
            <w:tcW w:w="6094" w:type="dxa"/>
            <w:noWrap w:val="0"/>
            <w:vAlign w:val="center"/>
          </w:tcPr>
          <w:p w14:paraId="5806F10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70301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9DFE33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承担的工作</w:t>
            </w:r>
          </w:p>
        </w:tc>
        <w:tc>
          <w:tcPr>
            <w:tcW w:w="6094" w:type="dxa"/>
            <w:noWrap w:val="0"/>
            <w:vAlign w:val="center"/>
          </w:tcPr>
          <w:p w14:paraId="7855C40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6F5DC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2C0B02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工程质量</w:t>
            </w:r>
          </w:p>
        </w:tc>
        <w:tc>
          <w:tcPr>
            <w:tcW w:w="6094" w:type="dxa"/>
            <w:noWrap w:val="0"/>
            <w:vAlign w:val="center"/>
          </w:tcPr>
          <w:p w14:paraId="3E6BA3AE">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70FC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98622A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项目经理</w:t>
            </w:r>
          </w:p>
        </w:tc>
        <w:tc>
          <w:tcPr>
            <w:tcW w:w="6094" w:type="dxa"/>
            <w:noWrap w:val="0"/>
            <w:vAlign w:val="center"/>
          </w:tcPr>
          <w:p w14:paraId="03069ED5">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50B64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D7850D5">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总监理工程师及电话</w:t>
            </w:r>
          </w:p>
        </w:tc>
        <w:tc>
          <w:tcPr>
            <w:tcW w:w="6094" w:type="dxa"/>
            <w:noWrap w:val="0"/>
            <w:vAlign w:val="center"/>
          </w:tcPr>
          <w:p w14:paraId="3FCEED7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3F1BD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2411" w:type="dxa"/>
            <w:noWrap w:val="0"/>
            <w:vAlign w:val="center"/>
          </w:tcPr>
          <w:p w14:paraId="42C8C20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项目描述</w:t>
            </w:r>
          </w:p>
        </w:tc>
        <w:tc>
          <w:tcPr>
            <w:tcW w:w="6094" w:type="dxa"/>
            <w:noWrap w:val="0"/>
            <w:vAlign w:val="center"/>
          </w:tcPr>
          <w:p w14:paraId="13E86F95">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35C97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4A6487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备注</w:t>
            </w:r>
          </w:p>
        </w:tc>
        <w:tc>
          <w:tcPr>
            <w:tcW w:w="6094" w:type="dxa"/>
            <w:noWrap w:val="0"/>
            <w:vAlign w:val="center"/>
          </w:tcPr>
          <w:p w14:paraId="76DFDFB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bl>
    <w:p w14:paraId="6BC38974">
      <w:pPr>
        <w:spacing w:line="440" w:lineRule="exact"/>
        <w:ind w:left="630" w:hanging="630" w:hangingChars="300"/>
        <w:rPr>
          <w:rFonts w:hint="eastAsia" w:ascii="黑体" w:hAnsi="宋体" w:eastAsia="黑体"/>
          <w:color w:val="auto"/>
          <w:szCs w:val="21"/>
        </w:rPr>
      </w:pPr>
    </w:p>
    <w:p w14:paraId="6776A35C">
      <w:pPr>
        <w:spacing w:line="440" w:lineRule="exact"/>
        <w:ind w:left="630" w:hanging="630" w:hangingChars="300"/>
        <w:rPr>
          <w:rFonts w:hint="eastAsia" w:ascii="宋体" w:hAnsi="宋体"/>
          <w:color w:val="auto"/>
          <w:szCs w:val="21"/>
        </w:rPr>
      </w:pPr>
      <w:r>
        <w:rPr>
          <w:rFonts w:hint="eastAsia" w:ascii="黑体" w:hAnsi="宋体" w:eastAsia="黑体"/>
          <w:color w:val="auto"/>
          <w:szCs w:val="21"/>
        </w:rPr>
        <w:t>备注：</w:t>
      </w:r>
      <w:r>
        <w:rPr>
          <w:rFonts w:hint="eastAsia"/>
          <w:color w:val="auto"/>
          <w:szCs w:val="21"/>
        </w:rPr>
        <w:t>1</w:t>
      </w:r>
      <w:r>
        <w:rPr>
          <w:rFonts w:hint="eastAsia" w:ascii="宋体" w:hAnsi="宋体"/>
          <w:color w:val="auto"/>
          <w:szCs w:val="21"/>
        </w:rPr>
        <w:t>．“类似施工项目</w:t>
      </w:r>
      <w:r>
        <w:rPr>
          <w:rFonts w:ascii="宋体" w:hAnsi="宋体"/>
          <w:color w:val="auto"/>
          <w:szCs w:val="21"/>
        </w:rPr>
        <w:t>”</w:t>
      </w:r>
      <w:r>
        <w:rPr>
          <w:rFonts w:hint="eastAsia" w:ascii="宋体" w:hAnsi="宋体"/>
          <w:color w:val="auto"/>
          <w:szCs w:val="21"/>
        </w:rPr>
        <w:t>见申请（投标）人须知前附表；具体年份要求见申请（投标）人须知前附表。</w:t>
      </w:r>
    </w:p>
    <w:p w14:paraId="34194E6C">
      <w:pPr>
        <w:spacing w:line="440" w:lineRule="exact"/>
        <w:ind w:left="840" w:leftChars="300" w:hanging="210" w:hangingChars="100"/>
        <w:rPr>
          <w:rFonts w:hint="eastAsia" w:ascii="宋体" w:hAnsi="宋体"/>
          <w:color w:val="auto"/>
          <w:szCs w:val="21"/>
        </w:rPr>
      </w:pPr>
      <w:r>
        <w:rPr>
          <w:rFonts w:hint="eastAsia"/>
          <w:color w:val="auto"/>
          <w:szCs w:val="21"/>
        </w:rPr>
        <w:t>2</w:t>
      </w:r>
      <w:r>
        <w:rPr>
          <w:rFonts w:hint="eastAsia" w:ascii="宋体" w:hAnsi="宋体"/>
          <w:color w:val="auto"/>
          <w:szCs w:val="21"/>
        </w:rPr>
        <w:t>．本表后附中标通知书（如有）、合同协议书、工程接收证书或工程竣工验收证书（或工程竣工验收备案证）（如有）及其他证明材料（如需要）的</w:t>
      </w:r>
      <w:r>
        <w:rPr>
          <w:rFonts w:hint="eastAsia" w:ascii="宋体" w:hAnsi="宋体"/>
          <w:color w:val="auto"/>
        </w:rPr>
        <w:t>扫描件</w:t>
      </w:r>
      <w:r>
        <w:rPr>
          <w:rFonts w:hint="eastAsia" w:ascii="宋体" w:hAnsi="宋体"/>
          <w:color w:val="auto"/>
          <w:szCs w:val="21"/>
        </w:rPr>
        <w:t>。其中招标发包的工程应附中标通知书。每张表格只填写一个项目，并标明序号。</w:t>
      </w:r>
    </w:p>
    <w:p w14:paraId="1D6B181F">
      <w:pPr>
        <w:spacing w:line="440" w:lineRule="exact"/>
        <w:ind w:left="945" w:leftChars="350" w:hanging="210" w:hangingChars="100"/>
        <w:rPr>
          <w:rFonts w:hint="eastAsia" w:ascii="宋体" w:hAnsi="宋体"/>
          <w:color w:val="auto"/>
          <w:szCs w:val="21"/>
        </w:rPr>
      </w:pPr>
    </w:p>
    <w:p w14:paraId="3CCAF2BB">
      <w:pPr>
        <w:spacing w:line="440" w:lineRule="exact"/>
        <w:ind w:left="870" w:leftChars="300" w:hanging="240" w:hangingChars="100"/>
        <w:rPr>
          <w:rFonts w:hint="eastAsia"/>
          <w:color w:val="auto"/>
          <w:sz w:val="24"/>
        </w:rPr>
      </w:pPr>
    </w:p>
    <w:p w14:paraId="1DDB8B3F">
      <w:pPr>
        <w:rPr>
          <w:rFonts w:hint="eastAsia"/>
          <w:color w:val="auto"/>
        </w:rPr>
      </w:pPr>
    </w:p>
    <w:p w14:paraId="4CD9AE6B">
      <w:pPr>
        <w:pStyle w:val="4"/>
        <w:spacing w:before="159"/>
        <w:jc w:val="center"/>
        <w:rPr>
          <w:color w:val="auto"/>
          <w:sz w:val="24"/>
        </w:rPr>
      </w:pPr>
      <w:bookmarkStart w:id="2277" w:name="_Toc154064052"/>
      <w:bookmarkStart w:id="2278" w:name="_Toc8778"/>
      <w:r>
        <w:rPr>
          <w:color w:val="auto"/>
          <w:sz w:val="24"/>
        </w:rPr>
        <w:t>（六）正在</w:t>
      </w:r>
      <w:r>
        <w:rPr>
          <w:rFonts w:hint="eastAsia"/>
          <w:color w:val="auto"/>
          <w:sz w:val="24"/>
        </w:rPr>
        <w:t>实施</w:t>
      </w:r>
      <w:r>
        <w:rPr>
          <w:color w:val="auto"/>
          <w:sz w:val="24"/>
        </w:rPr>
        <w:t>的和新承接的项目情况</w:t>
      </w:r>
      <w:bookmarkEnd w:id="2265"/>
      <w:bookmarkEnd w:id="2266"/>
      <w:bookmarkEnd w:id="2267"/>
      <w:bookmarkEnd w:id="2268"/>
      <w:bookmarkEnd w:id="2269"/>
      <w:bookmarkEnd w:id="2274"/>
      <w:bookmarkEnd w:id="2277"/>
      <w:bookmarkEnd w:id="2278"/>
    </w:p>
    <w:p w14:paraId="7016C754">
      <w:pPr>
        <w:jc w:val="center"/>
        <w:rPr>
          <w:rFonts w:hint="eastAsia" w:ascii="黑体" w:hAnsi="黑体" w:eastAsia="黑体"/>
          <w:color w:val="auto"/>
          <w:sz w:val="24"/>
        </w:rPr>
      </w:pPr>
      <w:bookmarkStart w:id="2279" w:name="_Toc519085682"/>
      <w:bookmarkStart w:id="2280" w:name="_Toc456555785"/>
    </w:p>
    <w:p w14:paraId="7401D740">
      <w:pPr>
        <w:pStyle w:val="106"/>
        <w:jc w:val="center"/>
        <w:outlineLvl w:val="3"/>
        <w:rPr>
          <w:rFonts w:hint="eastAsia"/>
          <w:color w:val="auto"/>
          <w:szCs w:val="24"/>
        </w:rPr>
      </w:pPr>
      <w:bookmarkStart w:id="2281" w:name="_Toc154064053"/>
      <w:r>
        <w:rPr>
          <w:rFonts w:hint="eastAsia"/>
          <w:color w:val="auto"/>
          <w:szCs w:val="24"/>
        </w:rPr>
        <w:t>6-1正在实施的和新承接的项目汇总表</w:t>
      </w:r>
      <w:bookmarkEnd w:id="2279"/>
      <w:bookmarkEnd w:id="2280"/>
      <w:bookmarkEnd w:id="2281"/>
    </w:p>
    <w:p w14:paraId="7C252D9B">
      <w:pPr>
        <w:jc w:val="center"/>
        <w:rPr>
          <w:rFonts w:hint="eastAsia" w:ascii="黑体" w:hAnsi="宋体" w:eastAsia="黑体"/>
          <w:b/>
          <w:color w:val="auto"/>
          <w:sz w:val="24"/>
        </w:rPr>
      </w:pPr>
    </w:p>
    <w:tbl>
      <w:tblPr>
        <w:tblStyle w:val="4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46"/>
        <w:gridCol w:w="1394"/>
        <w:gridCol w:w="1080"/>
        <w:gridCol w:w="1112"/>
        <w:gridCol w:w="1778"/>
        <w:gridCol w:w="1080"/>
      </w:tblGrid>
      <w:tr w14:paraId="09535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2626E74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序号</w:t>
            </w:r>
          </w:p>
        </w:tc>
        <w:tc>
          <w:tcPr>
            <w:tcW w:w="1846" w:type="dxa"/>
            <w:noWrap w:val="0"/>
            <w:vAlign w:val="top"/>
          </w:tcPr>
          <w:p w14:paraId="55B1C7B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项目名称</w:t>
            </w:r>
          </w:p>
        </w:tc>
        <w:tc>
          <w:tcPr>
            <w:tcW w:w="1394" w:type="dxa"/>
            <w:noWrap w:val="0"/>
            <w:vAlign w:val="top"/>
          </w:tcPr>
          <w:p w14:paraId="0877645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宋体" w:hAnsi="宋体" w:eastAsia="宋体" w:cs="Times New Roman"/>
                <w:color w:val="auto"/>
                <w:szCs w:val="21"/>
              </w:rPr>
              <w:t>发包人名称</w:t>
            </w:r>
          </w:p>
        </w:tc>
        <w:tc>
          <w:tcPr>
            <w:tcW w:w="1080" w:type="dxa"/>
            <w:noWrap w:val="0"/>
            <w:vAlign w:val="top"/>
          </w:tcPr>
          <w:p w14:paraId="09D3754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工程规模</w:t>
            </w:r>
          </w:p>
        </w:tc>
        <w:tc>
          <w:tcPr>
            <w:tcW w:w="1112" w:type="dxa"/>
            <w:noWrap w:val="0"/>
            <w:vAlign w:val="top"/>
          </w:tcPr>
          <w:p w14:paraId="2BB7759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宋体" w:hAnsi="宋体" w:eastAsia="宋体" w:cs="Times New Roman"/>
                <w:color w:val="auto"/>
                <w:szCs w:val="21"/>
              </w:rPr>
              <w:t>合同价格</w:t>
            </w:r>
            <w:r>
              <w:rPr>
                <w:rFonts w:hint="eastAsia" w:ascii="Calibri" w:hAnsi="Calibri" w:eastAsia="宋体" w:cs="Times New Roman"/>
                <w:color w:val="auto"/>
                <w:szCs w:val="21"/>
              </w:rPr>
              <w:t>（万元）</w:t>
            </w:r>
          </w:p>
        </w:tc>
        <w:tc>
          <w:tcPr>
            <w:tcW w:w="1778" w:type="dxa"/>
            <w:noWrap w:val="0"/>
            <w:vAlign w:val="top"/>
          </w:tcPr>
          <w:p w14:paraId="51B028CA">
            <w:pPr>
              <w:keepNext w:val="0"/>
              <w:keepLines w:val="0"/>
              <w:suppressLineNumbers w:val="0"/>
              <w:topLinePunct/>
              <w:spacing w:before="0" w:beforeAutospacing="0" w:after="0" w:afterAutospacing="0" w:line="400" w:lineRule="atLeast"/>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计划开、竣</w:t>
            </w:r>
          </w:p>
          <w:p w14:paraId="353133E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宋体" w:hAnsi="宋体" w:eastAsia="宋体" w:cs="Times New Roman"/>
                <w:color w:val="auto"/>
                <w:szCs w:val="21"/>
              </w:rPr>
              <w:t>工日期</w:t>
            </w:r>
          </w:p>
        </w:tc>
        <w:tc>
          <w:tcPr>
            <w:tcW w:w="1080" w:type="dxa"/>
            <w:noWrap w:val="0"/>
            <w:vAlign w:val="top"/>
          </w:tcPr>
          <w:p w14:paraId="6934642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宋体" w:hAnsi="宋体" w:eastAsia="宋体" w:cs="Times New Roman"/>
                <w:color w:val="auto"/>
                <w:szCs w:val="21"/>
              </w:rPr>
              <w:t>项目经理</w:t>
            </w:r>
          </w:p>
        </w:tc>
      </w:tr>
      <w:tr w14:paraId="25E1D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8694CB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4E97E1E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75B4CEE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47ED3E7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079BB5F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1CFE1A3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45615D3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42FF4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5F4B83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3EA2137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3800BE3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69FDE0F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316E2E6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41DE58F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016A5DF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2E892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6B8C11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6F31C36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1CADA0A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7D215CF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30F0D3B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57E4F95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2FDA8EE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34C5F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6FF806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68284B4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05BFA7A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4878C32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1C22B76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0BEE9E4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68FB9F1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6C909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3989CF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42C7772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1FC36C8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000E8A4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7488DB7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7F9B6BA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38E13CE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5D670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4CBA36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21F81A5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4625349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518F930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4DC0AED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05AFDEC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78AAE69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392F3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BB582D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4564352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27E6E0A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571564B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6768CB2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6D9DFB2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72A23D5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307B7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5F576A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38C66CA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76DE918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1CFD672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515EC6F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03CBA4E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4983EE0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338BF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630BFF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0A99D7D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27621A2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4FB8D20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7379922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6B4F57D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7540E7D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7796C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51F5FF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1593261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79F3B09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460D31E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2140D36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39257A7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1E567CD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08552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12160E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2737F3E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2CEC84C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7AB0217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692E654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71A3A64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2B0A8E8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21929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27362F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040F71C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02DFF69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6D6BD7D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7A86792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680AC2A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5B842E0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23F85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6C2A52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6A1E75A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7421974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6BC2720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2BCDC96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0516063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11CB887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4F6C2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642835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20C4EB7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116367F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57F59D2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5A36CFC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03E5100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7BCCD8C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427D8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0444AA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00C1DF5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6899F16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08D414A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4095669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5691721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0D35C70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69E39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275989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846" w:type="dxa"/>
            <w:noWrap w:val="0"/>
            <w:vAlign w:val="top"/>
          </w:tcPr>
          <w:p w14:paraId="38EAE83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394" w:type="dxa"/>
            <w:noWrap w:val="0"/>
            <w:vAlign w:val="top"/>
          </w:tcPr>
          <w:p w14:paraId="7A4F537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1453809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112" w:type="dxa"/>
            <w:noWrap w:val="0"/>
            <w:vAlign w:val="top"/>
          </w:tcPr>
          <w:p w14:paraId="62C6FF9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778" w:type="dxa"/>
            <w:noWrap w:val="0"/>
            <w:vAlign w:val="top"/>
          </w:tcPr>
          <w:p w14:paraId="54190B1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1080" w:type="dxa"/>
            <w:noWrap w:val="0"/>
            <w:vAlign w:val="top"/>
          </w:tcPr>
          <w:p w14:paraId="61F96ED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bl>
    <w:p w14:paraId="08A98F60">
      <w:pPr>
        <w:spacing w:before="159" w:beforeLines="50" w:after="159" w:afterLines="50" w:line="440" w:lineRule="exact"/>
        <w:rPr>
          <w:rFonts w:hint="eastAsia" w:ascii="黑体" w:hAnsi="宋体" w:eastAsia="黑体"/>
          <w:color w:val="auto"/>
          <w:sz w:val="24"/>
        </w:rPr>
      </w:pPr>
    </w:p>
    <w:p w14:paraId="3142DEFF">
      <w:pPr>
        <w:spacing w:before="159" w:beforeLines="50" w:after="159" w:afterLines="50" w:line="440" w:lineRule="exact"/>
        <w:rPr>
          <w:rFonts w:hint="eastAsia" w:ascii="黑体" w:hAnsi="宋体" w:eastAsia="黑体"/>
          <w:color w:val="auto"/>
          <w:sz w:val="24"/>
        </w:rPr>
      </w:pPr>
    </w:p>
    <w:p w14:paraId="03AD8546">
      <w:pPr>
        <w:spacing w:before="159" w:beforeLines="50" w:after="159" w:afterLines="50" w:line="440" w:lineRule="exact"/>
        <w:rPr>
          <w:rFonts w:hint="eastAsia" w:ascii="黑体" w:hAnsi="宋体" w:eastAsia="黑体"/>
          <w:color w:val="auto"/>
          <w:sz w:val="24"/>
        </w:rPr>
      </w:pPr>
    </w:p>
    <w:p w14:paraId="14B22915">
      <w:pPr>
        <w:spacing w:before="159" w:beforeLines="50" w:after="159" w:afterLines="50" w:line="440" w:lineRule="exact"/>
        <w:rPr>
          <w:rFonts w:hint="eastAsia" w:ascii="黑体" w:hAnsi="宋体" w:eastAsia="黑体"/>
          <w:color w:val="auto"/>
          <w:sz w:val="24"/>
        </w:rPr>
      </w:pPr>
    </w:p>
    <w:p w14:paraId="2927F404">
      <w:pPr>
        <w:spacing w:before="159" w:beforeLines="50" w:after="159" w:afterLines="50" w:line="440" w:lineRule="exact"/>
        <w:jc w:val="center"/>
        <w:rPr>
          <w:rFonts w:hint="eastAsia" w:ascii="黑体" w:hAnsi="宋体" w:eastAsia="黑体"/>
          <w:color w:val="auto"/>
          <w:sz w:val="24"/>
        </w:rPr>
      </w:pPr>
    </w:p>
    <w:p w14:paraId="36558DD9">
      <w:pPr>
        <w:pStyle w:val="106"/>
        <w:jc w:val="center"/>
        <w:outlineLvl w:val="3"/>
        <w:rPr>
          <w:rFonts w:hint="eastAsia"/>
          <w:color w:val="auto"/>
          <w:szCs w:val="24"/>
        </w:rPr>
      </w:pPr>
      <w:bookmarkStart w:id="2282" w:name="_Toc154064054"/>
      <w:bookmarkStart w:id="2283" w:name="_Toc519085683"/>
      <w:bookmarkStart w:id="2284" w:name="_Toc456555786"/>
      <w:r>
        <w:rPr>
          <w:rFonts w:hint="eastAsia"/>
          <w:color w:val="auto"/>
          <w:szCs w:val="24"/>
        </w:rPr>
        <w:t>6-2 正在实施的和新承接的项目情况表</w:t>
      </w:r>
      <w:bookmarkEnd w:id="2282"/>
      <w:bookmarkEnd w:id="2283"/>
      <w:bookmarkEnd w:id="2284"/>
    </w:p>
    <w:p w14:paraId="27207DB4">
      <w:pPr>
        <w:jc w:val="center"/>
        <w:rPr>
          <w:rFonts w:hint="eastAsia" w:ascii="黑体" w:hAnsi="宋体" w:eastAsia="黑体"/>
          <w:b/>
          <w:color w:val="auto"/>
          <w:sz w:val="24"/>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6095"/>
      </w:tblGrid>
      <w:tr w14:paraId="392F2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2B4ACE2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项目名称</w:t>
            </w:r>
          </w:p>
        </w:tc>
        <w:tc>
          <w:tcPr>
            <w:tcW w:w="6095" w:type="dxa"/>
            <w:noWrap w:val="0"/>
            <w:vAlign w:val="center"/>
          </w:tcPr>
          <w:p w14:paraId="647086D4">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4023B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1143EAB">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项目所在地</w:t>
            </w:r>
          </w:p>
        </w:tc>
        <w:tc>
          <w:tcPr>
            <w:tcW w:w="6095" w:type="dxa"/>
            <w:noWrap w:val="0"/>
            <w:vAlign w:val="center"/>
          </w:tcPr>
          <w:p w14:paraId="206F122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37812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2C373A25">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发包人名称</w:t>
            </w:r>
          </w:p>
        </w:tc>
        <w:tc>
          <w:tcPr>
            <w:tcW w:w="6095" w:type="dxa"/>
            <w:noWrap w:val="0"/>
            <w:vAlign w:val="center"/>
          </w:tcPr>
          <w:p w14:paraId="6E240C95">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0B09C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E5CF7E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发包人地址</w:t>
            </w:r>
          </w:p>
        </w:tc>
        <w:tc>
          <w:tcPr>
            <w:tcW w:w="6095" w:type="dxa"/>
            <w:noWrap w:val="0"/>
            <w:vAlign w:val="center"/>
          </w:tcPr>
          <w:p w14:paraId="6C2B6707">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7E1D7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4EB2ACF5">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发包人电话</w:t>
            </w:r>
          </w:p>
        </w:tc>
        <w:tc>
          <w:tcPr>
            <w:tcW w:w="6095" w:type="dxa"/>
            <w:noWrap w:val="0"/>
            <w:vAlign w:val="center"/>
          </w:tcPr>
          <w:p w14:paraId="1DD0746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1C548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1B7DA3C4">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签约合同价</w:t>
            </w:r>
          </w:p>
        </w:tc>
        <w:tc>
          <w:tcPr>
            <w:tcW w:w="6095" w:type="dxa"/>
            <w:noWrap w:val="0"/>
            <w:vAlign w:val="center"/>
          </w:tcPr>
          <w:p w14:paraId="72EF5E8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55DB9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26BE51F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开工日期</w:t>
            </w:r>
          </w:p>
        </w:tc>
        <w:tc>
          <w:tcPr>
            <w:tcW w:w="6095" w:type="dxa"/>
            <w:noWrap w:val="0"/>
            <w:vAlign w:val="center"/>
          </w:tcPr>
          <w:p w14:paraId="6AD63E0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6210E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109B97D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计划竣工日期</w:t>
            </w:r>
          </w:p>
        </w:tc>
        <w:tc>
          <w:tcPr>
            <w:tcW w:w="6095" w:type="dxa"/>
            <w:noWrap w:val="0"/>
            <w:vAlign w:val="center"/>
          </w:tcPr>
          <w:p w14:paraId="635D98A5">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1CA25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4A894F0">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承担的工作</w:t>
            </w:r>
          </w:p>
        </w:tc>
        <w:tc>
          <w:tcPr>
            <w:tcW w:w="6095" w:type="dxa"/>
            <w:noWrap w:val="0"/>
            <w:vAlign w:val="center"/>
          </w:tcPr>
          <w:p w14:paraId="7513F61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4C47B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3F99FBC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工程质量</w:t>
            </w:r>
          </w:p>
        </w:tc>
        <w:tc>
          <w:tcPr>
            <w:tcW w:w="6095" w:type="dxa"/>
            <w:noWrap w:val="0"/>
            <w:vAlign w:val="center"/>
          </w:tcPr>
          <w:p w14:paraId="27A6199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7887E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0D612E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项目经理</w:t>
            </w:r>
          </w:p>
        </w:tc>
        <w:tc>
          <w:tcPr>
            <w:tcW w:w="6095" w:type="dxa"/>
            <w:noWrap w:val="0"/>
            <w:vAlign w:val="center"/>
          </w:tcPr>
          <w:p w14:paraId="29927B41">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1BA0F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49BE794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总监理工程师及电话</w:t>
            </w:r>
          </w:p>
        </w:tc>
        <w:tc>
          <w:tcPr>
            <w:tcW w:w="6095" w:type="dxa"/>
            <w:noWrap w:val="0"/>
            <w:vAlign w:val="center"/>
          </w:tcPr>
          <w:p w14:paraId="015C3DB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2A59F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2410" w:type="dxa"/>
            <w:noWrap w:val="0"/>
            <w:vAlign w:val="center"/>
          </w:tcPr>
          <w:p w14:paraId="0F0F63E2">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项目描述</w:t>
            </w:r>
          </w:p>
        </w:tc>
        <w:tc>
          <w:tcPr>
            <w:tcW w:w="6095" w:type="dxa"/>
            <w:noWrap w:val="0"/>
            <w:vAlign w:val="center"/>
          </w:tcPr>
          <w:p w14:paraId="7418977B">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09947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2548F7E7">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备注</w:t>
            </w:r>
          </w:p>
        </w:tc>
        <w:tc>
          <w:tcPr>
            <w:tcW w:w="6095" w:type="dxa"/>
            <w:noWrap w:val="0"/>
            <w:vAlign w:val="center"/>
          </w:tcPr>
          <w:p w14:paraId="7922C932">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bl>
    <w:p w14:paraId="7041F8F7">
      <w:pPr>
        <w:spacing w:line="440" w:lineRule="exact"/>
        <w:ind w:left="630" w:hanging="630" w:hangingChars="300"/>
        <w:rPr>
          <w:rFonts w:hint="eastAsia" w:ascii="宋体" w:hAnsi="宋体"/>
          <w:color w:val="auto"/>
          <w:szCs w:val="21"/>
        </w:rPr>
      </w:pPr>
    </w:p>
    <w:p w14:paraId="4BEFA67F">
      <w:pPr>
        <w:spacing w:line="440" w:lineRule="exact"/>
        <w:ind w:left="630" w:hanging="630" w:hangingChars="300"/>
        <w:rPr>
          <w:rFonts w:hint="eastAsia"/>
          <w:color w:val="auto"/>
        </w:rPr>
      </w:pPr>
      <w:bookmarkStart w:id="2285" w:name="_Toc519085684"/>
      <w:bookmarkStart w:id="2286" w:name="_Toc456555787"/>
      <w:r>
        <w:rPr>
          <w:rFonts w:hint="eastAsia" w:ascii="宋体" w:hAnsi="宋体"/>
          <w:color w:val="auto"/>
          <w:szCs w:val="21"/>
        </w:rPr>
        <w:t>备注：本表后</w:t>
      </w:r>
      <w:r>
        <w:rPr>
          <w:rFonts w:hint="eastAsia"/>
          <w:color w:val="auto"/>
        </w:rPr>
        <w:t>应附中标通知书和（或）合同协议书</w:t>
      </w:r>
      <w:r>
        <w:rPr>
          <w:rFonts w:hint="eastAsia" w:ascii="宋体" w:hAnsi="宋体"/>
          <w:color w:val="auto"/>
        </w:rPr>
        <w:t>扫描件</w:t>
      </w:r>
      <w:r>
        <w:rPr>
          <w:rFonts w:hint="eastAsia"/>
          <w:color w:val="auto"/>
        </w:rPr>
        <w:t>。每张表格只填写一个项目，并标明序号。</w:t>
      </w:r>
    </w:p>
    <w:p w14:paraId="6FC0CDF8">
      <w:pPr>
        <w:spacing w:line="440" w:lineRule="exact"/>
        <w:ind w:left="630" w:hanging="630" w:hangingChars="300"/>
        <w:rPr>
          <w:rFonts w:hint="eastAsia"/>
          <w:color w:val="auto"/>
        </w:rPr>
      </w:pPr>
    </w:p>
    <w:p w14:paraId="2DE39DE4">
      <w:pPr>
        <w:spacing w:line="440" w:lineRule="exact"/>
        <w:ind w:left="720" w:hanging="720" w:hangingChars="300"/>
        <w:rPr>
          <w:rFonts w:hint="eastAsia"/>
          <w:color w:val="auto"/>
          <w:sz w:val="24"/>
        </w:rPr>
      </w:pPr>
    </w:p>
    <w:p w14:paraId="01FD176E">
      <w:pPr>
        <w:pStyle w:val="4"/>
        <w:spacing w:before="159"/>
        <w:jc w:val="center"/>
        <w:rPr>
          <w:rFonts w:hint="eastAsia"/>
          <w:color w:val="auto"/>
          <w:sz w:val="24"/>
        </w:rPr>
      </w:pPr>
      <w:bookmarkStart w:id="2287" w:name="_Toc154064055"/>
      <w:bookmarkStart w:id="2288" w:name="_Toc10046"/>
      <w:r>
        <w:rPr>
          <w:rFonts w:hint="eastAsia"/>
          <w:color w:val="auto"/>
          <w:sz w:val="24"/>
        </w:rPr>
        <w:t>（七）企业信誉情况</w:t>
      </w:r>
      <w:bookmarkEnd w:id="2285"/>
      <w:bookmarkEnd w:id="2286"/>
      <w:bookmarkEnd w:id="2287"/>
      <w:bookmarkEnd w:id="2288"/>
    </w:p>
    <w:p w14:paraId="5F3777E9">
      <w:pPr>
        <w:jc w:val="center"/>
        <w:rPr>
          <w:rFonts w:hint="eastAsia" w:ascii="黑体" w:hAnsi="宋体" w:eastAsia="黑体"/>
          <w:b/>
          <w:color w:val="auto"/>
          <w:sz w:val="24"/>
        </w:rPr>
      </w:pPr>
    </w:p>
    <w:p w14:paraId="7586F435">
      <w:pPr>
        <w:pStyle w:val="106"/>
        <w:jc w:val="center"/>
        <w:outlineLvl w:val="3"/>
        <w:rPr>
          <w:rFonts w:hint="eastAsia"/>
          <w:color w:val="auto"/>
          <w:szCs w:val="24"/>
        </w:rPr>
      </w:pPr>
      <w:bookmarkStart w:id="2289" w:name="_Toc456555788"/>
      <w:bookmarkStart w:id="2290" w:name="_Toc519085685"/>
      <w:bookmarkStart w:id="2291" w:name="_Toc154064056"/>
      <w:r>
        <w:rPr>
          <w:rFonts w:hint="eastAsia"/>
          <w:b/>
          <w:color w:val="auto"/>
          <w:szCs w:val="24"/>
        </w:rPr>
        <w:t xml:space="preserve">7-1 </w:t>
      </w:r>
      <w:r>
        <w:rPr>
          <w:rFonts w:hint="eastAsia"/>
          <w:color w:val="auto"/>
          <w:szCs w:val="24"/>
        </w:rPr>
        <w:t>企业信誉声明</w:t>
      </w:r>
      <w:bookmarkEnd w:id="2289"/>
      <w:bookmarkEnd w:id="2290"/>
      <w:bookmarkEnd w:id="2291"/>
    </w:p>
    <w:p w14:paraId="0027E3AD">
      <w:pPr>
        <w:rPr>
          <w:rFonts w:hint="eastAsia" w:ascii="宋体" w:hAnsi="宋体"/>
          <w:color w:val="auto"/>
          <w:u w:val="single"/>
        </w:rPr>
      </w:pPr>
    </w:p>
    <w:p w14:paraId="370DF1C3">
      <w:pPr>
        <w:rPr>
          <w:rFonts w:hint="eastAsia" w:ascii="宋体" w:hAnsi="宋体"/>
          <w:color w:val="auto"/>
        </w:rPr>
      </w:pPr>
      <w:r>
        <w:rPr>
          <w:rFonts w:hint="eastAsia" w:ascii="宋体" w:hAnsi="宋体"/>
          <w:color w:val="auto"/>
          <w:u w:val="single"/>
        </w:rPr>
        <w:t xml:space="preserve">                     </w:t>
      </w:r>
      <w:r>
        <w:rPr>
          <w:rFonts w:hint="eastAsia" w:ascii="宋体" w:hAnsi="宋体"/>
          <w:color w:val="auto"/>
        </w:rPr>
        <w:t>（招标人名称）：</w:t>
      </w:r>
    </w:p>
    <w:p w14:paraId="08A34210">
      <w:pPr>
        <w:spacing w:line="440" w:lineRule="exact"/>
        <w:ind w:firstLine="420" w:firstLineChars="200"/>
        <w:rPr>
          <w:rFonts w:hint="eastAsia" w:ascii="宋体" w:hAnsi="宋体"/>
          <w:color w:val="auto"/>
          <w:szCs w:val="21"/>
        </w:rPr>
      </w:pPr>
      <w:r>
        <w:rPr>
          <w:rFonts w:hint="eastAsia" w:ascii="宋体" w:hAnsi="宋体"/>
          <w:color w:val="auto"/>
          <w:szCs w:val="21"/>
        </w:rPr>
        <w:t>我方在此声明，</w:t>
      </w:r>
      <w:r>
        <w:rPr>
          <w:rFonts w:hint="eastAsia" w:ascii="宋体" w:hAnsi="宋体"/>
          <w:color w:val="auto"/>
        </w:rPr>
        <w:t>截止本招标项目投标截止时间，我方处于</w:t>
      </w:r>
      <w:r>
        <w:rPr>
          <w:rFonts w:hint="eastAsia" w:ascii="宋体" w:hAnsi="宋体"/>
          <w:color w:val="auto"/>
          <w:szCs w:val="21"/>
        </w:rPr>
        <w:t>正常的经营状态，不存在下列任何一种情形。</w:t>
      </w:r>
    </w:p>
    <w:p w14:paraId="5A5D176D">
      <w:pPr>
        <w:spacing w:line="400" w:lineRule="exact"/>
        <w:ind w:firstLine="420" w:firstLineChars="200"/>
        <w:rPr>
          <w:color w:val="auto"/>
        </w:rPr>
      </w:pPr>
      <w:r>
        <w:rPr>
          <w:color w:val="auto"/>
        </w:rPr>
        <w:t>1.</w:t>
      </w:r>
      <w:r>
        <w:rPr>
          <w:rFonts w:hint="eastAsia"/>
          <w:color w:val="auto"/>
        </w:rPr>
        <w:t>被依法暂停或取消投标资格；</w:t>
      </w:r>
    </w:p>
    <w:p w14:paraId="369F5F2B">
      <w:pPr>
        <w:spacing w:line="400" w:lineRule="exact"/>
        <w:ind w:firstLine="420" w:firstLineChars="200"/>
        <w:rPr>
          <w:color w:val="auto"/>
        </w:rPr>
      </w:pPr>
      <w:r>
        <w:rPr>
          <w:color w:val="auto"/>
        </w:rPr>
        <w:t>2.</w:t>
      </w:r>
      <w:r>
        <w:rPr>
          <w:rFonts w:hint="eastAsia"/>
          <w:color w:val="auto"/>
        </w:rPr>
        <w:t>被责令停产停业、暂扣或者吊销许可证、暂扣或者吊销执照；</w:t>
      </w:r>
      <w:r>
        <w:rPr>
          <w:color w:val="auto"/>
        </w:rPr>
        <w:t xml:space="preserve"> </w:t>
      </w:r>
    </w:p>
    <w:p w14:paraId="15D2EE8C">
      <w:pPr>
        <w:spacing w:line="400" w:lineRule="exact"/>
        <w:ind w:firstLine="420" w:firstLineChars="200"/>
        <w:rPr>
          <w:color w:val="auto"/>
        </w:rPr>
      </w:pPr>
      <w:r>
        <w:rPr>
          <w:color w:val="auto"/>
        </w:rPr>
        <w:t>3.</w:t>
      </w:r>
      <w:r>
        <w:rPr>
          <w:rFonts w:hint="eastAsia"/>
          <w:color w:val="auto"/>
        </w:rPr>
        <w:t>进入清算程序，或被宣告破产，或其他丧失履约能力的情形；</w:t>
      </w:r>
    </w:p>
    <w:p w14:paraId="365E30A9">
      <w:pPr>
        <w:spacing w:line="400" w:lineRule="exact"/>
        <w:ind w:firstLine="420" w:firstLineChars="200"/>
        <w:rPr>
          <w:color w:val="auto"/>
        </w:rPr>
      </w:pPr>
      <w:r>
        <w:rPr>
          <w:color w:val="auto"/>
        </w:rPr>
        <w:t>4.</w:t>
      </w:r>
      <w:r>
        <w:rPr>
          <w:rFonts w:hint="eastAsia"/>
          <w:color w:val="auto"/>
        </w:rPr>
        <w:t>在最近三年内发生重大工程质量问题；</w:t>
      </w:r>
    </w:p>
    <w:p w14:paraId="1B19E932">
      <w:pPr>
        <w:spacing w:line="400" w:lineRule="exact"/>
        <w:ind w:firstLine="420" w:firstLineChars="200"/>
        <w:rPr>
          <w:color w:val="auto"/>
        </w:rPr>
      </w:pPr>
      <w:r>
        <w:rPr>
          <w:color w:val="auto"/>
        </w:rPr>
        <w:t>5.</w:t>
      </w:r>
      <w:r>
        <w:rPr>
          <w:rFonts w:hint="eastAsia"/>
          <w:color w:val="auto"/>
        </w:rPr>
        <w:t>在“国家企业信用信息公示系统”（</w:t>
      </w:r>
      <w:r>
        <w:rPr>
          <w:color w:val="auto"/>
        </w:rPr>
        <w:t xml:space="preserve"> www.gsxt.gov.cn</w:t>
      </w:r>
      <w:r>
        <w:rPr>
          <w:rFonts w:hint="eastAsia"/>
          <w:color w:val="auto"/>
        </w:rPr>
        <w:t>）中被列入严重违法失信企业名单；</w:t>
      </w:r>
    </w:p>
    <w:p w14:paraId="4C5F3DBE">
      <w:pPr>
        <w:spacing w:line="400" w:lineRule="exact"/>
        <w:ind w:firstLine="420" w:firstLineChars="200"/>
        <w:rPr>
          <w:color w:val="auto"/>
        </w:rPr>
      </w:pPr>
      <w:r>
        <w:rPr>
          <w:color w:val="auto"/>
        </w:rPr>
        <w:t>6.</w:t>
      </w:r>
      <w:r>
        <w:rPr>
          <w:rFonts w:hint="eastAsia"/>
          <w:color w:val="auto"/>
        </w:rPr>
        <w:t>在</w:t>
      </w:r>
      <w:r>
        <w:rPr>
          <w:color w:val="auto"/>
        </w:rPr>
        <w:t>“</w:t>
      </w:r>
      <w:r>
        <w:rPr>
          <w:rFonts w:hint="eastAsia"/>
          <w:color w:val="auto"/>
        </w:rPr>
        <w:t>信用中国</w:t>
      </w:r>
      <w:r>
        <w:rPr>
          <w:color w:val="auto"/>
        </w:rPr>
        <w:t>”</w:t>
      </w:r>
      <w:r>
        <w:rPr>
          <w:rFonts w:hint="eastAsia"/>
          <w:color w:val="auto"/>
        </w:rPr>
        <w:t>网站（</w:t>
      </w:r>
      <w:r>
        <w:rPr>
          <w:color w:val="auto"/>
        </w:rPr>
        <w:fldChar w:fldCharType="begin"/>
      </w:r>
      <w:r>
        <w:rPr>
          <w:color w:val="auto"/>
        </w:rPr>
        <w:instrText xml:space="preserve"> HYPERLINK "http://www.creditchina.gov.cn/" </w:instrText>
      </w:r>
      <w:r>
        <w:rPr>
          <w:color w:val="auto"/>
        </w:rPr>
        <w:fldChar w:fldCharType="separate"/>
      </w:r>
      <w:r>
        <w:rPr>
          <w:rStyle w:val="46"/>
          <w:color w:val="auto"/>
          <w:u w:val="none"/>
        </w:rPr>
        <w:t>www.creditchina.gov.cn</w:t>
      </w:r>
      <w:r>
        <w:rPr>
          <w:color w:val="auto"/>
        </w:rPr>
        <w:fldChar w:fldCharType="end"/>
      </w:r>
      <w:r>
        <w:rPr>
          <w:rFonts w:hint="eastAsia"/>
          <w:color w:val="auto"/>
        </w:rPr>
        <w:t>）或中国执行信息公开网（</w:t>
      </w:r>
      <w:r>
        <w:rPr>
          <w:color w:val="auto"/>
        </w:rPr>
        <w:t>http://zxgk.court.gov.cn/</w:t>
      </w:r>
      <w:r>
        <w:rPr>
          <w:rFonts w:hint="eastAsia"/>
          <w:color w:val="auto"/>
        </w:rPr>
        <w:t>）</w:t>
      </w:r>
      <w:r>
        <w:rPr>
          <w:rFonts w:hint="eastAsia" w:ascii="宋体" w:hAnsi="宋体"/>
          <w:color w:val="auto"/>
        </w:rPr>
        <w:t>或各级信用信息共享平</w:t>
      </w:r>
      <w:r>
        <w:rPr>
          <w:rFonts w:hint="eastAsia" w:ascii="宋体" w:hAnsi="宋体"/>
          <w:color w:val="auto"/>
          <w:szCs w:val="21"/>
        </w:rPr>
        <w:t>台中被</w:t>
      </w:r>
      <w:r>
        <w:rPr>
          <w:rFonts w:hint="eastAsia"/>
          <w:color w:val="auto"/>
        </w:rPr>
        <w:t>列入失信被执行人名单；</w:t>
      </w:r>
    </w:p>
    <w:p w14:paraId="0F1EE846">
      <w:pPr>
        <w:spacing w:line="400" w:lineRule="exact"/>
        <w:ind w:firstLine="420" w:firstLineChars="200"/>
        <w:rPr>
          <w:color w:val="auto"/>
        </w:rPr>
      </w:pPr>
      <w:r>
        <w:rPr>
          <w:color w:val="auto"/>
        </w:rPr>
        <w:t>7.</w:t>
      </w:r>
      <w:r>
        <w:rPr>
          <w:rFonts w:hint="eastAsia"/>
          <w:color w:val="auto"/>
        </w:rPr>
        <w:t>在近三年内投标人或其法定代表人、拟委任的项目经理被人民法院判决为行贿罪；</w:t>
      </w:r>
    </w:p>
    <w:p w14:paraId="245D57CE">
      <w:pPr>
        <w:spacing w:line="440" w:lineRule="exact"/>
        <w:ind w:firstLine="420" w:firstLineChars="200"/>
        <w:rPr>
          <w:rFonts w:hint="eastAsia"/>
          <w:color w:val="auto"/>
        </w:rPr>
      </w:pPr>
      <w:r>
        <w:rPr>
          <w:color w:val="auto"/>
        </w:rPr>
        <w:t>8.</w:t>
      </w:r>
      <w:r>
        <w:rPr>
          <w:rFonts w:hint="eastAsia"/>
          <w:color w:val="auto"/>
        </w:rPr>
        <w:t>法律法规或申请（投标）人须知前附表第</w:t>
      </w:r>
      <w:r>
        <w:rPr>
          <w:color w:val="auto"/>
        </w:rPr>
        <w:t>1.4.3</w:t>
      </w:r>
      <w:r>
        <w:rPr>
          <w:rFonts w:hint="eastAsia"/>
          <w:color w:val="auto"/>
        </w:rPr>
        <w:t>（</w:t>
      </w:r>
      <w:r>
        <w:rPr>
          <w:color w:val="auto"/>
        </w:rPr>
        <w:t>17</w:t>
      </w:r>
      <w:r>
        <w:rPr>
          <w:rFonts w:hint="eastAsia"/>
          <w:color w:val="auto"/>
        </w:rPr>
        <w:t>）目（第</w:t>
      </w:r>
      <w:r>
        <w:rPr>
          <w:color w:val="auto"/>
        </w:rPr>
        <w:t>1.4.3</w:t>
      </w:r>
      <w:r>
        <w:rPr>
          <w:rFonts w:hint="eastAsia"/>
          <w:color w:val="auto"/>
        </w:rPr>
        <w:t>（</w:t>
      </w:r>
      <w:r>
        <w:rPr>
          <w:color w:val="auto"/>
        </w:rPr>
        <w:t>19</w:t>
      </w:r>
      <w:r>
        <w:rPr>
          <w:rFonts w:hint="eastAsia"/>
          <w:color w:val="auto"/>
        </w:rPr>
        <w:t>）目）规定的其他情形。</w:t>
      </w:r>
    </w:p>
    <w:p w14:paraId="702924F8">
      <w:pPr>
        <w:spacing w:line="440" w:lineRule="exact"/>
        <w:ind w:firstLine="420" w:firstLineChars="200"/>
        <w:rPr>
          <w:rFonts w:hint="eastAsia"/>
          <w:color w:val="auto"/>
          <w:szCs w:val="21"/>
        </w:rPr>
      </w:pPr>
      <w:r>
        <w:rPr>
          <w:color w:val="auto"/>
          <w:szCs w:val="21"/>
        </w:rPr>
        <w:t>同时我方声明：我方信誉满足</w:t>
      </w:r>
      <w:r>
        <w:rPr>
          <w:rFonts w:hint="eastAsia"/>
          <w:color w:val="auto"/>
        </w:rPr>
        <w:t>申请（</w:t>
      </w:r>
      <w:r>
        <w:rPr>
          <w:color w:val="auto"/>
          <w:szCs w:val="21"/>
        </w:rPr>
        <w:t>投标</w:t>
      </w:r>
      <w:r>
        <w:rPr>
          <w:rFonts w:hint="eastAsia"/>
          <w:color w:val="auto"/>
        </w:rPr>
        <w:t>）</w:t>
      </w:r>
      <w:r>
        <w:rPr>
          <w:color w:val="auto"/>
          <w:szCs w:val="21"/>
        </w:rPr>
        <w:t>人须知第1.4.1（4）目的要求。</w:t>
      </w:r>
    </w:p>
    <w:p w14:paraId="61997490">
      <w:pPr>
        <w:spacing w:line="440" w:lineRule="exact"/>
        <w:ind w:firstLine="420" w:firstLineChars="200"/>
        <w:rPr>
          <w:rFonts w:hint="eastAsia" w:ascii="宋体" w:hAnsi="宋体"/>
          <w:color w:val="auto"/>
          <w:szCs w:val="21"/>
        </w:rPr>
      </w:pPr>
      <w:r>
        <w:rPr>
          <w:rFonts w:hint="eastAsia" w:ascii="宋体" w:hAnsi="宋体"/>
          <w:color w:val="auto"/>
          <w:szCs w:val="21"/>
        </w:rPr>
        <w:t>我方保证上述信息的真实和准确，并愿意承担因我方就此弄虚作假所引起的一切法律后果。</w:t>
      </w:r>
    </w:p>
    <w:p w14:paraId="3614C116">
      <w:pPr>
        <w:spacing w:line="440" w:lineRule="exact"/>
        <w:ind w:firstLine="420" w:firstLineChars="200"/>
        <w:rPr>
          <w:rFonts w:hint="eastAsia" w:ascii="宋体" w:hAnsi="宋体"/>
          <w:color w:val="auto"/>
          <w:szCs w:val="21"/>
        </w:rPr>
      </w:pPr>
    </w:p>
    <w:p w14:paraId="31C43153">
      <w:pPr>
        <w:spacing w:line="440" w:lineRule="exact"/>
        <w:ind w:firstLine="3990" w:firstLineChars="1900"/>
        <w:rPr>
          <w:rFonts w:hint="eastAsia" w:ascii="宋体" w:hAnsi="宋体"/>
          <w:color w:val="auto"/>
          <w:szCs w:val="21"/>
        </w:rPr>
      </w:pPr>
      <w:r>
        <w:rPr>
          <w:rFonts w:hint="eastAsia" w:ascii="宋体" w:hAnsi="宋体"/>
          <w:color w:val="auto"/>
          <w:szCs w:val="21"/>
        </w:rPr>
        <w:t>投标人：</w:t>
      </w:r>
      <w:r>
        <w:rPr>
          <w:rFonts w:hint="eastAsia" w:ascii="宋体" w:hAnsi="宋体"/>
          <w:color w:val="auto"/>
          <w:szCs w:val="21"/>
          <w:u w:val="single"/>
        </w:rPr>
        <w:t xml:space="preserve">                      </w:t>
      </w:r>
      <w:r>
        <w:rPr>
          <w:rFonts w:hint="eastAsia" w:ascii="宋体" w:hAnsi="宋体"/>
          <w:color w:val="auto"/>
          <w:szCs w:val="21"/>
        </w:rPr>
        <w:t>（盖单位章）</w:t>
      </w:r>
    </w:p>
    <w:p w14:paraId="36780084">
      <w:pPr>
        <w:spacing w:line="440" w:lineRule="exact"/>
        <w:ind w:firstLine="3990" w:firstLineChars="1900"/>
        <w:rPr>
          <w:rFonts w:hint="eastAsia" w:ascii="宋体" w:hAnsi="宋体"/>
          <w:color w:val="auto"/>
          <w:szCs w:val="21"/>
        </w:rPr>
      </w:pPr>
      <w:r>
        <w:rPr>
          <w:rFonts w:hint="eastAsia" w:ascii="宋体" w:hAnsi="宋体"/>
          <w:color w:val="auto"/>
          <w:szCs w:val="21"/>
        </w:rPr>
        <w:t>法定代表人：</w:t>
      </w:r>
      <w:r>
        <w:rPr>
          <w:rFonts w:hint="eastAsia" w:ascii="宋体" w:hAnsi="宋体"/>
          <w:color w:val="auto"/>
          <w:szCs w:val="21"/>
          <w:u w:val="single"/>
        </w:rPr>
        <w:t xml:space="preserve">                      </w:t>
      </w:r>
      <w:r>
        <w:rPr>
          <w:rFonts w:hint="eastAsia" w:ascii="宋体" w:hAnsi="宋体"/>
          <w:color w:val="auto"/>
          <w:szCs w:val="21"/>
        </w:rPr>
        <w:t>（签字）</w:t>
      </w:r>
    </w:p>
    <w:p w14:paraId="1733D1F6">
      <w:pPr>
        <w:spacing w:line="440" w:lineRule="exact"/>
        <w:ind w:firstLine="420" w:firstLineChars="200"/>
        <w:rPr>
          <w:rFonts w:hint="eastAsia" w:ascii="宋体" w:hAnsi="宋体"/>
          <w:color w:val="auto"/>
          <w:szCs w:val="21"/>
        </w:rPr>
      </w:pPr>
    </w:p>
    <w:p w14:paraId="24B2742F">
      <w:pPr>
        <w:spacing w:line="440" w:lineRule="exact"/>
        <w:ind w:firstLine="420" w:firstLineChars="200"/>
        <w:rPr>
          <w:rFonts w:hint="eastAsia" w:ascii="宋体" w:hAnsi="宋体"/>
          <w:color w:val="auto"/>
          <w:szCs w:val="21"/>
        </w:rPr>
      </w:pPr>
      <w:r>
        <w:rPr>
          <w:rFonts w:hint="eastAsia" w:ascii="宋体" w:hAnsi="宋体"/>
          <w:color w:val="auto"/>
          <w:szCs w:val="21"/>
        </w:rPr>
        <w:t xml:space="preserve">                                              </w:t>
      </w:r>
      <w:r>
        <w:rPr>
          <w:rFonts w:hint="eastAsia" w:ascii="宋体" w:hAnsi="宋体"/>
          <w:color w:val="auto"/>
          <w:szCs w:val="21"/>
          <w:u w:val="single"/>
        </w:rPr>
        <w:t xml:space="preserve">        </w:t>
      </w:r>
      <w:r>
        <w:rPr>
          <w:rFonts w:hint="eastAsia" w:ascii="宋体" w:hAnsi="宋体"/>
          <w:color w:val="auto"/>
          <w:szCs w:val="21"/>
        </w:rPr>
        <w:t xml:space="preserve"> 年 </w:t>
      </w:r>
      <w:r>
        <w:rPr>
          <w:rFonts w:hint="eastAsia" w:ascii="宋体" w:hAnsi="宋体"/>
          <w:color w:val="auto"/>
          <w:szCs w:val="21"/>
          <w:u w:val="single"/>
        </w:rPr>
        <w:t xml:space="preserve">     </w:t>
      </w:r>
      <w:r>
        <w:rPr>
          <w:rFonts w:hint="eastAsia" w:ascii="宋体" w:hAnsi="宋体"/>
          <w:color w:val="auto"/>
          <w:szCs w:val="21"/>
        </w:rPr>
        <w:t xml:space="preserve"> 月 </w:t>
      </w:r>
      <w:r>
        <w:rPr>
          <w:rFonts w:hint="eastAsia" w:ascii="宋体" w:hAnsi="宋体"/>
          <w:color w:val="auto"/>
          <w:szCs w:val="21"/>
          <w:u w:val="single"/>
        </w:rPr>
        <w:t xml:space="preserve">     </w:t>
      </w:r>
      <w:r>
        <w:rPr>
          <w:rFonts w:hint="eastAsia" w:ascii="宋体" w:hAnsi="宋体"/>
          <w:color w:val="auto"/>
          <w:szCs w:val="21"/>
        </w:rPr>
        <w:t xml:space="preserve"> 日</w:t>
      </w:r>
    </w:p>
    <w:p w14:paraId="1DB4986E">
      <w:pPr>
        <w:spacing w:line="440" w:lineRule="exact"/>
        <w:rPr>
          <w:rFonts w:hint="eastAsia" w:ascii="宋体" w:hAnsi="宋体"/>
          <w:color w:val="auto"/>
          <w:szCs w:val="21"/>
        </w:rPr>
      </w:pPr>
    </w:p>
    <w:p w14:paraId="06454717">
      <w:pPr>
        <w:spacing w:line="360" w:lineRule="exact"/>
        <w:ind w:left="840" w:hanging="840" w:hangingChars="400"/>
        <w:rPr>
          <w:color w:val="auto"/>
          <w:szCs w:val="21"/>
        </w:rPr>
      </w:pPr>
      <w:r>
        <w:rPr>
          <w:color w:val="auto"/>
          <w:szCs w:val="21"/>
        </w:rPr>
        <w:t>备注：1. 投标人应针对第二章</w:t>
      </w:r>
      <w:r>
        <w:rPr>
          <w:rFonts w:hint="eastAsia"/>
          <w:color w:val="auto"/>
          <w:szCs w:val="21"/>
        </w:rPr>
        <w:t>“申请（</w:t>
      </w:r>
      <w:r>
        <w:rPr>
          <w:color w:val="auto"/>
          <w:szCs w:val="21"/>
        </w:rPr>
        <w:t>投标</w:t>
      </w:r>
      <w:r>
        <w:rPr>
          <w:rFonts w:hint="eastAsia"/>
          <w:color w:val="auto"/>
          <w:szCs w:val="21"/>
        </w:rPr>
        <w:t>）</w:t>
      </w:r>
      <w:r>
        <w:rPr>
          <w:color w:val="auto"/>
          <w:szCs w:val="21"/>
        </w:rPr>
        <w:t>人须知</w:t>
      </w:r>
      <w:r>
        <w:rPr>
          <w:rFonts w:hint="eastAsia"/>
          <w:color w:val="auto"/>
          <w:szCs w:val="21"/>
        </w:rPr>
        <w:t>”</w:t>
      </w:r>
      <w:r>
        <w:rPr>
          <w:color w:val="auto"/>
          <w:szCs w:val="21"/>
        </w:rPr>
        <w:t>第1.4.3项和第1.4.1（4）目的要求，在此对其信誉情况</w:t>
      </w:r>
      <w:r>
        <w:rPr>
          <w:rFonts w:hint="eastAsia"/>
          <w:color w:val="auto"/>
          <w:szCs w:val="21"/>
        </w:rPr>
        <w:t>逐一</w:t>
      </w:r>
      <w:r>
        <w:rPr>
          <w:color w:val="auto"/>
          <w:szCs w:val="21"/>
        </w:rPr>
        <w:t>做出说明，并应根据</w:t>
      </w:r>
      <w:r>
        <w:rPr>
          <w:rFonts w:hint="eastAsia"/>
          <w:color w:val="auto"/>
          <w:szCs w:val="21"/>
        </w:rPr>
        <w:t>“申请（</w:t>
      </w:r>
      <w:r>
        <w:rPr>
          <w:color w:val="auto"/>
          <w:szCs w:val="21"/>
        </w:rPr>
        <w:t>投标</w:t>
      </w:r>
      <w:r>
        <w:rPr>
          <w:rFonts w:hint="eastAsia"/>
          <w:color w:val="auto"/>
          <w:szCs w:val="21"/>
        </w:rPr>
        <w:t>）</w:t>
      </w:r>
      <w:r>
        <w:rPr>
          <w:color w:val="auto"/>
          <w:szCs w:val="21"/>
        </w:rPr>
        <w:t>人须知</w:t>
      </w:r>
      <w:r>
        <w:rPr>
          <w:rFonts w:hint="eastAsia"/>
          <w:color w:val="auto"/>
          <w:szCs w:val="21"/>
        </w:rPr>
        <w:t>”</w:t>
      </w:r>
      <w:r>
        <w:rPr>
          <w:color w:val="auto"/>
          <w:szCs w:val="21"/>
        </w:rPr>
        <w:t>第1.4.1（4）目的要求附相关证明材料。以上格式为示例。</w:t>
      </w:r>
    </w:p>
    <w:p w14:paraId="7F593964">
      <w:pPr>
        <w:spacing w:line="360" w:lineRule="exact"/>
        <w:ind w:left="315" w:leftChars="150" w:firstLine="315" w:firstLineChars="150"/>
        <w:rPr>
          <w:color w:val="auto"/>
          <w:szCs w:val="21"/>
        </w:rPr>
      </w:pPr>
      <w:r>
        <w:rPr>
          <w:color w:val="auto"/>
          <w:szCs w:val="21"/>
        </w:rPr>
        <w:t>2.</w:t>
      </w:r>
      <w:r>
        <w:rPr>
          <w:rFonts w:hint="eastAsia"/>
          <w:color w:val="auto"/>
          <w:szCs w:val="21"/>
        </w:rPr>
        <w:t xml:space="preserve"> </w:t>
      </w:r>
      <w:r>
        <w:rPr>
          <w:color w:val="auto"/>
          <w:szCs w:val="21"/>
        </w:rPr>
        <w:t>联合体投标的，联合体各成员单位均应按要求做出声明。</w:t>
      </w:r>
    </w:p>
    <w:p w14:paraId="170A90CB">
      <w:pPr>
        <w:spacing w:line="360" w:lineRule="exact"/>
        <w:ind w:left="840" w:leftChars="300" w:hanging="210" w:hangingChars="100"/>
        <w:rPr>
          <w:rFonts w:hint="eastAsia"/>
          <w:color w:val="auto"/>
          <w:szCs w:val="21"/>
        </w:rPr>
      </w:pPr>
      <w:r>
        <w:rPr>
          <w:rFonts w:hint="eastAsia"/>
          <w:color w:val="auto"/>
          <w:szCs w:val="21"/>
        </w:rPr>
        <w:t>3. 招标人和评标委员会在评标过程中，应对各投标人（包括联合体各成员单位）的严重违法失信企业、失信被执行人、行贿罪等情况进行查询，并将查询结果“截图”附在评标报告中。</w:t>
      </w:r>
    </w:p>
    <w:p w14:paraId="16358B03">
      <w:pPr>
        <w:pStyle w:val="106"/>
        <w:jc w:val="center"/>
        <w:outlineLvl w:val="3"/>
        <w:rPr>
          <w:rFonts w:hint="eastAsia"/>
          <w:color w:val="auto"/>
          <w:szCs w:val="24"/>
        </w:rPr>
      </w:pPr>
      <w:bookmarkStart w:id="2292" w:name="_Toc519085689"/>
      <w:bookmarkStart w:id="2293" w:name="_Toc154064057"/>
      <w:bookmarkStart w:id="2294" w:name="_Toc456555790"/>
      <w:r>
        <w:rPr>
          <w:rFonts w:hint="eastAsia"/>
          <w:b/>
          <w:color w:val="auto"/>
          <w:szCs w:val="24"/>
        </w:rPr>
        <w:t xml:space="preserve">7-2 </w:t>
      </w:r>
      <w:r>
        <w:rPr>
          <w:rFonts w:hint="eastAsia"/>
          <w:color w:val="auto"/>
          <w:szCs w:val="24"/>
        </w:rPr>
        <w:t>近年发生的诉讼和仲裁情况</w:t>
      </w:r>
      <w:bookmarkEnd w:id="2292"/>
      <w:bookmarkEnd w:id="2293"/>
      <w:bookmarkEnd w:id="2294"/>
    </w:p>
    <w:p w14:paraId="134E1ECC">
      <w:pPr>
        <w:spacing w:before="159" w:beforeLines="50" w:after="319" w:afterLines="100" w:line="440" w:lineRule="exact"/>
        <w:rPr>
          <w:rFonts w:hint="eastAsia" w:ascii="黑体" w:hAnsi="宋体" w:eastAsia="黑体"/>
          <w:color w:val="auto"/>
          <w:sz w:val="24"/>
        </w:rPr>
      </w:pPr>
    </w:p>
    <w:tbl>
      <w:tblPr>
        <w:tblStyle w:val="41"/>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54"/>
        <w:gridCol w:w="1260"/>
        <w:gridCol w:w="3600"/>
        <w:gridCol w:w="1952"/>
      </w:tblGrid>
      <w:tr w14:paraId="019B6F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4" w:type="dxa"/>
            <w:noWrap w:val="0"/>
            <w:vAlign w:val="center"/>
          </w:tcPr>
          <w:p w14:paraId="72416227">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类别</w:t>
            </w:r>
          </w:p>
        </w:tc>
        <w:tc>
          <w:tcPr>
            <w:tcW w:w="954" w:type="dxa"/>
            <w:noWrap w:val="0"/>
            <w:vAlign w:val="center"/>
          </w:tcPr>
          <w:p w14:paraId="1789DE50">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序号</w:t>
            </w:r>
          </w:p>
        </w:tc>
        <w:tc>
          <w:tcPr>
            <w:tcW w:w="1260" w:type="dxa"/>
            <w:noWrap w:val="0"/>
            <w:vAlign w:val="center"/>
          </w:tcPr>
          <w:p w14:paraId="2F15B215">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hint="eastAsia" w:ascii="宋体" w:hAnsi="宋体" w:eastAsia="宋体" w:cs="Times New Roman"/>
                <w:color w:val="auto"/>
                <w:szCs w:val="21"/>
              </w:rPr>
              <w:t>发生时间</w:t>
            </w:r>
          </w:p>
        </w:tc>
        <w:tc>
          <w:tcPr>
            <w:tcW w:w="3600" w:type="dxa"/>
            <w:noWrap w:val="0"/>
            <w:vAlign w:val="center"/>
          </w:tcPr>
          <w:p w14:paraId="6FFAA457">
            <w:pPr>
              <w:keepNext w:val="0"/>
              <w:keepLines w:val="0"/>
              <w:suppressLineNumbers w:val="0"/>
              <w:spacing w:before="0" w:beforeAutospacing="0" w:after="0" w:afterAutospacing="0"/>
              <w:ind w:left="0" w:right="0"/>
              <w:jc w:val="center"/>
              <w:rPr>
                <w:rFonts w:ascii="宋体" w:hAnsi="宋体" w:eastAsia="宋体" w:cs="Times New Roman"/>
                <w:color w:val="auto"/>
                <w:szCs w:val="21"/>
              </w:rPr>
            </w:pPr>
            <w:r>
              <w:rPr>
                <w:rFonts w:hint="eastAsia" w:ascii="宋体" w:hAnsi="宋体" w:eastAsia="宋体" w:cs="Times New Roman"/>
                <w:color w:val="auto"/>
                <w:szCs w:val="21"/>
              </w:rPr>
              <w:t>情况简介</w:t>
            </w:r>
          </w:p>
        </w:tc>
        <w:tc>
          <w:tcPr>
            <w:tcW w:w="1952" w:type="dxa"/>
            <w:noWrap w:val="0"/>
            <w:vAlign w:val="center"/>
          </w:tcPr>
          <w:p w14:paraId="44E134F0">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证明材料索引</w:t>
            </w:r>
          </w:p>
        </w:tc>
      </w:tr>
      <w:tr w14:paraId="00D820B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noWrap w:val="0"/>
            <w:vAlign w:val="center"/>
          </w:tcPr>
          <w:p w14:paraId="1EC649EA">
            <w:pPr>
              <w:keepNext w:val="0"/>
              <w:keepLines w:val="0"/>
              <w:suppressLineNumbers w:val="0"/>
              <w:spacing w:before="0" w:beforeAutospacing="0" w:after="0" w:afterAutospacing="0" w:line="240" w:lineRule="exact"/>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诉</w:t>
            </w:r>
          </w:p>
          <w:p w14:paraId="2478245B">
            <w:pPr>
              <w:keepNext w:val="0"/>
              <w:keepLines w:val="0"/>
              <w:suppressLineNumbers w:val="0"/>
              <w:spacing w:before="0" w:beforeAutospacing="0" w:after="0" w:afterAutospacing="0" w:line="240" w:lineRule="exact"/>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讼</w:t>
            </w:r>
          </w:p>
          <w:p w14:paraId="1A065A79">
            <w:pPr>
              <w:keepNext w:val="0"/>
              <w:keepLines w:val="0"/>
              <w:suppressLineNumbers w:val="0"/>
              <w:spacing w:before="0" w:beforeAutospacing="0" w:after="0" w:afterAutospacing="0" w:line="240" w:lineRule="exact"/>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情</w:t>
            </w:r>
          </w:p>
          <w:p w14:paraId="374986F6">
            <w:pPr>
              <w:keepNext w:val="0"/>
              <w:keepLines w:val="0"/>
              <w:suppressLineNumbers w:val="0"/>
              <w:spacing w:before="0" w:beforeAutospacing="0" w:after="0" w:afterAutospacing="0" w:line="240" w:lineRule="exact"/>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况</w:t>
            </w:r>
          </w:p>
        </w:tc>
        <w:tc>
          <w:tcPr>
            <w:tcW w:w="954" w:type="dxa"/>
            <w:noWrap w:val="0"/>
            <w:vAlign w:val="center"/>
          </w:tcPr>
          <w:p w14:paraId="528CC0E5">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260" w:type="dxa"/>
            <w:noWrap w:val="0"/>
            <w:vAlign w:val="center"/>
          </w:tcPr>
          <w:p w14:paraId="628EE8B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600" w:type="dxa"/>
            <w:noWrap w:val="0"/>
            <w:vAlign w:val="center"/>
          </w:tcPr>
          <w:p w14:paraId="334D632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952" w:type="dxa"/>
            <w:noWrap w:val="0"/>
            <w:vAlign w:val="center"/>
          </w:tcPr>
          <w:p w14:paraId="43CFE322">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1BC2D48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7771E87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954" w:type="dxa"/>
            <w:noWrap w:val="0"/>
            <w:vAlign w:val="center"/>
          </w:tcPr>
          <w:p w14:paraId="19C0B56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260" w:type="dxa"/>
            <w:noWrap w:val="0"/>
            <w:vAlign w:val="center"/>
          </w:tcPr>
          <w:p w14:paraId="6D3B21A0">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600" w:type="dxa"/>
            <w:noWrap w:val="0"/>
            <w:vAlign w:val="center"/>
          </w:tcPr>
          <w:p w14:paraId="471BE918">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952" w:type="dxa"/>
            <w:noWrap w:val="0"/>
            <w:vAlign w:val="center"/>
          </w:tcPr>
          <w:p w14:paraId="774CA9AA">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6D8EF07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7D2C457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954" w:type="dxa"/>
            <w:noWrap w:val="0"/>
            <w:vAlign w:val="center"/>
          </w:tcPr>
          <w:p w14:paraId="63504D2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260" w:type="dxa"/>
            <w:noWrap w:val="0"/>
            <w:vAlign w:val="center"/>
          </w:tcPr>
          <w:p w14:paraId="4AF08EC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600" w:type="dxa"/>
            <w:noWrap w:val="0"/>
            <w:vAlign w:val="center"/>
          </w:tcPr>
          <w:p w14:paraId="4EEFBF35">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952" w:type="dxa"/>
            <w:noWrap w:val="0"/>
            <w:vAlign w:val="center"/>
          </w:tcPr>
          <w:p w14:paraId="021DCE2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3156E1E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noWrap w:val="0"/>
            <w:vAlign w:val="center"/>
          </w:tcPr>
          <w:p w14:paraId="0703CDBA">
            <w:pPr>
              <w:keepNext w:val="0"/>
              <w:keepLines w:val="0"/>
              <w:suppressLineNumbers w:val="0"/>
              <w:spacing w:before="0" w:beforeAutospacing="0" w:after="0" w:afterAutospacing="0" w:line="240" w:lineRule="exact"/>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仲</w:t>
            </w:r>
          </w:p>
          <w:p w14:paraId="03634D2C">
            <w:pPr>
              <w:keepNext w:val="0"/>
              <w:keepLines w:val="0"/>
              <w:suppressLineNumbers w:val="0"/>
              <w:spacing w:before="0" w:beforeAutospacing="0" w:after="0" w:afterAutospacing="0" w:line="240" w:lineRule="exact"/>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裁</w:t>
            </w:r>
          </w:p>
          <w:p w14:paraId="6858C497">
            <w:pPr>
              <w:keepNext w:val="0"/>
              <w:keepLines w:val="0"/>
              <w:suppressLineNumbers w:val="0"/>
              <w:spacing w:before="0" w:beforeAutospacing="0" w:after="0" w:afterAutospacing="0" w:line="240" w:lineRule="exact"/>
              <w:ind w:left="0" w:right="0"/>
              <w:jc w:val="center"/>
              <w:rPr>
                <w:rFonts w:hint="eastAsia" w:ascii="宋体" w:hAnsi="宋体" w:eastAsia="宋体" w:cs="Times New Roman"/>
                <w:color w:val="auto"/>
                <w:szCs w:val="21"/>
              </w:rPr>
            </w:pPr>
            <w:r>
              <w:rPr>
                <w:rFonts w:hint="eastAsia" w:ascii="宋体" w:hAnsi="宋体" w:eastAsia="宋体" w:cs="Times New Roman"/>
                <w:color w:val="auto"/>
                <w:szCs w:val="21"/>
              </w:rPr>
              <w:t>情</w:t>
            </w:r>
          </w:p>
          <w:p w14:paraId="49242458">
            <w:pPr>
              <w:keepNext w:val="0"/>
              <w:keepLines w:val="0"/>
              <w:suppressLineNumbers w:val="0"/>
              <w:spacing w:before="0" w:beforeAutospacing="0" w:after="0" w:afterAutospacing="0" w:line="240" w:lineRule="exact"/>
              <w:ind w:left="0" w:right="0"/>
              <w:jc w:val="center"/>
              <w:rPr>
                <w:rFonts w:ascii="宋体" w:hAnsi="宋体" w:eastAsia="宋体" w:cs="Times New Roman"/>
                <w:color w:val="auto"/>
                <w:szCs w:val="21"/>
              </w:rPr>
            </w:pPr>
            <w:r>
              <w:rPr>
                <w:rFonts w:hint="eastAsia" w:ascii="宋体" w:hAnsi="宋体" w:eastAsia="宋体" w:cs="Times New Roman"/>
                <w:color w:val="auto"/>
                <w:szCs w:val="21"/>
              </w:rPr>
              <w:t>况</w:t>
            </w:r>
          </w:p>
        </w:tc>
        <w:tc>
          <w:tcPr>
            <w:tcW w:w="954" w:type="dxa"/>
            <w:noWrap w:val="0"/>
            <w:vAlign w:val="center"/>
          </w:tcPr>
          <w:p w14:paraId="22EEABE5">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260" w:type="dxa"/>
            <w:noWrap w:val="0"/>
            <w:vAlign w:val="center"/>
          </w:tcPr>
          <w:p w14:paraId="05DEC6B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600" w:type="dxa"/>
            <w:noWrap w:val="0"/>
            <w:vAlign w:val="center"/>
          </w:tcPr>
          <w:p w14:paraId="57419376">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952" w:type="dxa"/>
            <w:noWrap w:val="0"/>
            <w:vAlign w:val="center"/>
          </w:tcPr>
          <w:p w14:paraId="38094BA9">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3ACAEC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3968ED2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954" w:type="dxa"/>
            <w:noWrap w:val="0"/>
            <w:vAlign w:val="center"/>
          </w:tcPr>
          <w:p w14:paraId="28D3CF1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260" w:type="dxa"/>
            <w:noWrap w:val="0"/>
            <w:vAlign w:val="center"/>
          </w:tcPr>
          <w:p w14:paraId="3CF2067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600" w:type="dxa"/>
            <w:noWrap w:val="0"/>
            <w:vAlign w:val="center"/>
          </w:tcPr>
          <w:p w14:paraId="34282E1F">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952" w:type="dxa"/>
            <w:noWrap w:val="0"/>
            <w:vAlign w:val="center"/>
          </w:tcPr>
          <w:p w14:paraId="5079B1BC">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r w14:paraId="2BE3DBA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49B0F46B">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954" w:type="dxa"/>
            <w:noWrap w:val="0"/>
            <w:vAlign w:val="center"/>
          </w:tcPr>
          <w:p w14:paraId="4EF9B23D">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260" w:type="dxa"/>
            <w:noWrap w:val="0"/>
            <w:vAlign w:val="center"/>
          </w:tcPr>
          <w:p w14:paraId="50E2AA64">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3600" w:type="dxa"/>
            <w:noWrap w:val="0"/>
            <w:vAlign w:val="center"/>
          </w:tcPr>
          <w:p w14:paraId="6C5ADEC3">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c>
          <w:tcPr>
            <w:tcW w:w="1952" w:type="dxa"/>
            <w:noWrap w:val="0"/>
            <w:vAlign w:val="center"/>
          </w:tcPr>
          <w:p w14:paraId="4A0CBD80">
            <w:pPr>
              <w:keepNext w:val="0"/>
              <w:keepLines w:val="0"/>
              <w:suppressLineNumbers w:val="0"/>
              <w:spacing w:before="0" w:beforeAutospacing="0" w:after="0" w:afterAutospacing="0"/>
              <w:ind w:left="0" w:right="0"/>
              <w:jc w:val="center"/>
              <w:rPr>
                <w:rFonts w:hint="eastAsia" w:ascii="宋体" w:hAnsi="宋体" w:eastAsia="宋体" w:cs="Times New Roman"/>
                <w:color w:val="auto"/>
                <w:szCs w:val="21"/>
              </w:rPr>
            </w:pPr>
          </w:p>
        </w:tc>
      </w:tr>
    </w:tbl>
    <w:p w14:paraId="64E0F3F0">
      <w:pPr>
        <w:spacing w:line="400" w:lineRule="exact"/>
        <w:ind w:left="945" w:hanging="945" w:hangingChars="450"/>
        <w:rPr>
          <w:rFonts w:hint="eastAsia" w:ascii="黑体" w:hAnsi="宋体" w:eastAsia="黑体"/>
          <w:color w:val="auto"/>
          <w:szCs w:val="21"/>
        </w:rPr>
      </w:pPr>
    </w:p>
    <w:p w14:paraId="5BBD6581">
      <w:pPr>
        <w:spacing w:line="400" w:lineRule="exact"/>
        <w:ind w:left="945" w:hanging="945" w:hangingChars="450"/>
        <w:rPr>
          <w:rFonts w:hint="eastAsia" w:ascii="黑体" w:hAnsi="宋体" w:eastAsia="黑体"/>
          <w:color w:val="auto"/>
          <w:szCs w:val="21"/>
        </w:rPr>
      </w:pPr>
    </w:p>
    <w:p w14:paraId="4DE84A8B">
      <w:pPr>
        <w:spacing w:line="400" w:lineRule="exact"/>
        <w:ind w:left="945" w:hanging="945" w:hangingChars="450"/>
        <w:rPr>
          <w:rFonts w:ascii="宋体" w:hAnsi="宋体"/>
          <w:color w:val="auto"/>
          <w:szCs w:val="21"/>
        </w:rPr>
      </w:pPr>
      <w:r>
        <w:rPr>
          <w:rFonts w:hint="eastAsia" w:ascii="黑体" w:hAnsi="宋体" w:eastAsia="黑体"/>
          <w:color w:val="auto"/>
          <w:szCs w:val="21"/>
        </w:rPr>
        <w:t>备注：</w:t>
      </w:r>
      <w:r>
        <w:rPr>
          <w:rFonts w:hint="eastAsia" w:eastAsia="黑体"/>
          <w:color w:val="auto"/>
          <w:szCs w:val="21"/>
        </w:rPr>
        <w:t>1</w:t>
      </w:r>
      <w:r>
        <w:rPr>
          <w:rFonts w:hint="eastAsia" w:ascii="黑体" w:hAnsi="宋体" w:eastAsia="黑体"/>
          <w:color w:val="auto"/>
          <w:szCs w:val="21"/>
        </w:rPr>
        <w:t xml:space="preserve">. </w:t>
      </w:r>
      <w:r>
        <w:rPr>
          <w:rFonts w:hint="eastAsia" w:ascii="宋体" w:hAnsi="宋体"/>
          <w:color w:val="auto"/>
          <w:szCs w:val="21"/>
        </w:rPr>
        <w:t>近年发生的诉讼和仲裁情况仅限于投标人败诉的，且与签订或履行工程合同有关的案件，不包括调解结案以及未终审判决的诉讼或未裁决的仲裁。附法院或仲裁机构作出的判</w:t>
      </w:r>
      <w:r>
        <w:rPr>
          <w:rFonts w:hint="eastAsia"/>
          <w:color w:val="auto"/>
          <w:szCs w:val="21"/>
        </w:rPr>
        <w:t>决或裁决等有关法律文书的</w:t>
      </w:r>
      <w:r>
        <w:rPr>
          <w:rFonts w:hint="eastAsia" w:ascii="宋体" w:hAnsi="宋体"/>
          <w:color w:val="auto"/>
        </w:rPr>
        <w:t>扫描件</w:t>
      </w:r>
      <w:r>
        <w:rPr>
          <w:rFonts w:hint="eastAsia"/>
          <w:color w:val="auto"/>
          <w:szCs w:val="21"/>
        </w:rPr>
        <w:t>。</w:t>
      </w:r>
      <w:r>
        <w:rPr>
          <w:rFonts w:hint="eastAsia" w:ascii="宋体" w:hAnsi="宋体"/>
          <w:color w:val="auto"/>
          <w:szCs w:val="21"/>
        </w:rPr>
        <w:t>具体年份要求见申请（投标人）须知前附表。</w:t>
      </w:r>
    </w:p>
    <w:p w14:paraId="3EA1DCE0">
      <w:pPr>
        <w:spacing w:line="400" w:lineRule="exact"/>
        <w:ind w:left="525" w:leftChars="250" w:firstLine="105" w:firstLineChars="50"/>
        <w:rPr>
          <w:rFonts w:hint="eastAsia" w:ascii="宋体" w:hAnsi="宋体"/>
          <w:color w:val="auto"/>
          <w:szCs w:val="21"/>
        </w:rPr>
      </w:pPr>
      <w:r>
        <w:rPr>
          <w:rFonts w:hint="eastAsia"/>
          <w:color w:val="auto"/>
          <w:szCs w:val="21"/>
        </w:rPr>
        <w:t>2.  投标人应当如实填报</w:t>
      </w:r>
      <w:r>
        <w:rPr>
          <w:rFonts w:hint="eastAsia" w:ascii="宋体" w:hAnsi="宋体"/>
          <w:color w:val="auto"/>
          <w:szCs w:val="21"/>
        </w:rPr>
        <w:t>相关情况</w:t>
      </w:r>
      <w:r>
        <w:rPr>
          <w:rFonts w:hint="eastAsia"/>
          <w:color w:val="auto"/>
          <w:szCs w:val="21"/>
        </w:rPr>
        <w:t>，</w:t>
      </w:r>
      <w:r>
        <w:rPr>
          <w:rFonts w:hint="eastAsia" w:ascii="宋体" w:hAnsi="宋体"/>
          <w:color w:val="auto"/>
          <w:szCs w:val="21"/>
        </w:rPr>
        <w:t>没有相关情况应明确填“无”。</w:t>
      </w:r>
    </w:p>
    <w:p w14:paraId="4F2DA562">
      <w:pPr>
        <w:tabs>
          <w:tab w:val="left" w:pos="5265"/>
        </w:tabs>
        <w:spacing w:line="440" w:lineRule="exact"/>
        <w:ind w:left="945" w:leftChars="300" w:hanging="315" w:hangingChars="150"/>
        <w:rPr>
          <w:rFonts w:hint="eastAsia" w:ascii="黑体" w:hAnsi="宋体" w:eastAsia="黑体"/>
          <w:color w:val="auto"/>
          <w:sz w:val="24"/>
        </w:rPr>
      </w:pPr>
      <w:r>
        <w:rPr>
          <w:rFonts w:ascii="宋体" w:hAnsi="宋体"/>
          <w:color w:val="auto"/>
          <w:szCs w:val="21"/>
        </w:rPr>
        <w:tab/>
      </w:r>
      <w:r>
        <w:rPr>
          <w:rFonts w:ascii="宋体" w:hAnsi="宋体"/>
          <w:color w:val="auto"/>
          <w:szCs w:val="21"/>
        </w:rPr>
        <w:tab/>
      </w:r>
    </w:p>
    <w:p w14:paraId="6F887053">
      <w:pPr>
        <w:pStyle w:val="17"/>
        <w:spacing w:after="0" w:line="400" w:lineRule="atLeast"/>
        <w:ind w:left="0" w:leftChars="0"/>
        <w:jc w:val="center"/>
        <w:rPr>
          <w:rFonts w:hint="eastAsia" w:ascii="黑体" w:hAnsi="宋体" w:eastAsia="黑体"/>
          <w:color w:val="auto"/>
          <w:sz w:val="24"/>
        </w:rPr>
      </w:pPr>
    </w:p>
    <w:p w14:paraId="59CA4E73">
      <w:pPr>
        <w:pStyle w:val="106"/>
        <w:jc w:val="center"/>
        <w:outlineLvl w:val="3"/>
        <w:rPr>
          <w:rFonts w:hint="eastAsia"/>
          <w:color w:val="auto"/>
          <w:szCs w:val="24"/>
        </w:rPr>
      </w:pPr>
      <w:bookmarkStart w:id="2295" w:name="_Toc154064058"/>
      <w:bookmarkStart w:id="2296" w:name="_Toc519085690"/>
      <w:bookmarkStart w:id="2297" w:name="_Toc456555791"/>
      <w:r>
        <w:rPr>
          <w:rFonts w:hint="eastAsia"/>
          <w:b/>
          <w:color w:val="auto"/>
          <w:szCs w:val="24"/>
        </w:rPr>
        <w:t xml:space="preserve">7-3 </w:t>
      </w:r>
      <w:r>
        <w:rPr>
          <w:rFonts w:hint="eastAsia"/>
          <w:color w:val="auto"/>
          <w:szCs w:val="24"/>
        </w:rPr>
        <w:t>近年投标人获工程（设计）质量奖项</w:t>
      </w:r>
      <w:r>
        <w:rPr>
          <w:rFonts w:hint="eastAsia"/>
          <w:color w:val="auto"/>
        </w:rPr>
        <w:t>和获表彰</w:t>
      </w:r>
      <w:r>
        <w:rPr>
          <w:color w:val="auto"/>
          <w:szCs w:val="24"/>
        </w:rPr>
        <w:t>情况表</w:t>
      </w:r>
      <w:bookmarkEnd w:id="2295"/>
      <w:bookmarkEnd w:id="2296"/>
      <w:bookmarkEnd w:id="2297"/>
    </w:p>
    <w:p w14:paraId="1E2B0433">
      <w:pPr>
        <w:pStyle w:val="17"/>
        <w:spacing w:after="0" w:line="400" w:lineRule="atLeast"/>
        <w:ind w:left="0" w:leftChars="0"/>
        <w:jc w:val="center"/>
        <w:rPr>
          <w:rFonts w:hint="eastAsia" w:eastAsia="黑体"/>
          <w:color w:val="auto"/>
          <w:sz w:val="24"/>
        </w:rPr>
      </w:pPr>
    </w:p>
    <w:tbl>
      <w:tblPr>
        <w:tblStyle w:val="41"/>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469"/>
        <w:gridCol w:w="2126"/>
        <w:gridCol w:w="1165"/>
        <w:gridCol w:w="882"/>
        <w:gridCol w:w="2160"/>
      </w:tblGrid>
      <w:tr w14:paraId="46FF1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noWrap w:val="0"/>
            <w:vAlign w:val="top"/>
          </w:tcPr>
          <w:p w14:paraId="5FE7F17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7802" w:type="dxa"/>
            <w:gridSpan w:val="5"/>
            <w:noWrap w:val="0"/>
            <w:vAlign w:val="top"/>
          </w:tcPr>
          <w:p w14:paraId="14B5157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0"/>
              </w:rPr>
              <w:t>近年投标人获工程（设计）质量奖项</w:t>
            </w:r>
            <w:r>
              <w:rPr>
                <w:rFonts w:ascii="Calibri" w:hAnsi="Calibri" w:eastAsia="宋体" w:cs="Times New Roman"/>
                <w:color w:val="auto"/>
                <w:szCs w:val="20"/>
              </w:rPr>
              <w:t>情况</w:t>
            </w:r>
          </w:p>
        </w:tc>
      </w:tr>
      <w:tr w14:paraId="5870A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7DD35E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序号</w:t>
            </w:r>
          </w:p>
        </w:tc>
        <w:tc>
          <w:tcPr>
            <w:tcW w:w="1469" w:type="dxa"/>
            <w:noWrap w:val="0"/>
            <w:vAlign w:val="top"/>
          </w:tcPr>
          <w:p w14:paraId="4C31327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获奖日期</w:t>
            </w:r>
          </w:p>
        </w:tc>
        <w:tc>
          <w:tcPr>
            <w:tcW w:w="2126" w:type="dxa"/>
            <w:noWrap w:val="0"/>
            <w:vAlign w:val="top"/>
          </w:tcPr>
          <w:p w14:paraId="30B732B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项目名称</w:t>
            </w:r>
          </w:p>
        </w:tc>
        <w:tc>
          <w:tcPr>
            <w:tcW w:w="2047" w:type="dxa"/>
            <w:gridSpan w:val="2"/>
            <w:noWrap w:val="0"/>
            <w:vAlign w:val="top"/>
          </w:tcPr>
          <w:p w14:paraId="24CAB68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获奖名称</w:t>
            </w:r>
          </w:p>
        </w:tc>
        <w:tc>
          <w:tcPr>
            <w:tcW w:w="2160" w:type="dxa"/>
            <w:noWrap w:val="0"/>
            <w:vAlign w:val="top"/>
          </w:tcPr>
          <w:p w14:paraId="2020300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颁奖单位</w:t>
            </w:r>
          </w:p>
        </w:tc>
      </w:tr>
      <w:tr w14:paraId="12743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E1ED84B">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1469" w:type="dxa"/>
            <w:noWrap w:val="0"/>
            <w:vAlign w:val="top"/>
          </w:tcPr>
          <w:p w14:paraId="4D44D0C3">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2126" w:type="dxa"/>
            <w:noWrap w:val="0"/>
            <w:vAlign w:val="top"/>
          </w:tcPr>
          <w:p w14:paraId="4E8702D4">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2047" w:type="dxa"/>
            <w:gridSpan w:val="2"/>
            <w:noWrap w:val="0"/>
            <w:vAlign w:val="top"/>
          </w:tcPr>
          <w:p w14:paraId="76F2EE49">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2160" w:type="dxa"/>
            <w:noWrap w:val="0"/>
            <w:vAlign w:val="top"/>
          </w:tcPr>
          <w:p w14:paraId="01063530">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r>
      <w:tr w14:paraId="72692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610307A">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1469" w:type="dxa"/>
            <w:noWrap w:val="0"/>
            <w:vAlign w:val="top"/>
          </w:tcPr>
          <w:p w14:paraId="48CB0C5E">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2126" w:type="dxa"/>
            <w:noWrap w:val="0"/>
            <w:vAlign w:val="top"/>
          </w:tcPr>
          <w:p w14:paraId="7DC3B7B4">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2047" w:type="dxa"/>
            <w:gridSpan w:val="2"/>
            <w:noWrap w:val="0"/>
            <w:vAlign w:val="top"/>
          </w:tcPr>
          <w:p w14:paraId="3AD1D4A0">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2160" w:type="dxa"/>
            <w:noWrap w:val="0"/>
            <w:vAlign w:val="top"/>
          </w:tcPr>
          <w:p w14:paraId="673D41C0">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r>
      <w:tr w14:paraId="34B7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9444A8B">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1469" w:type="dxa"/>
            <w:noWrap w:val="0"/>
            <w:vAlign w:val="top"/>
          </w:tcPr>
          <w:p w14:paraId="7012EEC0">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2126" w:type="dxa"/>
            <w:noWrap w:val="0"/>
            <w:vAlign w:val="top"/>
          </w:tcPr>
          <w:p w14:paraId="00AC22EB">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2047" w:type="dxa"/>
            <w:gridSpan w:val="2"/>
            <w:noWrap w:val="0"/>
            <w:vAlign w:val="top"/>
          </w:tcPr>
          <w:p w14:paraId="6ED39CE3">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2160" w:type="dxa"/>
            <w:noWrap w:val="0"/>
            <w:vAlign w:val="top"/>
          </w:tcPr>
          <w:p w14:paraId="7BF766CA">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r>
      <w:tr w14:paraId="1E9FF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6CF9782">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1469" w:type="dxa"/>
            <w:noWrap w:val="0"/>
            <w:vAlign w:val="top"/>
          </w:tcPr>
          <w:p w14:paraId="28586228">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2126" w:type="dxa"/>
            <w:noWrap w:val="0"/>
            <w:vAlign w:val="top"/>
          </w:tcPr>
          <w:p w14:paraId="6CD269C3">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2047" w:type="dxa"/>
            <w:gridSpan w:val="2"/>
            <w:noWrap w:val="0"/>
            <w:vAlign w:val="top"/>
          </w:tcPr>
          <w:p w14:paraId="2C8B0E8D">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2160" w:type="dxa"/>
            <w:noWrap w:val="0"/>
            <w:vAlign w:val="top"/>
          </w:tcPr>
          <w:p w14:paraId="5E419437">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r>
      <w:tr w14:paraId="08497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D059A3A">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1469" w:type="dxa"/>
            <w:noWrap w:val="0"/>
            <w:vAlign w:val="top"/>
          </w:tcPr>
          <w:p w14:paraId="34BE191B">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2126" w:type="dxa"/>
            <w:noWrap w:val="0"/>
            <w:vAlign w:val="top"/>
          </w:tcPr>
          <w:p w14:paraId="583F55BF">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2047" w:type="dxa"/>
            <w:gridSpan w:val="2"/>
            <w:noWrap w:val="0"/>
            <w:vAlign w:val="top"/>
          </w:tcPr>
          <w:p w14:paraId="6C986EC5">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2160" w:type="dxa"/>
            <w:noWrap w:val="0"/>
            <w:vAlign w:val="top"/>
          </w:tcPr>
          <w:p w14:paraId="7D723E8C">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r>
      <w:tr w14:paraId="17471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0771950">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1469" w:type="dxa"/>
            <w:noWrap w:val="0"/>
            <w:vAlign w:val="top"/>
          </w:tcPr>
          <w:p w14:paraId="43A817C4">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2126" w:type="dxa"/>
            <w:noWrap w:val="0"/>
            <w:vAlign w:val="top"/>
          </w:tcPr>
          <w:p w14:paraId="31F39502">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2047" w:type="dxa"/>
            <w:gridSpan w:val="2"/>
            <w:noWrap w:val="0"/>
            <w:vAlign w:val="top"/>
          </w:tcPr>
          <w:p w14:paraId="57E2E54F">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2160" w:type="dxa"/>
            <w:noWrap w:val="0"/>
            <w:vAlign w:val="top"/>
          </w:tcPr>
          <w:p w14:paraId="3825E7FC">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r>
      <w:tr w14:paraId="27062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1FCE3EB">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7802" w:type="dxa"/>
            <w:gridSpan w:val="5"/>
            <w:noWrap w:val="0"/>
            <w:vAlign w:val="top"/>
          </w:tcPr>
          <w:p w14:paraId="4ED92FC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0"/>
              </w:rPr>
              <w:t>近年投标人获表彰</w:t>
            </w:r>
            <w:r>
              <w:rPr>
                <w:rFonts w:ascii="Calibri" w:hAnsi="Calibri" w:eastAsia="宋体" w:cs="Times New Roman"/>
                <w:color w:val="auto"/>
                <w:szCs w:val="20"/>
              </w:rPr>
              <w:t>情况</w:t>
            </w:r>
          </w:p>
        </w:tc>
      </w:tr>
      <w:tr w14:paraId="4924E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58BA279">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1469" w:type="dxa"/>
            <w:noWrap w:val="0"/>
            <w:vAlign w:val="top"/>
          </w:tcPr>
          <w:p w14:paraId="008E57B2">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获奖日期</w:t>
            </w:r>
          </w:p>
        </w:tc>
        <w:tc>
          <w:tcPr>
            <w:tcW w:w="3291" w:type="dxa"/>
            <w:gridSpan w:val="2"/>
            <w:noWrap w:val="0"/>
            <w:vAlign w:val="top"/>
          </w:tcPr>
          <w:p w14:paraId="31D3A691">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获奖名称</w:t>
            </w:r>
          </w:p>
        </w:tc>
        <w:tc>
          <w:tcPr>
            <w:tcW w:w="3042" w:type="dxa"/>
            <w:gridSpan w:val="2"/>
            <w:noWrap w:val="0"/>
            <w:vAlign w:val="top"/>
          </w:tcPr>
          <w:p w14:paraId="7ACE8BCE">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r>
              <w:rPr>
                <w:rFonts w:hint="eastAsia" w:ascii="Calibri" w:hAnsi="Calibri" w:eastAsia="宋体" w:cs="Times New Roman"/>
                <w:color w:val="auto"/>
                <w:szCs w:val="21"/>
              </w:rPr>
              <w:t>颁奖单位</w:t>
            </w:r>
          </w:p>
        </w:tc>
      </w:tr>
      <w:tr w14:paraId="1B4CB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F69161A">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1469" w:type="dxa"/>
            <w:noWrap w:val="0"/>
            <w:vAlign w:val="top"/>
          </w:tcPr>
          <w:p w14:paraId="2C498A2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3291" w:type="dxa"/>
            <w:gridSpan w:val="2"/>
            <w:noWrap w:val="0"/>
            <w:vAlign w:val="top"/>
          </w:tcPr>
          <w:p w14:paraId="133C1CA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3042" w:type="dxa"/>
            <w:gridSpan w:val="2"/>
            <w:noWrap w:val="0"/>
            <w:vAlign w:val="top"/>
          </w:tcPr>
          <w:p w14:paraId="5F72D6C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194AB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D7E8DC8">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1469" w:type="dxa"/>
            <w:noWrap w:val="0"/>
            <w:vAlign w:val="top"/>
          </w:tcPr>
          <w:p w14:paraId="6E17271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3291" w:type="dxa"/>
            <w:gridSpan w:val="2"/>
            <w:noWrap w:val="0"/>
            <w:vAlign w:val="top"/>
          </w:tcPr>
          <w:p w14:paraId="19325A9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3042" w:type="dxa"/>
            <w:gridSpan w:val="2"/>
            <w:noWrap w:val="0"/>
            <w:vAlign w:val="top"/>
          </w:tcPr>
          <w:p w14:paraId="32BA3F5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4F748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2C5E3DC">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1469" w:type="dxa"/>
            <w:noWrap w:val="0"/>
            <w:vAlign w:val="top"/>
          </w:tcPr>
          <w:p w14:paraId="7819937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3291" w:type="dxa"/>
            <w:gridSpan w:val="2"/>
            <w:noWrap w:val="0"/>
            <w:vAlign w:val="top"/>
          </w:tcPr>
          <w:p w14:paraId="79A62AE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3042" w:type="dxa"/>
            <w:gridSpan w:val="2"/>
            <w:noWrap w:val="0"/>
            <w:vAlign w:val="top"/>
          </w:tcPr>
          <w:p w14:paraId="36803CE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r w14:paraId="6D7B2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5EC9566">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color w:val="auto"/>
                <w:szCs w:val="21"/>
              </w:rPr>
            </w:pPr>
          </w:p>
        </w:tc>
        <w:tc>
          <w:tcPr>
            <w:tcW w:w="1469" w:type="dxa"/>
            <w:noWrap w:val="0"/>
            <w:vAlign w:val="top"/>
          </w:tcPr>
          <w:p w14:paraId="3BBF3D0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3291" w:type="dxa"/>
            <w:gridSpan w:val="2"/>
            <w:noWrap w:val="0"/>
            <w:vAlign w:val="top"/>
          </w:tcPr>
          <w:p w14:paraId="68FD7AE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c>
          <w:tcPr>
            <w:tcW w:w="3042" w:type="dxa"/>
            <w:gridSpan w:val="2"/>
            <w:noWrap w:val="0"/>
            <w:vAlign w:val="top"/>
          </w:tcPr>
          <w:p w14:paraId="7B00B4C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color w:val="auto"/>
                <w:szCs w:val="21"/>
              </w:rPr>
            </w:pPr>
          </w:p>
        </w:tc>
      </w:tr>
    </w:tbl>
    <w:p w14:paraId="42FCC68E">
      <w:pPr>
        <w:spacing w:line="400" w:lineRule="atLeast"/>
        <w:rPr>
          <w:rFonts w:hint="eastAsia"/>
          <w:color w:val="auto"/>
        </w:rPr>
      </w:pPr>
    </w:p>
    <w:p w14:paraId="13AA669A">
      <w:pPr>
        <w:spacing w:line="400" w:lineRule="atLeast"/>
        <w:ind w:left="945" w:hanging="945" w:hangingChars="450"/>
        <w:rPr>
          <w:rFonts w:ascii="宋体" w:hAnsi="宋体"/>
          <w:color w:val="auto"/>
          <w:szCs w:val="21"/>
        </w:rPr>
      </w:pPr>
      <w:r>
        <w:rPr>
          <w:rFonts w:hint="eastAsia"/>
          <w:color w:val="auto"/>
        </w:rPr>
        <w:t>备</w:t>
      </w:r>
      <w:r>
        <w:rPr>
          <w:color w:val="auto"/>
        </w:rPr>
        <w:t>注：</w:t>
      </w:r>
    </w:p>
    <w:p w14:paraId="5649D707">
      <w:pPr>
        <w:spacing w:line="400" w:lineRule="exact"/>
        <w:ind w:left="210" w:hanging="210" w:hangingChars="100"/>
        <w:rPr>
          <w:rFonts w:hint="eastAsia"/>
          <w:color w:val="auto"/>
        </w:rPr>
      </w:pPr>
      <w:r>
        <w:rPr>
          <w:rFonts w:hint="eastAsia"/>
          <w:color w:val="auto"/>
        </w:rPr>
        <w:t>1.“获工程质量奖项</w:t>
      </w:r>
      <w:r>
        <w:rPr>
          <w:color w:val="auto"/>
        </w:rPr>
        <w:t>情况”</w:t>
      </w:r>
      <w:r>
        <w:rPr>
          <w:rFonts w:hint="eastAsia"/>
          <w:color w:val="auto"/>
        </w:rPr>
        <w:t>的证明资料应附</w:t>
      </w:r>
      <w:r>
        <w:rPr>
          <w:color w:val="auto"/>
        </w:rPr>
        <w:t>中标通知书</w:t>
      </w:r>
      <w:r>
        <w:rPr>
          <w:rFonts w:hint="eastAsia"/>
          <w:color w:val="auto"/>
        </w:rPr>
        <w:t>（如有）、</w:t>
      </w:r>
      <w:r>
        <w:rPr>
          <w:color w:val="auto"/>
        </w:rPr>
        <w:t>合同协议书、</w:t>
      </w:r>
      <w:r>
        <w:rPr>
          <w:rFonts w:hint="eastAsia"/>
          <w:color w:val="auto"/>
        </w:rPr>
        <w:t>工程接收证书或工程竣工验收证书（工程竣工验收备案证）、颁奖机构颁发的获奖证书或表彰文件及其他证明材料等扫描件。“获设计质量奖项</w:t>
      </w:r>
      <w:r>
        <w:rPr>
          <w:color w:val="auto"/>
        </w:rPr>
        <w:t>情况”</w:t>
      </w:r>
      <w:r>
        <w:rPr>
          <w:rFonts w:hint="eastAsia"/>
          <w:color w:val="auto"/>
        </w:rPr>
        <w:t>的证明资料应附</w:t>
      </w:r>
      <w:r>
        <w:rPr>
          <w:color w:val="auto"/>
        </w:rPr>
        <w:t>中标通知书</w:t>
      </w:r>
      <w:r>
        <w:rPr>
          <w:rFonts w:hint="eastAsia"/>
          <w:color w:val="auto"/>
        </w:rPr>
        <w:t>（如有）、</w:t>
      </w:r>
      <w:r>
        <w:rPr>
          <w:color w:val="auto"/>
        </w:rPr>
        <w:t>合同协议书</w:t>
      </w:r>
      <w:r>
        <w:rPr>
          <w:rFonts w:hint="eastAsia"/>
          <w:color w:val="auto"/>
        </w:rPr>
        <w:t>、颁奖机构颁发的获奖证书或表彰文件及其他证明材料等扫描件。</w:t>
      </w:r>
    </w:p>
    <w:p w14:paraId="2DFE72F1">
      <w:pPr>
        <w:spacing w:line="440" w:lineRule="exact"/>
        <w:rPr>
          <w:rFonts w:ascii="宋体" w:hAnsi="宋体"/>
          <w:color w:val="auto"/>
          <w:szCs w:val="21"/>
        </w:rPr>
      </w:pPr>
      <w:r>
        <w:rPr>
          <w:rFonts w:hint="eastAsia"/>
          <w:color w:val="auto"/>
        </w:rPr>
        <w:t>2</w:t>
      </w:r>
      <w:r>
        <w:rPr>
          <w:rFonts w:hint="eastAsia" w:ascii="宋体" w:hAnsi="宋体"/>
          <w:color w:val="auto"/>
          <w:szCs w:val="21"/>
        </w:rPr>
        <w:t>.“获表彰情况”</w:t>
      </w:r>
      <w:r>
        <w:rPr>
          <w:rFonts w:hint="eastAsia" w:ascii="宋体" w:hAnsi="宋体"/>
          <w:color w:val="auto"/>
        </w:rPr>
        <w:t>的证明资料应附</w:t>
      </w:r>
      <w:r>
        <w:rPr>
          <w:rFonts w:hint="eastAsia"/>
          <w:color w:val="auto"/>
        </w:rPr>
        <w:t>颁奖机构颁发的表彰证书或表彰文件</w:t>
      </w:r>
      <w:r>
        <w:rPr>
          <w:rFonts w:hint="eastAsia" w:ascii="宋体" w:hAnsi="宋体"/>
          <w:color w:val="auto"/>
          <w:szCs w:val="21"/>
        </w:rPr>
        <w:t>的</w:t>
      </w:r>
      <w:r>
        <w:rPr>
          <w:rFonts w:hint="eastAsia" w:ascii="宋体" w:hAnsi="宋体"/>
          <w:color w:val="auto"/>
        </w:rPr>
        <w:t>扫描件</w:t>
      </w:r>
      <w:r>
        <w:rPr>
          <w:rFonts w:hint="eastAsia"/>
          <w:color w:val="auto"/>
        </w:rPr>
        <w:t>。</w:t>
      </w:r>
    </w:p>
    <w:p w14:paraId="47BA24E8">
      <w:pPr>
        <w:spacing w:line="400" w:lineRule="exact"/>
        <w:rPr>
          <w:rFonts w:hint="eastAsia" w:ascii="宋体" w:hAnsi="宋体"/>
          <w:color w:val="auto"/>
        </w:rPr>
      </w:pPr>
    </w:p>
    <w:p w14:paraId="6D54D81D">
      <w:pPr>
        <w:pStyle w:val="83"/>
        <w:spacing w:before="63"/>
        <w:rPr>
          <w:rFonts w:hint="eastAsia"/>
          <w:color w:val="auto"/>
          <w:sz w:val="28"/>
          <w:szCs w:val="28"/>
        </w:rPr>
      </w:pPr>
      <w:bookmarkStart w:id="2298" w:name="_Toc519085637"/>
      <w:bookmarkStart w:id="2299" w:name="_Toc144974863"/>
      <w:bookmarkStart w:id="2300" w:name="_Toc1503"/>
      <w:bookmarkStart w:id="2301" w:name="_Toc247527835"/>
      <w:bookmarkStart w:id="2302" w:name="_Toc247514287"/>
      <w:bookmarkStart w:id="2303" w:name="_Toc16020"/>
      <w:bookmarkStart w:id="2304" w:name="_Toc28474"/>
      <w:bookmarkStart w:id="2305" w:name="_Toc152045795"/>
      <w:bookmarkStart w:id="2306" w:name="_Toc32415"/>
      <w:bookmarkStart w:id="2307" w:name="_Toc152042584"/>
      <w:bookmarkStart w:id="2308" w:name="_Toc154064059"/>
      <w:r>
        <w:rPr>
          <w:rFonts w:hint="eastAsia"/>
          <w:color w:val="auto"/>
          <w:sz w:val="28"/>
          <w:szCs w:val="28"/>
        </w:rPr>
        <w:t>九</w:t>
      </w:r>
      <w:r>
        <w:rPr>
          <w:color w:val="auto"/>
          <w:sz w:val="28"/>
          <w:szCs w:val="28"/>
        </w:rPr>
        <w:t>、</w:t>
      </w:r>
      <w:r>
        <w:rPr>
          <w:rFonts w:hint="eastAsia"/>
          <w:color w:val="auto"/>
          <w:sz w:val="28"/>
          <w:szCs w:val="28"/>
        </w:rPr>
        <w:t>价格清单</w:t>
      </w:r>
      <w:bookmarkEnd w:id="2298"/>
      <w:bookmarkEnd w:id="2299"/>
      <w:bookmarkEnd w:id="2300"/>
      <w:bookmarkEnd w:id="2301"/>
      <w:bookmarkEnd w:id="2302"/>
      <w:bookmarkEnd w:id="2303"/>
      <w:bookmarkEnd w:id="2304"/>
      <w:bookmarkEnd w:id="2305"/>
      <w:bookmarkEnd w:id="2306"/>
      <w:bookmarkEnd w:id="2307"/>
      <w:bookmarkEnd w:id="2308"/>
    </w:p>
    <w:p w14:paraId="18077512">
      <w:pPr>
        <w:rPr>
          <w:rFonts w:hint="eastAsia"/>
          <w:color w:val="auto"/>
        </w:rPr>
      </w:pPr>
      <w:bookmarkStart w:id="2309" w:name="_Toc519085638"/>
    </w:p>
    <w:p w14:paraId="1BDAE826">
      <w:pPr>
        <w:pStyle w:val="3"/>
        <w:spacing w:before="63"/>
        <w:jc w:val="center"/>
        <w:rPr>
          <w:color w:val="auto"/>
        </w:rPr>
      </w:pPr>
      <w:bookmarkStart w:id="2310" w:name="_Toc19158"/>
      <w:bookmarkStart w:id="2311" w:name="_Toc154064060"/>
      <w:r>
        <w:rPr>
          <w:rFonts w:hint="eastAsia"/>
          <w:color w:val="auto"/>
        </w:rPr>
        <w:t>（一）价格清单说明</w:t>
      </w:r>
      <w:bookmarkEnd w:id="2309"/>
      <w:bookmarkEnd w:id="2310"/>
      <w:bookmarkEnd w:id="2311"/>
    </w:p>
    <w:p w14:paraId="1F67E4C3">
      <w:pPr>
        <w:spacing w:line="440" w:lineRule="exact"/>
        <w:ind w:firstLine="420" w:firstLineChars="200"/>
        <w:rPr>
          <w:color w:val="auto"/>
          <w:szCs w:val="21"/>
        </w:rPr>
      </w:pPr>
      <w:r>
        <w:rPr>
          <w:rFonts w:hint="eastAsia"/>
          <w:color w:val="auto"/>
          <w:szCs w:val="21"/>
        </w:rPr>
        <w:t>1.</w:t>
      </w:r>
      <w:r>
        <w:rPr>
          <w:color w:val="auto"/>
          <w:szCs w:val="21"/>
        </w:rPr>
        <w:t>1</w:t>
      </w:r>
      <w:r>
        <w:rPr>
          <w:rFonts w:hint="eastAsia"/>
          <w:color w:val="auto"/>
          <w:szCs w:val="21"/>
        </w:rPr>
        <w:t xml:space="preserve"> 价格清单列出的任何数量，不视为要求承包人实施的工程的实际或准确的工作量。在价格清单中列出的任何工作量和价格数据应仅限用于合同约定的变更和支付的参考资料，而不能用于其他目的。</w:t>
      </w:r>
    </w:p>
    <w:p w14:paraId="6840865B">
      <w:pPr>
        <w:spacing w:line="440" w:lineRule="exact"/>
        <w:ind w:firstLine="420" w:firstLineChars="200"/>
        <w:rPr>
          <w:rFonts w:hint="eastAsia"/>
          <w:color w:val="auto"/>
          <w:szCs w:val="21"/>
        </w:rPr>
      </w:pPr>
      <w:r>
        <w:rPr>
          <w:rFonts w:hint="eastAsia"/>
          <w:color w:val="auto"/>
          <w:szCs w:val="21"/>
        </w:rPr>
        <w:t>1.</w:t>
      </w:r>
      <w:r>
        <w:rPr>
          <w:color w:val="auto"/>
          <w:szCs w:val="21"/>
        </w:rPr>
        <w:t>2</w:t>
      </w:r>
      <w:r>
        <w:rPr>
          <w:rFonts w:hint="eastAsia"/>
          <w:color w:val="auto"/>
          <w:szCs w:val="21"/>
        </w:rPr>
        <w:t xml:space="preserve"> 本价格清单应与</w:t>
      </w:r>
      <w:r>
        <w:rPr>
          <w:color w:val="auto"/>
          <w:szCs w:val="21"/>
        </w:rPr>
        <w:t>招标文件中投标人须知、</w:t>
      </w:r>
      <w:r>
        <w:rPr>
          <w:rFonts w:hint="eastAsia"/>
          <w:color w:val="auto"/>
          <w:szCs w:val="21"/>
        </w:rPr>
        <w:t>专用</w:t>
      </w:r>
      <w:r>
        <w:rPr>
          <w:color w:val="auto"/>
          <w:szCs w:val="21"/>
        </w:rPr>
        <w:t>合同条款、</w:t>
      </w:r>
      <w:r>
        <w:rPr>
          <w:rFonts w:hint="eastAsia"/>
          <w:color w:val="auto"/>
          <w:szCs w:val="21"/>
        </w:rPr>
        <w:t>通用合同条款、发包人要求等一起阅读和理解。</w:t>
      </w:r>
    </w:p>
    <w:p w14:paraId="38522F98">
      <w:pPr>
        <w:spacing w:line="440" w:lineRule="exact"/>
        <w:ind w:firstLine="420" w:firstLineChars="200"/>
        <w:rPr>
          <w:rFonts w:hint="eastAsia"/>
          <w:color w:val="auto"/>
          <w:szCs w:val="21"/>
        </w:rPr>
      </w:pPr>
      <w:r>
        <w:rPr>
          <w:rFonts w:hint="eastAsia"/>
          <w:color w:val="auto"/>
          <w:szCs w:val="21"/>
        </w:rPr>
        <w:t>1.3 设计</w:t>
      </w:r>
      <w:r>
        <w:rPr>
          <w:color w:val="auto"/>
          <w:szCs w:val="21"/>
        </w:rPr>
        <w:t>费</w:t>
      </w:r>
      <w:r>
        <w:rPr>
          <w:rFonts w:hint="eastAsia"/>
          <w:color w:val="auto"/>
          <w:szCs w:val="21"/>
        </w:rPr>
        <w:t>的说明：</w:t>
      </w:r>
      <w:r>
        <w:rPr>
          <w:rFonts w:hint="eastAsia"/>
          <w:color w:val="auto"/>
          <w:szCs w:val="21"/>
          <w:u w:val="single"/>
        </w:rPr>
        <w:t xml:space="preserve">                                  </w:t>
      </w:r>
      <w:r>
        <w:rPr>
          <w:rFonts w:hint="eastAsia"/>
          <w:color w:val="auto"/>
          <w:szCs w:val="21"/>
        </w:rPr>
        <w:t>。（A）</w:t>
      </w:r>
    </w:p>
    <w:p w14:paraId="02C1AA96">
      <w:pPr>
        <w:spacing w:line="440" w:lineRule="exact"/>
        <w:ind w:firstLine="420" w:firstLineChars="200"/>
        <w:rPr>
          <w:rFonts w:hint="eastAsia"/>
          <w:color w:val="auto"/>
          <w:szCs w:val="21"/>
        </w:rPr>
      </w:pPr>
      <w:r>
        <w:rPr>
          <w:rFonts w:hint="eastAsia"/>
          <w:color w:val="auto"/>
          <w:szCs w:val="21"/>
        </w:rPr>
        <w:t>1.3 勘察设计</w:t>
      </w:r>
      <w:r>
        <w:rPr>
          <w:color w:val="auto"/>
          <w:szCs w:val="21"/>
        </w:rPr>
        <w:t>费</w:t>
      </w:r>
      <w:r>
        <w:rPr>
          <w:rFonts w:hint="eastAsia"/>
          <w:color w:val="auto"/>
          <w:szCs w:val="21"/>
        </w:rPr>
        <w:t>的说明：</w:t>
      </w:r>
      <w:r>
        <w:rPr>
          <w:rFonts w:hint="eastAsia"/>
          <w:color w:val="auto"/>
          <w:szCs w:val="21"/>
          <w:u w:val="single"/>
        </w:rPr>
        <w:t xml:space="preserve">                              </w:t>
      </w:r>
      <w:r>
        <w:rPr>
          <w:rFonts w:hint="eastAsia"/>
          <w:color w:val="auto"/>
          <w:szCs w:val="21"/>
        </w:rPr>
        <w:t>。（B）</w:t>
      </w:r>
    </w:p>
    <w:p w14:paraId="02C8FDE1">
      <w:pPr>
        <w:spacing w:line="440" w:lineRule="exact"/>
        <w:ind w:firstLine="420" w:firstLineChars="200"/>
        <w:rPr>
          <w:rFonts w:hint="eastAsia"/>
          <w:color w:val="auto"/>
          <w:szCs w:val="21"/>
        </w:rPr>
      </w:pPr>
      <w:r>
        <w:rPr>
          <w:rFonts w:hint="eastAsia"/>
          <w:color w:val="auto"/>
          <w:szCs w:val="21"/>
        </w:rPr>
        <w:t xml:space="preserve">1.4 </w:t>
      </w:r>
      <w:r>
        <w:rPr>
          <w:color w:val="auto"/>
          <w:szCs w:val="21"/>
        </w:rPr>
        <w:t>工程设备</w:t>
      </w:r>
      <w:r>
        <w:rPr>
          <w:rFonts w:hint="eastAsia"/>
          <w:color w:val="auto"/>
          <w:szCs w:val="21"/>
        </w:rPr>
        <w:t>费的说明：</w:t>
      </w:r>
      <w:r>
        <w:rPr>
          <w:rFonts w:hint="eastAsia"/>
          <w:color w:val="auto"/>
          <w:szCs w:val="21"/>
          <w:u w:val="single"/>
        </w:rPr>
        <w:t xml:space="preserve">                              </w:t>
      </w:r>
      <w:r>
        <w:rPr>
          <w:rFonts w:hint="eastAsia"/>
          <w:color w:val="auto"/>
          <w:szCs w:val="21"/>
        </w:rPr>
        <w:t>。</w:t>
      </w:r>
    </w:p>
    <w:p w14:paraId="113A24D6">
      <w:pPr>
        <w:spacing w:line="440" w:lineRule="exact"/>
        <w:ind w:firstLine="420" w:firstLineChars="200"/>
        <w:rPr>
          <w:rFonts w:hint="eastAsia"/>
          <w:color w:val="auto"/>
          <w:szCs w:val="21"/>
        </w:rPr>
      </w:pPr>
      <w:r>
        <w:rPr>
          <w:rFonts w:hint="eastAsia"/>
          <w:color w:val="auto"/>
          <w:szCs w:val="21"/>
        </w:rPr>
        <w:t>1.5 必备的备品备件费的说明：</w:t>
      </w:r>
      <w:r>
        <w:rPr>
          <w:rFonts w:hint="eastAsia"/>
          <w:color w:val="auto"/>
          <w:szCs w:val="21"/>
          <w:u w:val="single"/>
        </w:rPr>
        <w:t xml:space="preserve">                        </w:t>
      </w:r>
      <w:r>
        <w:rPr>
          <w:rFonts w:hint="eastAsia"/>
          <w:color w:val="auto"/>
          <w:szCs w:val="21"/>
        </w:rPr>
        <w:t>。</w:t>
      </w:r>
    </w:p>
    <w:p w14:paraId="46365269">
      <w:pPr>
        <w:spacing w:line="440" w:lineRule="exact"/>
        <w:ind w:firstLine="420" w:firstLineChars="200"/>
        <w:rPr>
          <w:rFonts w:hint="eastAsia"/>
          <w:color w:val="auto"/>
          <w:szCs w:val="21"/>
        </w:rPr>
      </w:pPr>
      <w:r>
        <w:rPr>
          <w:rFonts w:hint="eastAsia"/>
          <w:color w:val="auto"/>
          <w:szCs w:val="21"/>
        </w:rPr>
        <w:t>1.6 建筑</w:t>
      </w:r>
      <w:r>
        <w:rPr>
          <w:color w:val="auto"/>
          <w:szCs w:val="21"/>
        </w:rPr>
        <w:t>安装工程费</w:t>
      </w:r>
      <w:r>
        <w:rPr>
          <w:rFonts w:hint="eastAsia"/>
          <w:color w:val="auto"/>
          <w:szCs w:val="21"/>
        </w:rPr>
        <w:t>的说明：</w:t>
      </w:r>
      <w:r>
        <w:rPr>
          <w:rFonts w:hint="eastAsia"/>
          <w:color w:val="auto"/>
          <w:szCs w:val="21"/>
          <w:u w:val="single"/>
        </w:rPr>
        <w:t xml:space="preserve">                          </w:t>
      </w:r>
      <w:r>
        <w:rPr>
          <w:rFonts w:hint="eastAsia"/>
          <w:color w:val="auto"/>
          <w:szCs w:val="21"/>
        </w:rPr>
        <w:t>。</w:t>
      </w:r>
    </w:p>
    <w:p w14:paraId="64B4F520">
      <w:pPr>
        <w:spacing w:line="440" w:lineRule="exact"/>
        <w:ind w:firstLine="420" w:firstLineChars="200"/>
        <w:rPr>
          <w:rFonts w:hint="eastAsia"/>
          <w:color w:val="auto"/>
          <w:szCs w:val="21"/>
        </w:rPr>
      </w:pPr>
      <w:r>
        <w:rPr>
          <w:rFonts w:hint="eastAsia"/>
          <w:color w:val="auto"/>
          <w:szCs w:val="21"/>
        </w:rPr>
        <w:t>1.7 技术服务</w:t>
      </w:r>
      <w:r>
        <w:rPr>
          <w:color w:val="auto"/>
          <w:szCs w:val="21"/>
        </w:rPr>
        <w:t>费</w:t>
      </w:r>
      <w:r>
        <w:rPr>
          <w:rFonts w:hint="eastAsia"/>
          <w:color w:val="auto"/>
          <w:szCs w:val="21"/>
        </w:rPr>
        <w:t>的说明：</w:t>
      </w:r>
      <w:r>
        <w:rPr>
          <w:rFonts w:hint="eastAsia"/>
          <w:color w:val="auto"/>
          <w:szCs w:val="21"/>
          <w:u w:val="single"/>
        </w:rPr>
        <w:t xml:space="preserve">                              </w:t>
      </w:r>
      <w:r>
        <w:rPr>
          <w:rFonts w:hint="eastAsia"/>
          <w:color w:val="auto"/>
          <w:szCs w:val="21"/>
        </w:rPr>
        <w:t>。</w:t>
      </w:r>
    </w:p>
    <w:p w14:paraId="17974987">
      <w:pPr>
        <w:spacing w:line="440" w:lineRule="exact"/>
        <w:ind w:firstLine="420" w:firstLineChars="200"/>
        <w:rPr>
          <w:rFonts w:hint="eastAsia"/>
          <w:color w:val="auto"/>
          <w:szCs w:val="21"/>
        </w:rPr>
      </w:pPr>
      <w:r>
        <w:rPr>
          <w:rFonts w:hint="eastAsia"/>
          <w:color w:val="auto"/>
          <w:szCs w:val="21"/>
        </w:rPr>
        <w:t xml:space="preserve">1.8 </w:t>
      </w:r>
      <w:r>
        <w:rPr>
          <w:color w:val="auto"/>
          <w:szCs w:val="21"/>
        </w:rPr>
        <w:t>暂列金额</w:t>
      </w:r>
      <w:r>
        <w:rPr>
          <w:rFonts w:hint="eastAsia"/>
          <w:color w:val="auto"/>
          <w:szCs w:val="21"/>
        </w:rPr>
        <w:t>的说明：</w:t>
      </w:r>
      <w:r>
        <w:rPr>
          <w:rFonts w:hint="eastAsia"/>
          <w:color w:val="auto"/>
          <w:szCs w:val="21"/>
          <w:u w:val="single"/>
        </w:rPr>
        <w:t xml:space="preserve">                                </w:t>
      </w:r>
      <w:r>
        <w:rPr>
          <w:rFonts w:hint="eastAsia"/>
          <w:color w:val="auto"/>
          <w:szCs w:val="21"/>
        </w:rPr>
        <w:t>。</w:t>
      </w:r>
    </w:p>
    <w:p w14:paraId="5F12F939">
      <w:pPr>
        <w:spacing w:line="440" w:lineRule="exact"/>
        <w:ind w:firstLine="420" w:firstLineChars="200"/>
        <w:rPr>
          <w:rFonts w:hint="eastAsia"/>
          <w:color w:val="auto"/>
          <w:szCs w:val="21"/>
        </w:rPr>
      </w:pPr>
      <w:r>
        <w:rPr>
          <w:rFonts w:hint="eastAsia"/>
          <w:color w:val="auto"/>
          <w:szCs w:val="21"/>
        </w:rPr>
        <w:t>1.9 暂估价的说明：由招标人列明并应包含在投标报价汇总表中。</w:t>
      </w:r>
    </w:p>
    <w:p w14:paraId="0A3005F0">
      <w:pPr>
        <w:spacing w:line="440" w:lineRule="exact"/>
        <w:ind w:firstLine="420" w:firstLineChars="200"/>
        <w:rPr>
          <w:rFonts w:hint="eastAsia"/>
          <w:color w:val="auto"/>
          <w:szCs w:val="21"/>
        </w:rPr>
      </w:pPr>
      <w:r>
        <w:rPr>
          <w:rFonts w:hint="eastAsia"/>
          <w:color w:val="auto"/>
          <w:szCs w:val="21"/>
        </w:rPr>
        <w:t xml:space="preserve">1.10 </w:t>
      </w:r>
      <w:r>
        <w:rPr>
          <w:color w:val="auto"/>
          <w:szCs w:val="21"/>
        </w:rPr>
        <w:t>其它费用</w:t>
      </w:r>
      <w:r>
        <w:rPr>
          <w:rFonts w:hint="eastAsia"/>
          <w:color w:val="auto"/>
          <w:szCs w:val="21"/>
        </w:rPr>
        <w:t>的说明</w:t>
      </w:r>
      <w:r>
        <w:rPr>
          <w:color w:val="auto"/>
          <w:szCs w:val="21"/>
        </w:rPr>
        <w:t>：</w:t>
      </w:r>
      <w:r>
        <w:rPr>
          <w:rFonts w:hint="eastAsia"/>
          <w:color w:val="auto"/>
          <w:szCs w:val="21"/>
          <w:u w:val="single"/>
        </w:rPr>
        <w:t xml:space="preserve">                               </w:t>
      </w:r>
      <w:r>
        <w:rPr>
          <w:rFonts w:hint="eastAsia"/>
          <w:color w:val="auto"/>
          <w:szCs w:val="21"/>
        </w:rPr>
        <w:t>。</w:t>
      </w:r>
    </w:p>
    <w:p w14:paraId="5E418A2C">
      <w:pPr>
        <w:spacing w:line="440" w:lineRule="exact"/>
        <w:ind w:firstLine="420" w:firstLineChars="200"/>
        <w:rPr>
          <w:rFonts w:hint="eastAsia"/>
          <w:color w:val="auto"/>
          <w:szCs w:val="21"/>
        </w:rPr>
      </w:pPr>
    </w:p>
    <w:p w14:paraId="1BF99065">
      <w:pPr>
        <w:spacing w:line="440" w:lineRule="exact"/>
        <w:ind w:firstLine="420" w:firstLineChars="200"/>
        <w:rPr>
          <w:rFonts w:hint="eastAsia"/>
          <w:color w:val="auto"/>
          <w:szCs w:val="21"/>
        </w:rPr>
      </w:pPr>
    </w:p>
    <w:p w14:paraId="46266DED">
      <w:pPr>
        <w:spacing w:line="440" w:lineRule="exact"/>
        <w:ind w:firstLine="420" w:firstLineChars="200"/>
        <w:rPr>
          <w:rFonts w:hint="eastAsia"/>
          <w:color w:val="auto"/>
          <w:szCs w:val="21"/>
        </w:rPr>
      </w:pPr>
    </w:p>
    <w:p w14:paraId="45CADBB1">
      <w:pPr>
        <w:spacing w:line="440" w:lineRule="exact"/>
        <w:ind w:firstLine="420" w:firstLineChars="200"/>
        <w:rPr>
          <w:rFonts w:hint="eastAsia"/>
          <w:color w:val="auto"/>
          <w:szCs w:val="21"/>
        </w:rPr>
      </w:pPr>
    </w:p>
    <w:p w14:paraId="69450185">
      <w:pPr>
        <w:spacing w:line="440" w:lineRule="exact"/>
        <w:ind w:firstLine="420" w:firstLineChars="200"/>
        <w:rPr>
          <w:rFonts w:hint="eastAsia"/>
          <w:color w:val="auto"/>
          <w:szCs w:val="21"/>
        </w:rPr>
      </w:pPr>
    </w:p>
    <w:p w14:paraId="2DD81BC2">
      <w:pPr>
        <w:spacing w:line="440" w:lineRule="exact"/>
        <w:ind w:firstLine="420" w:firstLineChars="200"/>
        <w:rPr>
          <w:rFonts w:hint="eastAsia"/>
          <w:color w:val="auto"/>
          <w:szCs w:val="21"/>
        </w:rPr>
      </w:pPr>
    </w:p>
    <w:p w14:paraId="7E7B8C48">
      <w:pPr>
        <w:spacing w:line="440" w:lineRule="exact"/>
        <w:ind w:firstLine="420" w:firstLineChars="200"/>
        <w:rPr>
          <w:rFonts w:hint="eastAsia"/>
          <w:color w:val="auto"/>
          <w:szCs w:val="21"/>
        </w:rPr>
      </w:pPr>
    </w:p>
    <w:p w14:paraId="5DED4B54">
      <w:pPr>
        <w:spacing w:line="440" w:lineRule="exact"/>
        <w:ind w:firstLine="420" w:firstLineChars="200"/>
        <w:rPr>
          <w:rFonts w:hint="eastAsia"/>
          <w:color w:val="auto"/>
          <w:szCs w:val="21"/>
        </w:rPr>
      </w:pPr>
    </w:p>
    <w:p w14:paraId="241A00B2">
      <w:pPr>
        <w:spacing w:line="440" w:lineRule="exact"/>
        <w:ind w:firstLine="420" w:firstLineChars="200"/>
        <w:rPr>
          <w:rFonts w:hint="eastAsia"/>
          <w:color w:val="auto"/>
          <w:szCs w:val="21"/>
        </w:rPr>
      </w:pPr>
    </w:p>
    <w:p w14:paraId="03E86ED1">
      <w:pPr>
        <w:spacing w:line="440" w:lineRule="exact"/>
        <w:ind w:firstLine="420" w:firstLineChars="200"/>
        <w:rPr>
          <w:rFonts w:hint="eastAsia"/>
          <w:color w:val="auto"/>
          <w:szCs w:val="21"/>
        </w:rPr>
      </w:pPr>
    </w:p>
    <w:p w14:paraId="7DE49E1C">
      <w:pPr>
        <w:spacing w:line="440" w:lineRule="exact"/>
        <w:ind w:firstLine="420" w:firstLineChars="200"/>
        <w:rPr>
          <w:rFonts w:hint="eastAsia"/>
          <w:color w:val="auto"/>
          <w:szCs w:val="21"/>
        </w:rPr>
      </w:pPr>
    </w:p>
    <w:p w14:paraId="2FC33CDD">
      <w:pPr>
        <w:spacing w:line="440" w:lineRule="exact"/>
        <w:ind w:firstLine="420" w:firstLineChars="200"/>
        <w:rPr>
          <w:rFonts w:hint="eastAsia"/>
          <w:color w:val="auto"/>
          <w:szCs w:val="21"/>
        </w:rPr>
      </w:pPr>
    </w:p>
    <w:p w14:paraId="0ADDA757">
      <w:pPr>
        <w:spacing w:line="440" w:lineRule="exact"/>
        <w:ind w:firstLine="420" w:firstLineChars="200"/>
        <w:rPr>
          <w:rFonts w:hint="eastAsia"/>
          <w:color w:val="auto"/>
          <w:szCs w:val="21"/>
        </w:rPr>
      </w:pPr>
    </w:p>
    <w:p w14:paraId="01385C73">
      <w:pPr>
        <w:spacing w:line="440" w:lineRule="exact"/>
        <w:ind w:firstLine="420" w:firstLineChars="200"/>
        <w:rPr>
          <w:rFonts w:hint="eastAsia"/>
          <w:color w:val="auto"/>
          <w:szCs w:val="21"/>
        </w:rPr>
      </w:pPr>
    </w:p>
    <w:p w14:paraId="25F3D9FC">
      <w:pPr>
        <w:pStyle w:val="3"/>
        <w:spacing w:before="63"/>
        <w:jc w:val="center"/>
        <w:rPr>
          <w:rFonts w:hint="eastAsia"/>
          <w:color w:val="auto"/>
        </w:rPr>
      </w:pPr>
      <w:bookmarkStart w:id="2312" w:name="_Toc154064061"/>
      <w:bookmarkStart w:id="2313" w:name="_Toc18569"/>
      <w:bookmarkStart w:id="2314" w:name="_Toc519085639"/>
      <w:r>
        <w:rPr>
          <w:rFonts w:hint="eastAsia"/>
          <w:color w:val="auto"/>
        </w:rPr>
        <w:t>（二）价格清单</w:t>
      </w:r>
      <w:bookmarkEnd w:id="2312"/>
      <w:bookmarkEnd w:id="2313"/>
      <w:bookmarkEnd w:id="2314"/>
    </w:p>
    <w:p w14:paraId="4B7D07B7">
      <w:pPr>
        <w:pStyle w:val="4"/>
        <w:spacing w:before="159"/>
        <w:rPr>
          <w:color w:val="auto"/>
        </w:rPr>
      </w:pPr>
      <w:bookmarkStart w:id="2315" w:name="_Toc1348"/>
      <w:bookmarkStart w:id="2316" w:name="_Toc154064062"/>
      <w:bookmarkStart w:id="2317" w:name="_Toc519085640"/>
      <w:bookmarkStart w:id="2318" w:name="_Toc31180"/>
      <w:r>
        <w:rPr>
          <w:rFonts w:hint="eastAsia"/>
          <w:color w:val="auto"/>
        </w:rPr>
        <w:t>2.1 勘察设计费清单</w:t>
      </w:r>
      <w:bookmarkEnd w:id="2315"/>
      <w:bookmarkEnd w:id="2316"/>
      <w:bookmarkEnd w:id="2317"/>
      <w:bookmarkEnd w:id="2318"/>
    </w:p>
    <w:p w14:paraId="6A9BECCC">
      <w:pPr>
        <w:widowControl/>
        <w:jc w:val="right"/>
        <w:rPr>
          <w:color w:val="auto"/>
          <w:kern w:val="0"/>
          <w:sz w:val="20"/>
        </w:rPr>
      </w:pPr>
      <w:r>
        <w:rPr>
          <w:rFonts w:hint="eastAsia"/>
          <w:color w:val="auto"/>
          <w:kern w:val="0"/>
        </w:rPr>
        <w:t>单位：人民币元</w:t>
      </w:r>
    </w:p>
    <w:tbl>
      <w:tblPr>
        <w:tblStyle w:val="41"/>
        <w:tblW w:w="0" w:type="auto"/>
        <w:jc w:val="center"/>
        <w:tblLayout w:type="fixed"/>
        <w:tblCellMar>
          <w:top w:w="0" w:type="dxa"/>
          <w:left w:w="108" w:type="dxa"/>
          <w:bottom w:w="0" w:type="dxa"/>
          <w:right w:w="108" w:type="dxa"/>
        </w:tblCellMar>
      </w:tblPr>
      <w:tblGrid>
        <w:gridCol w:w="916"/>
        <w:gridCol w:w="2430"/>
        <w:gridCol w:w="1140"/>
        <w:gridCol w:w="2132"/>
        <w:gridCol w:w="1904"/>
      </w:tblGrid>
      <w:tr w14:paraId="22E1FAFB">
        <w:tblPrEx>
          <w:tblCellMar>
            <w:top w:w="0" w:type="dxa"/>
            <w:left w:w="108" w:type="dxa"/>
            <w:bottom w:w="0" w:type="dxa"/>
            <w:right w:w="108" w:type="dxa"/>
          </w:tblCellMar>
        </w:tblPrEx>
        <w:trPr>
          <w:trHeight w:val="702" w:hRule="atLeast"/>
          <w:jc w:val="center"/>
        </w:trPr>
        <w:tc>
          <w:tcPr>
            <w:tcW w:w="916" w:type="dxa"/>
            <w:tcBorders>
              <w:top w:val="single" w:color="auto" w:sz="4" w:space="0"/>
              <w:left w:val="single" w:color="auto" w:sz="4" w:space="0"/>
              <w:bottom w:val="single" w:color="auto" w:sz="4" w:space="0"/>
              <w:right w:val="single" w:color="auto" w:sz="4" w:space="0"/>
            </w:tcBorders>
            <w:noWrap w:val="0"/>
            <w:vAlign w:val="center"/>
          </w:tcPr>
          <w:p w14:paraId="29E9EF6C">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r>
              <w:rPr>
                <w:rFonts w:ascii="Calibri" w:hAnsi="Calibri" w:eastAsia="宋体" w:cs="Times New Roman"/>
                <w:color w:val="auto"/>
                <w:kern w:val="0"/>
                <w:szCs w:val="21"/>
              </w:rPr>
              <w:t>序号</w:t>
            </w:r>
          </w:p>
        </w:tc>
        <w:tc>
          <w:tcPr>
            <w:tcW w:w="2430" w:type="dxa"/>
            <w:tcBorders>
              <w:top w:val="single" w:color="auto" w:sz="4" w:space="0"/>
              <w:left w:val="nil"/>
              <w:bottom w:val="single" w:color="auto" w:sz="4" w:space="0"/>
              <w:right w:val="single" w:color="auto" w:sz="4" w:space="0"/>
            </w:tcBorders>
            <w:noWrap w:val="0"/>
            <w:vAlign w:val="center"/>
          </w:tcPr>
          <w:p w14:paraId="276383AA">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r>
              <w:rPr>
                <w:rFonts w:ascii="Calibri" w:hAnsi="Calibri" w:eastAsia="宋体" w:cs="Times New Roman"/>
                <w:color w:val="auto"/>
                <w:kern w:val="0"/>
                <w:szCs w:val="21"/>
              </w:rPr>
              <w:t xml:space="preserve">项目名称 </w:t>
            </w:r>
          </w:p>
        </w:tc>
        <w:tc>
          <w:tcPr>
            <w:tcW w:w="1140" w:type="dxa"/>
            <w:tcBorders>
              <w:top w:val="single" w:color="auto" w:sz="4" w:space="0"/>
              <w:left w:val="nil"/>
              <w:bottom w:val="single" w:color="auto" w:sz="4" w:space="0"/>
              <w:right w:val="single" w:color="auto" w:sz="4" w:space="0"/>
            </w:tcBorders>
            <w:noWrap w:val="0"/>
            <w:vAlign w:val="center"/>
          </w:tcPr>
          <w:p w14:paraId="5B880F43">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r>
              <w:rPr>
                <w:rFonts w:hint="eastAsia" w:ascii="Calibri" w:hAnsi="Calibri" w:eastAsia="宋体" w:cs="Times New Roman"/>
                <w:color w:val="auto"/>
                <w:kern w:val="0"/>
                <w:szCs w:val="21"/>
              </w:rPr>
              <w:t>工作内容</w:t>
            </w:r>
          </w:p>
        </w:tc>
        <w:tc>
          <w:tcPr>
            <w:tcW w:w="2132" w:type="dxa"/>
            <w:tcBorders>
              <w:top w:val="single" w:color="auto" w:sz="4" w:space="0"/>
              <w:left w:val="nil"/>
              <w:bottom w:val="single" w:color="auto" w:sz="4" w:space="0"/>
              <w:right w:val="single" w:color="auto" w:sz="4" w:space="0"/>
            </w:tcBorders>
            <w:noWrap w:val="0"/>
            <w:vAlign w:val="center"/>
          </w:tcPr>
          <w:p w14:paraId="748069B9">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r>
              <w:rPr>
                <w:rFonts w:ascii="Calibri" w:hAnsi="Calibri" w:eastAsia="宋体" w:cs="Times New Roman"/>
                <w:color w:val="auto"/>
                <w:kern w:val="0"/>
                <w:szCs w:val="21"/>
              </w:rPr>
              <w:t>金 额（元）</w:t>
            </w:r>
          </w:p>
        </w:tc>
        <w:tc>
          <w:tcPr>
            <w:tcW w:w="1904" w:type="dxa"/>
            <w:tcBorders>
              <w:top w:val="single" w:color="auto" w:sz="4" w:space="0"/>
              <w:left w:val="nil"/>
              <w:bottom w:val="single" w:color="auto" w:sz="4" w:space="0"/>
              <w:right w:val="single" w:color="auto" w:sz="4" w:space="0"/>
            </w:tcBorders>
            <w:noWrap w:val="0"/>
            <w:vAlign w:val="center"/>
          </w:tcPr>
          <w:p w14:paraId="31876F90">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r>
              <w:rPr>
                <w:rFonts w:hint="eastAsia" w:ascii="Calibri" w:hAnsi="Calibri" w:eastAsia="宋体" w:cs="Times New Roman"/>
                <w:color w:val="auto"/>
                <w:kern w:val="0"/>
                <w:szCs w:val="21"/>
              </w:rPr>
              <w:t>备注</w:t>
            </w:r>
          </w:p>
        </w:tc>
      </w:tr>
      <w:tr w14:paraId="185FD56B">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6316D5EE">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F11A143">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43503A1F">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63E1DEC1">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57266C96">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5DA61EEF">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24673AC">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2CC2001">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64E9E8DF">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4238247A">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739E41C6">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0283BB5D">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ED5CB58">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7D1205BD">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FB48976">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5E445205">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08CBCD5A">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270750FD">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0A424495">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41D173E1">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78DD4E01">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C5D3B8C">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3F56EB44">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6B0F46C7">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3C2357F2">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6DD87C64">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6FFEE632">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34161CAB">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299B91FF">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F727BE7">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4826CC57">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5F9D98DE">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42BE2A5D">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6D50716E">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01E5A219">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5ED82B2F">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57F2C8A7">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4A0B8720">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13DCAD11">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A542B6E">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3369EE1C">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A3472AE">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676750F0">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4829B546">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589F8CC3">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6FB091CC">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120FD26">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9C26A8B">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CF9606A">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653EF925">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69C4A4E7">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2F026E1F">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A71A3B1">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AD722FA">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1EAC5DB0">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3527B0FF">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33F29255">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0DAEBF47">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DDE3C2B">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3788ADAF">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443FDCF4">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04BD8B5D">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040AB333">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1FEC9CDF">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5BE9DE59">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994FEB4">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265C287D">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1FFED479">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042A7E4D">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6CE0F00B">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42056DE6">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155782D">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62802E6D">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366E9C27">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45F9DE86">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26E3405D">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D579CBD">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3EAFA40">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309EEEE">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49A76EC5">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585AD922">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2050EF1B">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DC35283">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30A235AC">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6CFD327E">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0388BBA0">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5A8561A6">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622A294E">
        <w:tblPrEx>
          <w:tblCellMar>
            <w:top w:w="0" w:type="dxa"/>
            <w:left w:w="108" w:type="dxa"/>
            <w:bottom w:w="0" w:type="dxa"/>
            <w:right w:w="108" w:type="dxa"/>
          </w:tblCellMar>
        </w:tblPrEx>
        <w:trPr>
          <w:trHeight w:val="702" w:hRule="atLeast"/>
          <w:jc w:val="center"/>
        </w:trPr>
        <w:tc>
          <w:tcPr>
            <w:tcW w:w="3346" w:type="dxa"/>
            <w:gridSpan w:val="2"/>
            <w:tcBorders>
              <w:top w:val="nil"/>
              <w:left w:val="single" w:color="auto" w:sz="4" w:space="0"/>
              <w:bottom w:val="single" w:color="auto" w:sz="4" w:space="0"/>
              <w:right w:val="single" w:color="auto" w:sz="4" w:space="0"/>
            </w:tcBorders>
            <w:noWrap w:val="0"/>
            <w:vAlign w:val="center"/>
          </w:tcPr>
          <w:p w14:paraId="59DC5531">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r>
              <w:rPr>
                <w:rFonts w:hint="eastAsia" w:ascii="Calibri" w:hAnsi="Calibri" w:eastAsia="宋体" w:cs="Times New Roman"/>
                <w:color w:val="auto"/>
                <w:kern w:val="0"/>
                <w:szCs w:val="21"/>
              </w:rPr>
              <w:t>合计报价</w:t>
            </w:r>
          </w:p>
        </w:tc>
        <w:tc>
          <w:tcPr>
            <w:tcW w:w="5176" w:type="dxa"/>
            <w:gridSpan w:val="3"/>
            <w:tcBorders>
              <w:top w:val="single" w:color="auto" w:sz="4" w:space="0"/>
              <w:left w:val="nil"/>
              <w:bottom w:val="single" w:color="auto" w:sz="4" w:space="0"/>
              <w:right w:val="single" w:color="auto" w:sz="4" w:space="0"/>
            </w:tcBorders>
            <w:noWrap w:val="0"/>
            <w:vAlign w:val="center"/>
          </w:tcPr>
          <w:p w14:paraId="7BE46933">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bl>
    <w:p w14:paraId="53A65F0E">
      <w:pPr>
        <w:rPr>
          <w:rFonts w:hint="eastAsia"/>
          <w:color w:val="auto"/>
        </w:rPr>
      </w:pPr>
    </w:p>
    <w:p w14:paraId="5276B2E8">
      <w:pPr>
        <w:pStyle w:val="4"/>
        <w:spacing w:before="159"/>
        <w:rPr>
          <w:rFonts w:hint="eastAsia"/>
          <w:color w:val="auto"/>
        </w:rPr>
      </w:pPr>
      <w:bookmarkStart w:id="2319" w:name="_Toc4892"/>
      <w:bookmarkStart w:id="2320" w:name="_Toc5192"/>
      <w:bookmarkStart w:id="2321" w:name="_Toc519085641"/>
      <w:bookmarkStart w:id="2322" w:name="_Toc154064063"/>
      <w:r>
        <w:rPr>
          <w:rFonts w:hint="eastAsia"/>
          <w:color w:val="auto"/>
        </w:rPr>
        <w:t xml:space="preserve">2.2 </w:t>
      </w:r>
      <w:r>
        <w:rPr>
          <w:color w:val="auto"/>
        </w:rPr>
        <w:t>工程设备</w:t>
      </w:r>
      <w:r>
        <w:rPr>
          <w:rFonts w:hint="eastAsia"/>
          <w:color w:val="auto"/>
        </w:rPr>
        <w:t>费清单</w:t>
      </w:r>
      <w:bookmarkEnd w:id="2319"/>
      <w:bookmarkEnd w:id="2320"/>
      <w:bookmarkEnd w:id="2321"/>
      <w:bookmarkEnd w:id="2322"/>
    </w:p>
    <w:p w14:paraId="1F2B3482">
      <w:pPr>
        <w:rPr>
          <w:rFonts w:hint="eastAsia"/>
          <w:color w:val="auto"/>
          <w:szCs w:val="21"/>
        </w:rPr>
      </w:pPr>
    </w:p>
    <w:p w14:paraId="1B75C29D">
      <w:pPr>
        <w:widowControl/>
        <w:jc w:val="right"/>
        <w:rPr>
          <w:color w:val="auto"/>
          <w:kern w:val="0"/>
          <w:sz w:val="20"/>
        </w:rPr>
      </w:pPr>
      <w:r>
        <w:rPr>
          <w:rFonts w:hint="eastAsia"/>
          <w:color w:val="auto"/>
          <w:kern w:val="0"/>
        </w:rPr>
        <w:t>单位：人民币元</w:t>
      </w:r>
    </w:p>
    <w:tbl>
      <w:tblPr>
        <w:tblStyle w:val="41"/>
        <w:tblW w:w="0" w:type="auto"/>
        <w:jc w:val="center"/>
        <w:tblLayout w:type="fixed"/>
        <w:tblCellMar>
          <w:top w:w="0" w:type="dxa"/>
          <w:left w:w="108" w:type="dxa"/>
          <w:bottom w:w="0" w:type="dxa"/>
          <w:right w:w="108" w:type="dxa"/>
        </w:tblCellMar>
      </w:tblPr>
      <w:tblGrid>
        <w:gridCol w:w="915"/>
        <w:gridCol w:w="2250"/>
        <w:gridCol w:w="1444"/>
        <w:gridCol w:w="1081"/>
        <w:gridCol w:w="1440"/>
        <w:gridCol w:w="1392"/>
      </w:tblGrid>
      <w:tr w14:paraId="479A165A">
        <w:tblPrEx>
          <w:tblCellMar>
            <w:top w:w="0" w:type="dxa"/>
            <w:left w:w="108" w:type="dxa"/>
            <w:bottom w:w="0" w:type="dxa"/>
            <w:right w:w="108" w:type="dxa"/>
          </w:tblCellMar>
        </w:tblPrEx>
        <w:trPr>
          <w:trHeight w:val="702" w:hRule="atLeast"/>
          <w:jc w:val="center"/>
        </w:trPr>
        <w:tc>
          <w:tcPr>
            <w:tcW w:w="915" w:type="dxa"/>
            <w:tcBorders>
              <w:top w:val="single" w:color="auto" w:sz="4" w:space="0"/>
              <w:left w:val="single" w:color="auto" w:sz="4" w:space="0"/>
              <w:bottom w:val="single" w:color="auto" w:sz="4" w:space="0"/>
              <w:right w:val="single" w:color="auto" w:sz="4" w:space="0"/>
            </w:tcBorders>
            <w:noWrap w:val="0"/>
            <w:vAlign w:val="center"/>
          </w:tcPr>
          <w:p w14:paraId="0E69CCE6">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r>
              <w:rPr>
                <w:rFonts w:ascii="Calibri" w:hAnsi="Calibri" w:eastAsia="宋体" w:cs="Times New Roman"/>
                <w:color w:val="auto"/>
                <w:kern w:val="0"/>
                <w:szCs w:val="21"/>
              </w:rPr>
              <w:t>序号</w:t>
            </w:r>
          </w:p>
        </w:tc>
        <w:tc>
          <w:tcPr>
            <w:tcW w:w="2250" w:type="dxa"/>
            <w:tcBorders>
              <w:top w:val="single" w:color="auto" w:sz="4" w:space="0"/>
              <w:left w:val="nil"/>
              <w:bottom w:val="single" w:color="auto" w:sz="4" w:space="0"/>
              <w:right w:val="single" w:color="auto" w:sz="4" w:space="0"/>
            </w:tcBorders>
            <w:noWrap w:val="0"/>
            <w:vAlign w:val="center"/>
          </w:tcPr>
          <w:p w14:paraId="2276544D">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r>
              <w:rPr>
                <w:rFonts w:hint="eastAsia" w:ascii="Calibri" w:hAnsi="Calibri" w:eastAsia="宋体" w:cs="Times New Roman"/>
                <w:color w:val="auto"/>
                <w:kern w:val="0"/>
                <w:szCs w:val="21"/>
              </w:rPr>
              <w:t>设备名称</w:t>
            </w:r>
          </w:p>
        </w:tc>
        <w:tc>
          <w:tcPr>
            <w:tcW w:w="1444" w:type="dxa"/>
            <w:tcBorders>
              <w:top w:val="single" w:color="auto" w:sz="4" w:space="0"/>
              <w:left w:val="nil"/>
              <w:bottom w:val="single" w:color="auto" w:sz="4" w:space="0"/>
              <w:right w:val="single" w:color="auto" w:sz="4" w:space="0"/>
            </w:tcBorders>
            <w:noWrap w:val="0"/>
            <w:vAlign w:val="center"/>
          </w:tcPr>
          <w:p w14:paraId="6B6DEADA">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r>
              <w:rPr>
                <w:rFonts w:hint="eastAsia" w:ascii="Calibri" w:hAnsi="Calibri" w:eastAsia="宋体" w:cs="Times New Roman"/>
                <w:color w:val="auto"/>
                <w:kern w:val="0"/>
                <w:szCs w:val="21"/>
              </w:rPr>
              <w:t>规格型号</w:t>
            </w:r>
          </w:p>
        </w:tc>
        <w:tc>
          <w:tcPr>
            <w:tcW w:w="1081" w:type="dxa"/>
            <w:tcBorders>
              <w:top w:val="single" w:color="auto" w:sz="4" w:space="0"/>
              <w:left w:val="nil"/>
              <w:bottom w:val="single" w:color="auto" w:sz="4" w:space="0"/>
              <w:right w:val="single" w:color="auto" w:sz="4" w:space="0"/>
            </w:tcBorders>
            <w:noWrap w:val="0"/>
            <w:vAlign w:val="center"/>
          </w:tcPr>
          <w:p w14:paraId="20566C20">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r>
              <w:rPr>
                <w:rFonts w:hint="eastAsia" w:ascii="Calibri" w:hAnsi="Calibri" w:eastAsia="宋体" w:cs="Times New Roman"/>
                <w:color w:val="auto"/>
                <w:kern w:val="0"/>
                <w:szCs w:val="21"/>
              </w:rPr>
              <w:t>数量</w:t>
            </w:r>
          </w:p>
        </w:tc>
        <w:tc>
          <w:tcPr>
            <w:tcW w:w="1440" w:type="dxa"/>
            <w:tcBorders>
              <w:top w:val="single" w:color="auto" w:sz="4" w:space="0"/>
              <w:left w:val="nil"/>
              <w:bottom w:val="single" w:color="auto" w:sz="4" w:space="0"/>
              <w:right w:val="single" w:color="auto" w:sz="4" w:space="0"/>
            </w:tcBorders>
            <w:noWrap w:val="0"/>
            <w:vAlign w:val="center"/>
          </w:tcPr>
          <w:p w14:paraId="433E0E1F">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r>
              <w:rPr>
                <w:rFonts w:hint="eastAsia" w:ascii="Calibri" w:hAnsi="Calibri" w:eastAsia="宋体" w:cs="Times New Roman"/>
                <w:color w:val="auto"/>
                <w:kern w:val="0"/>
                <w:szCs w:val="21"/>
              </w:rPr>
              <w:t>单价</w:t>
            </w:r>
          </w:p>
        </w:tc>
        <w:tc>
          <w:tcPr>
            <w:tcW w:w="1392" w:type="dxa"/>
            <w:tcBorders>
              <w:top w:val="single" w:color="auto" w:sz="4" w:space="0"/>
              <w:left w:val="nil"/>
              <w:bottom w:val="single" w:color="auto" w:sz="4" w:space="0"/>
              <w:right w:val="single" w:color="auto" w:sz="4" w:space="0"/>
            </w:tcBorders>
            <w:noWrap w:val="0"/>
            <w:vAlign w:val="center"/>
          </w:tcPr>
          <w:p w14:paraId="63FBB8D3">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r>
              <w:rPr>
                <w:rFonts w:hint="eastAsia" w:ascii="Calibri" w:hAnsi="Calibri" w:eastAsia="宋体" w:cs="Times New Roman"/>
                <w:color w:val="auto"/>
                <w:kern w:val="0"/>
                <w:szCs w:val="21"/>
              </w:rPr>
              <w:t>合价</w:t>
            </w:r>
          </w:p>
        </w:tc>
      </w:tr>
      <w:tr w14:paraId="50FD9E0B">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3B46B469">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1F7C8F10">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594727F0">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6FD42484">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0" w:type="dxa"/>
            <w:tcBorders>
              <w:top w:val="nil"/>
              <w:left w:val="nil"/>
              <w:bottom w:val="single" w:color="auto" w:sz="4" w:space="0"/>
              <w:right w:val="single" w:color="auto" w:sz="4" w:space="0"/>
            </w:tcBorders>
            <w:noWrap w:val="0"/>
            <w:vAlign w:val="center"/>
          </w:tcPr>
          <w:p w14:paraId="40062B70">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392" w:type="dxa"/>
            <w:tcBorders>
              <w:top w:val="nil"/>
              <w:left w:val="nil"/>
              <w:bottom w:val="single" w:color="auto" w:sz="4" w:space="0"/>
              <w:right w:val="single" w:color="auto" w:sz="4" w:space="0"/>
            </w:tcBorders>
            <w:noWrap w:val="0"/>
            <w:vAlign w:val="center"/>
          </w:tcPr>
          <w:p w14:paraId="150B4CCC">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7AD47EEB">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7302E4EE">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27C6826E">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1C8647A0">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3556F1DD">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0" w:type="dxa"/>
            <w:tcBorders>
              <w:top w:val="nil"/>
              <w:left w:val="nil"/>
              <w:bottom w:val="single" w:color="auto" w:sz="4" w:space="0"/>
              <w:right w:val="single" w:color="auto" w:sz="4" w:space="0"/>
            </w:tcBorders>
            <w:noWrap w:val="0"/>
            <w:vAlign w:val="center"/>
          </w:tcPr>
          <w:p w14:paraId="16CC5605">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392" w:type="dxa"/>
            <w:tcBorders>
              <w:top w:val="nil"/>
              <w:left w:val="nil"/>
              <w:bottom w:val="single" w:color="auto" w:sz="4" w:space="0"/>
              <w:right w:val="single" w:color="auto" w:sz="4" w:space="0"/>
            </w:tcBorders>
            <w:noWrap w:val="0"/>
            <w:vAlign w:val="center"/>
          </w:tcPr>
          <w:p w14:paraId="08C763B2">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126538C3">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07B0F580">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2A67EA8D">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32154CA6">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61F48549">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2B005888">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0" w:type="dxa"/>
            <w:tcBorders>
              <w:top w:val="nil"/>
              <w:left w:val="nil"/>
              <w:bottom w:val="single" w:color="auto" w:sz="4" w:space="0"/>
              <w:right w:val="single" w:color="auto" w:sz="4" w:space="0"/>
            </w:tcBorders>
            <w:noWrap w:val="0"/>
            <w:vAlign w:val="center"/>
          </w:tcPr>
          <w:p w14:paraId="4CFCD910">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392" w:type="dxa"/>
            <w:tcBorders>
              <w:top w:val="nil"/>
              <w:left w:val="nil"/>
              <w:bottom w:val="single" w:color="auto" w:sz="4" w:space="0"/>
              <w:right w:val="single" w:color="auto" w:sz="4" w:space="0"/>
            </w:tcBorders>
            <w:noWrap w:val="0"/>
            <w:vAlign w:val="center"/>
          </w:tcPr>
          <w:p w14:paraId="14322644">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4A4BE5FD">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42711CF1">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435CDC4C">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317EB647">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4A79FB66">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27E1CF2F">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0" w:type="dxa"/>
            <w:tcBorders>
              <w:top w:val="nil"/>
              <w:left w:val="nil"/>
              <w:bottom w:val="single" w:color="auto" w:sz="4" w:space="0"/>
              <w:right w:val="single" w:color="auto" w:sz="4" w:space="0"/>
            </w:tcBorders>
            <w:noWrap w:val="0"/>
            <w:vAlign w:val="center"/>
          </w:tcPr>
          <w:p w14:paraId="537A81F2">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392" w:type="dxa"/>
            <w:tcBorders>
              <w:top w:val="nil"/>
              <w:left w:val="nil"/>
              <w:bottom w:val="single" w:color="auto" w:sz="4" w:space="0"/>
              <w:right w:val="single" w:color="auto" w:sz="4" w:space="0"/>
            </w:tcBorders>
            <w:noWrap w:val="0"/>
            <w:vAlign w:val="center"/>
          </w:tcPr>
          <w:p w14:paraId="6D7E258E">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60C1B69C">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4B9B6E37">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53975219">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136A244E">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7317E79A">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222F03B9">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0" w:type="dxa"/>
            <w:tcBorders>
              <w:top w:val="nil"/>
              <w:left w:val="nil"/>
              <w:bottom w:val="single" w:color="auto" w:sz="4" w:space="0"/>
              <w:right w:val="single" w:color="auto" w:sz="4" w:space="0"/>
            </w:tcBorders>
            <w:noWrap w:val="0"/>
            <w:vAlign w:val="center"/>
          </w:tcPr>
          <w:p w14:paraId="08BCDB2B">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392" w:type="dxa"/>
            <w:tcBorders>
              <w:top w:val="nil"/>
              <w:left w:val="nil"/>
              <w:bottom w:val="single" w:color="auto" w:sz="4" w:space="0"/>
              <w:right w:val="single" w:color="auto" w:sz="4" w:space="0"/>
            </w:tcBorders>
            <w:noWrap w:val="0"/>
            <w:vAlign w:val="center"/>
          </w:tcPr>
          <w:p w14:paraId="6123DB33">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5DAE0638">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7FF2009A">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55C98235">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0A9B5CDE">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1797E70F">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0" w:type="dxa"/>
            <w:tcBorders>
              <w:top w:val="nil"/>
              <w:left w:val="nil"/>
              <w:bottom w:val="single" w:color="auto" w:sz="4" w:space="0"/>
              <w:right w:val="single" w:color="auto" w:sz="4" w:space="0"/>
            </w:tcBorders>
            <w:noWrap w:val="0"/>
            <w:vAlign w:val="center"/>
          </w:tcPr>
          <w:p w14:paraId="2CEC2A17">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392" w:type="dxa"/>
            <w:tcBorders>
              <w:top w:val="nil"/>
              <w:left w:val="nil"/>
              <w:bottom w:val="single" w:color="auto" w:sz="4" w:space="0"/>
              <w:right w:val="single" w:color="auto" w:sz="4" w:space="0"/>
            </w:tcBorders>
            <w:noWrap w:val="0"/>
            <w:vAlign w:val="center"/>
          </w:tcPr>
          <w:p w14:paraId="35185B72">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07C1A3AB">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31617F8E">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7ADA66DD">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77A62DD1">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7E618DD5">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75D1D73F">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0" w:type="dxa"/>
            <w:tcBorders>
              <w:top w:val="nil"/>
              <w:left w:val="nil"/>
              <w:bottom w:val="single" w:color="auto" w:sz="4" w:space="0"/>
              <w:right w:val="single" w:color="auto" w:sz="4" w:space="0"/>
            </w:tcBorders>
            <w:noWrap w:val="0"/>
            <w:vAlign w:val="center"/>
          </w:tcPr>
          <w:p w14:paraId="562B67E1">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392" w:type="dxa"/>
            <w:tcBorders>
              <w:top w:val="nil"/>
              <w:left w:val="nil"/>
              <w:bottom w:val="single" w:color="auto" w:sz="4" w:space="0"/>
              <w:right w:val="single" w:color="auto" w:sz="4" w:space="0"/>
            </w:tcBorders>
            <w:noWrap w:val="0"/>
            <w:vAlign w:val="center"/>
          </w:tcPr>
          <w:p w14:paraId="1969CBEE">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5D8047D4">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6E7B9582">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1E33EC5B">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0152DA71">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4BC038CA">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268DCEBF">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0" w:type="dxa"/>
            <w:tcBorders>
              <w:top w:val="nil"/>
              <w:left w:val="nil"/>
              <w:bottom w:val="single" w:color="auto" w:sz="4" w:space="0"/>
              <w:right w:val="single" w:color="auto" w:sz="4" w:space="0"/>
            </w:tcBorders>
            <w:noWrap w:val="0"/>
            <w:vAlign w:val="center"/>
          </w:tcPr>
          <w:p w14:paraId="39E86A65">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392" w:type="dxa"/>
            <w:tcBorders>
              <w:top w:val="nil"/>
              <w:left w:val="nil"/>
              <w:bottom w:val="single" w:color="auto" w:sz="4" w:space="0"/>
              <w:right w:val="single" w:color="auto" w:sz="4" w:space="0"/>
            </w:tcBorders>
            <w:noWrap w:val="0"/>
            <w:vAlign w:val="center"/>
          </w:tcPr>
          <w:p w14:paraId="6C851851">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52D951B9">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07617840">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28CED499">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20076DBA">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432CD3DB">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05304153">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0" w:type="dxa"/>
            <w:tcBorders>
              <w:top w:val="nil"/>
              <w:left w:val="nil"/>
              <w:bottom w:val="single" w:color="auto" w:sz="4" w:space="0"/>
              <w:right w:val="single" w:color="auto" w:sz="4" w:space="0"/>
            </w:tcBorders>
            <w:noWrap w:val="0"/>
            <w:vAlign w:val="center"/>
          </w:tcPr>
          <w:p w14:paraId="4F463D9F">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392" w:type="dxa"/>
            <w:tcBorders>
              <w:top w:val="nil"/>
              <w:left w:val="nil"/>
              <w:bottom w:val="single" w:color="auto" w:sz="4" w:space="0"/>
              <w:right w:val="single" w:color="auto" w:sz="4" w:space="0"/>
            </w:tcBorders>
            <w:noWrap w:val="0"/>
            <w:vAlign w:val="center"/>
          </w:tcPr>
          <w:p w14:paraId="1832B33E">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75E75ACD">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6FE26D75">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04BAB73C">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5AA291DD">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15AD1F73">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0" w:type="dxa"/>
            <w:tcBorders>
              <w:top w:val="nil"/>
              <w:left w:val="nil"/>
              <w:bottom w:val="single" w:color="auto" w:sz="4" w:space="0"/>
              <w:right w:val="single" w:color="auto" w:sz="4" w:space="0"/>
            </w:tcBorders>
            <w:noWrap w:val="0"/>
            <w:vAlign w:val="center"/>
          </w:tcPr>
          <w:p w14:paraId="142F673E">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392" w:type="dxa"/>
            <w:tcBorders>
              <w:top w:val="nil"/>
              <w:left w:val="nil"/>
              <w:bottom w:val="single" w:color="auto" w:sz="4" w:space="0"/>
              <w:right w:val="single" w:color="auto" w:sz="4" w:space="0"/>
            </w:tcBorders>
            <w:noWrap w:val="0"/>
            <w:vAlign w:val="center"/>
          </w:tcPr>
          <w:p w14:paraId="64A412A4">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381474B2">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4A0E1335">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6F1D7193">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7A6740DB">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461C958C">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0" w:type="dxa"/>
            <w:tcBorders>
              <w:top w:val="nil"/>
              <w:left w:val="nil"/>
              <w:bottom w:val="single" w:color="auto" w:sz="4" w:space="0"/>
              <w:right w:val="single" w:color="auto" w:sz="4" w:space="0"/>
            </w:tcBorders>
            <w:noWrap w:val="0"/>
            <w:vAlign w:val="center"/>
          </w:tcPr>
          <w:p w14:paraId="32E60812">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392" w:type="dxa"/>
            <w:tcBorders>
              <w:top w:val="nil"/>
              <w:left w:val="nil"/>
              <w:bottom w:val="single" w:color="auto" w:sz="4" w:space="0"/>
              <w:right w:val="single" w:color="auto" w:sz="4" w:space="0"/>
            </w:tcBorders>
            <w:noWrap w:val="0"/>
            <w:vAlign w:val="center"/>
          </w:tcPr>
          <w:p w14:paraId="28BB53E4">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726A72F2">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3CE461F3">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704D81F5">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30C41084">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2B524110">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0" w:type="dxa"/>
            <w:tcBorders>
              <w:top w:val="nil"/>
              <w:left w:val="nil"/>
              <w:bottom w:val="single" w:color="auto" w:sz="4" w:space="0"/>
              <w:right w:val="single" w:color="auto" w:sz="4" w:space="0"/>
            </w:tcBorders>
            <w:noWrap w:val="0"/>
            <w:vAlign w:val="center"/>
          </w:tcPr>
          <w:p w14:paraId="02F3AA62">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392" w:type="dxa"/>
            <w:tcBorders>
              <w:top w:val="nil"/>
              <w:left w:val="nil"/>
              <w:bottom w:val="single" w:color="auto" w:sz="4" w:space="0"/>
              <w:right w:val="single" w:color="auto" w:sz="4" w:space="0"/>
            </w:tcBorders>
            <w:noWrap w:val="0"/>
            <w:vAlign w:val="center"/>
          </w:tcPr>
          <w:p w14:paraId="0EAF5B30">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572553CA">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276E0DB3">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03349CDE">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5DB9E0E7">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5B5B6E4B">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0" w:type="dxa"/>
            <w:tcBorders>
              <w:top w:val="nil"/>
              <w:left w:val="nil"/>
              <w:bottom w:val="single" w:color="auto" w:sz="4" w:space="0"/>
              <w:right w:val="single" w:color="auto" w:sz="4" w:space="0"/>
            </w:tcBorders>
            <w:noWrap w:val="0"/>
            <w:vAlign w:val="center"/>
          </w:tcPr>
          <w:p w14:paraId="607D7F60">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392" w:type="dxa"/>
            <w:tcBorders>
              <w:top w:val="nil"/>
              <w:left w:val="nil"/>
              <w:bottom w:val="single" w:color="auto" w:sz="4" w:space="0"/>
              <w:right w:val="single" w:color="auto" w:sz="4" w:space="0"/>
            </w:tcBorders>
            <w:noWrap w:val="0"/>
            <w:vAlign w:val="center"/>
          </w:tcPr>
          <w:p w14:paraId="42006026">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4239DAC5">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5C54F314">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6806830A">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29C337D5">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389F87EF">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0" w:type="dxa"/>
            <w:tcBorders>
              <w:top w:val="nil"/>
              <w:left w:val="nil"/>
              <w:bottom w:val="single" w:color="auto" w:sz="4" w:space="0"/>
              <w:right w:val="single" w:color="auto" w:sz="4" w:space="0"/>
            </w:tcBorders>
            <w:noWrap w:val="0"/>
            <w:vAlign w:val="center"/>
          </w:tcPr>
          <w:p w14:paraId="69516C17">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392" w:type="dxa"/>
            <w:tcBorders>
              <w:top w:val="nil"/>
              <w:left w:val="nil"/>
              <w:bottom w:val="single" w:color="auto" w:sz="4" w:space="0"/>
              <w:right w:val="single" w:color="auto" w:sz="4" w:space="0"/>
            </w:tcBorders>
            <w:noWrap w:val="0"/>
            <w:vAlign w:val="center"/>
          </w:tcPr>
          <w:p w14:paraId="02BD0B1C">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08C4F3B9">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43E06A93">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17B93F2C">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21E58F8B">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32FAC332">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440" w:type="dxa"/>
            <w:tcBorders>
              <w:top w:val="nil"/>
              <w:left w:val="nil"/>
              <w:bottom w:val="single" w:color="auto" w:sz="4" w:space="0"/>
              <w:right w:val="single" w:color="auto" w:sz="4" w:space="0"/>
            </w:tcBorders>
            <w:noWrap w:val="0"/>
            <w:vAlign w:val="center"/>
          </w:tcPr>
          <w:p w14:paraId="0614368F">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392" w:type="dxa"/>
            <w:tcBorders>
              <w:top w:val="nil"/>
              <w:left w:val="nil"/>
              <w:bottom w:val="single" w:color="auto" w:sz="4" w:space="0"/>
              <w:right w:val="single" w:color="auto" w:sz="4" w:space="0"/>
            </w:tcBorders>
            <w:noWrap w:val="0"/>
            <w:vAlign w:val="center"/>
          </w:tcPr>
          <w:p w14:paraId="62285748">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1EB582E8">
        <w:tblPrEx>
          <w:tblCellMar>
            <w:top w:w="0" w:type="dxa"/>
            <w:left w:w="108" w:type="dxa"/>
            <w:bottom w:w="0" w:type="dxa"/>
            <w:right w:w="108" w:type="dxa"/>
          </w:tblCellMar>
        </w:tblPrEx>
        <w:trPr>
          <w:trHeight w:val="702" w:hRule="atLeast"/>
          <w:jc w:val="center"/>
        </w:trPr>
        <w:tc>
          <w:tcPr>
            <w:tcW w:w="4609" w:type="dxa"/>
            <w:gridSpan w:val="3"/>
            <w:tcBorders>
              <w:top w:val="nil"/>
              <w:left w:val="single" w:color="auto" w:sz="4" w:space="0"/>
              <w:bottom w:val="single" w:color="auto" w:sz="4" w:space="0"/>
              <w:right w:val="single" w:color="auto" w:sz="4" w:space="0"/>
            </w:tcBorders>
            <w:noWrap w:val="0"/>
            <w:vAlign w:val="center"/>
          </w:tcPr>
          <w:p w14:paraId="60A4A378">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r>
              <w:rPr>
                <w:rFonts w:hint="eastAsia" w:ascii="Calibri" w:hAnsi="Calibri" w:eastAsia="宋体" w:cs="Times New Roman"/>
                <w:color w:val="auto"/>
                <w:kern w:val="0"/>
                <w:szCs w:val="21"/>
              </w:rPr>
              <w:t>合计报价</w:t>
            </w:r>
          </w:p>
        </w:tc>
        <w:tc>
          <w:tcPr>
            <w:tcW w:w="3913" w:type="dxa"/>
            <w:gridSpan w:val="3"/>
            <w:tcBorders>
              <w:top w:val="single" w:color="auto" w:sz="4" w:space="0"/>
              <w:left w:val="nil"/>
              <w:bottom w:val="single" w:color="auto" w:sz="4" w:space="0"/>
              <w:right w:val="single" w:color="auto" w:sz="4" w:space="0"/>
            </w:tcBorders>
            <w:noWrap w:val="0"/>
            <w:vAlign w:val="center"/>
          </w:tcPr>
          <w:p w14:paraId="7B4AFF17">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bl>
    <w:p w14:paraId="786B7869">
      <w:pPr>
        <w:pStyle w:val="4"/>
        <w:spacing w:before="159"/>
        <w:rPr>
          <w:rFonts w:hint="eastAsia"/>
          <w:color w:val="auto"/>
        </w:rPr>
      </w:pPr>
      <w:bookmarkStart w:id="2323" w:name="_Toc154064064"/>
      <w:bookmarkStart w:id="2324" w:name="_Toc519085642"/>
      <w:bookmarkStart w:id="2325" w:name="_Toc5094"/>
      <w:r>
        <w:rPr>
          <w:rFonts w:hint="eastAsia"/>
          <w:color w:val="auto"/>
        </w:rPr>
        <w:t>2.3 必备的备品备件费清单</w:t>
      </w:r>
      <w:bookmarkEnd w:id="2323"/>
      <w:bookmarkEnd w:id="2324"/>
      <w:bookmarkEnd w:id="2325"/>
    </w:p>
    <w:p w14:paraId="5D75BD9C">
      <w:pPr>
        <w:widowControl/>
        <w:jc w:val="right"/>
        <w:rPr>
          <w:color w:val="auto"/>
          <w:kern w:val="0"/>
          <w:sz w:val="20"/>
        </w:rPr>
      </w:pPr>
      <w:r>
        <w:rPr>
          <w:rFonts w:hint="eastAsia"/>
          <w:color w:val="auto"/>
          <w:kern w:val="0"/>
        </w:rPr>
        <w:t>单位：人民币元</w:t>
      </w:r>
    </w:p>
    <w:tbl>
      <w:tblPr>
        <w:tblStyle w:val="41"/>
        <w:tblW w:w="0" w:type="auto"/>
        <w:jc w:val="center"/>
        <w:tblLayout w:type="fixed"/>
        <w:tblCellMar>
          <w:top w:w="0" w:type="dxa"/>
          <w:left w:w="108" w:type="dxa"/>
          <w:bottom w:w="0" w:type="dxa"/>
          <w:right w:w="108" w:type="dxa"/>
        </w:tblCellMar>
      </w:tblPr>
      <w:tblGrid>
        <w:gridCol w:w="915"/>
        <w:gridCol w:w="1890"/>
        <w:gridCol w:w="1263"/>
        <w:gridCol w:w="1260"/>
        <w:gridCol w:w="1619"/>
        <w:gridCol w:w="1575"/>
      </w:tblGrid>
      <w:tr w14:paraId="53576EED">
        <w:tblPrEx>
          <w:tblCellMar>
            <w:top w:w="0" w:type="dxa"/>
            <w:left w:w="108" w:type="dxa"/>
            <w:bottom w:w="0" w:type="dxa"/>
            <w:right w:w="108" w:type="dxa"/>
          </w:tblCellMar>
        </w:tblPrEx>
        <w:trPr>
          <w:trHeight w:val="702" w:hRule="atLeast"/>
          <w:jc w:val="center"/>
        </w:trPr>
        <w:tc>
          <w:tcPr>
            <w:tcW w:w="915" w:type="dxa"/>
            <w:tcBorders>
              <w:top w:val="single" w:color="auto" w:sz="4" w:space="0"/>
              <w:left w:val="single" w:color="auto" w:sz="4" w:space="0"/>
              <w:bottom w:val="single" w:color="auto" w:sz="4" w:space="0"/>
              <w:right w:val="single" w:color="auto" w:sz="4" w:space="0"/>
            </w:tcBorders>
            <w:noWrap w:val="0"/>
            <w:vAlign w:val="center"/>
          </w:tcPr>
          <w:p w14:paraId="6346D84E">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r>
              <w:rPr>
                <w:rFonts w:ascii="Calibri" w:hAnsi="Calibri" w:eastAsia="宋体" w:cs="Times New Roman"/>
                <w:color w:val="auto"/>
                <w:kern w:val="0"/>
                <w:szCs w:val="21"/>
              </w:rPr>
              <w:t>序号</w:t>
            </w:r>
          </w:p>
        </w:tc>
        <w:tc>
          <w:tcPr>
            <w:tcW w:w="1890" w:type="dxa"/>
            <w:tcBorders>
              <w:top w:val="single" w:color="auto" w:sz="4" w:space="0"/>
              <w:left w:val="nil"/>
              <w:bottom w:val="single" w:color="auto" w:sz="4" w:space="0"/>
              <w:right w:val="single" w:color="auto" w:sz="4" w:space="0"/>
            </w:tcBorders>
            <w:noWrap w:val="0"/>
            <w:vAlign w:val="center"/>
          </w:tcPr>
          <w:p w14:paraId="171BFB6A">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r>
              <w:rPr>
                <w:rFonts w:hint="eastAsia" w:ascii="Calibri" w:hAnsi="Calibri" w:eastAsia="宋体" w:cs="Times New Roman"/>
                <w:color w:val="auto"/>
                <w:kern w:val="0"/>
                <w:szCs w:val="21"/>
              </w:rPr>
              <w:t>备品备件名称</w:t>
            </w:r>
          </w:p>
        </w:tc>
        <w:tc>
          <w:tcPr>
            <w:tcW w:w="1263" w:type="dxa"/>
            <w:tcBorders>
              <w:top w:val="single" w:color="auto" w:sz="4" w:space="0"/>
              <w:left w:val="nil"/>
              <w:bottom w:val="single" w:color="auto" w:sz="4" w:space="0"/>
              <w:right w:val="single" w:color="auto" w:sz="4" w:space="0"/>
            </w:tcBorders>
            <w:noWrap w:val="0"/>
            <w:vAlign w:val="center"/>
          </w:tcPr>
          <w:p w14:paraId="05BF9F83">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r>
              <w:rPr>
                <w:rFonts w:hint="eastAsia" w:ascii="Calibri" w:hAnsi="Calibri" w:eastAsia="宋体" w:cs="Times New Roman"/>
                <w:color w:val="auto"/>
                <w:kern w:val="0"/>
                <w:szCs w:val="21"/>
              </w:rPr>
              <w:t>规格型号</w:t>
            </w:r>
          </w:p>
        </w:tc>
        <w:tc>
          <w:tcPr>
            <w:tcW w:w="1260" w:type="dxa"/>
            <w:tcBorders>
              <w:top w:val="single" w:color="auto" w:sz="4" w:space="0"/>
              <w:left w:val="nil"/>
              <w:bottom w:val="single" w:color="auto" w:sz="4" w:space="0"/>
              <w:right w:val="single" w:color="auto" w:sz="4" w:space="0"/>
            </w:tcBorders>
            <w:noWrap w:val="0"/>
            <w:vAlign w:val="center"/>
          </w:tcPr>
          <w:p w14:paraId="6E98F7A5">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r>
              <w:rPr>
                <w:rFonts w:hint="eastAsia" w:ascii="Calibri" w:hAnsi="Calibri" w:eastAsia="宋体" w:cs="Times New Roman"/>
                <w:color w:val="auto"/>
                <w:kern w:val="0"/>
                <w:szCs w:val="21"/>
              </w:rPr>
              <w:t>数量</w:t>
            </w:r>
          </w:p>
        </w:tc>
        <w:tc>
          <w:tcPr>
            <w:tcW w:w="1619" w:type="dxa"/>
            <w:tcBorders>
              <w:top w:val="single" w:color="auto" w:sz="4" w:space="0"/>
              <w:left w:val="nil"/>
              <w:bottom w:val="single" w:color="auto" w:sz="4" w:space="0"/>
              <w:right w:val="single" w:color="auto" w:sz="4" w:space="0"/>
            </w:tcBorders>
            <w:noWrap w:val="0"/>
            <w:vAlign w:val="center"/>
          </w:tcPr>
          <w:p w14:paraId="489CB09A">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r>
              <w:rPr>
                <w:rFonts w:hint="eastAsia" w:ascii="Calibri" w:hAnsi="Calibri" w:eastAsia="宋体" w:cs="Times New Roman"/>
                <w:color w:val="auto"/>
                <w:kern w:val="0"/>
                <w:szCs w:val="21"/>
              </w:rPr>
              <w:t>单价</w:t>
            </w:r>
          </w:p>
        </w:tc>
        <w:tc>
          <w:tcPr>
            <w:tcW w:w="1575" w:type="dxa"/>
            <w:tcBorders>
              <w:top w:val="single" w:color="auto" w:sz="4" w:space="0"/>
              <w:left w:val="nil"/>
              <w:bottom w:val="single" w:color="auto" w:sz="4" w:space="0"/>
              <w:right w:val="single" w:color="auto" w:sz="4" w:space="0"/>
            </w:tcBorders>
            <w:noWrap w:val="0"/>
            <w:vAlign w:val="center"/>
          </w:tcPr>
          <w:p w14:paraId="22A0B2F0">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r>
              <w:rPr>
                <w:rFonts w:hint="eastAsia" w:ascii="Calibri" w:hAnsi="Calibri" w:eastAsia="宋体" w:cs="Times New Roman"/>
                <w:color w:val="auto"/>
                <w:kern w:val="0"/>
                <w:szCs w:val="21"/>
              </w:rPr>
              <w:t>合价</w:t>
            </w:r>
          </w:p>
        </w:tc>
      </w:tr>
      <w:tr w14:paraId="55DF2991">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3D418650">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31FD3A78">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66289796">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4597A05F">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619" w:type="dxa"/>
            <w:tcBorders>
              <w:top w:val="nil"/>
              <w:left w:val="nil"/>
              <w:bottom w:val="single" w:color="auto" w:sz="4" w:space="0"/>
              <w:right w:val="single" w:color="auto" w:sz="4" w:space="0"/>
            </w:tcBorders>
            <w:noWrap w:val="0"/>
            <w:vAlign w:val="center"/>
          </w:tcPr>
          <w:p w14:paraId="61B89DA9">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575" w:type="dxa"/>
            <w:tcBorders>
              <w:top w:val="nil"/>
              <w:left w:val="nil"/>
              <w:bottom w:val="single" w:color="auto" w:sz="4" w:space="0"/>
              <w:right w:val="single" w:color="auto" w:sz="4" w:space="0"/>
            </w:tcBorders>
            <w:noWrap w:val="0"/>
            <w:vAlign w:val="center"/>
          </w:tcPr>
          <w:p w14:paraId="58283B6F">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5E82DD77">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21BE738A">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02CEB04F">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4ABA1D51">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430BFBFE">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619" w:type="dxa"/>
            <w:tcBorders>
              <w:top w:val="nil"/>
              <w:left w:val="nil"/>
              <w:bottom w:val="single" w:color="auto" w:sz="4" w:space="0"/>
              <w:right w:val="single" w:color="auto" w:sz="4" w:space="0"/>
            </w:tcBorders>
            <w:noWrap w:val="0"/>
            <w:vAlign w:val="center"/>
          </w:tcPr>
          <w:p w14:paraId="419EF3AE">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575" w:type="dxa"/>
            <w:tcBorders>
              <w:top w:val="nil"/>
              <w:left w:val="nil"/>
              <w:bottom w:val="single" w:color="auto" w:sz="4" w:space="0"/>
              <w:right w:val="single" w:color="auto" w:sz="4" w:space="0"/>
            </w:tcBorders>
            <w:noWrap w:val="0"/>
            <w:vAlign w:val="center"/>
          </w:tcPr>
          <w:p w14:paraId="5D05A58D">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47F851E3">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124A5891">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389E9E44">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347DDC47">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0048D56A">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696818BA">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619" w:type="dxa"/>
            <w:tcBorders>
              <w:top w:val="nil"/>
              <w:left w:val="nil"/>
              <w:bottom w:val="single" w:color="auto" w:sz="4" w:space="0"/>
              <w:right w:val="single" w:color="auto" w:sz="4" w:space="0"/>
            </w:tcBorders>
            <w:noWrap w:val="0"/>
            <w:vAlign w:val="center"/>
          </w:tcPr>
          <w:p w14:paraId="3EAD4595">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575" w:type="dxa"/>
            <w:tcBorders>
              <w:top w:val="nil"/>
              <w:left w:val="nil"/>
              <w:bottom w:val="single" w:color="auto" w:sz="4" w:space="0"/>
              <w:right w:val="single" w:color="auto" w:sz="4" w:space="0"/>
            </w:tcBorders>
            <w:noWrap w:val="0"/>
            <w:vAlign w:val="center"/>
          </w:tcPr>
          <w:p w14:paraId="613AA86C">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045BD2E4">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6FBED3A7">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3E09FE54">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6AB33E60">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58E0F853">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74B28D42">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619" w:type="dxa"/>
            <w:tcBorders>
              <w:top w:val="nil"/>
              <w:left w:val="nil"/>
              <w:bottom w:val="single" w:color="auto" w:sz="4" w:space="0"/>
              <w:right w:val="single" w:color="auto" w:sz="4" w:space="0"/>
            </w:tcBorders>
            <w:noWrap w:val="0"/>
            <w:vAlign w:val="center"/>
          </w:tcPr>
          <w:p w14:paraId="20AD3A6B">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575" w:type="dxa"/>
            <w:tcBorders>
              <w:top w:val="nil"/>
              <w:left w:val="nil"/>
              <w:bottom w:val="single" w:color="auto" w:sz="4" w:space="0"/>
              <w:right w:val="single" w:color="auto" w:sz="4" w:space="0"/>
            </w:tcBorders>
            <w:noWrap w:val="0"/>
            <w:vAlign w:val="center"/>
          </w:tcPr>
          <w:p w14:paraId="4D64EFD3">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1B96BC0B">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709B6239">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78785492">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1F69D9C5">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7020D20D">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6A86216B">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619" w:type="dxa"/>
            <w:tcBorders>
              <w:top w:val="nil"/>
              <w:left w:val="nil"/>
              <w:bottom w:val="single" w:color="auto" w:sz="4" w:space="0"/>
              <w:right w:val="single" w:color="auto" w:sz="4" w:space="0"/>
            </w:tcBorders>
            <w:noWrap w:val="0"/>
            <w:vAlign w:val="center"/>
          </w:tcPr>
          <w:p w14:paraId="53F7DB53">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575" w:type="dxa"/>
            <w:tcBorders>
              <w:top w:val="nil"/>
              <w:left w:val="nil"/>
              <w:bottom w:val="single" w:color="auto" w:sz="4" w:space="0"/>
              <w:right w:val="single" w:color="auto" w:sz="4" w:space="0"/>
            </w:tcBorders>
            <w:noWrap w:val="0"/>
            <w:vAlign w:val="center"/>
          </w:tcPr>
          <w:p w14:paraId="4E60EE29">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481AB96A">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6A128319">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25ACD469">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62C0F8C2">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05D3FE81">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510F3E5B">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619" w:type="dxa"/>
            <w:tcBorders>
              <w:top w:val="nil"/>
              <w:left w:val="nil"/>
              <w:bottom w:val="single" w:color="auto" w:sz="4" w:space="0"/>
              <w:right w:val="single" w:color="auto" w:sz="4" w:space="0"/>
            </w:tcBorders>
            <w:noWrap w:val="0"/>
            <w:vAlign w:val="center"/>
          </w:tcPr>
          <w:p w14:paraId="06454061">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575" w:type="dxa"/>
            <w:tcBorders>
              <w:top w:val="nil"/>
              <w:left w:val="nil"/>
              <w:bottom w:val="single" w:color="auto" w:sz="4" w:space="0"/>
              <w:right w:val="single" w:color="auto" w:sz="4" w:space="0"/>
            </w:tcBorders>
            <w:noWrap w:val="0"/>
            <w:vAlign w:val="center"/>
          </w:tcPr>
          <w:p w14:paraId="35666345">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35E4F0AF">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232197D1">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2C25A474">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6E091256">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63A08E96">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619" w:type="dxa"/>
            <w:tcBorders>
              <w:top w:val="nil"/>
              <w:left w:val="nil"/>
              <w:bottom w:val="single" w:color="auto" w:sz="4" w:space="0"/>
              <w:right w:val="single" w:color="auto" w:sz="4" w:space="0"/>
            </w:tcBorders>
            <w:noWrap w:val="0"/>
            <w:vAlign w:val="center"/>
          </w:tcPr>
          <w:p w14:paraId="0034AD52">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575" w:type="dxa"/>
            <w:tcBorders>
              <w:top w:val="nil"/>
              <w:left w:val="nil"/>
              <w:bottom w:val="single" w:color="auto" w:sz="4" w:space="0"/>
              <w:right w:val="single" w:color="auto" w:sz="4" w:space="0"/>
            </w:tcBorders>
            <w:noWrap w:val="0"/>
            <w:vAlign w:val="center"/>
          </w:tcPr>
          <w:p w14:paraId="0045D8EF">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15323882">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1B65F06F">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0EB30F34">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02DF5754">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36F49DC7">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4EF7DCB9">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619" w:type="dxa"/>
            <w:tcBorders>
              <w:top w:val="nil"/>
              <w:left w:val="nil"/>
              <w:bottom w:val="single" w:color="auto" w:sz="4" w:space="0"/>
              <w:right w:val="single" w:color="auto" w:sz="4" w:space="0"/>
            </w:tcBorders>
            <w:noWrap w:val="0"/>
            <w:vAlign w:val="center"/>
          </w:tcPr>
          <w:p w14:paraId="45374953">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575" w:type="dxa"/>
            <w:tcBorders>
              <w:top w:val="nil"/>
              <w:left w:val="nil"/>
              <w:bottom w:val="single" w:color="auto" w:sz="4" w:space="0"/>
              <w:right w:val="single" w:color="auto" w:sz="4" w:space="0"/>
            </w:tcBorders>
            <w:noWrap w:val="0"/>
            <w:vAlign w:val="center"/>
          </w:tcPr>
          <w:p w14:paraId="313AD20A">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49CE8B96">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75ED80CF">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59386E91">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74062CF2">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2230273D">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1A918BFE">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619" w:type="dxa"/>
            <w:tcBorders>
              <w:top w:val="nil"/>
              <w:left w:val="nil"/>
              <w:bottom w:val="single" w:color="auto" w:sz="4" w:space="0"/>
              <w:right w:val="single" w:color="auto" w:sz="4" w:space="0"/>
            </w:tcBorders>
            <w:noWrap w:val="0"/>
            <w:vAlign w:val="center"/>
          </w:tcPr>
          <w:p w14:paraId="04ECD0CC">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575" w:type="dxa"/>
            <w:tcBorders>
              <w:top w:val="nil"/>
              <w:left w:val="nil"/>
              <w:bottom w:val="single" w:color="auto" w:sz="4" w:space="0"/>
              <w:right w:val="single" w:color="auto" w:sz="4" w:space="0"/>
            </w:tcBorders>
            <w:noWrap w:val="0"/>
            <w:vAlign w:val="center"/>
          </w:tcPr>
          <w:p w14:paraId="3F4D81D5">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467A4C66">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06BFFA8F">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64F2EBBA">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33421D1D">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5679384D">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3E378746">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619" w:type="dxa"/>
            <w:tcBorders>
              <w:top w:val="nil"/>
              <w:left w:val="nil"/>
              <w:bottom w:val="single" w:color="auto" w:sz="4" w:space="0"/>
              <w:right w:val="single" w:color="auto" w:sz="4" w:space="0"/>
            </w:tcBorders>
            <w:noWrap w:val="0"/>
            <w:vAlign w:val="center"/>
          </w:tcPr>
          <w:p w14:paraId="48CB4E4D">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575" w:type="dxa"/>
            <w:tcBorders>
              <w:top w:val="nil"/>
              <w:left w:val="nil"/>
              <w:bottom w:val="single" w:color="auto" w:sz="4" w:space="0"/>
              <w:right w:val="single" w:color="auto" w:sz="4" w:space="0"/>
            </w:tcBorders>
            <w:noWrap w:val="0"/>
            <w:vAlign w:val="center"/>
          </w:tcPr>
          <w:p w14:paraId="63211698">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662F2FC7">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0E4119C8">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3CBC5994">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4CEF34C7">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76908103">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619" w:type="dxa"/>
            <w:tcBorders>
              <w:top w:val="nil"/>
              <w:left w:val="nil"/>
              <w:bottom w:val="single" w:color="auto" w:sz="4" w:space="0"/>
              <w:right w:val="single" w:color="auto" w:sz="4" w:space="0"/>
            </w:tcBorders>
            <w:noWrap w:val="0"/>
            <w:vAlign w:val="center"/>
          </w:tcPr>
          <w:p w14:paraId="4D4C710F">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575" w:type="dxa"/>
            <w:tcBorders>
              <w:top w:val="nil"/>
              <w:left w:val="nil"/>
              <w:bottom w:val="single" w:color="auto" w:sz="4" w:space="0"/>
              <w:right w:val="single" w:color="auto" w:sz="4" w:space="0"/>
            </w:tcBorders>
            <w:noWrap w:val="0"/>
            <w:vAlign w:val="center"/>
          </w:tcPr>
          <w:p w14:paraId="785E8DB8">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366E881F">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37C9D70A">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19636D43">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1526CC60">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3EBDB1BF">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619" w:type="dxa"/>
            <w:tcBorders>
              <w:top w:val="nil"/>
              <w:left w:val="nil"/>
              <w:bottom w:val="single" w:color="auto" w:sz="4" w:space="0"/>
              <w:right w:val="single" w:color="auto" w:sz="4" w:space="0"/>
            </w:tcBorders>
            <w:noWrap w:val="0"/>
            <w:vAlign w:val="center"/>
          </w:tcPr>
          <w:p w14:paraId="3E884831">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575" w:type="dxa"/>
            <w:tcBorders>
              <w:top w:val="nil"/>
              <w:left w:val="nil"/>
              <w:bottom w:val="single" w:color="auto" w:sz="4" w:space="0"/>
              <w:right w:val="single" w:color="auto" w:sz="4" w:space="0"/>
            </w:tcBorders>
            <w:noWrap w:val="0"/>
            <w:vAlign w:val="center"/>
          </w:tcPr>
          <w:p w14:paraId="3743EB1B">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5482DD2A">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737136A7">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2B49052A">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09016962">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5F3FD964">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619" w:type="dxa"/>
            <w:tcBorders>
              <w:top w:val="nil"/>
              <w:left w:val="nil"/>
              <w:bottom w:val="single" w:color="auto" w:sz="4" w:space="0"/>
              <w:right w:val="single" w:color="auto" w:sz="4" w:space="0"/>
            </w:tcBorders>
            <w:noWrap w:val="0"/>
            <w:vAlign w:val="center"/>
          </w:tcPr>
          <w:p w14:paraId="27B83D67">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575" w:type="dxa"/>
            <w:tcBorders>
              <w:top w:val="nil"/>
              <w:left w:val="nil"/>
              <w:bottom w:val="single" w:color="auto" w:sz="4" w:space="0"/>
              <w:right w:val="single" w:color="auto" w:sz="4" w:space="0"/>
            </w:tcBorders>
            <w:noWrap w:val="0"/>
            <w:vAlign w:val="center"/>
          </w:tcPr>
          <w:p w14:paraId="64A8529D">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6B872131">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50BD0307">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436F5C44">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40C92F7E">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2C1FE4C6">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619" w:type="dxa"/>
            <w:tcBorders>
              <w:top w:val="nil"/>
              <w:left w:val="nil"/>
              <w:bottom w:val="single" w:color="auto" w:sz="4" w:space="0"/>
              <w:right w:val="single" w:color="auto" w:sz="4" w:space="0"/>
            </w:tcBorders>
            <w:noWrap w:val="0"/>
            <w:vAlign w:val="center"/>
          </w:tcPr>
          <w:p w14:paraId="1F1E443D">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575" w:type="dxa"/>
            <w:tcBorders>
              <w:top w:val="nil"/>
              <w:left w:val="nil"/>
              <w:bottom w:val="single" w:color="auto" w:sz="4" w:space="0"/>
              <w:right w:val="single" w:color="auto" w:sz="4" w:space="0"/>
            </w:tcBorders>
            <w:noWrap w:val="0"/>
            <w:vAlign w:val="center"/>
          </w:tcPr>
          <w:p w14:paraId="251FAEBD">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5FA78124">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616B0CFC">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43F11E5C">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55EA0F41">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73678182">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619" w:type="dxa"/>
            <w:tcBorders>
              <w:top w:val="nil"/>
              <w:left w:val="nil"/>
              <w:bottom w:val="single" w:color="auto" w:sz="4" w:space="0"/>
              <w:right w:val="single" w:color="auto" w:sz="4" w:space="0"/>
            </w:tcBorders>
            <w:noWrap w:val="0"/>
            <w:vAlign w:val="center"/>
          </w:tcPr>
          <w:p w14:paraId="5C502EE5">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575" w:type="dxa"/>
            <w:tcBorders>
              <w:top w:val="nil"/>
              <w:left w:val="nil"/>
              <w:bottom w:val="single" w:color="auto" w:sz="4" w:space="0"/>
              <w:right w:val="single" w:color="auto" w:sz="4" w:space="0"/>
            </w:tcBorders>
            <w:noWrap w:val="0"/>
            <w:vAlign w:val="center"/>
          </w:tcPr>
          <w:p w14:paraId="61DBEAA8">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5DE07CCF">
        <w:tblPrEx>
          <w:tblCellMar>
            <w:top w:w="0" w:type="dxa"/>
            <w:left w:w="108" w:type="dxa"/>
            <w:bottom w:w="0" w:type="dxa"/>
            <w:right w:w="108" w:type="dxa"/>
          </w:tblCellMar>
        </w:tblPrEx>
        <w:trPr>
          <w:trHeight w:val="702" w:hRule="atLeast"/>
          <w:jc w:val="center"/>
        </w:trPr>
        <w:tc>
          <w:tcPr>
            <w:tcW w:w="4068" w:type="dxa"/>
            <w:gridSpan w:val="3"/>
            <w:tcBorders>
              <w:top w:val="nil"/>
              <w:left w:val="single" w:color="auto" w:sz="4" w:space="0"/>
              <w:bottom w:val="single" w:color="auto" w:sz="4" w:space="0"/>
              <w:right w:val="single" w:color="auto" w:sz="4" w:space="0"/>
            </w:tcBorders>
            <w:noWrap w:val="0"/>
            <w:vAlign w:val="center"/>
          </w:tcPr>
          <w:p w14:paraId="7AF831AD">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r>
              <w:rPr>
                <w:rFonts w:hint="eastAsia" w:ascii="Calibri" w:hAnsi="Calibri" w:eastAsia="宋体" w:cs="Times New Roman"/>
                <w:color w:val="auto"/>
                <w:kern w:val="0"/>
                <w:szCs w:val="21"/>
              </w:rPr>
              <w:t>合计报价</w:t>
            </w:r>
          </w:p>
        </w:tc>
        <w:tc>
          <w:tcPr>
            <w:tcW w:w="4454" w:type="dxa"/>
            <w:gridSpan w:val="3"/>
            <w:tcBorders>
              <w:top w:val="single" w:color="auto" w:sz="4" w:space="0"/>
              <w:left w:val="nil"/>
              <w:bottom w:val="single" w:color="auto" w:sz="4" w:space="0"/>
              <w:right w:val="single" w:color="auto" w:sz="4" w:space="0"/>
            </w:tcBorders>
            <w:noWrap w:val="0"/>
            <w:vAlign w:val="center"/>
          </w:tcPr>
          <w:p w14:paraId="5F450E7B">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bl>
    <w:p w14:paraId="5DDEAD24">
      <w:pPr>
        <w:pStyle w:val="4"/>
        <w:spacing w:before="159"/>
        <w:rPr>
          <w:rFonts w:hint="eastAsia"/>
          <w:color w:val="auto"/>
          <w:szCs w:val="21"/>
        </w:rPr>
      </w:pPr>
      <w:bookmarkStart w:id="2326" w:name="_Toc154064065"/>
      <w:r>
        <w:rPr>
          <w:rFonts w:hint="eastAsia"/>
          <w:color w:val="auto"/>
        </w:rPr>
        <w:t>2.4 建筑</w:t>
      </w:r>
      <w:r>
        <w:rPr>
          <w:color w:val="auto"/>
        </w:rPr>
        <w:t>安装工程费</w:t>
      </w:r>
      <w:r>
        <w:rPr>
          <w:rFonts w:hint="eastAsia"/>
          <w:color w:val="auto"/>
        </w:rPr>
        <w:t>清单</w:t>
      </w:r>
      <w:bookmarkEnd w:id="2326"/>
    </w:p>
    <w:p w14:paraId="2D3EC885">
      <w:pPr>
        <w:widowControl/>
        <w:jc w:val="right"/>
        <w:rPr>
          <w:color w:val="auto"/>
          <w:kern w:val="0"/>
          <w:sz w:val="20"/>
        </w:rPr>
      </w:pPr>
      <w:r>
        <w:rPr>
          <w:rFonts w:hint="eastAsia"/>
          <w:color w:val="auto"/>
          <w:kern w:val="0"/>
        </w:rPr>
        <w:t>单位：人民币元</w:t>
      </w:r>
    </w:p>
    <w:tbl>
      <w:tblPr>
        <w:tblStyle w:val="41"/>
        <w:tblW w:w="8522" w:type="dxa"/>
        <w:jc w:val="center"/>
        <w:tblLayout w:type="fixed"/>
        <w:tblCellMar>
          <w:top w:w="0" w:type="dxa"/>
          <w:left w:w="108" w:type="dxa"/>
          <w:bottom w:w="0" w:type="dxa"/>
          <w:right w:w="108" w:type="dxa"/>
        </w:tblCellMar>
      </w:tblPr>
      <w:tblGrid>
        <w:gridCol w:w="913"/>
        <w:gridCol w:w="1711"/>
        <w:gridCol w:w="1858"/>
        <w:gridCol w:w="1023"/>
        <w:gridCol w:w="900"/>
        <w:gridCol w:w="1081"/>
        <w:gridCol w:w="1036"/>
      </w:tblGrid>
      <w:tr w14:paraId="2F795B17">
        <w:tblPrEx>
          <w:tblCellMar>
            <w:top w:w="0" w:type="dxa"/>
            <w:left w:w="108" w:type="dxa"/>
            <w:bottom w:w="0" w:type="dxa"/>
            <w:right w:w="108" w:type="dxa"/>
          </w:tblCellMar>
        </w:tblPrEx>
        <w:trPr>
          <w:trHeight w:val="702" w:hRule="atLeast"/>
          <w:jc w:val="center"/>
        </w:trPr>
        <w:tc>
          <w:tcPr>
            <w:tcW w:w="913" w:type="dxa"/>
            <w:tcBorders>
              <w:top w:val="single" w:color="auto" w:sz="4" w:space="0"/>
              <w:left w:val="single" w:color="auto" w:sz="4" w:space="0"/>
              <w:bottom w:val="single" w:color="auto" w:sz="4" w:space="0"/>
              <w:right w:val="single" w:color="auto" w:sz="4" w:space="0"/>
            </w:tcBorders>
            <w:noWrap w:val="0"/>
            <w:vAlign w:val="center"/>
          </w:tcPr>
          <w:p w14:paraId="546CEE8C">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r>
              <w:rPr>
                <w:rFonts w:ascii="Calibri" w:hAnsi="Calibri" w:eastAsia="宋体" w:cs="Times New Roman"/>
                <w:color w:val="auto"/>
                <w:kern w:val="0"/>
                <w:szCs w:val="21"/>
              </w:rPr>
              <w:t>序号</w:t>
            </w:r>
          </w:p>
        </w:tc>
        <w:tc>
          <w:tcPr>
            <w:tcW w:w="1711" w:type="dxa"/>
            <w:tcBorders>
              <w:top w:val="single" w:color="auto" w:sz="4" w:space="0"/>
              <w:left w:val="nil"/>
              <w:bottom w:val="single" w:color="auto" w:sz="4" w:space="0"/>
              <w:right w:val="single" w:color="auto" w:sz="4" w:space="0"/>
            </w:tcBorders>
            <w:noWrap w:val="0"/>
            <w:vAlign w:val="center"/>
          </w:tcPr>
          <w:p w14:paraId="00BF98B2">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r>
              <w:rPr>
                <w:rFonts w:ascii="Calibri" w:hAnsi="Calibri" w:eastAsia="宋体" w:cs="Times New Roman"/>
                <w:color w:val="auto"/>
                <w:kern w:val="0"/>
                <w:szCs w:val="21"/>
              </w:rPr>
              <w:t xml:space="preserve">项目名称 </w:t>
            </w:r>
          </w:p>
        </w:tc>
        <w:tc>
          <w:tcPr>
            <w:tcW w:w="1858" w:type="dxa"/>
            <w:tcBorders>
              <w:top w:val="single" w:color="auto" w:sz="4" w:space="0"/>
              <w:left w:val="nil"/>
              <w:bottom w:val="single" w:color="auto" w:sz="4" w:space="0"/>
              <w:right w:val="single" w:color="auto" w:sz="4" w:space="0"/>
            </w:tcBorders>
            <w:noWrap w:val="0"/>
            <w:vAlign w:val="center"/>
          </w:tcPr>
          <w:p w14:paraId="098F7E20">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r>
              <w:rPr>
                <w:rFonts w:hint="eastAsia" w:ascii="Calibri" w:hAnsi="Calibri" w:eastAsia="宋体" w:cs="Times New Roman"/>
                <w:color w:val="auto"/>
                <w:kern w:val="0"/>
                <w:szCs w:val="21"/>
              </w:rPr>
              <w:t>工作内容</w:t>
            </w:r>
          </w:p>
        </w:tc>
        <w:tc>
          <w:tcPr>
            <w:tcW w:w="1023" w:type="dxa"/>
            <w:tcBorders>
              <w:top w:val="single" w:color="auto" w:sz="4" w:space="0"/>
              <w:left w:val="nil"/>
              <w:bottom w:val="single" w:color="auto" w:sz="4" w:space="0"/>
              <w:right w:val="single" w:color="auto" w:sz="4" w:space="0"/>
            </w:tcBorders>
            <w:noWrap w:val="0"/>
            <w:vAlign w:val="center"/>
          </w:tcPr>
          <w:p w14:paraId="5C369F9B">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r>
              <w:rPr>
                <w:rFonts w:hint="eastAsia" w:ascii="Calibri" w:hAnsi="Calibri" w:eastAsia="宋体" w:cs="Times New Roman"/>
                <w:color w:val="auto"/>
                <w:kern w:val="0"/>
                <w:szCs w:val="21"/>
              </w:rPr>
              <w:t>单位</w:t>
            </w:r>
          </w:p>
        </w:tc>
        <w:tc>
          <w:tcPr>
            <w:tcW w:w="900" w:type="dxa"/>
            <w:tcBorders>
              <w:top w:val="single" w:color="auto" w:sz="4" w:space="0"/>
              <w:left w:val="nil"/>
              <w:bottom w:val="single" w:color="auto" w:sz="4" w:space="0"/>
              <w:right w:val="single" w:color="auto" w:sz="4" w:space="0"/>
            </w:tcBorders>
            <w:noWrap w:val="0"/>
            <w:vAlign w:val="center"/>
          </w:tcPr>
          <w:p w14:paraId="4632782D">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r>
              <w:rPr>
                <w:rFonts w:hint="eastAsia" w:ascii="Calibri" w:hAnsi="Calibri" w:eastAsia="宋体" w:cs="Times New Roman"/>
                <w:color w:val="auto"/>
                <w:kern w:val="0"/>
                <w:szCs w:val="21"/>
              </w:rPr>
              <w:t>数量</w:t>
            </w:r>
          </w:p>
        </w:tc>
        <w:tc>
          <w:tcPr>
            <w:tcW w:w="1081" w:type="dxa"/>
            <w:tcBorders>
              <w:top w:val="single" w:color="auto" w:sz="4" w:space="0"/>
              <w:left w:val="nil"/>
              <w:bottom w:val="single" w:color="auto" w:sz="4" w:space="0"/>
              <w:right w:val="single" w:color="auto" w:sz="4" w:space="0"/>
            </w:tcBorders>
            <w:noWrap w:val="0"/>
            <w:vAlign w:val="center"/>
          </w:tcPr>
          <w:p w14:paraId="312969FB">
            <w:pPr>
              <w:keepNext w:val="0"/>
              <w:keepLines w:val="0"/>
              <w:suppressLineNumbers w:val="0"/>
              <w:spacing w:before="0" w:beforeAutospacing="0" w:after="0" w:afterAutospacing="0"/>
              <w:ind w:left="0" w:right="0"/>
              <w:jc w:val="center"/>
              <w:rPr>
                <w:rFonts w:hint="eastAsia" w:ascii="Calibri" w:hAnsi="Calibri" w:eastAsia="宋体" w:cs="Times New Roman"/>
                <w:color w:val="auto"/>
                <w:kern w:val="0"/>
                <w:szCs w:val="21"/>
              </w:rPr>
            </w:pPr>
            <w:r>
              <w:rPr>
                <w:rFonts w:hint="eastAsia" w:ascii="Calibri" w:hAnsi="Calibri" w:eastAsia="宋体" w:cs="Times New Roman"/>
                <w:color w:val="auto"/>
                <w:kern w:val="0"/>
                <w:szCs w:val="21"/>
              </w:rPr>
              <w:t>单价</w:t>
            </w:r>
          </w:p>
        </w:tc>
        <w:tc>
          <w:tcPr>
            <w:tcW w:w="1036" w:type="dxa"/>
            <w:tcBorders>
              <w:top w:val="single" w:color="auto" w:sz="4" w:space="0"/>
              <w:left w:val="nil"/>
              <w:bottom w:val="single" w:color="auto" w:sz="4" w:space="0"/>
              <w:right w:val="single" w:color="auto" w:sz="4" w:space="0"/>
            </w:tcBorders>
            <w:noWrap w:val="0"/>
            <w:vAlign w:val="center"/>
          </w:tcPr>
          <w:p w14:paraId="6FA8E4B4">
            <w:pPr>
              <w:keepNext w:val="0"/>
              <w:keepLines w:val="0"/>
              <w:suppressLineNumbers w:val="0"/>
              <w:spacing w:before="0" w:beforeAutospacing="0" w:after="0" w:afterAutospacing="0"/>
              <w:ind w:left="0" w:right="0"/>
              <w:jc w:val="center"/>
              <w:rPr>
                <w:rFonts w:hint="eastAsia" w:ascii="Calibri" w:hAnsi="Calibri" w:eastAsia="宋体" w:cs="Times New Roman"/>
                <w:color w:val="auto"/>
                <w:kern w:val="0"/>
                <w:szCs w:val="21"/>
              </w:rPr>
            </w:pPr>
            <w:r>
              <w:rPr>
                <w:rFonts w:hint="eastAsia" w:ascii="Calibri" w:hAnsi="Calibri" w:eastAsia="宋体" w:cs="Times New Roman"/>
                <w:color w:val="auto"/>
                <w:kern w:val="0"/>
                <w:szCs w:val="21"/>
              </w:rPr>
              <w:t>合价</w:t>
            </w:r>
          </w:p>
        </w:tc>
      </w:tr>
      <w:tr w14:paraId="18844F88">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48C2E320">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6AB57DB7">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51AEC3D8">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23" w:type="dxa"/>
            <w:tcBorders>
              <w:top w:val="nil"/>
              <w:left w:val="nil"/>
              <w:bottom w:val="single" w:color="auto" w:sz="4" w:space="0"/>
              <w:right w:val="single" w:color="auto" w:sz="4" w:space="0"/>
            </w:tcBorders>
            <w:noWrap w:val="0"/>
            <w:vAlign w:val="center"/>
          </w:tcPr>
          <w:p w14:paraId="12BE46DA">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900" w:type="dxa"/>
            <w:tcBorders>
              <w:top w:val="nil"/>
              <w:left w:val="nil"/>
              <w:bottom w:val="single" w:color="auto" w:sz="4" w:space="0"/>
              <w:right w:val="single" w:color="auto" w:sz="4" w:space="0"/>
            </w:tcBorders>
            <w:noWrap w:val="0"/>
            <w:vAlign w:val="center"/>
          </w:tcPr>
          <w:p w14:paraId="2F046F3C">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81" w:type="dxa"/>
            <w:tcBorders>
              <w:top w:val="nil"/>
              <w:left w:val="nil"/>
              <w:bottom w:val="single" w:color="auto" w:sz="4" w:space="0"/>
              <w:right w:val="single" w:color="auto" w:sz="4" w:space="0"/>
            </w:tcBorders>
            <w:noWrap w:val="0"/>
            <w:vAlign w:val="center"/>
          </w:tcPr>
          <w:p w14:paraId="25C81E68">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36" w:type="dxa"/>
            <w:tcBorders>
              <w:top w:val="nil"/>
              <w:left w:val="nil"/>
              <w:bottom w:val="single" w:color="auto" w:sz="4" w:space="0"/>
              <w:right w:val="single" w:color="auto" w:sz="4" w:space="0"/>
            </w:tcBorders>
            <w:noWrap w:val="0"/>
            <w:vAlign w:val="center"/>
          </w:tcPr>
          <w:p w14:paraId="7E738EA1">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59E9FA92">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5D6E820A">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40712D53">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1DEB3382">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23" w:type="dxa"/>
            <w:tcBorders>
              <w:top w:val="nil"/>
              <w:left w:val="nil"/>
              <w:bottom w:val="single" w:color="auto" w:sz="4" w:space="0"/>
              <w:right w:val="single" w:color="auto" w:sz="4" w:space="0"/>
            </w:tcBorders>
            <w:noWrap w:val="0"/>
            <w:vAlign w:val="center"/>
          </w:tcPr>
          <w:p w14:paraId="3F29537F">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900" w:type="dxa"/>
            <w:tcBorders>
              <w:top w:val="nil"/>
              <w:left w:val="nil"/>
              <w:bottom w:val="single" w:color="auto" w:sz="4" w:space="0"/>
              <w:right w:val="single" w:color="auto" w:sz="4" w:space="0"/>
            </w:tcBorders>
            <w:noWrap w:val="0"/>
            <w:vAlign w:val="center"/>
          </w:tcPr>
          <w:p w14:paraId="75579E2D">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81" w:type="dxa"/>
            <w:tcBorders>
              <w:top w:val="nil"/>
              <w:left w:val="nil"/>
              <w:bottom w:val="single" w:color="auto" w:sz="4" w:space="0"/>
              <w:right w:val="single" w:color="auto" w:sz="4" w:space="0"/>
            </w:tcBorders>
            <w:noWrap w:val="0"/>
            <w:vAlign w:val="center"/>
          </w:tcPr>
          <w:p w14:paraId="6A2E3989">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36" w:type="dxa"/>
            <w:tcBorders>
              <w:top w:val="nil"/>
              <w:left w:val="nil"/>
              <w:bottom w:val="single" w:color="auto" w:sz="4" w:space="0"/>
              <w:right w:val="single" w:color="auto" w:sz="4" w:space="0"/>
            </w:tcBorders>
            <w:noWrap w:val="0"/>
            <w:vAlign w:val="center"/>
          </w:tcPr>
          <w:p w14:paraId="4846E6D8">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4E837D03">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19F7F895">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78AD4D49">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140A30F1">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1253F815">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23" w:type="dxa"/>
            <w:tcBorders>
              <w:top w:val="nil"/>
              <w:left w:val="nil"/>
              <w:bottom w:val="single" w:color="auto" w:sz="4" w:space="0"/>
              <w:right w:val="single" w:color="auto" w:sz="4" w:space="0"/>
            </w:tcBorders>
            <w:noWrap w:val="0"/>
            <w:vAlign w:val="center"/>
          </w:tcPr>
          <w:p w14:paraId="2E88467E">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900" w:type="dxa"/>
            <w:tcBorders>
              <w:top w:val="nil"/>
              <w:left w:val="nil"/>
              <w:bottom w:val="single" w:color="auto" w:sz="4" w:space="0"/>
              <w:right w:val="single" w:color="auto" w:sz="4" w:space="0"/>
            </w:tcBorders>
            <w:noWrap w:val="0"/>
            <w:vAlign w:val="center"/>
          </w:tcPr>
          <w:p w14:paraId="5C6F01B8">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81" w:type="dxa"/>
            <w:tcBorders>
              <w:top w:val="nil"/>
              <w:left w:val="nil"/>
              <w:bottom w:val="single" w:color="auto" w:sz="4" w:space="0"/>
              <w:right w:val="single" w:color="auto" w:sz="4" w:space="0"/>
            </w:tcBorders>
            <w:noWrap w:val="0"/>
            <w:vAlign w:val="center"/>
          </w:tcPr>
          <w:p w14:paraId="2A105871">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36" w:type="dxa"/>
            <w:tcBorders>
              <w:top w:val="nil"/>
              <w:left w:val="nil"/>
              <w:bottom w:val="single" w:color="auto" w:sz="4" w:space="0"/>
              <w:right w:val="single" w:color="auto" w:sz="4" w:space="0"/>
            </w:tcBorders>
            <w:noWrap w:val="0"/>
            <w:vAlign w:val="center"/>
          </w:tcPr>
          <w:p w14:paraId="7B981DD0">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0A1DA067">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3ECC67FB">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47137FFF">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3475EE99">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6EA7AC98">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23" w:type="dxa"/>
            <w:tcBorders>
              <w:top w:val="nil"/>
              <w:left w:val="nil"/>
              <w:bottom w:val="single" w:color="auto" w:sz="4" w:space="0"/>
              <w:right w:val="single" w:color="auto" w:sz="4" w:space="0"/>
            </w:tcBorders>
            <w:noWrap w:val="0"/>
            <w:vAlign w:val="center"/>
          </w:tcPr>
          <w:p w14:paraId="67C32F91">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900" w:type="dxa"/>
            <w:tcBorders>
              <w:top w:val="nil"/>
              <w:left w:val="nil"/>
              <w:bottom w:val="single" w:color="auto" w:sz="4" w:space="0"/>
              <w:right w:val="single" w:color="auto" w:sz="4" w:space="0"/>
            </w:tcBorders>
            <w:noWrap w:val="0"/>
            <w:vAlign w:val="center"/>
          </w:tcPr>
          <w:p w14:paraId="0E35E5A9">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81" w:type="dxa"/>
            <w:tcBorders>
              <w:top w:val="nil"/>
              <w:left w:val="nil"/>
              <w:bottom w:val="single" w:color="auto" w:sz="4" w:space="0"/>
              <w:right w:val="single" w:color="auto" w:sz="4" w:space="0"/>
            </w:tcBorders>
            <w:noWrap w:val="0"/>
            <w:vAlign w:val="center"/>
          </w:tcPr>
          <w:p w14:paraId="2013E181">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36" w:type="dxa"/>
            <w:tcBorders>
              <w:top w:val="nil"/>
              <w:left w:val="nil"/>
              <w:bottom w:val="single" w:color="auto" w:sz="4" w:space="0"/>
              <w:right w:val="single" w:color="auto" w:sz="4" w:space="0"/>
            </w:tcBorders>
            <w:noWrap w:val="0"/>
            <w:vAlign w:val="center"/>
          </w:tcPr>
          <w:p w14:paraId="4896CB5A">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33EABE4A">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78BA71DE">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0944E60D">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64F09CFA">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4BF98C84">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23" w:type="dxa"/>
            <w:tcBorders>
              <w:top w:val="nil"/>
              <w:left w:val="nil"/>
              <w:bottom w:val="single" w:color="auto" w:sz="4" w:space="0"/>
              <w:right w:val="single" w:color="auto" w:sz="4" w:space="0"/>
            </w:tcBorders>
            <w:noWrap w:val="0"/>
            <w:vAlign w:val="center"/>
          </w:tcPr>
          <w:p w14:paraId="73D28018">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900" w:type="dxa"/>
            <w:tcBorders>
              <w:top w:val="nil"/>
              <w:left w:val="nil"/>
              <w:bottom w:val="single" w:color="auto" w:sz="4" w:space="0"/>
              <w:right w:val="single" w:color="auto" w:sz="4" w:space="0"/>
            </w:tcBorders>
            <w:noWrap w:val="0"/>
            <w:vAlign w:val="center"/>
          </w:tcPr>
          <w:p w14:paraId="1F4BE4E5">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81" w:type="dxa"/>
            <w:tcBorders>
              <w:top w:val="nil"/>
              <w:left w:val="nil"/>
              <w:bottom w:val="single" w:color="auto" w:sz="4" w:space="0"/>
              <w:right w:val="single" w:color="auto" w:sz="4" w:space="0"/>
            </w:tcBorders>
            <w:noWrap w:val="0"/>
            <w:vAlign w:val="center"/>
          </w:tcPr>
          <w:p w14:paraId="5AE8F41A">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36" w:type="dxa"/>
            <w:tcBorders>
              <w:top w:val="nil"/>
              <w:left w:val="nil"/>
              <w:bottom w:val="single" w:color="auto" w:sz="4" w:space="0"/>
              <w:right w:val="single" w:color="auto" w:sz="4" w:space="0"/>
            </w:tcBorders>
            <w:noWrap w:val="0"/>
            <w:vAlign w:val="center"/>
          </w:tcPr>
          <w:p w14:paraId="2B051987">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0E08A829">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58636B2D">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6738230E">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094AF894">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6A240230">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23" w:type="dxa"/>
            <w:tcBorders>
              <w:top w:val="nil"/>
              <w:left w:val="nil"/>
              <w:bottom w:val="single" w:color="auto" w:sz="4" w:space="0"/>
              <w:right w:val="single" w:color="auto" w:sz="4" w:space="0"/>
            </w:tcBorders>
            <w:noWrap w:val="0"/>
            <w:vAlign w:val="center"/>
          </w:tcPr>
          <w:p w14:paraId="02A46726">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900" w:type="dxa"/>
            <w:tcBorders>
              <w:top w:val="nil"/>
              <w:left w:val="nil"/>
              <w:bottom w:val="single" w:color="auto" w:sz="4" w:space="0"/>
              <w:right w:val="single" w:color="auto" w:sz="4" w:space="0"/>
            </w:tcBorders>
            <w:noWrap w:val="0"/>
            <w:vAlign w:val="center"/>
          </w:tcPr>
          <w:p w14:paraId="62047A35">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81" w:type="dxa"/>
            <w:tcBorders>
              <w:top w:val="nil"/>
              <w:left w:val="nil"/>
              <w:bottom w:val="single" w:color="auto" w:sz="4" w:space="0"/>
              <w:right w:val="single" w:color="auto" w:sz="4" w:space="0"/>
            </w:tcBorders>
            <w:noWrap w:val="0"/>
            <w:vAlign w:val="center"/>
          </w:tcPr>
          <w:p w14:paraId="12622C3D">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36" w:type="dxa"/>
            <w:tcBorders>
              <w:top w:val="nil"/>
              <w:left w:val="nil"/>
              <w:bottom w:val="single" w:color="auto" w:sz="4" w:space="0"/>
              <w:right w:val="single" w:color="auto" w:sz="4" w:space="0"/>
            </w:tcBorders>
            <w:noWrap w:val="0"/>
            <w:vAlign w:val="center"/>
          </w:tcPr>
          <w:p w14:paraId="5B6DE200">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7A882A5B">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124346B2">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4DE26983">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642AEB6A">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23" w:type="dxa"/>
            <w:tcBorders>
              <w:top w:val="nil"/>
              <w:left w:val="nil"/>
              <w:bottom w:val="single" w:color="auto" w:sz="4" w:space="0"/>
              <w:right w:val="single" w:color="auto" w:sz="4" w:space="0"/>
            </w:tcBorders>
            <w:noWrap w:val="0"/>
            <w:vAlign w:val="center"/>
          </w:tcPr>
          <w:p w14:paraId="6AA0B31B">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900" w:type="dxa"/>
            <w:tcBorders>
              <w:top w:val="nil"/>
              <w:left w:val="nil"/>
              <w:bottom w:val="single" w:color="auto" w:sz="4" w:space="0"/>
              <w:right w:val="single" w:color="auto" w:sz="4" w:space="0"/>
            </w:tcBorders>
            <w:noWrap w:val="0"/>
            <w:vAlign w:val="center"/>
          </w:tcPr>
          <w:p w14:paraId="64B15602">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81" w:type="dxa"/>
            <w:tcBorders>
              <w:top w:val="nil"/>
              <w:left w:val="nil"/>
              <w:bottom w:val="single" w:color="auto" w:sz="4" w:space="0"/>
              <w:right w:val="single" w:color="auto" w:sz="4" w:space="0"/>
            </w:tcBorders>
            <w:noWrap w:val="0"/>
            <w:vAlign w:val="center"/>
          </w:tcPr>
          <w:p w14:paraId="2F5254FF">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36" w:type="dxa"/>
            <w:tcBorders>
              <w:top w:val="nil"/>
              <w:left w:val="nil"/>
              <w:bottom w:val="single" w:color="auto" w:sz="4" w:space="0"/>
              <w:right w:val="single" w:color="auto" w:sz="4" w:space="0"/>
            </w:tcBorders>
            <w:noWrap w:val="0"/>
            <w:vAlign w:val="center"/>
          </w:tcPr>
          <w:p w14:paraId="4DDC361F">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191D7EE9">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7D802943">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4003139B">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57B0317E">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088F51D8">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23" w:type="dxa"/>
            <w:tcBorders>
              <w:top w:val="nil"/>
              <w:left w:val="nil"/>
              <w:bottom w:val="single" w:color="auto" w:sz="4" w:space="0"/>
              <w:right w:val="single" w:color="auto" w:sz="4" w:space="0"/>
            </w:tcBorders>
            <w:noWrap w:val="0"/>
            <w:vAlign w:val="center"/>
          </w:tcPr>
          <w:p w14:paraId="164E1DFC">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900" w:type="dxa"/>
            <w:tcBorders>
              <w:top w:val="nil"/>
              <w:left w:val="nil"/>
              <w:bottom w:val="single" w:color="auto" w:sz="4" w:space="0"/>
              <w:right w:val="single" w:color="auto" w:sz="4" w:space="0"/>
            </w:tcBorders>
            <w:noWrap w:val="0"/>
            <w:vAlign w:val="center"/>
          </w:tcPr>
          <w:p w14:paraId="1A4B87CA">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81" w:type="dxa"/>
            <w:tcBorders>
              <w:top w:val="nil"/>
              <w:left w:val="nil"/>
              <w:bottom w:val="single" w:color="auto" w:sz="4" w:space="0"/>
              <w:right w:val="single" w:color="auto" w:sz="4" w:space="0"/>
            </w:tcBorders>
            <w:noWrap w:val="0"/>
            <w:vAlign w:val="center"/>
          </w:tcPr>
          <w:p w14:paraId="27B5C1A7">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36" w:type="dxa"/>
            <w:tcBorders>
              <w:top w:val="nil"/>
              <w:left w:val="nil"/>
              <w:bottom w:val="single" w:color="auto" w:sz="4" w:space="0"/>
              <w:right w:val="single" w:color="auto" w:sz="4" w:space="0"/>
            </w:tcBorders>
            <w:noWrap w:val="0"/>
            <w:vAlign w:val="center"/>
          </w:tcPr>
          <w:p w14:paraId="57A21DC3">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7BFF62D9">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57737AA7">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2076100E">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64015442">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6DFB606F">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23" w:type="dxa"/>
            <w:tcBorders>
              <w:top w:val="nil"/>
              <w:left w:val="nil"/>
              <w:bottom w:val="single" w:color="auto" w:sz="4" w:space="0"/>
              <w:right w:val="single" w:color="auto" w:sz="4" w:space="0"/>
            </w:tcBorders>
            <w:noWrap w:val="0"/>
            <w:vAlign w:val="center"/>
          </w:tcPr>
          <w:p w14:paraId="5748E846">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900" w:type="dxa"/>
            <w:tcBorders>
              <w:top w:val="nil"/>
              <w:left w:val="nil"/>
              <w:bottom w:val="single" w:color="auto" w:sz="4" w:space="0"/>
              <w:right w:val="single" w:color="auto" w:sz="4" w:space="0"/>
            </w:tcBorders>
            <w:noWrap w:val="0"/>
            <w:vAlign w:val="center"/>
          </w:tcPr>
          <w:p w14:paraId="0FE865E1">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81" w:type="dxa"/>
            <w:tcBorders>
              <w:top w:val="nil"/>
              <w:left w:val="nil"/>
              <w:bottom w:val="single" w:color="auto" w:sz="4" w:space="0"/>
              <w:right w:val="single" w:color="auto" w:sz="4" w:space="0"/>
            </w:tcBorders>
            <w:noWrap w:val="0"/>
            <w:vAlign w:val="center"/>
          </w:tcPr>
          <w:p w14:paraId="65B84BA3">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36" w:type="dxa"/>
            <w:tcBorders>
              <w:top w:val="nil"/>
              <w:left w:val="nil"/>
              <w:bottom w:val="single" w:color="auto" w:sz="4" w:space="0"/>
              <w:right w:val="single" w:color="auto" w:sz="4" w:space="0"/>
            </w:tcBorders>
            <w:noWrap w:val="0"/>
            <w:vAlign w:val="center"/>
          </w:tcPr>
          <w:p w14:paraId="23343475">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790CC7A7">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24F21E52">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75E93942">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10F57CAE">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1BC92709">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23" w:type="dxa"/>
            <w:tcBorders>
              <w:top w:val="nil"/>
              <w:left w:val="nil"/>
              <w:bottom w:val="single" w:color="auto" w:sz="4" w:space="0"/>
              <w:right w:val="single" w:color="auto" w:sz="4" w:space="0"/>
            </w:tcBorders>
            <w:noWrap w:val="0"/>
            <w:vAlign w:val="center"/>
          </w:tcPr>
          <w:p w14:paraId="74A04387">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900" w:type="dxa"/>
            <w:tcBorders>
              <w:top w:val="nil"/>
              <w:left w:val="nil"/>
              <w:bottom w:val="single" w:color="auto" w:sz="4" w:space="0"/>
              <w:right w:val="single" w:color="auto" w:sz="4" w:space="0"/>
            </w:tcBorders>
            <w:noWrap w:val="0"/>
            <w:vAlign w:val="center"/>
          </w:tcPr>
          <w:p w14:paraId="33455797">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81" w:type="dxa"/>
            <w:tcBorders>
              <w:top w:val="nil"/>
              <w:left w:val="nil"/>
              <w:bottom w:val="single" w:color="auto" w:sz="4" w:space="0"/>
              <w:right w:val="single" w:color="auto" w:sz="4" w:space="0"/>
            </w:tcBorders>
            <w:noWrap w:val="0"/>
            <w:vAlign w:val="center"/>
          </w:tcPr>
          <w:p w14:paraId="09D57D19">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36" w:type="dxa"/>
            <w:tcBorders>
              <w:top w:val="nil"/>
              <w:left w:val="nil"/>
              <w:bottom w:val="single" w:color="auto" w:sz="4" w:space="0"/>
              <w:right w:val="single" w:color="auto" w:sz="4" w:space="0"/>
            </w:tcBorders>
            <w:noWrap w:val="0"/>
            <w:vAlign w:val="center"/>
          </w:tcPr>
          <w:p w14:paraId="3F04BCFF">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0A66FE4C">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6EBD588B">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6AC6D905">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6351AA3A">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23" w:type="dxa"/>
            <w:tcBorders>
              <w:top w:val="nil"/>
              <w:left w:val="nil"/>
              <w:bottom w:val="single" w:color="auto" w:sz="4" w:space="0"/>
              <w:right w:val="single" w:color="auto" w:sz="4" w:space="0"/>
            </w:tcBorders>
            <w:noWrap w:val="0"/>
            <w:vAlign w:val="center"/>
          </w:tcPr>
          <w:p w14:paraId="4E000DF0">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900" w:type="dxa"/>
            <w:tcBorders>
              <w:top w:val="nil"/>
              <w:left w:val="nil"/>
              <w:bottom w:val="single" w:color="auto" w:sz="4" w:space="0"/>
              <w:right w:val="single" w:color="auto" w:sz="4" w:space="0"/>
            </w:tcBorders>
            <w:noWrap w:val="0"/>
            <w:vAlign w:val="center"/>
          </w:tcPr>
          <w:p w14:paraId="7C73F271">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81" w:type="dxa"/>
            <w:tcBorders>
              <w:top w:val="nil"/>
              <w:left w:val="nil"/>
              <w:bottom w:val="single" w:color="auto" w:sz="4" w:space="0"/>
              <w:right w:val="single" w:color="auto" w:sz="4" w:space="0"/>
            </w:tcBorders>
            <w:noWrap w:val="0"/>
            <w:vAlign w:val="center"/>
          </w:tcPr>
          <w:p w14:paraId="209DBC5D">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36" w:type="dxa"/>
            <w:tcBorders>
              <w:top w:val="nil"/>
              <w:left w:val="nil"/>
              <w:bottom w:val="single" w:color="auto" w:sz="4" w:space="0"/>
              <w:right w:val="single" w:color="auto" w:sz="4" w:space="0"/>
            </w:tcBorders>
            <w:noWrap w:val="0"/>
            <w:vAlign w:val="center"/>
          </w:tcPr>
          <w:p w14:paraId="0F03FFCB">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33D18107">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6042544A">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50B5BC88">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18379783">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0AC079B2">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23" w:type="dxa"/>
            <w:tcBorders>
              <w:top w:val="nil"/>
              <w:left w:val="nil"/>
              <w:bottom w:val="single" w:color="auto" w:sz="4" w:space="0"/>
              <w:right w:val="single" w:color="auto" w:sz="4" w:space="0"/>
            </w:tcBorders>
            <w:noWrap w:val="0"/>
            <w:vAlign w:val="center"/>
          </w:tcPr>
          <w:p w14:paraId="738F4AA4">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900" w:type="dxa"/>
            <w:tcBorders>
              <w:top w:val="nil"/>
              <w:left w:val="nil"/>
              <w:bottom w:val="single" w:color="auto" w:sz="4" w:space="0"/>
              <w:right w:val="single" w:color="auto" w:sz="4" w:space="0"/>
            </w:tcBorders>
            <w:noWrap w:val="0"/>
            <w:vAlign w:val="center"/>
          </w:tcPr>
          <w:p w14:paraId="60EA7FCE">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81" w:type="dxa"/>
            <w:tcBorders>
              <w:top w:val="nil"/>
              <w:left w:val="nil"/>
              <w:bottom w:val="single" w:color="auto" w:sz="4" w:space="0"/>
              <w:right w:val="single" w:color="auto" w:sz="4" w:space="0"/>
            </w:tcBorders>
            <w:noWrap w:val="0"/>
            <w:vAlign w:val="center"/>
          </w:tcPr>
          <w:p w14:paraId="55B45B4B">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36" w:type="dxa"/>
            <w:tcBorders>
              <w:top w:val="nil"/>
              <w:left w:val="nil"/>
              <w:bottom w:val="single" w:color="auto" w:sz="4" w:space="0"/>
              <w:right w:val="single" w:color="auto" w:sz="4" w:space="0"/>
            </w:tcBorders>
            <w:noWrap w:val="0"/>
            <w:vAlign w:val="center"/>
          </w:tcPr>
          <w:p w14:paraId="46A19973">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64A95DF5">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37A4AB2D">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6FFB6DB4">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4E887E11">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496D8D70">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23" w:type="dxa"/>
            <w:tcBorders>
              <w:top w:val="nil"/>
              <w:left w:val="nil"/>
              <w:bottom w:val="single" w:color="auto" w:sz="4" w:space="0"/>
              <w:right w:val="single" w:color="auto" w:sz="4" w:space="0"/>
            </w:tcBorders>
            <w:noWrap w:val="0"/>
            <w:vAlign w:val="center"/>
          </w:tcPr>
          <w:p w14:paraId="0390A1AF">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900" w:type="dxa"/>
            <w:tcBorders>
              <w:top w:val="nil"/>
              <w:left w:val="nil"/>
              <w:bottom w:val="single" w:color="auto" w:sz="4" w:space="0"/>
              <w:right w:val="single" w:color="auto" w:sz="4" w:space="0"/>
            </w:tcBorders>
            <w:noWrap w:val="0"/>
            <w:vAlign w:val="center"/>
          </w:tcPr>
          <w:p w14:paraId="71C820CE">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81" w:type="dxa"/>
            <w:tcBorders>
              <w:top w:val="nil"/>
              <w:left w:val="nil"/>
              <w:bottom w:val="single" w:color="auto" w:sz="4" w:space="0"/>
              <w:right w:val="single" w:color="auto" w:sz="4" w:space="0"/>
            </w:tcBorders>
            <w:noWrap w:val="0"/>
            <w:vAlign w:val="center"/>
          </w:tcPr>
          <w:p w14:paraId="082F46AD">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36" w:type="dxa"/>
            <w:tcBorders>
              <w:top w:val="nil"/>
              <w:left w:val="nil"/>
              <w:bottom w:val="single" w:color="auto" w:sz="4" w:space="0"/>
              <w:right w:val="single" w:color="auto" w:sz="4" w:space="0"/>
            </w:tcBorders>
            <w:noWrap w:val="0"/>
            <w:vAlign w:val="center"/>
          </w:tcPr>
          <w:p w14:paraId="77647A31">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07E57F73">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2D5A7CC1">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3D677E3D">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599B51EE">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2B0DAE44">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023" w:type="dxa"/>
            <w:tcBorders>
              <w:top w:val="nil"/>
              <w:left w:val="nil"/>
              <w:bottom w:val="single" w:color="auto" w:sz="4" w:space="0"/>
              <w:right w:val="single" w:color="auto" w:sz="4" w:space="0"/>
            </w:tcBorders>
            <w:noWrap w:val="0"/>
            <w:vAlign w:val="center"/>
          </w:tcPr>
          <w:p w14:paraId="50B4A93D">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900" w:type="dxa"/>
            <w:tcBorders>
              <w:top w:val="nil"/>
              <w:left w:val="nil"/>
              <w:bottom w:val="single" w:color="auto" w:sz="4" w:space="0"/>
              <w:right w:val="single" w:color="auto" w:sz="4" w:space="0"/>
            </w:tcBorders>
            <w:noWrap w:val="0"/>
            <w:vAlign w:val="center"/>
          </w:tcPr>
          <w:p w14:paraId="40C308C3">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81" w:type="dxa"/>
            <w:tcBorders>
              <w:top w:val="nil"/>
              <w:left w:val="nil"/>
              <w:bottom w:val="single" w:color="auto" w:sz="4" w:space="0"/>
              <w:right w:val="single" w:color="auto" w:sz="4" w:space="0"/>
            </w:tcBorders>
            <w:noWrap w:val="0"/>
            <w:vAlign w:val="center"/>
          </w:tcPr>
          <w:p w14:paraId="35CB297C">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036" w:type="dxa"/>
            <w:tcBorders>
              <w:top w:val="nil"/>
              <w:left w:val="nil"/>
              <w:bottom w:val="single" w:color="auto" w:sz="4" w:space="0"/>
              <w:right w:val="single" w:color="auto" w:sz="4" w:space="0"/>
            </w:tcBorders>
            <w:noWrap w:val="0"/>
            <w:vAlign w:val="center"/>
          </w:tcPr>
          <w:p w14:paraId="23CA0388">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34EC66F7">
        <w:tblPrEx>
          <w:tblCellMar>
            <w:top w:w="0" w:type="dxa"/>
            <w:left w:w="108" w:type="dxa"/>
            <w:bottom w:w="0" w:type="dxa"/>
            <w:right w:w="108" w:type="dxa"/>
          </w:tblCellMar>
        </w:tblPrEx>
        <w:trPr>
          <w:trHeight w:val="832" w:hRule="atLeast"/>
          <w:jc w:val="center"/>
        </w:trPr>
        <w:tc>
          <w:tcPr>
            <w:tcW w:w="2624" w:type="dxa"/>
            <w:gridSpan w:val="2"/>
            <w:tcBorders>
              <w:top w:val="nil"/>
              <w:left w:val="single" w:color="auto" w:sz="4" w:space="0"/>
              <w:bottom w:val="single" w:color="auto" w:sz="4" w:space="0"/>
              <w:right w:val="single" w:color="auto" w:sz="4" w:space="0"/>
            </w:tcBorders>
            <w:noWrap w:val="0"/>
            <w:vAlign w:val="center"/>
          </w:tcPr>
          <w:p w14:paraId="727B2CD5">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r>
              <w:rPr>
                <w:rFonts w:hint="eastAsia" w:ascii="Calibri" w:hAnsi="Calibri" w:eastAsia="宋体" w:cs="Times New Roman"/>
                <w:color w:val="auto"/>
                <w:kern w:val="0"/>
                <w:szCs w:val="21"/>
              </w:rPr>
              <w:t>合计报价</w:t>
            </w:r>
          </w:p>
        </w:tc>
        <w:tc>
          <w:tcPr>
            <w:tcW w:w="5898" w:type="dxa"/>
            <w:gridSpan w:val="5"/>
            <w:tcBorders>
              <w:top w:val="single" w:color="auto" w:sz="4" w:space="0"/>
              <w:left w:val="nil"/>
              <w:bottom w:val="single" w:color="auto" w:sz="4" w:space="0"/>
              <w:right w:val="single" w:color="auto" w:sz="4" w:space="0"/>
            </w:tcBorders>
            <w:noWrap w:val="0"/>
            <w:vAlign w:val="center"/>
          </w:tcPr>
          <w:p w14:paraId="213D10D2">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bl>
    <w:p w14:paraId="3012561B">
      <w:pPr>
        <w:pStyle w:val="4"/>
        <w:spacing w:before="159"/>
        <w:rPr>
          <w:rFonts w:hint="eastAsia"/>
          <w:color w:val="auto"/>
        </w:rPr>
      </w:pPr>
      <w:bookmarkStart w:id="2327" w:name="_Toc16767"/>
      <w:bookmarkStart w:id="2328" w:name="_Toc519085643"/>
      <w:bookmarkStart w:id="2329" w:name="_Toc154064066"/>
      <w:r>
        <w:rPr>
          <w:rFonts w:hint="eastAsia"/>
          <w:color w:val="auto"/>
        </w:rPr>
        <w:t>2.5 技术服务</w:t>
      </w:r>
      <w:r>
        <w:rPr>
          <w:color w:val="auto"/>
        </w:rPr>
        <w:t>费</w:t>
      </w:r>
      <w:r>
        <w:rPr>
          <w:rFonts w:hint="eastAsia"/>
          <w:color w:val="auto"/>
        </w:rPr>
        <w:t>清单</w:t>
      </w:r>
      <w:bookmarkEnd w:id="2327"/>
      <w:bookmarkEnd w:id="2328"/>
      <w:bookmarkEnd w:id="2329"/>
    </w:p>
    <w:p w14:paraId="1CB45577">
      <w:pPr>
        <w:widowControl/>
        <w:jc w:val="right"/>
        <w:rPr>
          <w:color w:val="auto"/>
          <w:kern w:val="0"/>
          <w:sz w:val="20"/>
        </w:rPr>
      </w:pPr>
      <w:r>
        <w:rPr>
          <w:rFonts w:hint="eastAsia"/>
          <w:color w:val="auto"/>
          <w:kern w:val="0"/>
        </w:rPr>
        <w:t>单位：人民币元</w:t>
      </w:r>
    </w:p>
    <w:tbl>
      <w:tblPr>
        <w:tblStyle w:val="41"/>
        <w:tblW w:w="0" w:type="auto"/>
        <w:jc w:val="center"/>
        <w:tblLayout w:type="fixed"/>
        <w:tblCellMar>
          <w:top w:w="0" w:type="dxa"/>
          <w:left w:w="108" w:type="dxa"/>
          <w:bottom w:w="0" w:type="dxa"/>
          <w:right w:w="108" w:type="dxa"/>
        </w:tblCellMar>
      </w:tblPr>
      <w:tblGrid>
        <w:gridCol w:w="916"/>
        <w:gridCol w:w="2430"/>
        <w:gridCol w:w="1140"/>
        <w:gridCol w:w="2132"/>
        <w:gridCol w:w="1904"/>
      </w:tblGrid>
      <w:tr w14:paraId="5CC6F2A4">
        <w:tblPrEx>
          <w:tblCellMar>
            <w:top w:w="0" w:type="dxa"/>
            <w:left w:w="108" w:type="dxa"/>
            <w:bottom w:w="0" w:type="dxa"/>
            <w:right w:w="108" w:type="dxa"/>
          </w:tblCellMar>
        </w:tblPrEx>
        <w:trPr>
          <w:trHeight w:val="702" w:hRule="atLeast"/>
          <w:jc w:val="center"/>
        </w:trPr>
        <w:tc>
          <w:tcPr>
            <w:tcW w:w="916" w:type="dxa"/>
            <w:tcBorders>
              <w:top w:val="single" w:color="auto" w:sz="4" w:space="0"/>
              <w:left w:val="single" w:color="auto" w:sz="4" w:space="0"/>
              <w:bottom w:val="single" w:color="auto" w:sz="4" w:space="0"/>
              <w:right w:val="single" w:color="auto" w:sz="4" w:space="0"/>
            </w:tcBorders>
            <w:noWrap w:val="0"/>
            <w:vAlign w:val="center"/>
          </w:tcPr>
          <w:p w14:paraId="565308D8">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r>
              <w:rPr>
                <w:rFonts w:ascii="Calibri" w:hAnsi="Calibri" w:eastAsia="宋体" w:cs="Times New Roman"/>
                <w:color w:val="auto"/>
                <w:kern w:val="0"/>
                <w:szCs w:val="21"/>
              </w:rPr>
              <w:t>序号</w:t>
            </w:r>
          </w:p>
        </w:tc>
        <w:tc>
          <w:tcPr>
            <w:tcW w:w="2430" w:type="dxa"/>
            <w:tcBorders>
              <w:top w:val="single" w:color="auto" w:sz="4" w:space="0"/>
              <w:left w:val="nil"/>
              <w:bottom w:val="single" w:color="auto" w:sz="4" w:space="0"/>
              <w:right w:val="single" w:color="auto" w:sz="4" w:space="0"/>
            </w:tcBorders>
            <w:noWrap w:val="0"/>
            <w:vAlign w:val="center"/>
          </w:tcPr>
          <w:p w14:paraId="3FAA80DF">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r>
              <w:rPr>
                <w:rFonts w:ascii="Calibri" w:hAnsi="Calibri" w:eastAsia="宋体" w:cs="Times New Roman"/>
                <w:color w:val="auto"/>
                <w:kern w:val="0"/>
                <w:szCs w:val="21"/>
              </w:rPr>
              <w:t xml:space="preserve">项目名称 </w:t>
            </w:r>
          </w:p>
        </w:tc>
        <w:tc>
          <w:tcPr>
            <w:tcW w:w="1140" w:type="dxa"/>
            <w:tcBorders>
              <w:top w:val="single" w:color="auto" w:sz="4" w:space="0"/>
              <w:left w:val="nil"/>
              <w:bottom w:val="single" w:color="auto" w:sz="4" w:space="0"/>
              <w:right w:val="single" w:color="auto" w:sz="4" w:space="0"/>
            </w:tcBorders>
            <w:noWrap w:val="0"/>
            <w:vAlign w:val="center"/>
          </w:tcPr>
          <w:p w14:paraId="10F89A55">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r>
              <w:rPr>
                <w:rFonts w:hint="eastAsia" w:ascii="Calibri" w:hAnsi="Calibri" w:eastAsia="宋体" w:cs="Times New Roman"/>
                <w:color w:val="auto"/>
                <w:kern w:val="0"/>
                <w:szCs w:val="21"/>
              </w:rPr>
              <w:t>工作内容</w:t>
            </w:r>
          </w:p>
        </w:tc>
        <w:tc>
          <w:tcPr>
            <w:tcW w:w="2132" w:type="dxa"/>
            <w:tcBorders>
              <w:top w:val="single" w:color="auto" w:sz="4" w:space="0"/>
              <w:left w:val="nil"/>
              <w:bottom w:val="single" w:color="auto" w:sz="4" w:space="0"/>
              <w:right w:val="single" w:color="auto" w:sz="4" w:space="0"/>
            </w:tcBorders>
            <w:noWrap w:val="0"/>
            <w:vAlign w:val="center"/>
          </w:tcPr>
          <w:p w14:paraId="65F9F2E9">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r>
              <w:rPr>
                <w:rFonts w:ascii="Calibri" w:hAnsi="Calibri" w:eastAsia="宋体" w:cs="Times New Roman"/>
                <w:color w:val="auto"/>
                <w:kern w:val="0"/>
                <w:szCs w:val="21"/>
              </w:rPr>
              <w:t>金 额</w:t>
            </w:r>
          </w:p>
        </w:tc>
        <w:tc>
          <w:tcPr>
            <w:tcW w:w="1904" w:type="dxa"/>
            <w:tcBorders>
              <w:top w:val="single" w:color="auto" w:sz="4" w:space="0"/>
              <w:left w:val="nil"/>
              <w:bottom w:val="single" w:color="auto" w:sz="4" w:space="0"/>
              <w:right w:val="single" w:color="auto" w:sz="4" w:space="0"/>
            </w:tcBorders>
            <w:noWrap w:val="0"/>
            <w:vAlign w:val="center"/>
          </w:tcPr>
          <w:p w14:paraId="35F35F70">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r>
              <w:rPr>
                <w:rFonts w:hint="eastAsia" w:ascii="Calibri" w:hAnsi="Calibri" w:eastAsia="宋体" w:cs="Times New Roman"/>
                <w:color w:val="auto"/>
                <w:kern w:val="0"/>
                <w:szCs w:val="21"/>
              </w:rPr>
              <w:t>备注</w:t>
            </w:r>
          </w:p>
        </w:tc>
      </w:tr>
      <w:tr w14:paraId="4B0DA861">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1D123FB1">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2C5A3205">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5C9C2461">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1117A7A5">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1726F2B2">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1E6237A0">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DA2B341">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4C7D8AC6">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0E0CB27E">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79A1E5CC">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54B450BB">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60210CEA">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3FC5CF1">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3F4F6715">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3C77611">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3480D2C6">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73AE764F">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681178ED">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2A03858D">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20FE92FC">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6C2043A8">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7BBC0B69">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6DE48BEF">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002969FB">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52ECD245">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64897642">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DBFCEB6">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515676A0">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338E906">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1E97166">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4E311047">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5B634919">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51CAAB0C">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2247F97A">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32C4DB16">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49B85EFE">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6431A38F">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5257033B">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6A3E507A">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26630D57">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2D89D6E">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25BC3F72">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34A114A2">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1996BBEF">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26D3B502">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59960677">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1D12D47">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5EF14352">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2E8E11CF">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75CEEDC">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15A36911">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1E2EE3EB">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533D5CDB">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2E22EA6A">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455E9E4B">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7351364">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697AA497">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2D3443A8">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21520BDB">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02EBDFEC">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0F7F0A2">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44D800BE">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63C44A16">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429391BF">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0976ABE2">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0AE33A7A">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682E4494">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615454C">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452C5A83">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03029BE4">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62E5F7B9">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558B2AB6">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1D86DD52">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AFC8037">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C3C1B35">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5BDAB694">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229968AE">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1558C128">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514C81EC">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7724BA2A">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2AB313C">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50655720">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393E7986">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22947A2C">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2A5C8F3C">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575C16DA">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D25BB34">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4977E02B">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212F1077">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308C7D03">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2C3A5130">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2DAC0C29">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244C228">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2B6AC827">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638C209B">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48188D33">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1D106059">
        <w:tblPrEx>
          <w:tblCellMar>
            <w:top w:w="0" w:type="dxa"/>
            <w:left w:w="108" w:type="dxa"/>
            <w:bottom w:w="0" w:type="dxa"/>
            <w:right w:w="108" w:type="dxa"/>
          </w:tblCellMar>
        </w:tblPrEx>
        <w:trPr>
          <w:trHeight w:val="702" w:hRule="atLeast"/>
          <w:jc w:val="center"/>
        </w:trPr>
        <w:tc>
          <w:tcPr>
            <w:tcW w:w="3346" w:type="dxa"/>
            <w:gridSpan w:val="2"/>
            <w:tcBorders>
              <w:top w:val="nil"/>
              <w:left w:val="single" w:color="auto" w:sz="4" w:space="0"/>
              <w:bottom w:val="single" w:color="auto" w:sz="4" w:space="0"/>
              <w:right w:val="single" w:color="auto" w:sz="4" w:space="0"/>
            </w:tcBorders>
            <w:noWrap w:val="0"/>
            <w:vAlign w:val="center"/>
          </w:tcPr>
          <w:p w14:paraId="6A7E6F75">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r>
              <w:rPr>
                <w:rFonts w:hint="eastAsia" w:ascii="Calibri" w:hAnsi="Calibri" w:eastAsia="宋体" w:cs="Times New Roman"/>
                <w:color w:val="auto"/>
                <w:kern w:val="0"/>
                <w:szCs w:val="21"/>
              </w:rPr>
              <w:t>合计报价</w:t>
            </w:r>
          </w:p>
        </w:tc>
        <w:tc>
          <w:tcPr>
            <w:tcW w:w="5176" w:type="dxa"/>
            <w:gridSpan w:val="3"/>
            <w:tcBorders>
              <w:top w:val="single" w:color="auto" w:sz="4" w:space="0"/>
              <w:left w:val="nil"/>
              <w:bottom w:val="single" w:color="auto" w:sz="4" w:space="0"/>
              <w:right w:val="single" w:color="auto" w:sz="4" w:space="0"/>
            </w:tcBorders>
            <w:noWrap w:val="0"/>
            <w:vAlign w:val="center"/>
          </w:tcPr>
          <w:p w14:paraId="4AD2F926">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bl>
    <w:p w14:paraId="64D83610">
      <w:pPr>
        <w:rPr>
          <w:rFonts w:hint="eastAsia"/>
          <w:color w:val="auto"/>
        </w:rPr>
      </w:pPr>
    </w:p>
    <w:p w14:paraId="65088938">
      <w:pPr>
        <w:pStyle w:val="4"/>
        <w:spacing w:before="159"/>
        <w:rPr>
          <w:color w:val="auto"/>
        </w:rPr>
      </w:pPr>
      <w:bookmarkStart w:id="2330" w:name="_Toc23564"/>
      <w:bookmarkStart w:id="2331" w:name="_Toc31572"/>
      <w:bookmarkStart w:id="2332" w:name="_Toc154064067"/>
      <w:bookmarkStart w:id="2333" w:name="_Toc519085644"/>
      <w:r>
        <w:rPr>
          <w:rFonts w:hint="eastAsia"/>
          <w:color w:val="auto"/>
        </w:rPr>
        <w:t>2.6 暂估价清单</w:t>
      </w:r>
      <w:bookmarkEnd w:id="2330"/>
      <w:bookmarkEnd w:id="2331"/>
      <w:bookmarkEnd w:id="2332"/>
      <w:bookmarkEnd w:id="2333"/>
    </w:p>
    <w:p w14:paraId="6DE7C372">
      <w:pPr>
        <w:outlineLvl w:val="0"/>
        <w:rPr>
          <w:rFonts w:hint="eastAsia"/>
          <w:color w:val="auto"/>
        </w:rPr>
      </w:pPr>
      <w:bookmarkStart w:id="2334" w:name="_Toc3981220"/>
      <w:bookmarkStart w:id="2335" w:name="_Toc519085645"/>
      <w:bookmarkStart w:id="2336" w:name="_Toc78047110"/>
      <w:bookmarkStart w:id="2337" w:name="_Toc26698"/>
      <w:bookmarkStart w:id="2338" w:name="_Toc154064068"/>
      <w:bookmarkStart w:id="2339" w:name="_Toc3980772"/>
      <w:bookmarkStart w:id="2340" w:name="_Toc13283"/>
      <w:r>
        <w:rPr>
          <w:rFonts w:hint="eastAsia"/>
          <w:color w:val="auto"/>
        </w:rPr>
        <w:t>2.6.1  材料暂估价表</w:t>
      </w:r>
      <w:bookmarkEnd w:id="2334"/>
      <w:bookmarkEnd w:id="2335"/>
      <w:bookmarkEnd w:id="2336"/>
      <w:bookmarkEnd w:id="2337"/>
      <w:bookmarkEnd w:id="2338"/>
      <w:bookmarkEnd w:id="2339"/>
      <w:bookmarkEnd w:id="2340"/>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6"/>
        <w:gridCol w:w="1261"/>
        <w:gridCol w:w="1260"/>
        <w:gridCol w:w="1260"/>
        <w:gridCol w:w="1260"/>
        <w:gridCol w:w="1265"/>
        <w:gridCol w:w="1210"/>
      </w:tblGrid>
      <w:tr w14:paraId="68FC0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1A2D8AD5">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序号</w:t>
            </w:r>
          </w:p>
        </w:tc>
        <w:tc>
          <w:tcPr>
            <w:tcW w:w="1261" w:type="dxa"/>
            <w:noWrap w:val="0"/>
            <w:vAlign w:val="center"/>
          </w:tcPr>
          <w:p w14:paraId="3881A8B5">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名称</w:t>
            </w:r>
          </w:p>
        </w:tc>
        <w:tc>
          <w:tcPr>
            <w:tcW w:w="1260" w:type="dxa"/>
            <w:noWrap w:val="0"/>
            <w:vAlign w:val="center"/>
          </w:tcPr>
          <w:p w14:paraId="7339BD83">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单位</w:t>
            </w:r>
          </w:p>
        </w:tc>
        <w:tc>
          <w:tcPr>
            <w:tcW w:w="1260" w:type="dxa"/>
            <w:noWrap w:val="0"/>
            <w:vAlign w:val="center"/>
          </w:tcPr>
          <w:p w14:paraId="4A14064F">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数量</w:t>
            </w:r>
          </w:p>
        </w:tc>
        <w:tc>
          <w:tcPr>
            <w:tcW w:w="1260" w:type="dxa"/>
            <w:noWrap w:val="0"/>
            <w:vAlign w:val="center"/>
          </w:tcPr>
          <w:p w14:paraId="3C6547B1">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cr/>
            </w:r>
            <w:r>
              <w:rPr>
                <w:rFonts w:ascii="Calibri" w:hAnsi="Calibri" w:eastAsia="宋体" w:cs="Times New Roman"/>
                <w:color w:val="auto"/>
                <w:szCs w:val="21"/>
              </w:rPr>
              <w:t>单价</w:t>
            </w:r>
          </w:p>
        </w:tc>
        <w:tc>
          <w:tcPr>
            <w:tcW w:w="1265" w:type="dxa"/>
            <w:noWrap w:val="0"/>
            <w:vAlign w:val="center"/>
          </w:tcPr>
          <w:p w14:paraId="627116F4">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cr/>
            </w:r>
            <w:r>
              <w:rPr>
                <w:rFonts w:hint="eastAsia" w:ascii="Calibri" w:hAnsi="Calibri" w:eastAsia="宋体" w:cs="Times New Roman"/>
                <w:color w:val="auto"/>
                <w:szCs w:val="21"/>
              </w:rPr>
              <w:t>合价</w:t>
            </w:r>
            <w:r>
              <w:rPr>
                <w:rFonts w:ascii="Calibri" w:hAnsi="Calibri" w:eastAsia="宋体" w:cs="Times New Roman"/>
                <w:color w:val="auto"/>
                <w:szCs w:val="21"/>
              </w:rPr>
              <w:t xml:space="preserve"> </w:t>
            </w:r>
          </w:p>
        </w:tc>
        <w:tc>
          <w:tcPr>
            <w:tcW w:w="1210" w:type="dxa"/>
            <w:noWrap w:val="0"/>
            <w:vAlign w:val="center"/>
          </w:tcPr>
          <w:p w14:paraId="1D4D110B">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备注</w:t>
            </w:r>
          </w:p>
        </w:tc>
      </w:tr>
      <w:tr w14:paraId="6EFEE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54822FF4">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1" w:type="dxa"/>
            <w:noWrap w:val="0"/>
            <w:vAlign w:val="center"/>
          </w:tcPr>
          <w:p w14:paraId="663B7EA3">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0310C9B9">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02C7CA0E">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392BAB2F">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5" w:type="dxa"/>
            <w:noWrap w:val="0"/>
            <w:vAlign w:val="center"/>
          </w:tcPr>
          <w:p w14:paraId="516D641D">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10" w:type="dxa"/>
            <w:noWrap w:val="0"/>
            <w:vAlign w:val="center"/>
          </w:tcPr>
          <w:p w14:paraId="5C40E2C4">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r>
      <w:tr w14:paraId="5B75B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61D80AC2">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1" w:type="dxa"/>
            <w:noWrap w:val="0"/>
            <w:vAlign w:val="center"/>
          </w:tcPr>
          <w:p w14:paraId="1D1A794E">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6FCBDE0A">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15426684">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3C190C29">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5" w:type="dxa"/>
            <w:noWrap w:val="0"/>
            <w:vAlign w:val="center"/>
          </w:tcPr>
          <w:p w14:paraId="13D5555F">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10" w:type="dxa"/>
            <w:noWrap w:val="0"/>
            <w:vAlign w:val="center"/>
          </w:tcPr>
          <w:p w14:paraId="3ABCC062">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r>
      <w:tr w14:paraId="1B8D7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1F81D36D">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1" w:type="dxa"/>
            <w:noWrap w:val="0"/>
            <w:vAlign w:val="center"/>
          </w:tcPr>
          <w:p w14:paraId="08A211BC">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68BDDB0F">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73019B0E">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406A6352">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5" w:type="dxa"/>
            <w:noWrap w:val="0"/>
            <w:vAlign w:val="center"/>
          </w:tcPr>
          <w:p w14:paraId="18E7D4F5">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10" w:type="dxa"/>
            <w:noWrap w:val="0"/>
            <w:vAlign w:val="center"/>
          </w:tcPr>
          <w:p w14:paraId="6BDB6B46">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r>
      <w:tr w14:paraId="16614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2C5820E3">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1" w:type="dxa"/>
            <w:noWrap w:val="0"/>
            <w:vAlign w:val="center"/>
          </w:tcPr>
          <w:p w14:paraId="42445706">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779A45B6">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408B2E46">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7ACC8B0B">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5" w:type="dxa"/>
            <w:noWrap w:val="0"/>
            <w:vAlign w:val="center"/>
          </w:tcPr>
          <w:p w14:paraId="251F3D74">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10" w:type="dxa"/>
            <w:noWrap w:val="0"/>
            <w:vAlign w:val="center"/>
          </w:tcPr>
          <w:p w14:paraId="12BDF867">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r>
      <w:tr w14:paraId="17653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691D7E9E">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1" w:type="dxa"/>
            <w:noWrap w:val="0"/>
            <w:vAlign w:val="center"/>
          </w:tcPr>
          <w:p w14:paraId="20A98034">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6F3696A7">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4BC6938B">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0832E7DC">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5" w:type="dxa"/>
            <w:noWrap w:val="0"/>
            <w:vAlign w:val="center"/>
          </w:tcPr>
          <w:p w14:paraId="58DBF108">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10" w:type="dxa"/>
            <w:noWrap w:val="0"/>
            <w:vAlign w:val="center"/>
          </w:tcPr>
          <w:p w14:paraId="7C7067A8">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r>
    </w:tbl>
    <w:p w14:paraId="3F09CCCB">
      <w:pPr>
        <w:spacing w:line="400" w:lineRule="exact"/>
        <w:rPr>
          <w:color w:val="auto"/>
        </w:rPr>
      </w:pPr>
    </w:p>
    <w:p w14:paraId="24987D64">
      <w:pPr>
        <w:outlineLvl w:val="0"/>
        <w:rPr>
          <w:rFonts w:hint="eastAsia"/>
          <w:color w:val="auto"/>
        </w:rPr>
      </w:pPr>
      <w:bookmarkStart w:id="2341" w:name="_Toc19835"/>
      <w:bookmarkStart w:id="2342" w:name="_Toc3981221"/>
      <w:bookmarkStart w:id="2343" w:name="_Toc7695"/>
      <w:bookmarkStart w:id="2344" w:name="_Toc154064069"/>
      <w:bookmarkStart w:id="2345" w:name="_Toc519085646"/>
      <w:bookmarkStart w:id="2346" w:name="_Toc78047111"/>
      <w:bookmarkStart w:id="2347" w:name="_Toc3980773"/>
      <w:r>
        <w:rPr>
          <w:rFonts w:hint="eastAsia"/>
          <w:color w:val="auto"/>
        </w:rPr>
        <w:t>2.6.2 工程设备暂估价表</w:t>
      </w:r>
      <w:bookmarkEnd w:id="2341"/>
      <w:bookmarkEnd w:id="2342"/>
      <w:bookmarkEnd w:id="2343"/>
      <w:bookmarkEnd w:id="2344"/>
      <w:bookmarkEnd w:id="2345"/>
      <w:bookmarkEnd w:id="2346"/>
      <w:bookmarkEnd w:id="2347"/>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6"/>
        <w:gridCol w:w="1261"/>
        <w:gridCol w:w="1260"/>
        <w:gridCol w:w="1260"/>
        <w:gridCol w:w="1260"/>
        <w:gridCol w:w="1265"/>
        <w:gridCol w:w="1210"/>
      </w:tblGrid>
      <w:tr w14:paraId="5A7AB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250EA3FD">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序号</w:t>
            </w:r>
          </w:p>
        </w:tc>
        <w:tc>
          <w:tcPr>
            <w:tcW w:w="1261" w:type="dxa"/>
            <w:noWrap w:val="0"/>
            <w:vAlign w:val="center"/>
          </w:tcPr>
          <w:p w14:paraId="357DE607">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名称</w:t>
            </w:r>
          </w:p>
        </w:tc>
        <w:tc>
          <w:tcPr>
            <w:tcW w:w="1260" w:type="dxa"/>
            <w:noWrap w:val="0"/>
            <w:vAlign w:val="center"/>
          </w:tcPr>
          <w:p w14:paraId="4AE8E50C">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单位</w:t>
            </w:r>
          </w:p>
        </w:tc>
        <w:tc>
          <w:tcPr>
            <w:tcW w:w="1260" w:type="dxa"/>
            <w:noWrap w:val="0"/>
            <w:vAlign w:val="center"/>
          </w:tcPr>
          <w:p w14:paraId="556EA647">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auto"/>
                <w:szCs w:val="21"/>
              </w:rPr>
            </w:pPr>
            <w:r>
              <w:rPr>
                <w:rFonts w:hint="eastAsia" w:ascii="Calibri" w:hAnsi="Calibri" w:eastAsia="宋体" w:cs="Times New Roman"/>
                <w:color w:val="auto"/>
                <w:szCs w:val="21"/>
              </w:rPr>
              <w:t>数量</w:t>
            </w:r>
          </w:p>
        </w:tc>
        <w:tc>
          <w:tcPr>
            <w:tcW w:w="1260" w:type="dxa"/>
            <w:noWrap w:val="0"/>
            <w:vAlign w:val="center"/>
          </w:tcPr>
          <w:p w14:paraId="633E059A">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cr/>
            </w:r>
            <w:r>
              <w:rPr>
                <w:rFonts w:ascii="Calibri" w:hAnsi="Calibri" w:eastAsia="宋体" w:cs="Times New Roman"/>
                <w:color w:val="auto"/>
                <w:szCs w:val="21"/>
              </w:rPr>
              <w:t>单价</w:t>
            </w:r>
          </w:p>
        </w:tc>
        <w:tc>
          <w:tcPr>
            <w:tcW w:w="1265" w:type="dxa"/>
            <w:noWrap w:val="0"/>
            <w:vAlign w:val="center"/>
          </w:tcPr>
          <w:p w14:paraId="7FB10EF0">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cr/>
            </w:r>
            <w:r>
              <w:rPr>
                <w:rFonts w:hint="eastAsia" w:ascii="Calibri" w:hAnsi="Calibri" w:eastAsia="宋体" w:cs="Times New Roman"/>
                <w:color w:val="auto"/>
                <w:szCs w:val="21"/>
              </w:rPr>
              <w:t>合价</w:t>
            </w:r>
            <w:r>
              <w:rPr>
                <w:rFonts w:ascii="Calibri" w:hAnsi="Calibri" w:eastAsia="宋体" w:cs="Times New Roman"/>
                <w:color w:val="auto"/>
                <w:szCs w:val="21"/>
              </w:rPr>
              <w:t xml:space="preserve"> </w:t>
            </w:r>
          </w:p>
        </w:tc>
        <w:tc>
          <w:tcPr>
            <w:tcW w:w="1210" w:type="dxa"/>
            <w:noWrap w:val="0"/>
            <w:vAlign w:val="center"/>
          </w:tcPr>
          <w:p w14:paraId="63910292">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备注</w:t>
            </w:r>
          </w:p>
        </w:tc>
      </w:tr>
      <w:tr w14:paraId="2D85B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71B95369">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1" w:type="dxa"/>
            <w:noWrap w:val="0"/>
            <w:vAlign w:val="center"/>
          </w:tcPr>
          <w:p w14:paraId="6343D063">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0C859C70">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7E5D2483">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336C2D85">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5" w:type="dxa"/>
            <w:noWrap w:val="0"/>
            <w:vAlign w:val="center"/>
          </w:tcPr>
          <w:p w14:paraId="45AF097F">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10" w:type="dxa"/>
            <w:noWrap w:val="0"/>
            <w:vAlign w:val="center"/>
          </w:tcPr>
          <w:p w14:paraId="02740247">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r>
      <w:tr w14:paraId="7F097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6FFA809D">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1" w:type="dxa"/>
            <w:noWrap w:val="0"/>
            <w:vAlign w:val="center"/>
          </w:tcPr>
          <w:p w14:paraId="249D8036">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0F844753">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5638AB8F">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45B55E78">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5" w:type="dxa"/>
            <w:noWrap w:val="0"/>
            <w:vAlign w:val="center"/>
          </w:tcPr>
          <w:p w14:paraId="2584F461">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10" w:type="dxa"/>
            <w:noWrap w:val="0"/>
            <w:vAlign w:val="center"/>
          </w:tcPr>
          <w:p w14:paraId="0C357623">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r>
      <w:tr w14:paraId="6CF99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3FE8AF30">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1" w:type="dxa"/>
            <w:noWrap w:val="0"/>
            <w:vAlign w:val="center"/>
          </w:tcPr>
          <w:p w14:paraId="5BA9DE2C">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03E42680">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3774B924">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58346CDC">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5" w:type="dxa"/>
            <w:noWrap w:val="0"/>
            <w:vAlign w:val="center"/>
          </w:tcPr>
          <w:p w14:paraId="6C05A137">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10" w:type="dxa"/>
            <w:noWrap w:val="0"/>
            <w:vAlign w:val="center"/>
          </w:tcPr>
          <w:p w14:paraId="20C1EE61">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r>
      <w:tr w14:paraId="493FE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5CD16653">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1" w:type="dxa"/>
            <w:noWrap w:val="0"/>
            <w:vAlign w:val="center"/>
          </w:tcPr>
          <w:p w14:paraId="529E5172">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7FCC3925">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2A2E4925">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0E6A278C">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5" w:type="dxa"/>
            <w:noWrap w:val="0"/>
            <w:vAlign w:val="center"/>
          </w:tcPr>
          <w:p w14:paraId="5AE3F031">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10" w:type="dxa"/>
            <w:noWrap w:val="0"/>
            <w:vAlign w:val="center"/>
          </w:tcPr>
          <w:p w14:paraId="67A7D69B">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r>
      <w:tr w14:paraId="2A8BC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78795E9A">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1" w:type="dxa"/>
            <w:noWrap w:val="0"/>
            <w:vAlign w:val="center"/>
          </w:tcPr>
          <w:p w14:paraId="21ABF442">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1A5CAAFF">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390705F7">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0109B7FB">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5" w:type="dxa"/>
            <w:noWrap w:val="0"/>
            <w:vAlign w:val="center"/>
          </w:tcPr>
          <w:p w14:paraId="32910860">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10" w:type="dxa"/>
            <w:noWrap w:val="0"/>
            <w:vAlign w:val="center"/>
          </w:tcPr>
          <w:p w14:paraId="1D5C0F71">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r>
      <w:tr w14:paraId="2D9FB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5D774A4D">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1" w:type="dxa"/>
            <w:noWrap w:val="0"/>
            <w:vAlign w:val="center"/>
          </w:tcPr>
          <w:p w14:paraId="05491110">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3ABE4576">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24DD54A4">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0" w:type="dxa"/>
            <w:noWrap w:val="0"/>
            <w:vAlign w:val="center"/>
          </w:tcPr>
          <w:p w14:paraId="57AE520F">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65" w:type="dxa"/>
            <w:noWrap w:val="0"/>
            <w:vAlign w:val="center"/>
          </w:tcPr>
          <w:p w14:paraId="3F11BBB9">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210" w:type="dxa"/>
            <w:noWrap w:val="0"/>
            <w:vAlign w:val="center"/>
          </w:tcPr>
          <w:p w14:paraId="47957917">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r>
    </w:tbl>
    <w:p w14:paraId="426A368D">
      <w:pPr>
        <w:spacing w:line="400" w:lineRule="exact"/>
        <w:rPr>
          <w:color w:val="auto"/>
        </w:rPr>
      </w:pPr>
    </w:p>
    <w:p w14:paraId="6BC21820">
      <w:pPr>
        <w:outlineLvl w:val="0"/>
        <w:rPr>
          <w:rFonts w:hint="eastAsia"/>
          <w:color w:val="auto"/>
        </w:rPr>
      </w:pPr>
      <w:bookmarkStart w:id="2348" w:name="_Toc78047112"/>
      <w:bookmarkStart w:id="2349" w:name="_Toc25269"/>
      <w:bookmarkStart w:id="2350" w:name="_Toc3981222"/>
      <w:bookmarkStart w:id="2351" w:name="_Toc519085647"/>
      <w:bookmarkStart w:id="2352" w:name="_Toc154064070"/>
      <w:bookmarkStart w:id="2353" w:name="_Toc12821"/>
      <w:bookmarkStart w:id="2354" w:name="_Toc3980774"/>
      <w:r>
        <w:rPr>
          <w:rFonts w:hint="eastAsia"/>
          <w:color w:val="auto"/>
        </w:rPr>
        <w:t>2.6.3 专业工程暂估价表</w:t>
      </w:r>
      <w:bookmarkEnd w:id="2348"/>
      <w:bookmarkEnd w:id="2349"/>
      <w:bookmarkEnd w:id="2350"/>
      <w:bookmarkEnd w:id="2351"/>
      <w:bookmarkEnd w:id="2352"/>
      <w:bookmarkEnd w:id="2353"/>
      <w:bookmarkEnd w:id="2354"/>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5"/>
        <w:gridCol w:w="5580"/>
        <w:gridCol w:w="1147"/>
      </w:tblGrid>
      <w:tr w14:paraId="2B88E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48E65896">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专业工程名称</w:t>
            </w:r>
          </w:p>
        </w:tc>
        <w:tc>
          <w:tcPr>
            <w:tcW w:w="5580" w:type="dxa"/>
            <w:noWrap w:val="0"/>
            <w:vAlign w:val="center"/>
          </w:tcPr>
          <w:p w14:paraId="61301D64">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工程内容</w:t>
            </w:r>
          </w:p>
        </w:tc>
        <w:tc>
          <w:tcPr>
            <w:tcW w:w="1147" w:type="dxa"/>
            <w:noWrap w:val="0"/>
            <w:vAlign w:val="center"/>
          </w:tcPr>
          <w:p w14:paraId="36426D7A">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r>
              <w:rPr>
                <w:rFonts w:ascii="Calibri" w:hAnsi="Calibri" w:eastAsia="宋体" w:cs="Times New Roman"/>
                <w:color w:val="auto"/>
                <w:szCs w:val="21"/>
              </w:rPr>
              <w:t>金额</w:t>
            </w:r>
          </w:p>
        </w:tc>
      </w:tr>
      <w:tr w14:paraId="4FF22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70C1542C">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5580" w:type="dxa"/>
            <w:noWrap w:val="0"/>
            <w:vAlign w:val="center"/>
          </w:tcPr>
          <w:p w14:paraId="64E46899">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147" w:type="dxa"/>
            <w:noWrap w:val="0"/>
            <w:vAlign w:val="center"/>
          </w:tcPr>
          <w:p w14:paraId="1F8427E5">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r>
      <w:tr w14:paraId="6466D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7F1F5CDB">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5580" w:type="dxa"/>
            <w:noWrap w:val="0"/>
            <w:vAlign w:val="center"/>
          </w:tcPr>
          <w:p w14:paraId="1C287359">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147" w:type="dxa"/>
            <w:noWrap w:val="0"/>
            <w:vAlign w:val="center"/>
          </w:tcPr>
          <w:p w14:paraId="15EDD631">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r>
      <w:tr w14:paraId="401C7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7810F526">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5580" w:type="dxa"/>
            <w:noWrap w:val="0"/>
            <w:vAlign w:val="center"/>
          </w:tcPr>
          <w:p w14:paraId="51E8F78D">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147" w:type="dxa"/>
            <w:noWrap w:val="0"/>
            <w:vAlign w:val="center"/>
          </w:tcPr>
          <w:p w14:paraId="3EF01AFB">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r>
      <w:tr w14:paraId="27D97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02B8E883">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5580" w:type="dxa"/>
            <w:noWrap w:val="0"/>
            <w:vAlign w:val="center"/>
          </w:tcPr>
          <w:p w14:paraId="22235EDC">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147" w:type="dxa"/>
            <w:noWrap w:val="0"/>
            <w:vAlign w:val="center"/>
          </w:tcPr>
          <w:p w14:paraId="62C96C23">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r>
      <w:tr w14:paraId="0DC06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38CF44A0">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5580" w:type="dxa"/>
            <w:noWrap w:val="0"/>
            <w:vAlign w:val="center"/>
          </w:tcPr>
          <w:p w14:paraId="332EFAB4">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147" w:type="dxa"/>
            <w:noWrap w:val="0"/>
            <w:vAlign w:val="center"/>
          </w:tcPr>
          <w:p w14:paraId="47662182">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r>
      <w:tr w14:paraId="10007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4C4E481A">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5580" w:type="dxa"/>
            <w:noWrap w:val="0"/>
            <w:vAlign w:val="center"/>
          </w:tcPr>
          <w:p w14:paraId="642F47B4">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147" w:type="dxa"/>
            <w:noWrap w:val="0"/>
            <w:vAlign w:val="center"/>
          </w:tcPr>
          <w:p w14:paraId="1A1D0D02">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r>
      <w:tr w14:paraId="436D2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0FC2F6C2">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5580" w:type="dxa"/>
            <w:noWrap w:val="0"/>
            <w:vAlign w:val="center"/>
          </w:tcPr>
          <w:p w14:paraId="2E33A195">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c>
          <w:tcPr>
            <w:tcW w:w="1147" w:type="dxa"/>
            <w:noWrap w:val="0"/>
            <w:vAlign w:val="center"/>
          </w:tcPr>
          <w:p w14:paraId="4E256B89">
            <w:pPr>
              <w:keepNext w:val="0"/>
              <w:keepLines w:val="0"/>
              <w:suppressLineNumbers w:val="0"/>
              <w:spacing w:before="0" w:beforeAutospacing="0" w:after="0" w:afterAutospacing="0" w:line="440" w:lineRule="exact"/>
              <w:ind w:left="0" w:right="0"/>
              <w:jc w:val="center"/>
              <w:rPr>
                <w:rFonts w:ascii="Calibri" w:hAnsi="Calibri" w:eastAsia="宋体" w:cs="Times New Roman"/>
                <w:color w:val="auto"/>
                <w:szCs w:val="21"/>
              </w:rPr>
            </w:pPr>
          </w:p>
        </w:tc>
      </w:tr>
    </w:tbl>
    <w:p w14:paraId="194F8920">
      <w:pPr>
        <w:rPr>
          <w:rFonts w:hint="eastAsia"/>
          <w:color w:val="auto"/>
        </w:rPr>
      </w:pPr>
      <w:bookmarkStart w:id="2355" w:name="_Toc519085648"/>
      <w:bookmarkStart w:id="2356" w:name="_Toc17046"/>
    </w:p>
    <w:p w14:paraId="4EA9FD43">
      <w:pPr>
        <w:rPr>
          <w:rFonts w:hint="eastAsia"/>
          <w:color w:val="auto"/>
        </w:rPr>
      </w:pPr>
    </w:p>
    <w:p w14:paraId="594279ED">
      <w:pPr>
        <w:rPr>
          <w:rFonts w:hint="eastAsia"/>
          <w:color w:val="auto"/>
        </w:rPr>
      </w:pPr>
    </w:p>
    <w:p w14:paraId="7695499E">
      <w:pPr>
        <w:rPr>
          <w:rFonts w:hint="eastAsia"/>
          <w:color w:val="auto"/>
        </w:rPr>
      </w:pPr>
    </w:p>
    <w:p w14:paraId="2FCE0470">
      <w:pPr>
        <w:rPr>
          <w:rFonts w:hint="eastAsia"/>
          <w:color w:val="auto"/>
        </w:rPr>
      </w:pPr>
    </w:p>
    <w:p w14:paraId="647C5595">
      <w:pPr>
        <w:pStyle w:val="4"/>
        <w:spacing w:before="159"/>
        <w:rPr>
          <w:rFonts w:hint="eastAsia"/>
          <w:color w:val="auto"/>
        </w:rPr>
      </w:pPr>
      <w:bookmarkStart w:id="2357" w:name="_Toc154064071"/>
      <w:r>
        <w:rPr>
          <w:rFonts w:hint="eastAsia"/>
          <w:color w:val="auto"/>
        </w:rPr>
        <w:t xml:space="preserve">2.7 </w:t>
      </w:r>
      <w:r>
        <w:rPr>
          <w:color w:val="auto"/>
        </w:rPr>
        <w:t>其它费用</w:t>
      </w:r>
      <w:r>
        <w:rPr>
          <w:rFonts w:hint="eastAsia"/>
          <w:color w:val="auto"/>
        </w:rPr>
        <w:t>清单</w:t>
      </w:r>
      <w:bookmarkEnd w:id="2355"/>
      <w:bookmarkEnd w:id="2356"/>
      <w:bookmarkEnd w:id="2357"/>
    </w:p>
    <w:p w14:paraId="03816203">
      <w:pPr>
        <w:widowControl/>
        <w:jc w:val="right"/>
        <w:rPr>
          <w:color w:val="auto"/>
          <w:kern w:val="0"/>
          <w:sz w:val="20"/>
        </w:rPr>
      </w:pPr>
      <w:r>
        <w:rPr>
          <w:rFonts w:hint="eastAsia"/>
          <w:color w:val="auto"/>
          <w:kern w:val="0"/>
        </w:rPr>
        <w:t>单位：人民币元</w:t>
      </w:r>
    </w:p>
    <w:tbl>
      <w:tblPr>
        <w:tblStyle w:val="41"/>
        <w:tblW w:w="8522" w:type="dxa"/>
        <w:jc w:val="center"/>
        <w:tblLayout w:type="fixed"/>
        <w:tblCellMar>
          <w:top w:w="0" w:type="dxa"/>
          <w:left w:w="108" w:type="dxa"/>
          <w:bottom w:w="0" w:type="dxa"/>
          <w:right w:w="108" w:type="dxa"/>
        </w:tblCellMar>
      </w:tblPr>
      <w:tblGrid>
        <w:gridCol w:w="916"/>
        <w:gridCol w:w="2430"/>
        <w:gridCol w:w="1140"/>
        <w:gridCol w:w="2132"/>
        <w:gridCol w:w="1904"/>
      </w:tblGrid>
      <w:tr w14:paraId="0EDFEE22">
        <w:trPr>
          <w:trHeight w:val="702" w:hRule="atLeast"/>
          <w:jc w:val="center"/>
        </w:trPr>
        <w:tc>
          <w:tcPr>
            <w:tcW w:w="916" w:type="dxa"/>
            <w:tcBorders>
              <w:top w:val="single" w:color="auto" w:sz="4" w:space="0"/>
              <w:left w:val="single" w:color="auto" w:sz="4" w:space="0"/>
              <w:bottom w:val="single" w:color="auto" w:sz="4" w:space="0"/>
              <w:right w:val="single" w:color="auto" w:sz="4" w:space="0"/>
            </w:tcBorders>
            <w:noWrap w:val="0"/>
            <w:vAlign w:val="center"/>
          </w:tcPr>
          <w:p w14:paraId="760A73A4">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r>
              <w:rPr>
                <w:rFonts w:ascii="Calibri" w:hAnsi="Calibri" w:eastAsia="宋体" w:cs="Times New Roman"/>
                <w:color w:val="auto"/>
                <w:kern w:val="0"/>
                <w:szCs w:val="21"/>
              </w:rPr>
              <w:t>序号</w:t>
            </w:r>
          </w:p>
        </w:tc>
        <w:tc>
          <w:tcPr>
            <w:tcW w:w="2430" w:type="dxa"/>
            <w:tcBorders>
              <w:top w:val="single" w:color="auto" w:sz="4" w:space="0"/>
              <w:left w:val="nil"/>
              <w:bottom w:val="single" w:color="auto" w:sz="4" w:space="0"/>
              <w:right w:val="single" w:color="auto" w:sz="4" w:space="0"/>
            </w:tcBorders>
            <w:noWrap w:val="0"/>
            <w:vAlign w:val="center"/>
          </w:tcPr>
          <w:p w14:paraId="6FA8F6CC">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r>
              <w:rPr>
                <w:rFonts w:ascii="Calibri" w:hAnsi="Calibri" w:eastAsia="宋体" w:cs="Times New Roman"/>
                <w:color w:val="auto"/>
                <w:kern w:val="0"/>
                <w:szCs w:val="21"/>
              </w:rPr>
              <w:t xml:space="preserve">项目名称 </w:t>
            </w:r>
          </w:p>
        </w:tc>
        <w:tc>
          <w:tcPr>
            <w:tcW w:w="1140" w:type="dxa"/>
            <w:tcBorders>
              <w:top w:val="single" w:color="auto" w:sz="4" w:space="0"/>
              <w:left w:val="nil"/>
              <w:bottom w:val="single" w:color="auto" w:sz="4" w:space="0"/>
              <w:right w:val="single" w:color="auto" w:sz="4" w:space="0"/>
            </w:tcBorders>
            <w:noWrap w:val="0"/>
            <w:vAlign w:val="center"/>
          </w:tcPr>
          <w:p w14:paraId="03C3F430">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r>
              <w:rPr>
                <w:rFonts w:hint="eastAsia" w:ascii="Calibri" w:hAnsi="Calibri" w:eastAsia="宋体" w:cs="Times New Roman"/>
                <w:color w:val="auto"/>
                <w:kern w:val="0"/>
                <w:szCs w:val="21"/>
              </w:rPr>
              <w:t>内容</w:t>
            </w:r>
          </w:p>
        </w:tc>
        <w:tc>
          <w:tcPr>
            <w:tcW w:w="2132" w:type="dxa"/>
            <w:tcBorders>
              <w:top w:val="single" w:color="auto" w:sz="4" w:space="0"/>
              <w:left w:val="nil"/>
              <w:bottom w:val="single" w:color="auto" w:sz="4" w:space="0"/>
              <w:right w:val="single" w:color="auto" w:sz="4" w:space="0"/>
            </w:tcBorders>
            <w:noWrap w:val="0"/>
            <w:vAlign w:val="center"/>
          </w:tcPr>
          <w:p w14:paraId="53CA9DBE">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r>
              <w:rPr>
                <w:rFonts w:ascii="Calibri" w:hAnsi="Calibri" w:eastAsia="宋体" w:cs="Times New Roman"/>
                <w:color w:val="auto"/>
                <w:kern w:val="0"/>
                <w:szCs w:val="21"/>
              </w:rPr>
              <w:t>金 额</w:t>
            </w:r>
          </w:p>
        </w:tc>
        <w:tc>
          <w:tcPr>
            <w:tcW w:w="1904" w:type="dxa"/>
            <w:tcBorders>
              <w:top w:val="single" w:color="auto" w:sz="4" w:space="0"/>
              <w:left w:val="nil"/>
              <w:bottom w:val="single" w:color="auto" w:sz="4" w:space="0"/>
              <w:right w:val="single" w:color="auto" w:sz="4" w:space="0"/>
            </w:tcBorders>
            <w:noWrap w:val="0"/>
            <w:vAlign w:val="center"/>
          </w:tcPr>
          <w:p w14:paraId="5BFD524D">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r>
              <w:rPr>
                <w:rFonts w:hint="eastAsia" w:ascii="Calibri" w:hAnsi="Calibri" w:eastAsia="宋体" w:cs="Times New Roman"/>
                <w:color w:val="auto"/>
                <w:kern w:val="0"/>
                <w:szCs w:val="21"/>
              </w:rPr>
              <w:t>备注</w:t>
            </w:r>
          </w:p>
        </w:tc>
      </w:tr>
      <w:tr w14:paraId="10771248">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12C87960">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709EE0E">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5BC8B60D">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2DF384E6">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3F518454">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351FF394">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4213BF2E">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3A0E4671">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060ED594">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56FCE276">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043FF61A">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0C81FAD0">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29DBD4E1">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069BA9A4">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7A1F868">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40BEFC4C">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6AC4F9F7">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58476FB4">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7A92A286">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C80432C">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06C34D95">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8F33B70">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31E6033C">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578B5F99">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1089ADD0">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3BD907F0">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58CE1E24">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2539401C">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359828C">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0BB24D04">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2F0D445C">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3545C43F">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3692D630">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43B4B832">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762468CD">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70968422">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6CDF98D9">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231F8DD6">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742F5887">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64C4F961">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19750E7">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4CA0311E">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64108C29">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4B0A4DA6">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0C2F3B21">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31EEFDC7">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24321BA1">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2426A941">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CC9C52A">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E064D67">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0D682B61">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216E60C9">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2EDC7CA2">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5BDF04B">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03F079D8">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80AC936">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3795CE45">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25798565">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7B4D2CC6">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6A928749">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69455E1">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2680065C">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3459F51B">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3067E197">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2CCEE163">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357801EA">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296EAD2B">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930511F">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57491C9F">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2C3395D6">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15C1F9FA">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13FEB20D">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7630B50">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3591D18E">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1AC6C2E6">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0CB29181">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43FC46BD">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2B32532B">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2B2086CB">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p w14:paraId="5DFDBEEB">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081F4F89">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1FB5BB8E">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5A5CCB19">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6875099C">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36DE4C98">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34C3411">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30BE3D4">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2DB46155">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p>
        </w:tc>
        <w:tc>
          <w:tcPr>
            <w:tcW w:w="2132" w:type="dxa"/>
            <w:tcBorders>
              <w:top w:val="nil"/>
              <w:left w:val="nil"/>
              <w:bottom w:val="single" w:color="auto" w:sz="4" w:space="0"/>
              <w:right w:val="single" w:color="auto" w:sz="4" w:space="0"/>
            </w:tcBorders>
            <w:noWrap w:val="0"/>
            <w:vAlign w:val="center"/>
          </w:tcPr>
          <w:p w14:paraId="59396FAB">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c>
          <w:tcPr>
            <w:tcW w:w="1904" w:type="dxa"/>
            <w:tcBorders>
              <w:top w:val="nil"/>
              <w:left w:val="nil"/>
              <w:bottom w:val="single" w:color="auto" w:sz="4" w:space="0"/>
              <w:right w:val="single" w:color="auto" w:sz="4" w:space="0"/>
            </w:tcBorders>
            <w:noWrap w:val="0"/>
            <w:vAlign w:val="center"/>
          </w:tcPr>
          <w:p w14:paraId="6CF8571A">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r w14:paraId="548D1785">
        <w:tblPrEx>
          <w:tblCellMar>
            <w:top w:w="0" w:type="dxa"/>
            <w:left w:w="108" w:type="dxa"/>
            <w:bottom w:w="0" w:type="dxa"/>
            <w:right w:w="108" w:type="dxa"/>
          </w:tblCellMar>
        </w:tblPrEx>
        <w:trPr>
          <w:trHeight w:val="702" w:hRule="atLeast"/>
          <w:jc w:val="center"/>
        </w:trPr>
        <w:tc>
          <w:tcPr>
            <w:tcW w:w="3346" w:type="dxa"/>
            <w:gridSpan w:val="2"/>
            <w:tcBorders>
              <w:top w:val="nil"/>
              <w:left w:val="single" w:color="auto" w:sz="4" w:space="0"/>
              <w:bottom w:val="single" w:color="auto" w:sz="4" w:space="0"/>
              <w:right w:val="single" w:color="auto" w:sz="4" w:space="0"/>
            </w:tcBorders>
            <w:noWrap w:val="0"/>
            <w:vAlign w:val="center"/>
          </w:tcPr>
          <w:p w14:paraId="20B3813D">
            <w:pPr>
              <w:keepNext w:val="0"/>
              <w:keepLines w:val="0"/>
              <w:widowControl/>
              <w:suppressLineNumbers w:val="0"/>
              <w:spacing w:before="0" w:beforeAutospacing="0" w:after="0" w:afterAutospacing="0"/>
              <w:ind w:left="0" w:right="0"/>
              <w:jc w:val="center"/>
              <w:rPr>
                <w:rFonts w:hint="eastAsia" w:ascii="Calibri" w:hAnsi="Calibri" w:eastAsia="宋体" w:cs="Times New Roman"/>
                <w:color w:val="auto"/>
                <w:kern w:val="0"/>
                <w:szCs w:val="21"/>
              </w:rPr>
            </w:pPr>
            <w:r>
              <w:rPr>
                <w:rFonts w:hint="eastAsia" w:ascii="Calibri" w:hAnsi="Calibri" w:eastAsia="宋体" w:cs="Times New Roman"/>
                <w:color w:val="auto"/>
                <w:kern w:val="0"/>
                <w:szCs w:val="21"/>
              </w:rPr>
              <w:t>合计报价</w:t>
            </w:r>
          </w:p>
        </w:tc>
        <w:tc>
          <w:tcPr>
            <w:tcW w:w="5176" w:type="dxa"/>
            <w:gridSpan w:val="3"/>
            <w:tcBorders>
              <w:top w:val="single" w:color="auto" w:sz="4" w:space="0"/>
              <w:left w:val="nil"/>
              <w:bottom w:val="single" w:color="auto" w:sz="4" w:space="0"/>
              <w:right w:val="single" w:color="auto" w:sz="4" w:space="0"/>
            </w:tcBorders>
            <w:noWrap w:val="0"/>
            <w:vAlign w:val="center"/>
          </w:tcPr>
          <w:p w14:paraId="3868015C">
            <w:pPr>
              <w:keepNext w:val="0"/>
              <w:keepLines w:val="0"/>
              <w:widowControl/>
              <w:suppressLineNumbers w:val="0"/>
              <w:spacing w:before="0" w:beforeAutospacing="0" w:after="0" w:afterAutospacing="0"/>
              <w:ind w:left="0" w:right="0"/>
              <w:jc w:val="right"/>
              <w:rPr>
                <w:rFonts w:ascii="Calibri" w:hAnsi="Calibri" w:eastAsia="宋体" w:cs="Times New Roman"/>
                <w:color w:val="auto"/>
                <w:kern w:val="0"/>
                <w:szCs w:val="21"/>
              </w:rPr>
            </w:pPr>
          </w:p>
        </w:tc>
      </w:tr>
    </w:tbl>
    <w:p w14:paraId="4C797D33">
      <w:pPr>
        <w:rPr>
          <w:rFonts w:hint="eastAsia"/>
          <w:color w:val="auto"/>
        </w:rPr>
      </w:pPr>
      <w:bookmarkStart w:id="2358" w:name="_Toc14951"/>
      <w:bookmarkStart w:id="2359" w:name="_Toc519085649"/>
    </w:p>
    <w:p w14:paraId="53965FCE">
      <w:pPr>
        <w:pStyle w:val="4"/>
        <w:spacing w:before="159"/>
        <w:rPr>
          <w:rFonts w:hint="eastAsia"/>
          <w:color w:val="auto"/>
        </w:rPr>
      </w:pPr>
      <w:bookmarkStart w:id="2360" w:name="_Toc154064072"/>
      <w:r>
        <w:rPr>
          <w:rFonts w:hint="eastAsia"/>
          <w:color w:val="auto"/>
        </w:rPr>
        <w:t>2.8 投标报价汇总表</w:t>
      </w:r>
      <w:bookmarkEnd w:id="2358"/>
      <w:bookmarkEnd w:id="2359"/>
      <w:bookmarkEnd w:id="2360"/>
    </w:p>
    <w:p w14:paraId="3443A89D">
      <w:pPr>
        <w:widowControl/>
        <w:jc w:val="right"/>
        <w:rPr>
          <w:color w:val="auto"/>
          <w:kern w:val="0"/>
          <w:sz w:val="20"/>
        </w:rPr>
      </w:pPr>
      <w:r>
        <w:rPr>
          <w:rFonts w:hint="eastAsia"/>
          <w:color w:val="auto"/>
          <w:kern w:val="0"/>
        </w:rPr>
        <w:t>单位：人民币元</w:t>
      </w:r>
    </w:p>
    <w:tbl>
      <w:tblPr>
        <w:tblStyle w:val="41"/>
        <w:tblW w:w="8522" w:type="dxa"/>
        <w:jc w:val="center"/>
        <w:tblLayout w:type="fixed"/>
        <w:tblCellMar>
          <w:top w:w="0" w:type="dxa"/>
          <w:left w:w="108" w:type="dxa"/>
          <w:bottom w:w="0" w:type="dxa"/>
          <w:right w:w="108" w:type="dxa"/>
        </w:tblCellMar>
      </w:tblPr>
      <w:tblGrid>
        <w:gridCol w:w="915"/>
        <w:gridCol w:w="2773"/>
        <w:gridCol w:w="2272"/>
        <w:gridCol w:w="2562"/>
      </w:tblGrid>
      <w:tr w14:paraId="7A821117">
        <w:tblPrEx>
          <w:tblCellMar>
            <w:top w:w="0" w:type="dxa"/>
            <w:left w:w="108" w:type="dxa"/>
            <w:bottom w:w="0" w:type="dxa"/>
            <w:right w:w="108" w:type="dxa"/>
          </w:tblCellMar>
        </w:tblPrEx>
        <w:trPr>
          <w:trHeight w:val="567" w:hRule="atLeast"/>
          <w:jc w:val="center"/>
        </w:trPr>
        <w:tc>
          <w:tcPr>
            <w:tcW w:w="915" w:type="dxa"/>
            <w:tcBorders>
              <w:top w:val="single" w:color="auto" w:sz="4" w:space="0"/>
              <w:left w:val="single" w:color="auto" w:sz="4" w:space="0"/>
              <w:bottom w:val="single" w:color="auto" w:sz="4" w:space="0"/>
              <w:right w:val="single" w:color="auto" w:sz="4" w:space="0"/>
            </w:tcBorders>
            <w:noWrap w:val="0"/>
            <w:vAlign w:val="center"/>
          </w:tcPr>
          <w:p w14:paraId="3511BE85">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r>
              <w:rPr>
                <w:rFonts w:ascii="Calibri" w:hAnsi="Calibri" w:eastAsia="宋体" w:cs="Times New Roman"/>
                <w:color w:val="auto"/>
                <w:kern w:val="0"/>
                <w:szCs w:val="21"/>
              </w:rPr>
              <w:t>序号</w:t>
            </w:r>
          </w:p>
        </w:tc>
        <w:tc>
          <w:tcPr>
            <w:tcW w:w="2773" w:type="dxa"/>
            <w:tcBorders>
              <w:top w:val="single" w:color="auto" w:sz="4" w:space="0"/>
              <w:left w:val="nil"/>
              <w:bottom w:val="single" w:color="auto" w:sz="4" w:space="0"/>
              <w:right w:val="single" w:color="auto" w:sz="4" w:space="0"/>
            </w:tcBorders>
            <w:noWrap w:val="0"/>
            <w:vAlign w:val="center"/>
          </w:tcPr>
          <w:p w14:paraId="74F03E84">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r>
              <w:rPr>
                <w:rFonts w:ascii="Calibri" w:hAnsi="Calibri" w:eastAsia="宋体" w:cs="Times New Roman"/>
                <w:color w:val="auto"/>
                <w:kern w:val="0"/>
                <w:szCs w:val="21"/>
              </w:rPr>
              <w:t xml:space="preserve">项目名称 </w:t>
            </w:r>
          </w:p>
        </w:tc>
        <w:tc>
          <w:tcPr>
            <w:tcW w:w="2272" w:type="dxa"/>
            <w:tcBorders>
              <w:top w:val="single" w:color="auto" w:sz="4" w:space="0"/>
              <w:left w:val="nil"/>
              <w:bottom w:val="single" w:color="auto" w:sz="4" w:space="0"/>
              <w:right w:val="single" w:color="auto" w:sz="4" w:space="0"/>
            </w:tcBorders>
            <w:noWrap w:val="0"/>
            <w:vAlign w:val="center"/>
          </w:tcPr>
          <w:p w14:paraId="24C99FE6">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r>
              <w:rPr>
                <w:rFonts w:ascii="Calibri" w:hAnsi="Calibri" w:eastAsia="宋体" w:cs="Times New Roman"/>
                <w:color w:val="auto"/>
                <w:kern w:val="0"/>
                <w:szCs w:val="21"/>
              </w:rPr>
              <w:t>金额（</w:t>
            </w:r>
            <w:r>
              <w:rPr>
                <w:rFonts w:hint="eastAsia" w:ascii="Calibri" w:hAnsi="Calibri" w:eastAsia="宋体" w:cs="Times New Roman"/>
                <w:color w:val="auto"/>
                <w:kern w:val="0"/>
                <w:szCs w:val="21"/>
              </w:rPr>
              <w:t>人民币</w:t>
            </w:r>
            <w:r>
              <w:rPr>
                <w:rFonts w:ascii="Calibri" w:hAnsi="Calibri" w:eastAsia="宋体" w:cs="Times New Roman"/>
                <w:color w:val="auto"/>
                <w:kern w:val="0"/>
                <w:szCs w:val="21"/>
              </w:rPr>
              <w:t>元）</w:t>
            </w:r>
          </w:p>
        </w:tc>
        <w:tc>
          <w:tcPr>
            <w:tcW w:w="2562" w:type="dxa"/>
            <w:tcBorders>
              <w:top w:val="single" w:color="auto" w:sz="4" w:space="0"/>
              <w:left w:val="nil"/>
              <w:bottom w:val="single" w:color="auto" w:sz="4" w:space="0"/>
              <w:right w:val="single" w:color="auto" w:sz="4" w:space="0"/>
            </w:tcBorders>
            <w:noWrap w:val="0"/>
            <w:vAlign w:val="center"/>
          </w:tcPr>
          <w:p w14:paraId="672A3680">
            <w:pPr>
              <w:keepNext w:val="0"/>
              <w:keepLines w:val="0"/>
              <w:widowControl/>
              <w:suppressLineNumbers w:val="0"/>
              <w:spacing w:before="0" w:beforeAutospacing="0" w:after="0" w:afterAutospacing="0"/>
              <w:ind w:left="0" w:right="0"/>
              <w:jc w:val="center"/>
              <w:rPr>
                <w:rFonts w:ascii="Calibri" w:hAnsi="Calibri" w:eastAsia="宋体" w:cs="Times New Roman"/>
                <w:color w:val="auto"/>
                <w:kern w:val="0"/>
                <w:szCs w:val="21"/>
              </w:rPr>
            </w:pPr>
            <w:r>
              <w:rPr>
                <w:rFonts w:ascii="Calibri" w:hAnsi="Calibri" w:eastAsia="宋体" w:cs="Times New Roman"/>
                <w:color w:val="auto"/>
                <w:kern w:val="0"/>
                <w:szCs w:val="21"/>
              </w:rPr>
              <w:t>备注</w:t>
            </w:r>
          </w:p>
        </w:tc>
      </w:tr>
      <w:tr w14:paraId="57496C81">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4BDBB000">
            <w:pPr>
              <w:pStyle w:val="84"/>
              <w:keepNext w:val="0"/>
              <w:keepLines w:val="0"/>
              <w:suppressLineNumbers w:val="0"/>
              <w:spacing w:before="0" w:beforeAutospacing="0" w:after="0" w:afterAutospacing="0"/>
              <w:ind w:left="0" w:right="0"/>
              <w:rPr>
                <w:rFonts w:hint="eastAsia" w:eastAsia="宋体" w:cs="Times New Roman"/>
                <w:color w:val="auto"/>
                <w:kern w:val="0"/>
              </w:rPr>
            </w:pPr>
          </w:p>
          <w:p w14:paraId="405D8765">
            <w:pPr>
              <w:pStyle w:val="84"/>
              <w:keepNext w:val="0"/>
              <w:keepLines w:val="0"/>
              <w:suppressLineNumbers w:val="0"/>
              <w:spacing w:before="0" w:beforeAutospacing="0" w:after="0" w:afterAutospacing="0"/>
              <w:ind w:left="0" w:right="0"/>
              <w:rPr>
                <w:rFonts w:hint="eastAsia" w:eastAsia="宋体" w:cs="Times New Roman"/>
                <w:color w:val="auto"/>
                <w:kern w:val="0"/>
              </w:rPr>
            </w:pPr>
          </w:p>
        </w:tc>
        <w:tc>
          <w:tcPr>
            <w:tcW w:w="2773" w:type="dxa"/>
            <w:tcBorders>
              <w:top w:val="single" w:color="auto" w:sz="4" w:space="0"/>
              <w:left w:val="nil"/>
              <w:bottom w:val="single" w:color="auto" w:sz="4" w:space="0"/>
              <w:right w:val="single" w:color="auto" w:sz="4" w:space="0"/>
            </w:tcBorders>
            <w:noWrap w:val="0"/>
            <w:vAlign w:val="center"/>
          </w:tcPr>
          <w:p w14:paraId="778EA8E9">
            <w:pPr>
              <w:pStyle w:val="84"/>
              <w:keepNext w:val="0"/>
              <w:keepLines w:val="0"/>
              <w:suppressLineNumbers w:val="0"/>
              <w:spacing w:before="0" w:beforeAutospacing="0" w:after="0" w:afterAutospacing="0"/>
              <w:ind w:left="0" w:right="0"/>
              <w:rPr>
                <w:rFonts w:eastAsia="宋体" w:cs="Times New Roman"/>
                <w:color w:val="auto"/>
                <w:kern w:val="0"/>
              </w:rPr>
            </w:pPr>
          </w:p>
        </w:tc>
        <w:tc>
          <w:tcPr>
            <w:tcW w:w="2272" w:type="dxa"/>
            <w:tcBorders>
              <w:top w:val="nil"/>
              <w:left w:val="nil"/>
              <w:bottom w:val="single" w:color="auto" w:sz="4" w:space="0"/>
              <w:right w:val="single" w:color="auto" w:sz="4" w:space="0"/>
            </w:tcBorders>
            <w:noWrap w:val="0"/>
            <w:vAlign w:val="center"/>
          </w:tcPr>
          <w:p w14:paraId="4A87ADD0">
            <w:pPr>
              <w:pStyle w:val="84"/>
              <w:keepNext w:val="0"/>
              <w:keepLines w:val="0"/>
              <w:suppressLineNumbers w:val="0"/>
              <w:spacing w:before="0" w:beforeAutospacing="0" w:after="0" w:afterAutospacing="0"/>
              <w:ind w:left="0" w:right="0"/>
              <w:rPr>
                <w:rFonts w:eastAsia="宋体" w:cs="Times New Roman"/>
                <w:color w:val="auto"/>
                <w:kern w:val="0"/>
              </w:rPr>
            </w:pPr>
          </w:p>
        </w:tc>
        <w:tc>
          <w:tcPr>
            <w:tcW w:w="2562" w:type="dxa"/>
            <w:tcBorders>
              <w:top w:val="nil"/>
              <w:left w:val="nil"/>
              <w:bottom w:val="single" w:color="auto" w:sz="4" w:space="0"/>
              <w:right w:val="single" w:color="auto" w:sz="4" w:space="0"/>
            </w:tcBorders>
            <w:noWrap w:val="0"/>
            <w:vAlign w:val="center"/>
          </w:tcPr>
          <w:p w14:paraId="211F5470">
            <w:pPr>
              <w:pStyle w:val="84"/>
              <w:keepNext w:val="0"/>
              <w:keepLines w:val="0"/>
              <w:suppressLineNumbers w:val="0"/>
              <w:spacing w:before="0" w:beforeAutospacing="0" w:after="0" w:afterAutospacing="0"/>
              <w:ind w:left="0" w:right="0"/>
              <w:rPr>
                <w:rFonts w:eastAsia="宋体" w:cs="Times New Roman"/>
                <w:color w:val="auto"/>
                <w:kern w:val="0"/>
              </w:rPr>
            </w:pPr>
          </w:p>
        </w:tc>
      </w:tr>
      <w:tr w14:paraId="4FC25D06">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1C036ADA">
            <w:pPr>
              <w:pStyle w:val="84"/>
              <w:keepNext w:val="0"/>
              <w:keepLines w:val="0"/>
              <w:suppressLineNumbers w:val="0"/>
              <w:spacing w:before="0" w:beforeAutospacing="0" w:after="0" w:afterAutospacing="0"/>
              <w:ind w:left="0" w:right="0"/>
              <w:rPr>
                <w:rFonts w:hint="eastAsia" w:eastAsia="宋体" w:cs="Times New Roman"/>
                <w:color w:val="auto"/>
                <w:kern w:val="0"/>
              </w:rPr>
            </w:pPr>
          </w:p>
        </w:tc>
        <w:tc>
          <w:tcPr>
            <w:tcW w:w="2773" w:type="dxa"/>
            <w:tcBorders>
              <w:top w:val="single" w:color="auto" w:sz="4" w:space="0"/>
              <w:left w:val="nil"/>
              <w:bottom w:val="single" w:color="auto" w:sz="4" w:space="0"/>
              <w:right w:val="single" w:color="auto" w:sz="4" w:space="0"/>
            </w:tcBorders>
            <w:noWrap w:val="0"/>
            <w:vAlign w:val="center"/>
          </w:tcPr>
          <w:p w14:paraId="67BCCE91">
            <w:pPr>
              <w:pStyle w:val="84"/>
              <w:keepNext w:val="0"/>
              <w:keepLines w:val="0"/>
              <w:suppressLineNumbers w:val="0"/>
              <w:spacing w:before="0" w:beforeAutospacing="0" w:after="0" w:afterAutospacing="0"/>
              <w:ind w:left="0" w:right="0"/>
              <w:rPr>
                <w:rFonts w:eastAsia="宋体" w:cs="Times New Roman"/>
                <w:color w:val="auto"/>
                <w:kern w:val="0"/>
              </w:rPr>
            </w:pPr>
          </w:p>
        </w:tc>
        <w:tc>
          <w:tcPr>
            <w:tcW w:w="2272" w:type="dxa"/>
            <w:tcBorders>
              <w:top w:val="nil"/>
              <w:left w:val="nil"/>
              <w:bottom w:val="single" w:color="auto" w:sz="4" w:space="0"/>
              <w:right w:val="single" w:color="auto" w:sz="4" w:space="0"/>
            </w:tcBorders>
            <w:noWrap w:val="0"/>
            <w:vAlign w:val="center"/>
          </w:tcPr>
          <w:p w14:paraId="34E8BB77">
            <w:pPr>
              <w:pStyle w:val="84"/>
              <w:keepNext w:val="0"/>
              <w:keepLines w:val="0"/>
              <w:suppressLineNumbers w:val="0"/>
              <w:spacing w:before="0" w:beforeAutospacing="0" w:after="0" w:afterAutospacing="0"/>
              <w:ind w:left="0" w:right="0"/>
              <w:rPr>
                <w:rFonts w:eastAsia="宋体" w:cs="Times New Roman"/>
                <w:color w:val="auto"/>
                <w:kern w:val="0"/>
              </w:rPr>
            </w:pPr>
          </w:p>
        </w:tc>
        <w:tc>
          <w:tcPr>
            <w:tcW w:w="2562" w:type="dxa"/>
            <w:tcBorders>
              <w:top w:val="nil"/>
              <w:left w:val="nil"/>
              <w:bottom w:val="single" w:color="auto" w:sz="4" w:space="0"/>
              <w:right w:val="single" w:color="auto" w:sz="4" w:space="0"/>
            </w:tcBorders>
            <w:noWrap w:val="0"/>
            <w:vAlign w:val="center"/>
          </w:tcPr>
          <w:p w14:paraId="4996B940">
            <w:pPr>
              <w:pStyle w:val="84"/>
              <w:keepNext w:val="0"/>
              <w:keepLines w:val="0"/>
              <w:suppressLineNumbers w:val="0"/>
              <w:spacing w:before="0" w:beforeAutospacing="0" w:after="0" w:afterAutospacing="0"/>
              <w:ind w:left="0" w:right="0"/>
              <w:rPr>
                <w:rFonts w:eastAsia="宋体" w:cs="Times New Roman"/>
                <w:color w:val="auto"/>
                <w:kern w:val="0"/>
              </w:rPr>
            </w:pPr>
          </w:p>
        </w:tc>
      </w:tr>
      <w:tr w14:paraId="54749CC1">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0F5B84DB">
            <w:pPr>
              <w:pStyle w:val="84"/>
              <w:keepNext w:val="0"/>
              <w:keepLines w:val="0"/>
              <w:suppressLineNumbers w:val="0"/>
              <w:spacing w:before="0" w:beforeAutospacing="0" w:after="0" w:afterAutospacing="0"/>
              <w:ind w:left="0" w:right="0"/>
              <w:rPr>
                <w:rFonts w:hint="eastAsia" w:eastAsia="宋体" w:cs="Times New Roman"/>
                <w:color w:val="auto"/>
                <w:kern w:val="0"/>
              </w:rPr>
            </w:pPr>
          </w:p>
        </w:tc>
        <w:tc>
          <w:tcPr>
            <w:tcW w:w="2773" w:type="dxa"/>
            <w:tcBorders>
              <w:top w:val="single" w:color="auto" w:sz="4" w:space="0"/>
              <w:left w:val="nil"/>
              <w:bottom w:val="single" w:color="auto" w:sz="4" w:space="0"/>
              <w:right w:val="single" w:color="auto" w:sz="4" w:space="0"/>
            </w:tcBorders>
            <w:noWrap w:val="0"/>
            <w:vAlign w:val="center"/>
          </w:tcPr>
          <w:p w14:paraId="5B9BC9AC">
            <w:pPr>
              <w:pStyle w:val="84"/>
              <w:keepNext w:val="0"/>
              <w:keepLines w:val="0"/>
              <w:suppressLineNumbers w:val="0"/>
              <w:spacing w:before="0" w:beforeAutospacing="0" w:after="0" w:afterAutospacing="0"/>
              <w:ind w:left="0" w:right="0"/>
              <w:rPr>
                <w:rFonts w:eastAsia="宋体" w:cs="Times New Roman"/>
                <w:color w:val="auto"/>
                <w:kern w:val="0"/>
              </w:rPr>
            </w:pPr>
          </w:p>
        </w:tc>
        <w:tc>
          <w:tcPr>
            <w:tcW w:w="2272" w:type="dxa"/>
            <w:tcBorders>
              <w:top w:val="nil"/>
              <w:left w:val="nil"/>
              <w:bottom w:val="single" w:color="auto" w:sz="4" w:space="0"/>
              <w:right w:val="single" w:color="auto" w:sz="4" w:space="0"/>
            </w:tcBorders>
            <w:noWrap w:val="0"/>
            <w:vAlign w:val="center"/>
          </w:tcPr>
          <w:p w14:paraId="75002D43">
            <w:pPr>
              <w:pStyle w:val="84"/>
              <w:keepNext w:val="0"/>
              <w:keepLines w:val="0"/>
              <w:suppressLineNumbers w:val="0"/>
              <w:spacing w:before="0" w:beforeAutospacing="0" w:after="0" w:afterAutospacing="0"/>
              <w:ind w:left="0" w:right="0"/>
              <w:rPr>
                <w:rFonts w:eastAsia="宋体" w:cs="Times New Roman"/>
                <w:color w:val="auto"/>
                <w:kern w:val="0"/>
              </w:rPr>
            </w:pPr>
          </w:p>
        </w:tc>
        <w:tc>
          <w:tcPr>
            <w:tcW w:w="2562" w:type="dxa"/>
            <w:tcBorders>
              <w:top w:val="nil"/>
              <w:left w:val="nil"/>
              <w:bottom w:val="single" w:color="auto" w:sz="4" w:space="0"/>
              <w:right w:val="single" w:color="auto" w:sz="4" w:space="0"/>
            </w:tcBorders>
            <w:noWrap w:val="0"/>
            <w:vAlign w:val="center"/>
          </w:tcPr>
          <w:p w14:paraId="52885A51">
            <w:pPr>
              <w:pStyle w:val="84"/>
              <w:keepNext w:val="0"/>
              <w:keepLines w:val="0"/>
              <w:suppressLineNumbers w:val="0"/>
              <w:spacing w:before="0" w:beforeAutospacing="0" w:after="0" w:afterAutospacing="0"/>
              <w:ind w:left="0" w:right="0"/>
              <w:rPr>
                <w:rFonts w:eastAsia="宋体" w:cs="Times New Roman"/>
                <w:color w:val="auto"/>
                <w:kern w:val="0"/>
              </w:rPr>
            </w:pPr>
          </w:p>
        </w:tc>
      </w:tr>
      <w:tr w14:paraId="1A8365BE">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06BC8DA0">
            <w:pPr>
              <w:pStyle w:val="84"/>
              <w:keepNext w:val="0"/>
              <w:keepLines w:val="0"/>
              <w:suppressLineNumbers w:val="0"/>
              <w:spacing w:before="0" w:beforeAutospacing="0" w:after="0" w:afterAutospacing="0"/>
              <w:ind w:left="0" w:right="0"/>
              <w:rPr>
                <w:rFonts w:hint="eastAsia" w:eastAsia="宋体" w:cs="Times New Roman"/>
                <w:color w:val="auto"/>
                <w:kern w:val="0"/>
              </w:rPr>
            </w:pPr>
          </w:p>
        </w:tc>
        <w:tc>
          <w:tcPr>
            <w:tcW w:w="2773" w:type="dxa"/>
            <w:tcBorders>
              <w:top w:val="single" w:color="auto" w:sz="4" w:space="0"/>
              <w:left w:val="nil"/>
              <w:bottom w:val="single" w:color="auto" w:sz="4" w:space="0"/>
              <w:right w:val="single" w:color="auto" w:sz="4" w:space="0"/>
            </w:tcBorders>
            <w:noWrap w:val="0"/>
            <w:vAlign w:val="center"/>
          </w:tcPr>
          <w:p w14:paraId="72A19F9C">
            <w:pPr>
              <w:pStyle w:val="84"/>
              <w:keepNext w:val="0"/>
              <w:keepLines w:val="0"/>
              <w:suppressLineNumbers w:val="0"/>
              <w:spacing w:before="0" w:beforeAutospacing="0" w:after="0" w:afterAutospacing="0"/>
              <w:ind w:left="0" w:right="0"/>
              <w:rPr>
                <w:rFonts w:eastAsia="宋体" w:cs="Times New Roman"/>
                <w:color w:val="auto"/>
                <w:kern w:val="0"/>
              </w:rPr>
            </w:pPr>
          </w:p>
        </w:tc>
        <w:tc>
          <w:tcPr>
            <w:tcW w:w="2272" w:type="dxa"/>
            <w:tcBorders>
              <w:top w:val="nil"/>
              <w:left w:val="nil"/>
              <w:bottom w:val="single" w:color="auto" w:sz="4" w:space="0"/>
              <w:right w:val="single" w:color="auto" w:sz="4" w:space="0"/>
            </w:tcBorders>
            <w:noWrap w:val="0"/>
            <w:vAlign w:val="center"/>
          </w:tcPr>
          <w:p w14:paraId="5B045D2A">
            <w:pPr>
              <w:pStyle w:val="84"/>
              <w:keepNext w:val="0"/>
              <w:keepLines w:val="0"/>
              <w:suppressLineNumbers w:val="0"/>
              <w:spacing w:before="0" w:beforeAutospacing="0" w:after="0" w:afterAutospacing="0"/>
              <w:ind w:left="0" w:right="0"/>
              <w:rPr>
                <w:rFonts w:eastAsia="宋体" w:cs="Times New Roman"/>
                <w:color w:val="auto"/>
                <w:kern w:val="0"/>
              </w:rPr>
            </w:pPr>
          </w:p>
        </w:tc>
        <w:tc>
          <w:tcPr>
            <w:tcW w:w="2562" w:type="dxa"/>
            <w:tcBorders>
              <w:top w:val="nil"/>
              <w:left w:val="nil"/>
              <w:bottom w:val="single" w:color="auto" w:sz="4" w:space="0"/>
              <w:right w:val="single" w:color="auto" w:sz="4" w:space="0"/>
            </w:tcBorders>
            <w:noWrap w:val="0"/>
            <w:vAlign w:val="center"/>
          </w:tcPr>
          <w:p w14:paraId="585FC0E7">
            <w:pPr>
              <w:pStyle w:val="84"/>
              <w:keepNext w:val="0"/>
              <w:keepLines w:val="0"/>
              <w:suppressLineNumbers w:val="0"/>
              <w:spacing w:before="0" w:beforeAutospacing="0" w:after="0" w:afterAutospacing="0"/>
              <w:ind w:left="0" w:right="0"/>
              <w:rPr>
                <w:rFonts w:eastAsia="宋体" w:cs="Times New Roman"/>
                <w:color w:val="auto"/>
                <w:kern w:val="0"/>
              </w:rPr>
            </w:pPr>
          </w:p>
        </w:tc>
      </w:tr>
      <w:tr w14:paraId="76825D5F">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26D29596">
            <w:pPr>
              <w:pStyle w:val="84"/>
              <w:keepNext w:val="0"/>
              <w:keepLines w:val="0"/>
              <w:suppressLineNumbers w:val="0"/>
              <w:spacing w:before="0" w:beforeAutospacing="0" w:after="0" w:afterAutospacing="0"/>
              <w:ind w:left="0" w:right="0"/>
              <w:rPr>
                <w:rFonts w:hint="eastAsia" w:eastAsia="宋体" w:cs="Times New Roman"/>
                <w:color w:val="auto"/>
                <w:kern w:val="0"/>
              </w:rPr>
            </w:pPr>
          </w:p>
          <w:p w14:paraId="2587C8F1">
            <w:pPr>
              <w:pStyle w:val="84"/>
              <w:keepNext w:val="0"/>
              <w:keepLines w:val="0"/>
              <w:suppressLineNumbers w:val="0"/>
              <w:spacing w:before="0" w:beforeAutospacing="0" w:after="0" w:afterAutospacing="0"/>
              <w:ind w:left="0" w:right="0"/>
              <w:rPr>
                <w:rFonts w:hint="eastAsia" w:eastAsia="宋体" w:cs="Times New Roman"/>
                <w:color w:val="auto"/>
                <w:kern w:val="0"/>
              </w:rPr>
            </w:pPr>
          </w:p>
        </w:tc>
        <w:tc>
          <w:tcPr>
            <w:tcW w:w="2773" w:type="dxa"/>
            <w:tcBorders>
              <w:top w:val="single" w:color="auto" w:sz="4" w:space="0"/>
              <w:left w:val="nil"/>
              <w:bottom w:val="single" w:color="auto" w:sz="4" w:space="0"/>
              <w:right w:val="single" w:color="auto" w:sz="4" w:space="0"/>
            </w:tcBorders>
            <w:noWrap w:val="0"/>
            <w:vAlign w:val="center"/>
          </w:tcPr>
          <w:p w14:paraId="6467C669">
            <w:pPr>
              <w:pStyle w:val="84"/>
              <w:keepNext w:val="0"/>
              <w:keepLines w:val="0"/>
              <w:suppressLineNumbers w:val="0"/>
              <w:spacing w:before="0" w:beforeAutospacing="0" w:after="0" w:afterAutospacing="0"/>
              <w:ind w:left="0" w:right="0"/>
              <w:rPr>
                <w:rFonts w:eastAsia="宋体" w:cs="Times New Roman"/>
                <w:color w:val="auto"/>
                <w:kern w:val="0"/>
              </w:rPr>
            </w:pPr>
          </w:p>
        </w:tc>
        <w:tc>
          <w:tcPr>
            <w:tcW w:w="2272" w:type="dxa"/>
            <w:tcBorders>
              <w:top w:val="nil"/>
              <w:left w:val="nil"/>
              <w:bottom w:val="single" w:color="auto" w:sz="4" w:space="0"/>
              <w:right w:val="single" w:color="auto" w:sz="4" w:space="0"/>
            </w:tcBorders>
            <w:noWrap w:val="0"/>
            <w:vAlign w:val="center"/>
          </w:tcPr>
          <w:p w14:paraId="587AD368">
            <w:pPr>
              <w:pStyle w:val="84"/>
              <w:keepNext w:val="0"/>
              <w:keepLines w:val="0"/>
              <w:suppressLineNumbers w:val="0"/>
              <w:spacing w:before="0" w:beforeAutospacing="0" w:after="0" w:afterAutospacing="0"/>
              <w:ind w:left="0" w:right="0"/>
              <w:rPr>
                <w:rFonts w:eastAsia="宋体" w:cs="Times New Roman"/>
                <w:color w:val="auto"/>
                <w:kern w:val="0"/>
              </w:rPr>
            </w:pPr>
          </w:p>
        </w:tc>
        <w:tc>
          <w:tcPr>
            <w:tcW w:w="2562" w:type="dxa"/>
            <w:tcBorders>
              <w:top w:val="nil"/>
              <w:left w:val="nil"/>
              <w:bottom w:val="single" w:color="auto" w:sz="4" w:space="0"/>
              <w:right w:val="single" w:color="auto" w:sz="4" w:space="0"/>
            </w:tcBorders>
            <w:noWrap w:val="0"/>
            <w:vAlign w:val="center"/>
          </w:tcPr>
          <w:p w14:paraId="3427C769">
            <w:pPr>
              <w:pStyle w:val="84"/>
              <w:keepNext w:val="0"/>
              <w:keepLines w:val="0"/>
              <w:suppressLineNumbers w:val="0"/>
              <w:spacing w:before="0" w:beforeAutospacing="0" w:after="0" w:afterAutospacing="0"/>
              <w:ind w:left="0" w:right="0"/>
              <w:rPr>
                <w:rFonts w:eastAsia="宋体" w:cs="Times New Roman"/>
                <w:color w:val="auto"/>
                <w:kern w:val="0"/>
              </w:rPr>
            </w:pPr>
          </w:p>
        </w:tc>
      </w:tr>
      <w:tr w14:paraId="50BD08A3">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158C335A">
            <w:pPr>
              <w:pStyle w:val="84"/>
              <w:keepNext w:val="0"/>
              <w:keepLines w:val="0"/>
              <w:suppressLineNumbers w:val="0"/>
              <w:spacing w:before="0" w:beforeAutospacing="0" w:after="0" w:afterAutospacing="0"/>
              <w:ind w:left="0" w:right="0"/>
              <w:rPr>
                <w:rFonts w:eastAsia="宋体" w:cs="Times New Roman"/>
                <w:color w:val="auto"/>
                <w:kern w:val="0"/>
              </w:rPr>
            </w:pPr>
          </w:p>
        </w:tc>
        <w:tc>
          <w:tcPr>
            <w:tcW w:w="2773" w:type="dxa"/>
            <w:tcBorders>
              <w:top w:val="single" w:color="auto" w:sz="4" w:space="0"/>
              <w:left w:val="nil"/>
              <w:bottom w:val="single" w:color="auto" w:sz="4" w:space="0"/>
              <w:right w:val="single" w:color="auto" w:sz="4" w:space="0"/>
            </w:tcBorders>
            <w:noWrap w:val="0"/>
            <w:vAlign w:val="center"/>
          </w:tcPr>
          <w:p w14:paraId="5D90C0D0">
            <w:pPr>
              <w:pStyle w:val="84"/>
              <w:keepNext w:val="0"/>
              <w:keepLines w:val="0"/>
              <w:suppressLineNumbers w:val="0"/>
              <w:spacing w:before="0" w:beforeAutospacing="0" w:after="0" w:afterAutospacing="0"/>
              <w:ind w:left="0" w:right="0"/>
              <w:rPr>
                <w:rFonts w:eastAsia="宋体" w:cs="Times New Roman"/>
                <w:color w:val="auto"/>
                <w:kern w:val="0"/>
              </w:rPr>
            </w:pPr>
          </w:p>
        </w:tc>
        <w:tc>
          <w:tcPr>
            <w:tcW w:w="2272" w:type="dxa"/>
            <w:tcBorders>
              <w:top w:val="nil"/>
              <w:left w:val="nil"/>
              <w:bottom w:val="single" w:color="auto" w:sz="4" w:space="0"/>
              <w:right w:val="single" w:color="auto" w:sz="4" w:space="0"/>
            </w:tcBorders>
            <w:noWrap w:val="0"/>
            <w:vAlign w:val="center"/>
          </w:tcPr>
          <w:p w14:paraId="2B72E37E">
            <w:pPr>
              <w:pStyle w:val="84"/>
              <w:keepNext w:val="0"/>
              <w:keepLines w:val="0"/>
              <w:suppressLineNumbers w:val="0"/>
              <w:spacing w:before="0" w:beforeAutospacing="0" w:after="0" w:afterAutospacing="0"/>
              <w:ind w:left="0" w:right="0"/>
              <w:rPr>
                <w:rFonts w:eastAsia="宋体" w:cs="Times New Roman"/>
                <w:color w:val="auto"/>
                <w:kern w:val="0"/>
              </w:rPr>
            </w:pPr>
          </w:p>
        </w:tc>
        <w:tc>
          <w:tcPr>
            <w:tcW w:w="2562" w:type="dxa"/>
            <w:tcBorders>
              <w:top w:val="nil"/>
              <w:left w:val="nil"/>
              <w:bottom w:val="single" w:color="auto" w:sz="4" w:space="0"/>
              <w:right w:val="single" w:color="auto" w:sz="4" w:space="0"/>
            </w:tcBorders>
            <w:noWrap w:val="0"/>
            <w:vAlign w:val="center"/>
          </w:tcPr>
          <w:p w14:paraId="3E2F8BAB">
            <w:pPr>
              <w:pStyle w:val="84"/>
              <w:keepNext w:val="0"/>
              <w:keepLines w:val="0"/>
              <w:suppressLineNumbers w:val="0"/>
              <w:spacing w:before="0" w:beforeAutospacing="0" w:after="0" w:afterAutospacing="0"/>
              <w:ind w:left="0" w:right="0"/>
              <w:rPr>
                <w:rFonts w:eastAsia="宋体" w:cs="Times New Roman"/>
                <w:color w:val="auto"/>
                <w:kern w:val="0"/>
              </w:rPr>
            </w:pPr>
          </w:p>
        </w:tc>
      </w:tr>
      <w:tr w14:paraId="5AE96CC2">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0F42F337">
            <w:pPr>
              <w:pStyle w:val="84"/>
              <w:keepNext w:val="0"/>
              <w:keepLines w:val="0"/>
              <w:suppressLineNumbers w:val="0"/>
              <w:spacing w:before="0" w:beforeAutospacing="0" w:after="0" w:afterAutospacing="0"/>
              <w:ind w:left="0" w:right="0"/>
              <w:rPr>
                <w:rFonts w:eastAsia="宋体" w:cs="Times New Roman"/>
                <w:color w:val="auto"/>
                <w:kern w:val="0"/>
              </w:rPr>
            </w:pPr>
          </w:p>
        </w:tc>
        <w:tc>
          <w:tcPr>
            <w:tcW w:w="2773" w:type="dxa"/>
            <w:tcBorders>
              <w:top w:val="single" w:color="auto" w:sz="4" w:space="0"/>
              <w:left w:val="nil"/>
              <w:bottom w:val="single" w:color="auto" w:sz="4" w:space="0"/>
              <w:right w:val="single" w:color="auto" w:sz="4" w:space="0"/>
            </w:tcBorders>
            <w:noWrap w:val="0"/>
            <w:vAlign w:val="center"/>
          </w:tcPr>
          <w:p w14:paraId="5520A3EC">
            <w:pPr>
              <w:pStyle w:val="84"/>
              <w:keepNext w:val="0"/>
              <w:keepLines w:val="0"/>
              <w:suppressLineNumbers w:val="0"/>
              <w:spacing w:before="0" w:beforeAutospacing="0" w:after="0" w:afterAutospacing="0"/>
              <w:ind w:left="0" w:right="0"/>
              <w:rPr>
                <w:rFonts w:eastAsia="宋体" w:cs="Times New Roman"/>
                <w:color w:val="auto"/>
                <w:kern w:val="0"/>
              </w:rPr>
            </w:pPr>
          </w:p>
        </w:tc>
        <w:tc>
          <w:tcPr>
            <w:tcW w:w="2272" w:type="dxa"/>
            <w:tcBorders>
              <w:top w:val="nil"/>
              <w:left w:val="nil"/>
              <w:bottom w:val="single" w:color="auto" w:sz="4" w:space="0"/>
              <w:right w:val="single" w:color="auto" w:sz="4" w:space="0"/>
            </w:tcBorders>
            <w:noWrap w:val="0"/>
            <w:vAlign w:val="center"/>
          </w:tcPr>
          <w:p w14:paraId="7306A757">
            <w:pPr>
              <w:pStyle w:val="84"/>
              <w:keepNext w:val="0"/>
              <w:keepLines w:val="0"/>
              <w:suppressLineNumbers w:val="0"/>
              <w:spacing w:before="0" w:beforeAutospacing="0" w:after="0" w:afterAutospacing="0"/>
              <w:ind w:left="0" w:right="0"/>
              <w:rPr>
                <w:rFonts w:eastAsia="宋体" w:cs="Times New Roman"/>
                <w:color w:val="auto"/>
                <w:kern w:val="0"/>
              </w:rPr>
            </w:pPr>
          </w:p>
        </w:tc>
        <w:tc>
          <w:tcPr>
            <w:tcW w:w="2562" w:type="dxa"/>
            <w:tcBorders>
              <w:top w:val="nil"/>
              <w:left w:val="nil"/>
              <w:bottom w:val="single" w:color="auto" w:sz="4" w:space="0"/>
              <w:right w:val="single" w:color="auto" w:sz="4" w:space="0"/>
            </w:tcBorders>
            <w:noWrap w:val="0"/>
            <w:vAlign w:val="center"/>
          </w:tcPr>
          <w:p w14:paraId="0AE5A711">
            <w:pPr>
              <w:pStyle w:val="84"/>
              <w:keepNext w:val="0"/>
              <w:keepLines w:val="0"/>
              <w:suppressLineNumbers w:val="0"/>
              <w:spacing w:before="0" w:beforeAutospacing="0" w:after="0" w:afterAutospacing="0"/>
              <w:ind w:left="0" w:right="0"/>
              <w:rPr>
                <w:rFonts w:eastAsia="宋体" w:cs="Times New Roman"/>
                <w:color w:val="auto"/>
                <w:kern w:val="0"/>
              </w:rPr>
            </w:pPr>
          </w:p>
        </w:tc>
      </w:tr>
      <w:tr w14:paraId="17D1F041">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50B1FB19">
            <w:pPr>
              <w:pStyle w:val="84"/>
              <w:keepNext w:val="0"/>
              <w:keepLines w:val="0"/>
              <w:suppressLineNumbers w:val="0"/>
              <w:spacing w:before="0" w:beforeAutospacing="0" w:after="0" w:afterAutospacing="0"/>
              <w:ind w:left="0" w:right="0"/>
              <w:rPr>
                <w:rFonts w:eastAsia="宋体" w:cs="Times New Roman"/>
                <w:color w:val="auto"/>
                <w:kern w:val="0"/>
              </w:rPr>
            </w:pPr>
          </w:p>
        </w:tc>
        <w:tc>
          <w:tcPr>
            <w:tcW w:w="2773" w:type="dxa"/>
            <w:tcBorders>
              <w:top w:val="single" w:color="auto" w:sz="4" w:space="0"/>
              <w:left w:val="nil"/>
              <w:bottom w:val="single" w:color="auto" w:sz="4" w:space="0"/>
              <w:right w:val="single" w:color="auto" w:sz="4" w:space="0"/>
            </w:tcBorders>
            <w:noWrap w:val="0"/>
            <w:vAlign w:val="center"/>
          </w:tcPr>
          <w:p w14:paraId="3D48E1C6">
            <w:pPr>
              <w:pStyle w:val="84"/>
              <w:keepNext w:val="0"/>
              <w:keepLines w:val="0"/>
              <w:suppressLineNumbers w:val="0"/>
              <w:spacing w:before="0" w:beforeAutospacing="0" w:after="0" w:afterAutospacing="0"/>
              <w:ind w:left="0" w:right="0"/>
              <w:rPr>
                <w:rFonts w:eastAsia="宋体" w:cs="Times New Roman"/>
                <w:color w:val="auto"/>
                <w:kern w:val="0"/>
              </w:rPr>
            </w:pPr>
          </w:p>
        </w:tc>
        <w:tc>
          <w:tcPr>
            <w:tcW w:w="2272" w:type="dxa"/>
            <w:tcBorders>
              <w:top w:val="nil"/>
              <w:left w:val="nil"/>
              <w:bottom w:val="single" w:color="auto" w:sz="4" w:space="0"/>
              <w:right w:val="single" w:color="auto" w:sz="4" w:space="0"/>
            </w:tcBorders>
            <w:noWrap w:val="0"/>
            <w:vAlign w:val="center"/>
          </w:tcPr>
          <w:p w14:paraId="0CB7294E">
            <w:pPr>
              <w:pStyle w:val="84"/>
              <w:keepNext w:val="0"/>
              <w:keepLines w:val="0"/>
              <w:suppressLineNumbers w:val="0"/>
              <w:spacing w:before="0" w:beforeAutospacing="0" w:after="0" w:afterAutospacing="0"/>
              <w:ind w:left="0" w:right="0"/>
              <w:rPr>
                <w:rFonts w:eastAsia="宋体" w:cs="Times New Roman"/>
                <w:color w:val="auto"/>
                <w:kern w:val="0"/>
              </w:rPr>
            </w:pPr>
          </w:p>
        </w:tc>
        <w:tc>
          <w:tcPr>
            <w:tcW w:w="2562" w:type="dxa"/>
            <w:tcBorders>
              <w:top w:val="nil"/>
              <w:left w:val="nil"/>
              <w:bottom w:val="single" w:color="auto" w:sz="4" w:space="0"/>
              <w:right w:val="single" w:color="auto" w:sz="4" w:space="0"/>
            </w:tcBorders>
            <w:noWrap w:val="0"/>
            <w:vAlign w:val="center"/>
          </w:tcPr>
          <w:p w14:paraId="41F22B0F">
            <w:pPr>
              <w:pStyle w:val="84"/>
              <w:keepNext w:val="0"/>
              <w:keepLines w:val="0"/>
              <w:suppressLineNumbers w:val="0"/>
              <w:spacing w:before="0" w:beforeAutospacing="0" w:after="0" w:afterAutospacing="0"/>
              <w:ind w:left="0" w:right="0"/>
              <w:rPr>
                <w:rFonts w:eastAsia="宋体" w:cs="Times New Roman"/>
                <w:color w:val="auto"/>
                <w:kern w:val="0"/>
              </w:rPr>
            </w:pPr>
          </w:p>
        </w:tc>
      </w:tr>
      <w:tr w14:paraId="0E2ED6EC">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2E18D030">
            <w:pPr>
              <w:pStyle w:val="84"/>
              <w:keepNext w:val="0"/>
              <w:keepLines w:val="0"/>
              <w:suppressLineNumbers w:val="0"/>
              <w:spacing w:before="0" w:beforeAutospacing="0" w:after="0" w:afterAutospacing="0"/>
              <w:ind w:left="0" w:right="0"/>
              <w:rPr>
                <w:rFonts w:eastAsia="宋体" w:cs="Times New Roman"/>
                <w:color w:val="auto"/>
                <w:kern w:val="0"/>
              </w:rPr>
            </w:pPr>
          </w:p>
        </w:tc>
        <w:tc>
          <w:tcPr>
            <w:tcW w:w="2773" w:type="dxa"/>
            <w:tcBorders>
              <w:top w:val="single" w:color="auto" w:sz="4" w:space="0"/>
              <w:left w:val="nil"/>
              <w:bottom w:val="single" w:color="auto" w:sz="4" w:space="0"/>
              <w:right w:val="single" w:color="auto" w:sz="4" w:space="0"/>
            </w:tcBorders>
            <w:noWrap w:val="0"/>
            <w:vAlign w:val="center"/>
          </w:tcPr>
          <w:p w14:paraId="66A1D8BD">
            <w:pPr>
              <w:pStyle w:val="84"/>
              <w:keepNext w:val="0"/>
              <w:keepLines w:val="0"/>
              <w:suppressLineNumbers w:val="0"/>
              <w:spacing w:before="0" w:beforeAutospacing="0" w:after="0" w:afterAutospacing="0"/>
              <w:ind w:left="0" w:right="0"/>
              <w:rPr>
                <w:rFonts w:eastAsia="宋体" w:cs="Times New Roman"/>
                <w:color w:val="auto"/>
                <w:kern w:val="0"/>
              </w:rPr>
            </w:pPr>
          </w:p>
        </w:tc>
        <w:tc>
          <w:tcPr>
            <w:tcW w:w="2272" w:type="dxa"/>
            <w:tcBorders>
              <w:top w:val="nil"/>
              <w:left w:val="nil"/>
              <w:bottom w:val="single" w:color="auto" w:sz="4" w:space="0"/>
              <w:right w:val="single" w:color="auto" w:sz="4" w:space="0"/>
            </w:tcBorders>
            <w:noWrap w:val="0"/>
            <w:vAlign w:val="center"/>
          </w:tcPr>
          <w:p w14:paraId="7C6B33A8">
            <w:pPr>
              <w:pStyle w:val="84"/>
              <w:keepNext w:val="0"/>
              <w:keepLines w:val="0"/>
              <w:suppressLineNumbers w:val="0"/>
              <w:spacing w:before="0" w:beforeAutospacing="0" w:after="0" w:afterAutospacing="0"/>
              <w:ind w:left="0" w:right="0"/>
              <w:rPr>
                <w:rFonts w:eastAsia="宋体" w:cs="Times New Roman"/>
                <w:color w:val="auto"/>
                <w:kern w:val="0"/>
              </w:rPr>
            </w:pPr>
          </w:p>
        </w:tc>
        <w:tc>
          <w:tcPr>
            <w:tcW w:w="2562" w:type="dxa"/>
            <w:tcBorders>
              <w:top w:val="nil"/>
              <w:left w:val="nil"/>
              <w:bottom w:val="single" w:color="auto" w:sz="4" w:space="0"/>
              <w:right w:val="single" w:color="auto" w:sz="4" w:space="0"/>
            </w:tcBorders>
            <w:noWrap w:val="0"/>
            <w:vAlign w:val="center"/>
          </w:tcPr>
          <w:p w14:paraId="02945883">
            <w:pPr>
              <w:pStyle w:val="84"/>
              <w:keepNext w:val="0"/>
              <w:keepLines w:val="0"/>
              <w:suppressLineNumbers w:val="0"/>
              <w:spacing w:before="0" w:beforeAutospacing="0" w:after="0" w:afterAutospacing="0"/>
              <w:ind w:left="0" w:right="0"/>
              <w:rPr>
                <w:rFonts w:hint="eastAsia" w:eastAsia="宋体" w:cs="Times New Roman"/>
                <w:color w:val="auto"/>
                <w:kern w:val="0"/>
              </w:rPr>
            </w:pPr>
          </w:p>
        </w:tc>
      </w:tr>
      <w:tr w14:paraId="5B256F1A">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13DAE87D">
            <w:pPr>
              <w:pStyle w:val="84"/>
              <w:keepNext w:val="0"/>
              <w:keepLines w:val="0"/>
              <w:suppressLineNumbers w:val="0"/>
              <w:spacing w:before="0" w:beforeAutospacing="0" w:after="0" w:afterAutospacing="0"/>
              <w:ind w:left="0" w:right="0"/>
              <w:rPr>
                <w:rFonts w:eastAsia="宋体" w:cs="Times New Roman"/>
                <w:color w:val="auto"/>
                <w:kern w:val="0"/>
              </w:rPr>
            </w:pPr>
          </w:p>
        </w:tc>
        <w:tc>
          <w:tcPr>
            <w:tcW w:w="2773" w:type="dxa"/>
            <w:tcBorders>
              <w:top w:val="single" w:color="auto" w:sz="4" w:space="0"/>
              <w:left w:val="nil"/>
              <w:bottom w:val="single" w:color="auto" w:sz="4" w:space="0"/>
              <w:right w:val="single" w:color="auto" w:sz="4" w:space="0"/>
            </w:tcBorders>
            <w:noWrap w:val="0"/>
            <w:vAlign w:val="center"/>
          </w:tcPr>
          <w:p w14:paraId="0DCA3EB5">
            <w:pPr>
              <w:pStyle w:val="84"/>
              <w:keepNext w:val="0"/>
              <w:keepLines w:val="0"/>
              <w:suppressLineNumbers w:val="0"/>
              <w:spacing w:before="0" w:beforeAutospacing="0" w:after="0" w:afterAutospacing="0"/>
              <w:ind w:left="0" w:right="0"/>
              <w:rPr>
                <w:rFonts w:eastAsia="宋体" w:cs="Times New Roman"/>
                <w:color w:val="auto"/>
                <w:kern w:val="0"/>
              </w:rPr>
            </w:pPr>
          </w:p>
        </w:tc>
        <w:tc>
          <w:tcPr>
            <w:tcW w:w="2272" w:type="dxa"/>
            <w:tcBorders>
              <w:top w:val="nil"/>
              <w:left w:val="nil"/>
              <w:bottom w:val="single" w:color="auto" w:sz="4" w:space="0"/>
              <w:right w:val="single" w:color="auto" w:sz="4" w:space="0"/>
            </w:tcBorders>
            <w:noWrap w:val="0"/>
            <w:vAlign w:val="center"/>
          </w:tcPr>
          <w:p w14:paraId="2275ED5C">
            <w:pPr>
              <w:pStyle w:val="84"/>
              <w:keepNext w:val="0"/>
              <w:keepLines w:val="0"/>
              <w:suppressLineNumbers w:val="0"/>
              <w:spacing w:before="0" w:beforeAutospacing="0" w:after="0" w:afterAutospacing="0"/>
              <w:ind w:left="0" w:right="0"/>
              <w:rPr>
                <w:rFonts w:eastAsia="宋体" w:cs="Times New Roman"/>
                <w:color w:val="auto"/>
                <w:kern w:val="0"/>
              </w:rPr>
            </w:pPr>
          </w:p>
        </w:tc>
        <w:tc>
          <w:tcPr>
            <w:tcW w:w="2562" w:type="dxa"/>
            <w:tcBorders>
              <w:top w:val="nil"/>
              <w:left w:val="nil"/>
              <w:bottom w:val="single" w:color="auto" w:sz="4" w:space="0"/>
              <w:right w:val="single" w:color="auto" w:sz="4" w:space="0"/>
            </w:tcBorders>
            <w:noWrap w:val="0"/>
            <w:vAlign w:val="center"/>
          </w:tcPr>
          <w:p w14:paraId="37B14C13">
            <w:pPr>
              <w:pStyle w:val="84"/>
              <w:keepNext w:val="0"/>
              <w:keepLines w:val="0"/>
              <w:suppressLineNumbers w:val="0"/>
              <w:spacing w:before="0" w:beforeAutospacing="0" w:after="0" w:afterAutospacing="0"/>
              <w:ind w:left="0" w:right="0"/>
              <w:rPr>
                <w:rFonts w:eastAsia="黑体" w:cs="Times New Roman"/>
                <w:color w:val="auto"/>
              </w:rPr>
            </w:pPr>
          </w:p>
        </w:tc>
      </w:tr>
      <w:tr w14:paraId="40207047">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7E73EEE5">
            <w:pPr>
              <w:pStyle w:val="84"/>
              <w:keepNext w:val="0"/>
              <w:keepLines w:val="0"/>
              <w:suppressLineNumbers w:val="0"/>
              <w:spacing w:before="0" w:beforeAutospacing="0" w:after="0" w:afterAutospacing="0"/>
              <w:ind w:left="0" w:right="0"/>
              <w:rPr>
                <w:rFonts w:eastAsia="宋体" w:cs="Times New Roman"/>
                <w:color w:val="auto"/>
                <w:kern w:val="0"/>
              </w:rPr>
            </w:pPr>
          </w:p>
        </w:tc>
        <w:tc>
          <w:tcPr>
            <w:tcW w:w="2773" w:type="dxa"/>
            <w:tcBorders>
              <w:top w:val="single" w:color="auto" w:sz="4" w:space="0"/>
              <w:left w:val="nil"/>
              <w:bottom w:val="single" w:color="auto" w:sz="4" w:space="0"/>
              <w:right w:val="single" w:color="auto" w:sz="4" w:space="0"/>
            </w:tcBorders>
            <w:noWrap w:val="0"/>
            <w:vAlign w:val="center"/>
          </w:tcPr>
          <w:p w14:paraId="32491AE6">
            <w:pPr>
              <w:pStyle w:val="84"/>
              <w:keepNext w:val="0"/>
              <w:keepLines w:val="0"/>
              <w:suppressLineNumbers w:val="0"/>
              <w:spacing w:before="0" w:beforeAutospacing="0" w:after="0" w:afterAutospacing="0"/>
              <w:ind w:left="0" w:right="0"/>
              <w:rPr>
                <w:rFonts w:eastAsia="宋体" w:cs="Times New Roman"/>
                <w:color w:val="auto"/>
                <w:kern w:val="0"/>
              </w:rPr>
            </w:pPr>
          </w:p>
        </w:tc>
        <w:tc>
          <w:tcPr>
            <w:tcW w:w="2272" w:type="dxa"/>
            <w:tcBorders>
              <w:top w:val="nil"/>
              <w:left w:val="nil"/>
              <w:bottom w:val="single" w:color="auto" w:sz="4" w:space="0"/>
              <w:right w:val="single" w:color="auto" w:sz="4" w:space="0"/>
            </w:tcBorders>
            <w:noWrap w:val="0"/>
            <w:vAlign w:val="center"/>
          </w:tcPr>
          <w:p w14:paraId="5CCDF546">
            <w:pPr>
              <w:pStyle w:val="84"/>
              <w:keepNext w:val="0"/>
              <w:keepLines w:val="0"/>
              <w:suppressLineNumbers w:val="0"/>
              <w:spacing w:before="0" w:beforeAutospacing="0" w:after="0" w:afterAutospacing="0"/>
              <w:ind w:left="0" w:right="0"/>
              <w:rPr>
                <w:rFonts w:eastAsia="宋体" w:cs="Times New Roman"/>
                <w:color w:val="auto"/>
                <w:kern w:val="0"/>
              </w:rPr>
            </w:pPr>
          </w:p>
        </w:tc>
        <w:tc>
          <w:tcPr>
            <w:tcW w:w="2562" w:type="dxa"/>
            <w:tcBorders>
              <w:top w:val="nil"/>
              <w:left w:val="nil"/>
              <w:bottom w:val="single" w:color="auto" w:sz="4" w:space="0"/>
              <w:right w:val="single" w:color="auto" w:sz="4" w:space="0"/>
            </w:tcBorders>
            <w:noWrap w:val="0"/>
            <w:vAlign w:val="center"/>
          </w:tcPr>
          <w:p w14:paraId="77E8CB04">
            <w:pPr>
              <w:pStyle w:val="84"/>
              <w:keepNext w:val="0"/>
              <w:keepLines w:val="0"/>
              <w:suppressLineNumbers w:val="0"/>
              <w:spacing w:before="0" w:beforeAutospacing="0" w:after="0" w:afterAutospacing="0"/>
              <w:ind w:left="0" w:right="0"/>
              <w:rPr>
                <w:rFonts w:eastAsia="黑体" w:cs="Times New Roman"/>
                <w:color w:val="auto"/>
              </w:rPr>
            </w:pPr>
          </w:p>
        </w:tc>
      </w:tr>
      <w:tr w14:paraId="523FBA4A">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056D81DC">
            <w:pPr>
              <w:pStyle w:val="84"/>
              <w:keepNext w:val="0"/>
              <w:keepLines w:val="0"/>
              <w:suppressLineNumbers w:val="0"/>
              <w:spacing w:before="0" w:beforeAutospacing="0" w:after="0" w:afterAutospacing="0"/>
              <w:ind w:left="0" w:right="0"/>
              <w:rPr>
                <w:rFonts w:hint="eastAsia" w:eastAsia="宋体" w:cs="Times New Roman"/>
                <w:color w:val="auto"/>
                <w:kern w:val="0"/>
              </w:rPr>
            </w:pPr>
          </w:p>
        </w:tc>
        <w:tc>
          <w:tcPr>
            <w:tcW w:w="2773" w:type="dxa"/>
            <w:tcBorders>
              <w:top w:val="single" w:color="auto" w:sz="4" w:space="0"/>
              <w:left w:val="nil"/>
              <w:bottom w:val="single" w:color="auto" w:sz="4" w:space="0"/>
              <w:right w:val="single" w:color="auto" w:sz="4" w:space="0"/>
            </w:tcBorders>
            <w:noWrap w:val="0"/>
            <w:vAlign w:val="center"/>
          </w:tcPr>
          <w:p w14:paraId="190B626D">
            <w:pPr>
              <w:pStyle w:val="84"/>
              <w:keepNext w:val="0"/>
              <w:keepLines w:val="0"/>
              <w:suppressLineNumbers w:val="0"/>
              <w:spacing w:before="0" w:beforeAutospacing="0" w:after="0" w:afterAutospacing="0"/>
              <w:ind w:left="0" w:right="0"/>
              <w:rPr>
                <w:rFonts w:eastAsia="宋体" w:cs="Times New Roman"/>
                <w:color w:val="auto"/>
                <w:kern w:val="0"/>
              </w:rPr>
            </w:pPr>
          </w:p>
        </w:tc>
        <w:tc>
          <w:tcPr>
            <w:tcW w:w="2272" w:type="dxa"/>
            <w:tcBorders>
              <w:top w:val="nil"/>
              <w:left w:val="nil"/>
              <w:bottom w:val="single" w:color="auto" w:sz="4" w:space="0"/>
              <w:right w:val="single" w:color="auto" w:sz="4" w:space="0"/>
            </w:tcBorders>
            <w:noWrap w:val="0"/>
            <w:vAlign w:val="center"/>
          </w:tcPr>
          <w:p w14:paraId="21BA516C">
            <w:pPr>
              <w:pStyle w:val="84"/>
              <w:keepNext w:val="0"/>
              <w:keepLines w:val="0"/>
              <w:suppressLineNumbers w:val="0"/>
              <w:spacing w:before="0" w:beforeAutospacing="0" w:after="0" w:afterAutospacing="0"/>
              <w:ind w:left="0" w:right="0"/>
              <w:rPr>
                <w:rFonts w:eastAsia="宋体" w:cs="Times New Roman"/>
                <w:color w:val="auto"/>
                <w:kern w:val="0"/>
              </w:rPr>
            </w:pPr>
          </w:p>
        </w:tc>
        <w:tc>
          <w:tcPr>
            <w:tcW w:w="2562" w:type="dxa"/>
            <w:tcBorders>
              <w:top w:val="nil"/>
              <w:left w:val="nil"/>
              <w:bottom w:val="single" w:color="auto" w:sz="4" w:space="0"/>
              <w:right w:val="single" w:color="auto" w:sz="4" w:space="0"/>
            </w:tcBorders>
            <w:noWrap w:val="0"/>
            <w:vAlign w:val="center"/>
          </w:tcPr>
          <w:p w14:paraId="76EDA422">
            <w:pPr>
              <w:pStyle w:val="84"/>
              <w:keepNext w:val="0"/>
              <w:keepLines w:val="0"/>
              <w:suppressLineNumbers w:val="0"/>
              <w:spacing w:before="0" w:beforeAutospacing="0" w:after="0" w:afterAutospacing="0"/>
              <w:ind w:left="0" w:right="0"/>
              <w:rPr>
                <w:rFonts w:eastAsia="宋体" w:cs="Times New Roman"/>
                <w:color w:val="auto"/>
                <w:kern w:val="0"/>
              </w:rPr>
            </w:pPr>
          </w:p>
        </w:tc>
      </w:tr>
      <w:tr w14:paraId="22D5ACAB">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6E8D8914">
            <w:pPr>
              <w:pStyle w:val="84"/>
              <w:keepNext w:val="0"/>
              <w:keepLines w:val="0"/>
              <w:suppressLineNumbers w:val="0"/>
              <w:spacing w:before="0" w:beforeAutospacing="0" w:after="0" w:afterAutospacing="0"/>
              <w:ind w:left="0" w:right="0"/>
              <w:rPr>
                <w:rFonts w:eastAsia="宋体" w:cs="Times New Roman"/>
                <w:color w:val="auto"/>
                <w:kern w:val="0"/>
              </w:rPr>
            </w:pPr>
          </w:p>
        </w:tc>
        <w:tc>
          <w:tcPr>
            <w:tcW w:w="2773" w:type="dxa"/>
            <w:tcBorders>
              <w:top w:val="single" w:color="auto" w:sz="4" w:space="0"/>
              <w:left w:val="nil"/>
              <w:bottom w:val="single" w:color="auto" w:sz="4" w:space="0"/>
              <w:right w:val="single" w:color="auto" w:sz="4" w:space="0"/>
            </w:tcBorders>
            <w:noWrap w:val="0"/>
            <w:vAlign w:val="center"/>
          </w:tcPr>
          <w:p w14:paraId="08A22573">
            <w:pPr>
              <w:pStyle w:val="84"/>
              <w:keepNext w:val="0"/>
              <w:keepLines w:val="0"/>
              <w:suppressLineNumbers w:val="0"/>
              <w:spacing w:before="0" w:beforeAutospacing="0" w:after="0" w:afterAutospacing="0"/>
              <w:ind w:left="0" w:right="0"/>
              <w:rPr>
                <w:rFonts w:eastAsia="宋体" w:cs="Times New Roman"/>
                <w:color w:val="auto"/>
                <w:kern w:val="0"/>
              </w:rPr>
            </w:pPr>
          </w:p>
        </w:tc>
        <w:tc>
          <w:tcPr>
            <w:tcW w:w="2272" w:type="dxa"/>
            <w:tcBorders>
              <w:top w:val="nil"/>
              <w:left w:val="nil"/>
              <w:bottom w:val="single" w:color="auto" w:sz="4" w:space="0"/>
              <w:right w:val="single" w:color="auto" w:sz="4" w:space="0"/>
            </w:tcBorders>
            <w:noWrap w:val="0"/>
            <w:vAlign w:val="center"/>
          </w:tcPr>
          <w:p w14:paraId="3B28D914">
            <w:pPr>
              <w:pStyle w:val="84"/>
              <w:keepNext w:val="0"/>
              <w:keepLines w:val="0"/>
              <w:suppressLineNumbers w:val="0"/>
              <w:spacing w:before="0" w:beforeAutospacing="0" w:after="0" w:afterAutospacing="0"/>
              <w:ind w:left="0" w:right="0"/>
              <w:rPr>
                <w:rFonts w:eastAsia="宋体" w:cs="Times New Roman"/>
                <w:color w:val="auto"/>
                <w:kern w:val="0"/>
              </w:rPr>
            </w:pPr>
          </w:p>
        </w:tc>
        <w:tc>
          <w:tcPr>
            <w:tcW w:w="2562" w:type="dxa"/>
            <w:tcBorders>
              <w:top w:val="nil"/>
              <w:left w:val="nil"/>
              <w:bottom w:val="single" w:color="auto" w:sz="4" w:space="0"/>
              <w:right w:val="single" w:color="auto" w:sz="4" w:space="0"/>
            </w:tcBorders>
            <w:noWrap w:val="0"/>
            <w:vAlign w:val="center"/>
          </w:tcPr>
          <w:p w14:paraId="5CC0527D">
            <w:pPr>
              <w:pStyle w:val="84"/>
              <w:keepNext w:val="0"/>
              <w:keepLines w:val="0"/>
              <w:suppressLineNumbers w:val="0"/>
              <w:spacing w:before="0" w:beforeAutospacing="0" w:after="0" w:afterAutospacing="0"/>
              <w:ind w:left="0" w:right="0"/>
              <w:rPr>
                <w:rFonts w:eastAsia="宋体" w:cs="Times New Roman"/>
                <w:color w:val="auto"/>
                <w:kern w:val="0"/>
              </w:rPr>
            </w:pPr>
          </w:p>
        </w:tc>
      </w:tr>
      <w:tr w14:paraId="60C7405B">
        <w:tblPrEx>
          <w:tblCellMar>
            <w:top w:w="0" w:type="dxa"/>
            <w:left w:w="108" w:type="dxa"/>
            <w:bottom w:w="0" w:type="dxa"/>
            <w:right w:w="108" w:type="dxa"/>
          </w:tblCellMar>
        </w:tblPrEx>
        <w:trPr>
          <w:trHeight w:val="780" w:hRule="atLeast"/>
          <w:jc w:val="center"/>
        </w:trPr>
        <w:tc>
          <w:tcPr>
            <w:tcW w:w="3688" w:type="dxa"/>
            <w:gridSpan w:val="2"/>
            <w:tcBorders>
              <w:top w:val="nil"/>
              <w:left w:val="single" w:color="auto" w:sz="4" w:space="0"/>
              <w:bottom w:val="single" w:color="auto" w:sz="4" w:space="0"/>
              <w:right w:val="single" w:color="auto" w:sz="4" w:space="0"/>
            </w:tcBorders>
            <w:noWrap w:val="0"/>
            <w:vAlign w:val="center"/>
          </w:tcPr>
          <w:p w14:paraId="3C0FB645">
            <w:pPr>
              <w:pStyle w:val="84"/>
              <w:keepNext w:val="0"/>
              <w:keepLines w:val="0"/>
              <w:suppressLineNumbers w:val="0"/>
              <w:spacing w:before="0" w:beforeAutospacing="0" w:after="0" w:afterAutospacing="0"/>
              <w:ind w:left="0" w:right="0"/>
              <w:rPr>
                <w:rFonts w:eastAsia="宋体" w:cs="Times New Roman"/>
                <w:color w:val="auto"/>
                <w:kern w:val="0"/>
              </w:rPr>
            </w:pPr>
            <w:r>
              <w:rPr>
                <w:rFonts w:hint="eastAsia" w:eastAsia="宋体" w:cs="Times New Roman"/>
                <w:color w:val="auto"/>
                <w:kern w:val="0"/>
              </w:rPr>
              <w:t>投标报价</w:t>
            </w:r>
          </w:p>
        </w:tc>
        <w:tc>
          <w:tcPr>
            <w:tcW w:w="4834" w:type="dxa"/>
            <w:gridSpan w:val="2"/>
            <w:tcBorders>
              <w:top w:val="nil"/>
              <w:left w:val="nil"/>
              <w:bottom w:val="single" w:color="auto" w:sz="4" w:space="0"/>
              <w:right w:val="single" w:color="auto" w:sz="4" w:space="0"/>
            </w:tcBorders>
            <w:noWrap w:val="0"/>
            <w:vAlign w:val="center"/>
          </w:tcPr>
          <w:p w14:paraId="06CFCCD0">
            <w:pPr>
              <w:pStyle w:val="84"/>
              <w:keepNext w:val="0"/>
              <w:keepLines w:val="0"/>
              <w:suppressLineNumbers w:val="0"/>
              <w:spacing w:before="0" w:beforeAutospacing="0" w:after="0" w:afterAutospacing="0"/>
              <w:ind w:left="0" w:right="0"/>
              <w:rPr>
                <w:rFonts w:eastAsia="宋体" w:cs="Times New Roman"/>
                <w:color w:val="auto"/>
                <w:kern w:val="0"/>
              </w:rPr>
            </w:pPr>
          </w:p>
        </w:tc>
      </w:tr>
    </w:tbl>
    <w:p w14:paraId="5A37237D">
      <w:pPr>
        <w:rPr>
          <w:rFonts w:hint="eastAsia"/>
          <w:color w:val="auto"/>
        </w:rPr>
      </w:pPr>
      <w:bookmarkStart w:id="2361" w:name="_Toc152042585"/>
      <w:bookmarkStart w:id="2362" w:name="_Toc247527836"/>
      <w:bookmarkStart w:id="2363" w:name="_Toc152045796"/>
      <w:bookmarkStart w:id="2364" w:name="_Toc144974864"/>
      <w:bookmarkStart w:id="2365" w:name="_Toc519085650"/>
      <w:bookmarkStart w:id="2366" w:name="_Toc247514288"/>
    </w:p>
    <w:p w14:paraId="3BEF1FE3">
      <w:pPr>
        <w:rPr>
          <w:rFonts w:hint="eastAsia"/>
          <w:color w:val="auto"/>
        </w:rPr>
      </w:pPr>
    </w:p>
    <w:p w14:paraId="0BC72CF4">
      <w:pPr>
        <w:rPr>
          <w:rFonts w:hint="eastAsia"/>
          <w:color w:val="auto"/>
        </w:rPr>
      </w:pPr>
    </w:p>
    <w:p w14:paraId="06BF4AE8">
      <w:pPr>
        <w:pStyle w:val="3"/>
        <w:spacing w:before="63"/>
        <w:jc w:val="center"/>
        <w:rPr>
          <w:color w:val="auto"/>
          <w:sz w:val="28"/>
          <w:szCs w:val="28"/>
        </w:rPr>
      </w:pPr>
      <w:bookmarkStart w:id="2367" w:name="_Toc16022"/>
      <w:bookmarkStart w:id="2368" w:name="_Toc30939"/>
      <w:bookmarkStart w:id="2369" w:name="_Toc27086"/>
      <w:bookmarkStart w:id="2370" w:name="_Toc154064073"/>
      <w:bookmarkStart w:id="2371" w:name="_Toc14223"/>
      <w:r>
        <w:rPr>
          <w:rFonts w:hint="eastAsia"/>
          <w:color w:val="auto"/>
          <w:sz w:val="28"/>
          <w:szCs w:val="28"/>
        </w:rPr>
        <w:t>十</w:t>
      </w:r>
      <w:r>
        <w:rPr>
          <w:color w:val="auto"/>
          <w:sz w:val="28"/>
          <w:szCs w:val="28"/>
        </w:rPr>
        <w:t>、</w:t>
      </w:r>
      <w:r>
        <w:rPr>
          <w:rFonts w:hint="eastAsia"/>
          <w:color w:val="auto"/>
          <w:sz w:val="28"/>
          <w:szCs w:val="28"/>
        </w:rPr>
        <w:t>承包人建议书</w:t>
      </w:r>
      <w:bookmarkEnd w:id="2361"/>
      <w:bookmarkEnd w:id="2362"/>
      <w:bookmarkEnd w:id="2363"/>
      <w:bookmarkEnd w:id="2364"/>
      <w:bookmarkEnd w:id="2365"/>
      <w:bookmarkEnd w:id="2366"/>
      <w:bookmarkEnd w:id="2367"/>
      <w:bookmarkEnd w:id="2368"/>
      <w:bookmarkEnd w:id="2369"/>
      <w:bookmarkEnd w:id="2370"/>
      <w:bookmarkEnd w:id="2371"/>
    </w:p>
    <w:p w14:paraId="2ED03CCD">
      <w:pPr>
        <w:spacing w:line="440" w:lineRule="exact"/>
        <w:rPr>
          <w:rFonts w:hint="eastAsia" w:ascii="宋体" w:hAnsi="宋体"/>
          <w:color w:val="auto"/>
          <w:szCs w:val="21"/>
        </w:rPr>
      </w:pPr>
    </w:p>
    <w:p w14:paraId="244DEA40">
      <w:pPr>
        <w:spacing w:line="440" w:lineRule="exact"/>
        <w:outlineLvl w:val="0"/>
        <w:rPr>
          <w:rFonts w:hint="eastAsia" w:ascii="宋体" w:hAnsi="宋体"/>
          <w:color w:val="auto"/>
          <w:szCs w:val="21"/>
        </w:rPr>
      </w:pPr>
      <w:bookmarkStart w:id="2372" w:name="_Toc3980778"/>
      <w:bookmarkStart w:id="2373" w:name="_Toc3981226"/>
      <w:bookmarkStart w:id="2374" w:name="_Toc154064074"/>
      <w:r>
        <w:rPr>
          <w:rFonts w:hint="eastAsia" w:ascii="宋体" w:hAnsi="宋体"/>
          <w:color w:val="auto"/>
          <w:szCs w:val="21"/>
        </w:rPr>
        <w:t>（一）图纸</w:t>
      </w:r>
      <w:bookmarkEnd w:id="2372"/>
      <w:bookmarkEnd w:id="2373"/>
      <w:bookmarkEnd w:id="2374"/>
    </w:p>
    <w:p w14:paraId="3F657E9F">
      <w:pPr>
        <w:spacing w:line="440" w:lineRule="exact"/>
        <w:outlineLvl w:val="0"/>
        <w:rPr>
          <w:rFonts w:hint="eastAsia" w:ascii="宋体" w:hAnsi="宋体"/>
          <w:color w:val="auto"/>
          <w:szCs w:val="21"/>
        </w:rPr>
      </w:pPr>
      <w:bookmarkStart w:id="2375" w:name="_Toc3981227"/>
      <w:bookmarkStart w:id="2376" w:name="_Toc3980779"/>
      <w:bookmarkStart w:id="2377" w:name="_Toc154064075"/>
      <w:r>
        <w:rPr>
          <w:rFonts w:hint="eastAsia" w:ascii="宋体" w:hAnsi="宋体"/>
          <w:color w:val="auto"/>
          <w:szCs w:val="21"/>
        </w:rPr>
        <w:t>（二）工程详细说明</w:t>
      </w:r>
      <w:bookmarkEnd w:id="2375"/>
      <w:bookmarkEnd w:id="2376"/>
      <w:bookmarkEnd w:id="2377"/>
    </w:p>
    <w:p w14:paraId="4C60C459">
      <w:pPr>
        <w:spacing w:line="440" w:lineRule="exact"/>
        <w:outlineLvl w:val="0"/>
        <w:rPr>
          <w:rFonts w:hint="eastAsia" w:ascii="宋体" w:hAnsi="宋体"/>
          <w:color w:val="auto"/>
          <w:szCs w:val="21"/>
        </w:rPr>
      </w:pPr>
      <w:bookmarkStart w:id="2378" w:name="_Toc3981228"/>
      <w:bookmarkStart w:id="2379" w:name="_Toc154064076"/>
      <w:bookmarkStart w:id="2380" w:name="_Toc3980780"/>
      <w:r>
        <w:rPr>
          <w:rFonts w:hint="eastAsia" w:ascii="宋体" w:hAnsi="宋体"/>
          <w:color w:val="auto"/>
          <w:szCs w:val="21"/>
        </w:rPr>
        <w:t>（三）设备方案</w:t>
      </w:r>
      <w:bookmarkEnd w:id="2378"/>
      <w:bookmarkEnd w:id="2379"/>
      <w:bookmarkEnd w:id="2380"/>
    </w:p>
    <w:p w14:paraId="517BF4BB">
      <w:pPr>
        <w:ind w:firstLine="420" w:firstLineChars="200"/>
        <w:rPr>
          <w:rFonts w:hint="eastAsia" w:ascii="宋体" w:hAnsi="宋体"/>
          <w:color w:val="auto"/>
          <w:szCs w:val="21"/>
        </w:rPr>
      </w:pPr>
      <w:r>
        <w:rPr>
          <w:rFonts w:hint="eastAsia"/>
          <w:color w:val="auto"/>
          <w:szCs w:val="21"/>
        </w:rPr>
        <w:t>1</w:t>
      </w:r>
      <w:r>
        <w:rPr>
          <w:rFonts w:hint="eastAsia" w:ascii="宋体" w:hAnsi="宋体"/>
          <w:color w:val="auto"/>
          <w:szCs w:val="21"/>
        </w:rPr>
        <w:t>．生产设备。</w:t>
      </w:r>
    </w:p>
    <w:p w14:paraId="4D0C9530">
      <w:pPr>
        <w:ind w:firstLine="420" w:firstLineChars="200"/>
        <w:rPr>
          <w:rFonts w:hint="eastAsia" w:ascii="宋体" w:hAnsi="宋体"/>
          <w:color w:val="auto"/>
          <w:szCs w:val="21"/>
        </w:rPr>
      </w:pPr>
      <w:r>
        <w:rPr>
          <w:rFonts w:hint="eastAsia"/>
          <w:color w:val="auto"/>
          <w:szCs w:val="21"/>
        </w:rPr>
        <w:t>2</w:t>
      </w:r>
      <w:r>
        <w:rPr>
          <w:rFonts w:hint="eastAsia" w:ascii="宋体" w:hAnsi="宋体"/>
          <w:color w:val="auto"/>
          <w:szCs w:val="21"/>
        </w:rPr>
        <w:t>．必备的备品备件。</w:t>
      </w:r>
    </w:p>
    <w:p w14:paraId="4FB38111">
      <w:pPr>
        <w:ind w:firstLine="420" w:firstLineChars="200"/>
        <w:rPr>
          <w:rFonts w:hint="eastAsia" w:ascii="宋体" w:hAnsi="宋体"/>
          <w:color w:val="auto"/>
          <w:szCs w:val="21"/>
        </w:rPr>
      </w:pPr>
      <w:r>
        <w:rPr>
          <w:rFonts w:hint="eastAsia"/>
          <w:color w:val="auto"/>
          <w:szCs w:val="21"/>
        </w:rPr>
        <w:t>3</w:t>
      </w:r>
      <w:r>
        <w:rPr>
          <w:rFonts w:hint="eastAsia" w:ascii="宋体" w:hAnsi="宋体"/>
          <w:color w:val="auto"/>
          <w:szCs w:val="21"/>
        </w:rPr>
        <w:t>. 备选的备品备件。</w:t>
      </w:r>
    </w:p>
    <w:p w14:paraId="363222EF">
      <w:pPr>
        <w:spacing w:line="440" w:lineRule="exact"/>
        <w:outlineLvl w:val="0"/>
        <w:rPr>
          <w:rFonts w:hint="eastAsia" w:ascii="宋体" w:hAnsi="宋体"/>
          <w:color w:val="auto"/>
          <w:szCs w:val="21"/>
        </w:rPr>
      </w:pPr>
      <w:bookmarkStart w:id="2381" w:name="_Toc3981229"/>
      <w:bookmarkStart w:id="2382" w:name="_Toc154064077"/>
      <w:bookmarkStart w:id="2383" w:name="_Toc3980781"/>
      <w:r>
        <w:rPr>
          <w:rFonts w:hint="eastAsia" w:ascii="宋体" w:hAnsi="宋体"/>
          <w:color w:val="auto"/>
          <w:szCs w:val="21"/>
        </w:rPr>
        <w:t>（四）分包方案</w:t>
      </w:r>
      <w:bookmarkEnd w:id="2381"/>
      <w:bookmarkEnd w:id="2382"/>
      <w:bookmarkEnd w:id="2383"/>
    </w:p>
    <w:p w14:paraId="3F79FCAD">
      <w:pPr>
        <w:spacing w:line="440" w:lineRule="exact"/>
        <w:outlineLvl w:val="0"/>
        <w:rPr>
          <w:rFonts w:hint="eastAsia" w:ascii="宋体" w:hAnsi="宋体"/>
          <w:color w:val="auto"/>
          <w:szCs w:val="21"/>
        </w:rPr>
      </w:pPr>
      <w:bookmarkStart w:id="2384" w:name="_Toc3981230"/>
      <w:bookmarkStart w:id="2385" w:name="_Toc154064078"/>
      <w:bookmarkStart w:id="2386" w:name="_Toc3980782"/>
      <w:r>
        <w:rPr>
          <w:rFonts w:hint="eastAsia" w:ascii="宋体" w:hAnsi="宋体"/>
          <w:color w:val="auto"/>
          <w:szCs w:val="21"/>
        </w:rPr>
        <w:t>（五）对发包人要求错误的说明</w:t>
      </w:r>
      <w:bookmarkEnd w:id="2384"/>
      <w:bookmarkEnd w:id="2385"/>
      <w:bookmarkEnd w:id="2386"/>
    </w:p>
    <w:p w14:paraId="43CF007C">
      <w:pPr>
        <w:spacing w:line="440" w:lineRule="exact"/>
        <w:outlineLvl w:val="0"/>
        <w:rPr>
          <w:rFonts w:hint="eastAsia" w:ascii="宋体" w:hAnsi="宋体"/>
          <w:color w:val="auto"/>
          <w:szCs w:val="21"/>
        </w:rPr>
      </w:pPr>
      <w:bookmarkStart w:id="2387" w:name="_Toc3981231"/>
      <w:bookmarkStart w:id="2388" w:name="_Toc154064079"/>
      <w:bookmarkStart w:id="2389" w:name="_Toc3980783"/>
      <w:r>
        <w:rPr>
          <w:rFonts w:hint="eastAsia" w:ascii="宋体" w:hAnsi="宋体"/>
          <w:color w:val="auto"/>
          <w:szCs w:val="21"/>
        </w:rPr>
        <w:t>（六）其他</w:t>
      </w:r>
      <w:bookmarkEnd w:id="2387"/>
      <w:bookmarkEnd w:id="2388"/>
      <w:bookmarkEnd w:id="2389"/>
    </w:p>
    <w:p w14:paraId="290D5E00">
      <w:pPr>
        <w:rPr>
          <w:rFonts w:hint="eastAsia" w:ascii="宋体" w:hAnsi="宋体"/>
          <w:color w:val="auto"/>
          <w:szCs w:val="21"/>
        </w:rPr>
      </w:pPr>
    </w:p>
    <w:p w14:paraId="1F3719F1">
      <w:pPr>
        <w:rPr>
          <w:rFonts w:hint="eastAsia" w:ascii="宋体" w:hAnsi="宋体"/>
          <w:color w:val="auto"/>
          <w:szCs w:val="21"/>
        </w:rPr>
      </w:pPr>
      <w:r>
        <w:rPr>
          <w:rFonts w:hint="eastAsia" w:ascii="宋体" w:hAnsi="宋体"/>
          <w:color w:val="auto"/>
          <w:szCs w:val="21"/>
        </w:rPr>
        <w:t>说明：发包人认为承包人实施计划中的有关内容应列入承包人建议书的，应在本页载明。</w:t>
      </w:r>
    </w:p>
    <w:p w14:paraId="4CC77B47">
      <w:pPr>
        <w:ind w:firstLine="420" w:firstLineChars="200"/>
        <w:rPr>
          <w:rFonts w:hint="eastAsia"/>
          <w:color w:val="auto"/>
          <w:szCs w:val="21"/>
        </w:rPr>
      </w:pPr>
    </w:p>
    <w:p w14:paraId="37197C0A">
      <w:pPr>
        <w:ind w:firstLine="420" w:firstLineChars="200"/>
        <w:rPr>
          <w:rFonts w:hint="eastAsia"/>
          <w:color w:val="auto"/>
          <w:szCs w:val="21"/>
        </w:rPr>
      </w:pPr>
    </w:p>
    <w:p w14:paraId="203929E6">
      <w:pPr>
        <w:ind w:firstLine="420" w:firstLineChars="200"/>
        <w:rPr>
          <w:rFonts w:hint="eastAsia"/>
          <w:color w:val="auto"/>
          <w:szCs w:val="21"/>
        </w:rPr>
      </w:pPr>
    </w:p>
    <w:p w14:paraId="73201BBA">
      <w:pPr>
        <w:ind w:firstLine="420" w:firstLineChars="200"/>
        <w:rPr>
          <w:rFonts w:hint="eastAsia"/>
          <w:color w:val="auto"/>
          <w:szCs w:val="21"/>
        </w:rPr>
      </w:pPr>
    </w:p>
    <w:p w14:paraId="18F4FFA0">
      <w:pPr>
        <w:ind w:firstLine="420" w:firstLineChars="200"/>
        <w:rPr>
          <w:rFonts w:hint="eastAsia"/>
          <w:color w:val="auto"/>
          <w:szCs w:val="21"/>
        </w:rPr>
      </w:pPr>
    </w:p>
    <w:p w14:paraId="2750F3C9">
      <w:pPr>
        <w:ind w:firstLine="420" w:firstLineChars="200"/>
        <w:rPr>
          <w:rFonts w:hint="eastAsia"/>
          <w:color w:val="auto"/>
          <w:szCs w:val="21"/>
        </w:rPr>
      </w:pPr>
    </w:p>
    <w:p w14:paraId="759D14AD">
      <w:pPr>
        <w:ind w:firstLine="420" w:firstLineChars="200"/>
        <w:rPr>
          <w:rFonts w:hint="eastAsia"/>
          <w:color w:val="auto"/>
          <w:szCs w:val="21"/>
        </w:rPr>
      </w:pPr>
    </w:p>
    <w:p w14:paraId="0A40224D">
      <w:pPr>
        <w:ind w:firstLine="420" w:firstLineChars="200"/>
        <w:rPr>
          <w:rFonts w:hint="eastAsia"/>
          <w:color w:val="auto"/>
          <w:szCs w:val="21"/>
        </w:rPr>
      </w:pPr>
    </w:p>
    <w:p w14:paraId="41F56FA1">
      <w:pPr>
        <w:ind w:firstLine="420" w:firstLineChars="200"/>
        <w:rPr>
          <w:rFonts w:hint="eastAsia"/>
          <w:color w:val="auto"/>
          <w:szCs w:val="21"/>
        </w:rPr>
      </w:pPr>
    </w:p>
    <w:p w14:paraId="12FD21BC">
      <w:pPr>
        <w:ind w:firstLine="420" w:firstLineChars="200"/>
        <w:rPr>
          <w:rFonts w:hint="eastAsia"/>
          <w:color w:val="auto"/>
          <w:szCs w:val="21"/>
        </w:rPr>
      </w:pPr>
    </w:p>
    <w:p w14:paraId="0839A204">
      <w:pPr>
        <w:ind w:firstLine="420" w:firstLineChars="200"/>
        <w:rPr>
          <w:rFonts w:hint="eastAsia"/>
          <w:color w:val="auto"/>
          <w:szCs w:val="21"/>
        </w:rPr>
      </w:pPr>
    </w:p>
    <w:p w14:paraId="3229B6F6">
      <w:pPr>
        <w:ind w:firstLine="420" w:firstLineChars="200"/>
        <w:rPr>
          <w:rFonts w:hint="eastAsia"/>
          <w:color w:val="auto"/>
          <w:szCs w:val="21"/>
        </w:rPr>
      </w:pPr>
    </w:p>
    <w:p w14:paraId="26616AC5">
      <w:pPr>
        <w:ind w:firstLine="420" w:firstLineChars="200"/>
        <w:rPr>
          <w:rFonts w:hint="eastAsia"/>
          <w:color w:val="auto"/>
          <w:szCs w:val="21"/>
        </w:rPr>
      </w:pPr>
    </w:p>
    <w:p w14:paraId="67FE7123">
      <w:pPr>
        <w:ind w:firstLine="420" w:firstLineChars="200"/>
        <w:rPr>
          <w:rFonts w:hint="eastAsia"/>
          <w:color w:val="auto"/>
          <w:szCs w:val="21"/>
        </w:rPr>
      </w:pPr>
    </w:p>
    <w:p w14:paraId="1F118609">
      <w:pPr>
        <w:ind w:firstLine="420" w:firstLineChars="200"/>
        <w:rPr>
          <w:rFonts w:hint="eastAsia"/>
          <w:color w:val="auto"/>
          <w:szCs w:val="21"/>
        </w:rPr>
      </w:pPr>
    </w:p>
    <w:p w14:paraId="15CABEEE">
      <w:pPr>
        <w:ind w:firstLine="420" w:firstLineChars="200"/>
        <w:rPr>
          <w:rFonts w:hint="eastAsia"/>
          <w:color w:val="auto"/>
          <w:szCs w:val="21"/>
        </w:rPr>
      </w:pPr>
    </w:p>
    <w:p w14:paraId="5CCDC3AE">
      <w:pPr>
        <w:ind w:firstLine="420" w:firstLineChars="200"/>
        <w:rPr>
          <w:rFonts w:hint="eastAsia"/>
          <w:color w:val="auto"/>
          <w:szCs w:val="21"/>
        </w:rPr>
      </w:pPr>
    </w:p>
    <w:p w14:paraId="6B60A914">
      <w:pPr>
        <w:ind w:firstLine="420" w:firstLineChars="200"/>
        <w:rPr>
          <w:rFonts w:hint="eastAsia"/>
          <w:color w:val="auto"/>
          <w:szCs w:val="21"/>
        </w:rPr>
      </w:pPr>
    </w:p>
    <w:p w14:paraId="42C564A8">
      <w:pPr>
        <w:rPr>
          <w:rFonts w:hint="eastAsia"/>
          <w:color w:val="auto"/>
        </w:rPr>
      </w:pPr>
    </w:p>
    <w:p w14:paraId="34A980D8">
      <w:pPr>
        <w:pStyle w:val="3"/>
        <w:spacing w:before="63"/>
        <w:jc w:val="center"/>
        <w:rPr>
          <w:color w:val="auto"/>
          <w:sz w:val="28"/>
          <w:szCs w:val="28"/>
        </w:rPr>
      </w:pPr>
      <w:bookmarkStart w:id="2390" w:name="_Toc519085651"/>
      <w:bookmarkStart w:id="2391" w:name="_Toc20496"/>
      <w:bookmarkStart w:id="2392" w:name="_Toc18607"/>
      <w:bookmarkStart w:id="2393" w:name="_Toc154064080"/>
      <w:bookmarkStart w:id="2394" w:name="_Toc1227"/>
      <w:bookmarkStart w:id="2395" w:name="_Toc16091"/>
      <w:r>
        <w:rPr>
          <w:rFonts w:hint="eastAsia"/>
          <w:color w:val="auto"/>
          <w:sz w:val="28"/>
          <w:szCs w:val="28"/>
        </w:rPr>
        <w:t>十一</w:t>
      </w:r>
      <w:r>
        <w:rPr>
          <w:color w:val="auto"/>
          <w:sz w:val="28"/>
          <w:szCs w:val="28"/>
        </w:rPr>
        <w:t>、</w:t>
      </w:r>
      <w:r>
        <w:rPr>
          <w:rFonts w:hint="eastAsia"/>
          <w:color w:val="auto"/>
          <w:sz w:val="28"/>
          <w:szCs w:val="28"/>
        </w:rPr>
        <w:t>承包人实施计划</w:t>
      </w:r>
      <w:bookmarkEnd w:id="2390"/>
      <w:bookmarkEnd w:id="2391"/>
      <w:bookmarkEnd w:id="2392"/>
      <w:bookmarkEnd w:id="2393"/>
      <w:bookmarkEnd w:id="2394"/>
      <w:bookmarkEnd w:id="2395"/>
    </w:p>
    <w:p w14:paraId="2BC94356">
      <w:pPr>
        <w:spacing w:line="360" w:lineRule="auto"/>
        <w:rPr>
          <w:rFonts w:hint="eastAsia" w:ascii="宋体" w:hAnsi="宋体"/>
          <w:color w:val="auto"/>
          <w:szCs w:val="21"/>
        </w:rPr>
      </w:pPr>
      <w:r>
        <w:rPr>
          <w:rFonts w:hint="eastAsia" w:ascii="宋体" w:hAnsi="宋体"/>
          <w:color w:val="auto"/>
          <w:szCs w:val="21"/>
        </w:rPr>
        <w:t xml:space="preserve">    </w:t>
      </w:r>
    </w:p>
    <w:p w14:paraId="07E4532A">
      <w:pPr>
        <w:spacing w:line="360" w:lineRule="auto"/>
        <w:rPr>
          <w:rFonts w:hint="eastAsia" w:ascii="宋体" w:hAnsi="宋体"/>
          <w:color w:val="auto"/>
          <w:szCs w:val="21"/>
        </w:rPr>
      </w:pPr>
      <w:r>
        <w:rPr>
          <w:rFonts w:hint="eastAsia" w:ascii="宋体" w:hAnsi="宋体"/>
          <w:color w:val="auto"/>
          <w:szCs w:val="21"/>
        </w:rPr>
        <w:t xml:space="preserve">   一、 投标人应根据招标文件和对现场的勘察情况，采用文字并结合图表形式，参照中华人民共和国国家标准要求编制本工程的施工实施，其要点如下：</w:t>
      </w:r>
    </w:p>
    <w:p w14:paraId="79163DAF">
      <w:pPr>
        <w:outlineLvl w:val="0"/>
        <w:rPr>
          <w:rFonts w:hint="eastAsia"/>
          <w:color w:val="auto"/>
        </w:rPr>
      </w:pPr>
      <w:bookmarkStart w:id="2396" w:name="_Toc3749"/>
      <w:bookmarkStart w:id="2397" w:name="_Toc3980785"/>
      <w:bookmarkStart w:id="2398" w:name="_Toc154064081"/>
      <w:bookmarkStart w:id="2399" w:name="_Toc519085652"/>
      <w:bookmarkStart w:id="2400" w:name="_Toc22669"/>
      <w:bookmarkStart w:id="2401" w:name="_Toc3981233"/>
      <w:r>
        <w:rPr>
          <w:rFonts w:hint="eastAsia"/>
          <w:color w:val="auto"/>
        </w:rPr>
        <w:t>（一）概述</w:t>
      </w:r>
      <w:bookmarkEnd w:id="2396"/>
      <w:bookmarkEnd w:id="2397"/>
      <w:bookmarkEnd w:id="2398"/>
      <w:bookmarkEnd w:id="2399"/>
      <w:bookmarkEnd w:id="2400"/>
      <w:bookmarkEnd w:id="2401"/>
    </w:p>
    <w:p w14:paraId="48A0C8D4">
      <w:pPr>
        <w:ind w:firstLine="420" w:firstLineChars="200"/>
        <w:rPr>
          <w:rFonts w:hint="eastAsia" w:ascii="宋体" w:hAnsi="宋体"/>
          <w:color w:val="auto"/>
        </w:rPr>
      </w:pPr>
      <w:r>
        <w:rPr>
          <w:rFonts w:hint="eastAsia"/>
          <w:color w:val="auto"/>
        </w:rPr>
        <w:t>1</w:t>
      </w:r>
      <w:r>
        <w:rPr>
          <w:rFonts w:hint="eastAsia" w:ascii="宋体" w:hAnsi="宋体"/>
          <w:color w:val="auto"/>
        </w:rPr>
        <w:t>. 项目简要介绍。</w:t>
      </w:r>
    </w:p>
    <w:p w14:paraId="78E103AB">
      <w:pPr>
        <w:ind w:firstLine="420" w:firstLineChars="200"/>
        <w:rPr>
          <w:rFonts w:hint="eastAsia" w:ascii="宋体" w:hAnsi="宋体"/>
          <w:color w:val="auto"/>
        </w:rPr>
      </w:pPr>
      <w:r>
        <w:rPr>
          <w:rFonts w:hint="eastAsia"/>
          <w:color w:val="auto"/>
        </w:rPr>
        <w:t>2</w:t>
      </w:r>
      <w:r>
        <w:rPr>
          <w:rFonts w:hint="eastAsia" w:ascii="宋体" w:hAnsi="宋体"/>
          <w:color w:val="auto"/>
        </w:rPr>
        <w:t>. 项目范围。</w:t>
      </w:r>
    </w:p>
    <w:p w14:paraId="1C8A3ECD">
      <w:pPr>
        <w:ind w:firstLine="420" w:firstLineChars="200"/>
        <w:rPr>
          <w:rFonts w:hint="eastAsia" w:ascii="宋体" w:hAnsi="宋体"/>
          <w:color w:val="auto"/>
        </w:rPr>
      </w:pPr>
      <w:r>
        <w:rPr>
          <w:rFonts w:hint="eastAsia"/>
          <w:color w:val="auto"/>
        </w:rPr>
        <w:t>3</w:t>
      </w:r>
      <w:r>
        <w:rPr>
          <w:rFonts w:hint="eastAsia" w:ascii="宋体" w:hAnsi="宋体"/>
          <w:color w:val="auto"/>
        </w:rPr>
        <w:t>. 项目特点。</w:t>
      </w:r>
    </w:p>
    <w:p w14:paraId="3A88A0B5">
      <w:pPr>
        <w:outlineLvl w:val="0"/>
        <w:rPr>
          <w:rFonts w:hint="eastAsia"/>
          <w:color w:val="auto"/>
        </w:rPr>
      </w:pPr>
      <w:bookmarkStart w:id="2402" w:name="_Toc154064082"/>
      <w:bookmarkStart w:id="2403" w:name="_Toc10156"/>
      <w:bookmarkStart w:id="2404" w:name="_Toc3980786"/>
      <w:bookmarkStart w:id="2405" w:name="_Toc10734"/>
      <w:bookmarkStart w:id="2406" w:name="_Toc519085653"/>
      <w:bookmarkStart w:id="2407" w:name="_Toc3981234"/>
      <w:r>
        <w:rPr>
          <w:rFonts w:hint="eastAsia"/>
          <w:color w:val="auto"/>
        </w:rPr>
        <w:t>（二）总体实施方案</w:t>
      </w:r>
      <w:bookmarkEnd w:id="2402"/>
      <w:bookmarkEnd w:id="2403"/>
      <w:bookmarkEnd w:id="2404"/>
      <w:bookmarkEnd w:id="2405"/>
      <w:bookmarkEnd w:id="2406"/>
      <w:bookmarkEnd w:id="2407"/>
    </w:p>
    <w:p w14:paraId="346033EF">
      <w:pPr>
        <w:ind w:firstLine="420" w:firstLineChars="200"/>
        <w:rPr>
          <w:rFonts w:hint="eastAsia" w:ascii="宋体" w:hAnsi="宋体"/>
          <w:color w:val="auto"/>
        </w:rPr>
      </w:pPr>
      <w:r>
        <w:rPr>
          <w:rFonts w:hint="eastAsia"/>
          <w:color w:val="auto"/>
        </w:rPr>
        <w:t>1</w:t>
      </w:r>
      <w:r>
        <w:rPr>
          <w:rFonts w:hint="eastAsia" w:ascii="宋体" w:hAnsi="宋体"/>
          <w:color w:val="auto"/>
        </w:rPr>
        <w:t>. 项目目标（质量、工期、造价）。</w:t>
      </w:r>
    </w:p>
    <w:p w14:paraId="03257983">
      <w:pPr>
        <w:ind w:firstLine="420" w:firstLineChars="200"/>
        <w:rPr>
          <w:rFonts w:hint="eastAsia" w:ascii="宋体" w:hAnsi="宋体"/>
          <w:color w:val="auto"/>
        </w:rPr>
      </w:pPr>
      <w:r>
        <w:rPr>
          <w:rFonts w:hint="eastAsia"/>
          <w:color w:val="auto"/>
        </w:rPr>
        <w:t>2</w:t>
      </w:r>
      <w:r>
        <w:rPr>
          <w:rFonts w:hint="eastAsia" w:ascii="宋体" w:hAnsi="宋体"/>
          <w:color w:val="auto"/>
        </w:rPr>
        <w:t>. 项目实施组织形式。</w:t>
      </w:r>
    </w:p>
    <w:p w14:paraId="7D13FCE2">
      <w:pPr>
        <w:ind w:firstLine="420" w:firstLineChars="200"/>
        <w:rPr>
          <w:rFonts w:hint="eastAsia" w:ascii="宋体" w:hAnsi="宋体"/>
          <w:color w:val="auto"/>
        </w:rPr>
      </w:pPr>
      <w:r>
        <w:rPr>
          <w:rFonts w:hint="eastAsia"/>
          <w:color w:val="auto"/>
        </w:rPr>
        <w:t>3</w:t>
      </w:r>
      <w:r>
        <w:rPr>
          <w:rFonts w:hint="eastAsia" w:ascii="宋体" w:hAnsi="宋体"/>
          <w:color w:val="auto"/>
        </w:rPr>
        <w:t>. 项目阶段划分。</w:t>
      </w:r>
    </w:p>
    <w:p w14:paraId="7F2CA50E">
      <w:pPr>
        <w:ind w:firstLine="420" w:firstLineChars="200"/>
        <w:rPr>
          <w:rFonts w:hint="eastAsia" w:ascii="宋体" w:hAnsi="宋体"/>
          <w:color w:val="auto"/>
        </w:rPr>
      </w:pPr>
      <w:r>
        <w:rPr>
          <w:rFonts w:hint="eastAsia"/>
          <w:color w:val="auto"/>
        </w:rPr>
        <w:t>4</w:t>
      </w:r>
      <w:r>
        <w:rPr>
          <w:rFonts w:hint="eastAsia" w:ascii="宋体" w:hAnsi="宋体"/>
          <w:color w:val="auto"/>
        </w:rPr>
        <w:t>. 项目工作分解结构。</w:t>
      </w:r>
    </w:p>
    <w:p w14:paraId="5CF96ABA">
      <w:pPr>
        <w:ind w:firstLine="420" w:firstLineChars="200"/>
        <w:rPr>
          <w:rFonts w:hint="eastAsia" w:ascii="宋体" w:hAnsi="宋体"/>
          <w:color w:val="auto"/>
        </w:rPr>
      </w:pPr>
      <w:r>
        <w:rPr>
          <w:rFonts w:hint="eastAsia"/>
          <w:color w:val="auto"/>
        </w:rPr>
        <w:t>5</w:t>
      </w:r>
      <w:r>
        <w:rPr>
          <w:rFonts w:hint="eastAsia" w:ascii="宋体" w:hAnsi="宋体"/>
          <w:color w:val="auto"/>
        </w:rPr>
        <w:t>. 对项目各阶段工作及文件的要求。</w:t>
      </w:r>
    </w:p>
    <w:p w14:paraId="7F66AC5E">
      <w:pPr>
        <w:ind w:firstLine="420" w:firstLineChars="200"/>
        <w:rPr>
          <w:rFonts w:hint="eastAsia" w:ascii="宋体" w:hAnsi="宋体"/>
          <w:color w:val="auto"/>
        </w:rPr>
      </w:pPr>
      <w:r>
        <w:rPr>
          <w:rFonts w:hint="eastAsia"/>
          <w:color w:val="auto"/>
        </w:rPr>
        <w:t>6</w:t>
      </w:r>
      <w:r>
        <w:rPr>
          <w:rFonts w:hint="eastAsia" w:ascii="宋体" w:hAnsi="宋体"/>
          <w:color w:val="auto"/>
        </w:rPr>
        <w:t>. 项目分包和采购计划。</w:t>
      </w:r>
    </w:p>
    <w:p w14:paraId="64CD78A7">
      <w:pPr>
        <w:ind w:firstLine="420" w:firstLineChars="200"/>
        <w:rPr>
          <w:rFonts w:hint="eastAsia" w:ascii="宋体" w:hAnsi="宋体"/>
          <w:color w:val="auto"/>
        </w:rPr>
      </w:pPr>
      <w:r>
        <w:rPr>
          <w:rFonts w:hint="eastAsia"/>
          <w:color w:val="auto"/>
        </w:rPr>
        <w:t>7</w:t>
      </w:r>
      <w:r>
        <w:rPr>
          <w:rFonts w:hint="eastAsia" w:ascii="宋体" w:hAnsi="宋体"/>
          <w:color w:val="auto"/>
        </w:rPr>
        <w:t>. 项目沟通与协调程序。</w:t>
      </w:r>
    </w:p>
    <w:p w14:paraId="173118AA">
      <w:pPr>
        <w:outlineLvl w:val="0"/>
        <w:rPr>
          <w:rFonts w:hint="eastAsia"/>
          <w:color w:val="auto"/>
        </w:rPr>
      </w:pPr>
      <w:bookmarkStart w:id="2408" w:name="_Toc5334"/>
      <w:bookmarkStart w:id="2409" w:name="_Toc3980787"/>
      <w:bookmarkStart w:id="2410" w:name="_Toc154064083"/>
      <w:bookmarkStart w:id="2411" w:name="_Toc24104"/>
      <w:bookmarkStart w:id="2412" w:name="_Toc519085654"/>
      <w:bookmarkStart w:id="2413" w:name="_Toc3981235"/>
      <w:r>
        <w:rPr>
          <w:rFonts w:hint="eastAsia"/>
          <w:color w:val="auto"/>
        </w:rPr>
        <w:t>（三）项目实施要点</w:t>
      </w:r>
      <w:bookmarkEnd w:id="2408"/>
      <w:bookmarkEnd w:id="2409"/>
      <w:bookmarkEnd w:id="2410"/>
      <w:bookmarkEnd w:id="2411"/>
      <w:bookmarkEnd w:id="2412"/>
      <w:bookmarkEnd w:id="2413"/>
    </w:p>
    <w:p w14:paraId="41DF0D83">
      <w:pPr>
        <w:ind w:firstLine="420" w:firstLineChars="200"/>
        <w:rPr>
          <w:rFonts w:hint="eastAsia" w:ascii="宋体" w:hAnsi="宋体"/>
          <w:color w:val="auto"/>
        </w:rPr>
      </w:pPr>
      <w:r>
        <w:rPr>
          <w:rFonts w:hint="eastAsia"/>
          <w:color w:val="auto"/>
        </w:rPr>
        <w:t>1</w:t>
      </w:r>
      <w:r>
        <w:rPr>
          <w:rFonts w:hint="eastAsia" w:ascii="宋体" w:hAnsi="宋体"/>
          <w:color w:val="auto"/>
        </w:rPr>
        <w:t>. 勘察设计实施要点。</w:t>
      </w:r>
    </w:p>
    <w:p w14:paraId="68A5D8B0">
      <w:pPr>
        <w:ind w:firstLine="420" w:firstLineChars="200"/>
        <w:rPr>
          <w:rFonts w:hint="eastAsia" w:ascii="宋体" w:hAnsi="宋体"/>
          <w:color w:val="auto"/>
        </w:rPr>
      </w:pPr>
      <w:r>
        <w:rPr>
          <w:rFonts w:hint="eastAsia"/>
          <w:color w:val="auto"/>
        </w:rPr>
        <w:t>2</w:t>
      </w:r>
      <w:r>
        <w:rPr>
          <w:rFonts w:hint="eastAsia" w:ascii="宋体" w:hAnsi="宋体"/>
          <w:color w:val="auto"/>
        </w:rPr>
        <w:t>. 采购实施要点。</w:t>
      </w:r>
    </w:p>
    <w:p w14:paraId="69C83FAB">
      <w:pPr>
        <w:ind w:firstLine="420" w:firstLineChars="200"/>
        <w:rPr>
          <w:rFonts w:hint="eastAsia" w:ascii="宋体" w:hAnsi="宋体"/>
          <w:color w:val="auto"/>
        </w:rPr>
      </w:pPr>
      <w:r>
        <w:rPr>
          <w:rFonts w:hint="eastAsia"/>
          <w:color w:val="auto"/>
        </w:rPr>
        <w:t>3</w:t>
      </w:r>
      <w:r>
        <w:rPr>
          <w:rFonts w:hint="eastAsia" w:ascii="宋体" w:hAnsi="宋体"/>
          <w:color w:val="auto"/>
        </w:rPr>
        <w:t>. 施工实施要点。</w:t>
      </w:r>
    </w:p>
    <w:p w14:paraId="6C199358">
      <w:pPr>
        <w:ind w:firstLine="420" w:firstLineChars="200"/>
        <w:rPr>
          <w:rFonts w:hint="eastAsia" w:ascii="宋体" w:hAnsi="宋体"/>
          <w:color w:val="auto"/>
        </w:rPr>
      </w:pPr>
      <w:r>
        <w:rPr>
          <w:rFonts w:hint="eastAsia"/>
          <w:color w:val="auto"/>
        </w:rPr>
        <w:t>4</w:t>
      </w:r>
      <w:r>
        <w:rPr>
          <w:rFonts w:hint="eastAsia" w:ascii="宋体" w:hAnsi="宋体"/>
          <w:color w:val="auto"/>
        </w:rPr>
        <w:t>. 试运行实施要点。</w:t>
      </w:r>
    </w:p>
    <w:p w14:paraId="264B6A9D">
      <w:pPr>
        <w:outlineLvl w:val="0"/>
        <w:rPr>
          <w:rFonts w:hint="eastAsia"/>
          <w:color w:val="auto"/>
        </w:rPr>
      </w:pPr>
      <w:bookmarkStart w:id="2414" w:name="_Toc3981236"/>
      <w:bookmarkStart w:id="2415" w:name="_Toc519085655"/>
      <w:bookmarkStart w:id="2416" w:name="_Toc5079"/>
      <w:bookmarkStart w:id="2417" w:name="_Toc28745"/>
      <w:bookmarkStart w:id="2418" w:name="_Toc154064084"/>
      <w:bookmarkStart w:id="2419" w:name="_Toc3980788"/>
      <w:r>
        <w:rPr>
          <w:rFonts w:hint="eastAsia"/>
          <w:color w:val="auto"/>
        </w:rPr>
        <w:t>（四）项目管理要点</w:t>
      </w:r>
      <w:bookmarkEnd w:id="2414"/>
      <w:bookmarkEnd w:id="2415"/>
      <w:bookmarkEnd w:id="2416"/>
      <w:bookmarkEnd w:id="2417"/>
      <w:bookmarkEnd w:id="2418"/>
      <w:bookmarkEnd w:id="2419"/>
    </w:p>
    <w:p w14:paraId="1B361822">
      <w:pPr>
        <w:ind w:firstLine="420" w:firstLineChars="200"/>
        <w:rPr>
          <w:rFonts w:hint="eastAsia" w:ascii="宋体" w:hAnsi="宋体"/>
          <w:color w:val="auto"/>
        </w:rPr>
      </w:pPr>
      <w:r>
        <w:rPr>
          <w:rFonts w:hint="eastAsia"/>
          <w:color w:val="auto"/>
        </w:rPr>
        <w:t>1</w:t>
      </w:r>
      <w:r>
        <w:rPr>
          <w:rFonts w:hint="eastAsia" w:ascii="宋体" w:hAnsi="宋体"/>
          <w:color w:val="auto"/>
        </w:rPr>
        <w:t>. 合同管理要点。</w:t>
      </w:r>
    </w:p>
    <w:p w14:paraId="6D9FB6FF">
      <w:pPr>
        <w:ind w:firstLine="420" w:firstLineChars="200"/>
        <w:rPr>
          <w:rFonts w:hint="eastAsia" w:ascii="宋体" w:hAnsi="宋体"/>
          <w:color w:val="auto"/>
        </w:rPr>
      </w:pPr>
      <w:r>
        <w:rPr>
          <w:rFonts w:hint="eastAsia"/>
          <w:color w:val="auto"/>
        </w:rPr>
        <w:t>2</w:t>
      </w:r>
      <w:r>
        <w:rPr>
          <w:rFonts w:hint="eastAsia" w:ascii="宋体" w:hAnsi="宋体"/>
          <w:color w:val="auto"/>
        </w:rPr>
        <w:t>. 资源管理要点。</w:t>
      </w:r>
    </w:p>
    <w:p w14:paraId="4B5B5E2C">
      <w:pPr>
        <w:ind w:firstLine="420" w:firstLineChars="200"/>
        <w:rPr>
          <w:rFonts w:hint="eastAsia" w:ascii="宋体" w:hAnsi="宋体"/>
          <w:color w:val="auto"/>
        </w:rPr>
      </w:pPr>
      <w:r>
        <w:rPr>
          <w:rFonts w:hint="eastAsia"/>
          <w:color w:val="auto"/>
        </w:rPr>
        <w:t>3</w:t>
      </w:r>
      <w:r>
        <w:rPr>
          <w:rFonts w:hint="eastAsia" w:ascii="宋体" w:hAnsi="宋体"/>
          <w:color w:val="auto"/>
        </w:rPr>
        <w:t>. 质量控制要点。</w:t>
      </w:r>
    </w:p>
    <w:p w14:paraId="6C0C3516">
      <w:pPr>
        <w:ind w:firstLine="420" w:firstLineChars="200"/>
        <w:rPr>
          <w:rFonts w:hint="eastAsia" w:ascii="宋体" w:hAnsi="宋体"/>
          <w:color w:val="auto"/>
        </w:rPr>
      </w:pPr>
      <w:r>
        <w:rPr>
          <w:rFonts w:hint="eastAsia"/>
          <w:color w:val="auto"/>
        </w:rPr>
        <w:t>4</w:t>
      </w:r>
      <w:r>
        <w:rPr>
          <w:rFonts w:hint="eastAsia" w:ascii="宋体" w:hAnsi="宋体"/>
          <w:color w:val="auto"/>
        </w:rPr>
        <w:t>. 进度控制要点。</w:t>
      </w:r>
    </w:p>
    <w:p w14:paraId="4139C15A">
      <w:pPr>
        <w:ind w:firstLine="420" w:firstLineChars="200"/>
        <w:rPr>
          <w:rFonts w:hint="eastAsia" w:ascii="宋体" w:hAnsi="宋体"/>
          <w:color w:val="auto"/>
        </w:rPr>
      </w:pPr>
      <w:r>
        <w:rPr>
          <w:rFonts w:hint="eastAsia"/>
          <w:color w:val="auto"/>
        </w:rPr>
        <w:t>5</w:t>
      </w:r>
      <w:r>
        <w:rPr>
          <w:rFonts w:hint="eastAsia" w:ascii="宋体" w:hAnsi="宋体"/>
          <w:color w:val="auto"/>
        </w:rPr>
        <w:t>. 费用估算及控制要点。</w:t>
      </w:r>
    </w:p>
    <w:p w14:paraId="6C8F78DC">
      <w:pPr>
        <w:ind w:firstLine="420" w:firstLineChars="200"/>
        <w:rPr>
          <w:rFonts w:hint="eastAsia" w:ascii="宋体" w:hAnsi="宋体"/>
          <w:color w:val="auto"/>
        </w:rPr>
      </w:pPr>
      <w:r>
        <w:rPr>
          <w:rFonts w:hint="eastAsia"/>
          <w:color w:val="auto"/>
        </w:rPr>
        <w:t>6</w:t>
      </w:r>
      <w:r>
        <w:rPr>
          <w:rFonts w:hint="eastAsia" w:ascii="宋体" w:hAnsi="宋体"/>
          <w:color w:val="auto"/>
        </w:rPr>
        <w:t>. 安全管理要点。</w:t>
      </w:r>
    </w:p>
    <w:p w14:paraId="3917D214">
      <w:pPr>
        <w:ind w:firstLine="420" w:firstLineChars="200"/>
        <w:rPr>
          <w:rFonts w:hint="eastAsia" w:ascii="宋体" w:hAnsi="宋体"/>
          <w:color w:val="auto"/>
        </w:rPr>
      </w:pPr>
      <w:r>
        <w:rPr>
          <w:rFonts w:hint="eastAsia"/>
          <w:color w:val="auto"/>
        </w:rPr>
        <w:t>7</w:t>
      </w:r>
      <w:r>
        <w:rPr>
          <w:rFonts w:hint="eastAsia" w:ascii="宋体" w:hAnsi="宋体"/>
          <w:color w:val="auto"/>
        </w:rPr>
        <w:t>. 职业健康管理要点。</w:t>
      </w:r>
    </w:p>
    <w:p w14:paraId="6EC68D28">
      <w:pPr>
        <w:ind w:firstLine="420" w:firstLineChars="200"/>
        <w:rPr>
          <w:rFonts w:hint="eastAsia" w:ascii="宋体" w:hAnsi="宋体"/>
          <w:color w:val="auto"/>
        </w:rPr>
      </w:pPr>
      <w:r>
        <w:rPr>
          <w:rFonts w:hint="eastAsia"/>
          <w:color w:val="auto"/>
        </w:rPr>
        <w:t>8</w:t>
      </w:r>
      <w:r>
        <w:rPr>
          <w:rFonts w:hint="eastAsia" w:ascii="宋体" w:hAnsi="宋体"/>
          <w:color w:val="auto"/>
        </w:rPr>
        <w:t>．环境管理要点。</w:t>
      </w:r>
    </w:p>
    <w:p w14:paraId="3C4666BB">
      <w:pPr>
        <w:ind w:firstLine="420" w:firstLineChars="200"/>
        <w:rPr>
          <w:rFonts w:hint="eastAsia" w:ascii="宋体" w:hAnsi="宋体"/>
          <w:color w:val="auto"/>
        </w:rPr>
      </w:pPr>
      <w:r>
        <w:rPr>
          <w:rFonts w:hint="eastAsia"/>
          <w:color w:val="auto"/>
        </w:rPr>
        <w:t>9</w:t>
      </w:r>
      <w:r>
        <w:rPr>
          <w:rFonts w:hint="eastAsia" w:ascii="宋体" w:hAnsi="宋体"/>
          <w:color w:val="auto"/>
        </w:rPr>
        <w:t>. 沟通和协调管理要点。</w:t>
      </w:r>
    </w:p>
    <w:p w14:paraId="4184AC51">
      <w:pPr>
        <w:ind w:firstLine="420" w:firstLineChars="200"/>
        <w:rPr>
          <w:rFonts w:hint="eastAsia" w:ascii="宋体" w:hAnsi="宋体"/>
          <w:color w:val="auto"/>
        </w:rPr>
      </w:pPr>
      <w:r>
        <w:rPr>
          <w:rFonts w:hint="eastAsia"/>
          <w:color w:val="auto"/>
        </w:rPr>
        <w:t>10</w:t>
      </w:r>
      <w:r>
        <w:rPr>
          <w:rFonts w:hint="eastAsia" w:ascii="宋体" w:hAnsi="宋体"/>
          <w:color w:val="auto"/>
        </w:rPr>
        <w:t>. 财务管理要点。</w:t>
      </w:r>
    </w:p>
    <w:p w14:paraId="1DCD5A45">
      <w:pPr>
        <w:ind w:firstLine="420" w:firstLineChars="200"/>
        <w:rPr>
          <w:rFonts w:hint="eastAsia" w:ascii="宋体" w:hAnsi="宋体"/>
          <w:color w:val="auto"/>
        </w:rPr>
      </w:pPr>
      <w:r>
        <w:rPr>
          <w:rFonts w:hint="eastAsia"/>
          <w:color w:val="auto"/>
        </w:rPr>
        <w:t>11</w:t>
      </w:r>
      <w:r>
        <w:rPr>
          <w:rFonts w:hint="eastAsia" w:ascii="宋体" w:hAnsi="宋体"/>
          <w:color w:val="auto"/>
        </w:rPr>
        <w:t>. 风险管理要点。</w:t>
      </w:r>
    </w:p>
    <w:p w14:paraId="2EE4AD81">
      <w:pPr>
        <w:ind w:firstLine="420" w:firstLineChars="200"/>
        <w:rPr>
          <w:rFonts w:hint="eastAsia" w:ascii="宋体" w:hAnsi="宋体"/>
          <w:color w:val="auto"/>
        </w:rPr>
      </w:pPr>
      <w:r>
        <w:rPr>
          <w:rFonts w:hint="eastAsia"/>
          <w:color w:val="auto"/>
        </w:rPr>
        <w:t>12</w:t>
      </w:r>
      <w:r>
        <w:rPr>
          <w:rFonts w:hint="eastAsia" w:ascii="宋体" w:hAnsi="宋体"/>
          <w:color w:val="auto"/>
        </w:rPr>
        <w:t>. 文件及信息管理要点。</w:t>
      </w:r>
    </w:p>
    <w:p w14:paraId="2B9003EB">
      <w:pPr>
        <w:ind w:firstLine="420" w:firstLineChars="200"/>
        <w:rPr>
          <w:rFonts w:hint="eastAsia" w:ascii="宋体" w:hAnsi="宋体"/>
          <w:color w:val="auto"/>
        </w:rPr>
      </w:pPr>
      <w:r>
        <w:rPr>
          <w:rFonts w:hint="eastAsia"/>
          <w:color w:val="auto"/>
        </w:rPr>
        <w:t>13</w:t>
      </w:r>
      <w:r>
        <w:rPr>
          <w:rFonts w:hint="eastAsia" w:ascii="宋体" w:hAnsi="宋体"/>
          <w:color w:val="auto"/>
        </w:rPr>
        <w:t>. 报告制度。</w:t>
      </w:r>
    </w:p>
    <w:p w14:paraId="2EA6367C">
      <w:pPr>
        <w:spacing w:line="420" w:lineRule="exact"/>
        <w:ind w:firstLine="420" w:firstLineChars="200"/>
        <w:rPr>
          <w:rFonts w:ascii="宋体" w:hAnsi="宋体"/>
          <w:color w:val="auto"/>
          <w:szCs w:val="21"/>
        </w:rPr>
      </w:pPr>
      <w:r>
        <w:rPr>
          <w:rFonts w:hint="eastAsia" w:ascii="宋体" w:hAnsi="宋体"/>
          <w:color w:val="auto"/>
          <w:szCs w:val="21"/>
        </w:rPr>
        <w:t>二．实施计划除采用文字表述外可附下列图表，图表及格式要求附后。下述表格应按照章节内容，严格按给定的格式附在相应的章节中。</w:t>
      </w:r>
    </w:p>
    <w:p w14:paraId="25A08E58">
      <w:pPr>
        <w:spacing w:line="420" w:lineRule="exact"/>
        <w:ind w:firstLine="630" w:firstLineChars="300"/>
        <w:rPr>
          <w:rFonts w:hint="eastAsia" w:ascii="宋体" w:hAnsi="宋体"/>
          <w:color w:val="auto"/>
          <w:szCs w:val="21"/>
        </w:rPr>
      </w:pPr>
      <w:r>
        <w:rPr>
          <w:rFonts w:hint="eastAsia" w:ascii="宋体" w:hAnsi="宋体"/>
          <w:color w:val="auto"/>
          <w:szCs w:val="21"/>
        </w:rPr>
        <w:t>附表一  拟投入本项目的主要设备表</w:t>
      </w:r>
    </w:p>
    <w:p w14:paraId="2CA675BD">
      <w:pPr>
        <w:spacing w:line="420" w:lineRule="exact"/>
        <w:ind w:firstLine="630" w:firstLineChars="300"/>
        <w:rPr>
          <w:rFonts w:hint="eastAsia" w:ascii="宋体" w:hAnsi="宋体"/>
          <w:color w:val="auto"/>
          <w:szCs w:val="21"/>
        </w:rPr>
      </w:pPr>
      <w:r>
        <w:rPr>
          <w:rFonts w:hint="eastAsia" w:ascii="宋体" w:hAnsi="宋体"/>
          <w:color w:val="auto"/>
          <w:szCs w:val="21"/>
        </w:rPr>
        <w:t>附表二  拟配备本工程的试验和检测仪器设备表</w:t>
      </w:r>
    </w:p>
    <w:p w14:paraId="570D1CB7">
      <w:pPr>
        <w:spacing w:line="420" w:lineRule="exact"/>
        <w:ind w:firstLine="630" w:firstLineChars="300"/>
        <w:rPr>
          <w:rFonts w:hint="eastAsia" w:ascii="宋体" w:hAnsi="宋体"/>
          <w:color w:val="auto"/>
          <w:szCs w:val="21"/>
        </w:rPr>
      </w:pPr>
      <w:r>
        <w:rPr>
          <w:rFonts w:hint="eastAsia" w:ascii="宋体" w:hAnsi="宋体"/>
          <w:color w:val="auto"/>
          <w:szCs w:val="21"/>
        </w:rPr>
        <w:t>附表三  劳动力计划表</w:t>
      </w:r>
    </w:p>
    <w:p w14:paraId="14498453">
      <w:pPr>
        <w:spacing w:line="420" w:lineRule="exact"/>
        <w:ind w:firstLine="630" w:firstLineChars="300"/>
        <w:rPr>
          <w:rFonts w:hint="eastAsia" w:ascii="宋体" w:hAnsi="宋体"/>
          <w:color w:val="auto"/>
          <w:szCs w:val="21"/>
        </w:rPr>
      </w:pPr>
      <w:r>
        <w:rPr>
          <w:rFonts w:hint="eastAsia" w:ascii="宋体" w:hAnsi="宋体"/>
          <w:color w:val="auto"/>
          <w:szCs w:val="21"/>
        </w:rPr>
        <w:t>附表四  计划开、竣工日期和施工进度网络图</w:t>
      </w:r>
    </w:p>
    <w:p w14:paraId="24CCFB11">
      <w:pPr>
        <w:spacing w:line="420" w:lineRule="exact"/>
        <w:ind w:firstLine="630" w:firstLineChars="300"/>
        <w:rPr>
          <w:rFonts w:hint="eastAsia" w:ascii="宋体" w:hAnsi="宋体"/>
          <w:color w:val="auto"/>
          <w:szCs w:val="21"/>
        </w:rPr>
      </w:pPr>
      <w:r>
        <w:rPr>
          <w:rFonts w:hint="eastAsia" w:ascii="宋体" w:hAnsi="宋体"/>
          <w:color w:val="auto"/>
          <w:szCs w:val="21"/>
        </w:rPr>
        <w:t>附表五  施工总平面图</w:t>
      </w:r>
    </w:p>
    <w:p w14:paraId="3249DA07">
      <w:pPr>
        <w:spacing w:line="420" w:lineRule="exact"/>
        <w:ind w:firstLine="630" w:firstLineChars="300"/>
        <w:rPr>
          <w:rFonts w:hint="eastAsia" w:ascii="宋体" w:hAnsi="宋体"/>
          <w:color w:val="auto"/>
          <w:szCs w:val="21"/>
        </w:rPr>
      </w:pPr>
      <w:r>
        <w:rPr>
          <w:rFonts w:hint="eastAsia" w:ascii="宋体" w:hAnsi="宋体"/>
          <w:color w:val="auto"/>
          <w:szCs w:val="21"/>
        </w:rPr>
        <w:t>附表六  临时用地表</w:t>
      </w:r>
    </w:p>
    <w:p w14:paraId="5EAB5E8B">
      <w:pPr>
        <w:ind w:firstLine="420" w:firstLineChars="200"/>
        <w:rPr>
          <w:rFonts w:hint="eastAsia" w:ascii="宋体" w:hAnsi="宋体"/>
          <w:color w:val="auto"/>
        </w:rPr>
      </w:pPr>
    </w:p>
    <w:p w14:paraId="45461781">
      <w:pPr>
        <w:rPr>
          <w:rFonts w:hint="eastAsia" w:ascii="宋体" w:hAnsi="宋体"/>
          <w:color w:val="auto"/>
        </w:rPr>
      </w:pPr>
    </w:p>
    <w:p w14:paraId="55F7B33F">
      <w:pPr>
        <w:rPr>
          <w:rFonts w:hint="eastAsia" w:ascii="宋体" w:hAnsi="宋体"/>
          <w:color w:val="auto"/>
        </w:rPr>
      </w:pPr>
      <w:r>
        <w:rPr>
          <w:rFonts w:hint="eastAsia" w:ascii="宋体" w:hAnsi="宋体"/>
          <w:color w:val="auto"/>
        </w:rPr>
        <w:t>说明：发包人认为上述内容应列入承包人建议书的，应在“投标文件格式”中“承包人建议书”中载明。</w:t>
      </w:r>
    </w:p>
    <w:p w14:paraId="55BF2263">
      <w:pPr>
        <w:rPr>
          <w:rFonts w:hint="eastAsia" w:ascii="宋体" w:hAnsi="宋体"/>
          <w:color w:val="auto"/>
        </w:rPr>
      </w:pPr>
    </w:p>
    <w:p w14:paraId="4EF50B8B">
      <w:pPr>
        <w:rPr>
          <w:rFonts w:hint="eastAsia" w:ascii="宋体" w:hAnsi="宋体"/>
          <w:color w:val="auto"/>
        </w:rPr>
      </w:pPr>
    </w:p>
    <w:p w14:paraId="4797B3AA">
      <w:pPr>
        <w:rPr>
          <w:rFonts w:hint="eastAsia" w:ascii="宋体" w:hAnsi="宋体"/>
          <w:color w:val="auto"/>
        </w:rPr>
      </w:pPr>
    </w:p>
    <w:p w14:paraId="034A81D1">
      <w:pPr>
        <w:rPr>
          <w:rFonts w:hint="eastAsia" w:ascii="宋体" w:hAnsi="宋体"/>
          <w:color w:val="auto"/>
        </w:rPr>
      </w:pPr>
    </w:p>
    <w:p w14:paraId="07AB64D5">
      <w:pPr>
        <w:rPr>
          <w:rFonts w:hint="eastAsia" w:ascii="宋体" w:hAnsi="宋体"/>
          <w:color w:val="auto"/>
        </w:rPr>
      </w:pPr>
    </w:p>
    <w:p w14:paraId="3822C318">
      <w:pPr>
        <w:rPr>
          <w:rFonts w:hint="eastAsia" w:ascii="宋体" w:hAnsi="宋体"/>
          <w:color w:val="auto"/>
        </w:rPr>
      </w:pPr>
    </w:p>
    <w:p w14:paraId="35A02596">
      <w:pPr>
        <w:rPr>
          <w:rFonts w:hint="eastAsia" w:ascii="宋体" w:hAnsi="宋体"/>
          <w:color w:val="auto"/>
        </w:rPr>
      </w:pPr>
    </w:p>
    <w:p w14:paraId="1801504E">
      <w:pPr>
        <w:rPr>
          <w:rFonts w:hint="eastAsia" w:ascii="宋体" w:hAnsi="宋体"/>
          <w:color w:val="auto"/>
        </w:rPr>
      </w:pPr>
    </w:p>
    <w:p w14:paraId="4C810A7C">
      <w:pPr>
        <w:rPr>
          <w:rFonts w:hint="eastAsia" w:ascii="宋体" w:hAnsi="宋体"/>
          <w:color w:val="auto"/>
        </w:rPr>
      </w:pPr>
    </w:p>
    <w:p w14:paraId="094F1F5E">
      <w:pPr>
        <w:rPr>
          <w:rFonts w:hint="eastAsia" w:ascii="宋体" w:hAnsi="宋体"/>
          <w:color w:val="auto"/>
        </w:rPr>
      </w:pPr>
    </w:p>
    <w:p w14:paraId="2171B577">
      <w:pPr>
        <w:rPr>
          <w:rFonts w:hint="eastAsia" w:ascii="宋体" w:hAnsi="宋体"/>
          <w:color w:val="auto"/>
        </w:rPr>
      </w:pPr>
    </w:p>
    <w:p w14:paraId="1105FEB6">
      <w:pPr>
        <w:rPr>
          <w:rFonts w:hint="eastAsia" w:ascii="宋体" w:hAnsi="宋体"/>
          <w:color w:val="auto"/>
        </w:rPr>
      </w:pPr>
    </w:p>
    <w:p w14:paraId="70AD71EE">
      <w:pPr>
        <w:rPr>
          <w:rFonts w:hint="eastAsia" w:ascii="宋体" w:hAnsi="宋体"/>
          <w:color w:val="auto"/>
        </w:rPr>
      </w:pPr>
    </w:p>
    <w:p w14:paraId="50634E66">
      <w:pPr>
        <w:rPr>
          <w:rFonts w:hint="eastAsia" w:ascii="宋体" w:hAnsi="宋体"/>
          <w:color w:val="auto"/>
        </w:rPr>
      </w:pPr>
    </w:p>
    <w:p w14:paraId="50B066AE">
      <w:pPr>
        <w:rPr>
          <w:rFonts w:hint="eastAsia" w:ascii="宋体" w:hAnsi="宋体"/>
          <w:color w:val="auto"/>
        </w:rPr>
      </w:pPr>
    </w:p>
    <w:p w14:paraId="671755B9">
      <w:pPr>
        <w:rPr>
          <w:rFonts w:hint="eastAsia" w:ascii="宋体" w:hAnsi="宋体"/>
          <w:color w:val="auto"/>
        </w:rPr>
      </w:pPr>
    </w:p>
    <w:p w14:paraId="69491B1D">
      <w:pPr>
        <w:rPr>
          <w:rFonts w:hint="eastAsia" w:ascii="宋体" w:hAnsi="宋体"/>
          <w:color w:val="auto"/>
        </w:rPr>
      </w:pPr>
    </w:p>
    <w:p w14:paraId="47FE0B71">
      <w:pPr>
        <w:rPr>
          <w:rFonts w:hint="eastAsia" w:ascii="宋体" w:hAnsi="宋体"/>
          <w:color w:val="auto"/>
        </w:rPr>
      </w:pPr>
    </w:p>
    <w:p w14:paraId="300FB86C">
      <w:pPr>
        <w:rPr>
          <w:rFonts w:hint="eastAsia" w:ascii="宋体" w:hAnsi="宋体"/>
          <w:color w:val="auto"/>
        </w:rPr>
      </w:pPr>
    </w:p>
    <w:p w14:paraId="2CDDC339">
      <w:pPr>
        <w:rPr>
          <w:rFonts w:hint="eastAsia" w:ascii="宋体" w:hAnsi="宋体"/>
          <w:color w:val="auto"/>
        </w:rPr>
      </w:pPr>
    </w:p>
    <w:p w14:paraId="219909EF">
      <w:pPr>
        <w:rPr>
          <w:rFonts w:hint="eastAsia" w:ascii="宋体" w:hAnsi="宋体"/>
          <w:color w:val="auto"/>
        </w:rPr>
      </w:pPr>
    </w:p>
    <w:p w14:paraId="6812121F">
      <w:pPr>
        <w:rPr>
          <w:rFonts w:hint="eastAsia"/>
          <w:color w:val="auto"/>
          <w:szCs w:val="21"/>
        </w:rPr>
      </w:pPr>
      <w:bookmarkStart w:id="2420" w:name="_Toc221952073"/>
      <w:bookmarkStart w:id="2421" w:name="_Toc168475924"/>
      <w:bookmarkStart w:id="2422" w:name="_Toc168476327"/>
      <w:bookmarkStart w:id="2423" w:name="_Toc144974865"/>
      <w:bookmarkStart w:id="2424" w:name="_Toc456173551"/>
      <w:bookmarkStart w:id="2425" w:name="_Toc519085656"/>
      <w:r>
        <w:rPr>
          <w:color w:val="auto"/>
        </w:rPr>
        <w:t>附表一：拟投入本</w:t>
      </w:r>
      <w:r>
        <w:rPr>
          <w:rFonts w:hint="eastAsia"/>
          <w:color w:val="auto"/>
        </w:rPr>
        <w:t>项目</w:t>
      </w:r>
      <w:r>
        <w:rPr>
          <w:color w:val="auto"/>
        </w:rPr>
        <w:t>的主要设备表</w:t>
      </w:r>
      <w:bookmarkEnd w:id="2420"/>
      <w:bookmarkEnd w:id="2421"/>
      <w:bookmarkEnd w:id="2422"/>
      <w:bookmarkEnd w:id="2423"/>
      <w:bookmarkEnd w:id="2424"/>
      <w:bookmarkEnd w:id="2425"/>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183"/>
        <w:gridCol w:w="829"/>
        <w:gridCol w:w="1078"/>
        <w:gridCol w:w="732"/>
        <w:gridCol w:w="804"/>
        <w:gridCol w:w="1320"/>
        <w:gridCol w:w="953"/>
        <w:gridCol w:w="1149"/>
        <w:gridCol w:w="753"/>
      </w:tblGrid>
      <w:tr w14:paraId="28D78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center"/>
          </w:tcPr>
          <w:p w14:paraId="5054B31F">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26" w:name="_Toc221952074"/>
            <w:r>
              <w:rPr>
                <w:rFonts w:ascii="Calibri" w:hAnsi="Calibri" w:eastAsia="宋体" w:cs="Times New Roman"/>
                <w:color w:val="auto"/>
              </w:rPr>
              <w:t>序号</w:t>
            </w:r>
            <w:bookmarkEnd w:id="2426"/>
          </w:p>
        </w:tc>
        <w:tc>
          <w:tcPr>
            <w:tcW w:w="1183" w:type="dxa"/>
            <w:noWrap w:val="0"/>
            <w:vAlign w:val="center"/>
          </w:tcPr>
          <w:p w14:paraId="1CCC639A">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27" w:name="_Toc221952075"/>
            <w:r>
              <w:rPr>
                <w:rFonts w:ascii="Calibri" w:hAnsi="Calibri" w:eastAsia="宋体" w:cs="Times New Roman"/>
                <w:color w:val="auto"/>
              </w:rPr>
              <w:t>设备名称</w:t>
            </w:r>
            <w:bookmarkEnd w:id="2427"/>
          </w:p>
        </w:tc>
        <w:tc>
          <w:tcPr>
            <w:tcW w:w="829" w:type="dxa"/>
            <w:noWrap w:val="0"/>
            <w:vAlign w:val="center"/>
          </w:tcPr>
          <w:p w14:paraId="2161AD6B">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28" w:name="_Toc221952076"/>
            <w:r>
              <w:rPr>
                <w:rFonts w:ascii="Calibri" w:hAnsi="Calibri" w:eastAsia="宋体" w:cs="Times New Roman"/>
                <w:color w:val="auto"/>
              </w:rPr>
              <w:t>型号</w:t>
            </w:r>
            <w:bookmarkEnd w:id="2428"/>
          </w:p>
          <w:p w14:paraId="37CF04D1">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29" w:name="_Toc221952077"/>
            <w:r>
              <w:rPr>
                <w:rFonts w:ascii="Calibri" w:hAnsi="Calibri" w:eastAsia="宋体" w:cs="Times New Roman"/>
                <w:color w:val="auto"/>
              </w:rPr>
              <w:t>规格</w:t>
            </w:r>
            <w:bookmarkEnd w:id="2429"/>
          </w:p>
        </w:tc>
        <w:tc>
          <w:tcPr>
            <w:tcW w:w="1078" w:type="dxa"/>
            <w:noWrap w:val="0"/>
            <w:vAlign w:val="center"/>
          </w:tcPr>
          <w:p w14:paraId="4AA23B59">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30" w:name="_Toc221952078"/>
            <w:r>
              <w:rPr>
                <w:rFonts w:ascii="Calibri" w:hAnsi="Calibri" w:eastAsia="宋体" w:cs="Times New Roman"/>
                <w:color w:val="auto"/>
              </w:rPr>
              <w:t>数量</w:t>
            </w:r>
            <w:bookmarkEnd w:id="2430"/>
          </w:p>
        </w:tc>
        <w:tc>
          <w:tcPr>
            <w:tcW w:w="732" w:type="dxa"/>
            <w:noWrap w:val="0"/>
            <w:vAlign w:val="center"/>
          </w:tcPr>
          <w:p w14:paraId="502016BE">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31" w:name="_Toc221952079"/>
            <w:r>
              <w:rPr>
                <w:rFonts w:ascii="Calibri" w:hAnsi="Calibri" w:eastAsia="宋体" w:cs="Times New Roman"/>
                <w:color w:val="auto"/>
              </w:rPr>
              <w:t>国别</w:t>
            </w:r>
            <w:bookmarkEnd w:id="2431"/>
          </w:p>
          <w:p w14:paraId="16DD8DD4">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32" w:name="_Toc221952080"/>
            <w:r>
              <w:rPr>
                <w:rFonts w:ascii="Calibri" w:hAnsi="Calibri" w:eastAsia="宋体" w:cs="Times New Roman"/>
                <w:color w:val="auto"/>
              </w:rPr>
              <w:t>产地</w:t>
            </w:r>
            <w:bookmarkEnd w:id="2432"/>
          </w:p>
        </w:tc>
        <w:tc>
          <w:tcPr>
            <w:tcW w:w="804" w:type="dxa"/>
            <w:noWrap w:val="0"/>
            <w:vAlign w:val="center"/>
          </w:tcPr>
          <w:p w14:paraId="0F82454E">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33" w:name="_Toc221952081"/>
            <w:r>
              <w:rPr>
                <w:rFonts w:ascii="Calibri" w:hAnsi="Calibri" w:eastAsia="宋体" w:cs="Times New Roman"/>
                <w:color w:val="auto"/>
              </w:rPr>
              <w:t>制造</w:t>
            </w:r>
            <w:bookmarkEnd w:id="2433"/>
          </w:p>
          <w:p w14:paraId="3B78B80C">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34" w:name="_Toc221952082"/>
            <w:r>
              <w:rPr>
                <w:rFonts w:ascii="Calibri" w:hAnsi="Calibri" w:eastAsia="宋体" w:cs="Times New Roman"/>
                <w:color w:val="auto"/>
              </w:rPr>
              <w:t>年份</w:t>
            </w:r>
            <w:bookmarkEnd w:id="2434"/>
          </w:p>
        </w:tc>
        <w:tc>
          <w:tcPr>
            <w:tcW w:w="1320" w:type="dxa"/>
            <w:noWrap w:val="0"/>
            <w:vAlign w:val="center"/>
          </w:tcPr>
          <w:p w14:paraId="6828A017">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35" w:name="_Toc221952083"/>
            <w:r>
              <w:rPr>
                <w:rFonts w:ascii="Calibri" w:hAnsi="Calibri" w:eastAsia="宋体" w:cs="Times New Roman"/>
                <w:color w:val="auto"/>
              </w:rPr>
              <w:t>额定功率（</w:t>
            </w:r>
            <w:r>
              <w:rPr>
                <w:rFonts w:hint="eastAsia" w:ascii="Calibri" w:hAnsi="Calibri" w:eastAsia="宋体" w:cs="Times New Roman"/>
                <w:color w:val="auto"/>
              </w:rPr>
              <w:t>K</w:t>
            </w:r>
            <w:r>
              <w:rPr>
                <w:rFonts w:ascii="Calibri" w:hAnsi="Calibri" w:eastAsia="宋体" w:cs="Times New Roman"/>
                <w:color w:val="auto"/>
              </w:rPr>
              <w:t>W）</w:t>
            </w:r>
            <w:bookmarkEnd w:id="2435"/>
          </w:p>
        </w:tc>
        <w:tc>
          <w:tcPr>
            <w:tcW w:w="953" w:type="dxa"/>
            <w:noWrap w:val="0"/>
            <w:vAlign w:val="center"/>
          </w:tcPr>
          <w:p w14:paraId="37F4E8FB">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36" w:name="_Toc221952084"/>
            <w:r>
              <w:rPr>
                <w:rFonts w:ascii="Calibri" w:hAnsi="Calibri" w:eastAsia="宋体" w:cs="Times New Roman"/>
                <w:color w:val="auto"/>
              </w:rPr>
              <w:t>生产</w:t>
            </w:r>
            <w:bookmarkEnd w:id="2436"/>
          </w:p>
          <w:p w14:paraId="31185697">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37" w:name="_Toc221952085"/>
            <w:r>
              <w:rPr>
                <w:rFonts w:ascii="Calibri" w:hAnsi="Calibri" w:eastAsia="宋体" w:cs="Times New Roman"/>
                <w:color w:val="auto"/>
              </w:rPr>
              <w:t>能力</w:t>
            </w:r>
            <w:bookmarkEnd w:id="2437"/>
          </w:p>
        </w:tc>
        <w:tc>
          <w:tcPr>
            <w:tcW w:w="1149" w:type="dxa"/>
            <w:noWrap w:val="0"/>
            <w:vAlign w:val="center"/>
          </w:tcPr>
          <w:p w14:paraId="4C00C563">
            <w:pPr>
              <w:keepNext w:val="0"/>
              <w:keepLines w:val="0"/>
              <w:suppressLineNumbers w:val="0"/>
              <w:spacing w:before="0" w:beforeAutospacing="0" w:after="0" w:afterAutospacing="0" w:line="380" w:lineRule="atLeast"/>
              <w:ind w:left="0" w:right="0"/>
              <w:jc w:val="center"/>
              <w:rPr>
                <w:rFonts w:hint="eastAsia" w:ascii="Calibri" w:hAnsi="Calibri" w:eastAsia="宋体" w:cs="Times New Roman"/>
                <w:color w:val="auto"/>
              </w:rPr>
            </w:pPr>
            <w:bookmarkStart w:id="2438" w:name="_Toc221952086"/>
            <w:r>
              <w:rPr>
                <w:rFonts w:ascii="Calibri" w:hAnsi="Calibri" w:eastAsia="宋体" w:cs="Times New Roman"/>
                <w:color w:val="auto"/>
              </w:rPr>
              <w:t>用于施工</w:t>
            </w:r>
          </w:p>
          <w:p w14:paraId="73AA8EDC">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r>
              <w:rPr>
                <w:rFonts w:ascii="Calibri" w:hAnsi="Calibri" w:eastAsia="宋体" w:cs="Times New Roman"/>
                <w:color w:val="auto"/>
              </w:rPr>
              <w:t>部位</w:t>
            </w:r>
            <w:bookmarkEnd w:id="2438"/>
          </w:p>
        </w:tc>
        <w:tc>
          <w:tcPr>
            <w:tcW w:w="753" w:type="dxa"/>
            <w:noWrap w:val="0"/>
            <w:vAlign w:val="center"/>
          </w:tcPr>
          <w:p w14:paraId="72F44216">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39" w:name="_Toc221952087"/>
            <w:r>
              <w:rPr>
                <w:rFonts w:ascii="Calibri" w:hAnsi="Calibri" w:eastAsia="宋体" w:cs="Times New Roman"/>
                <w:color w:val="auto"/>
              </w:rPr>
              <w:t>备注</w:t>
            </w:r>
            <w:bookmarkEnd w:id="2439"/>
          </w:p>
        </w:tc>
      </w:tr>
      <w:tr w14:paraId="557F0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center"/>
          </w:tcPr>
          <w:p w14:paraId="6866074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3" w:type="dxa"/>
            <w:noWrap w:val="0"/>
            <w:vAlign w:val="center"/>
          </w:tcPr>
          <w:p w14:paraId="2BE1F094">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center"/>
          </w:tcPr>
          <w:p w14:paraId="1D29DBEC">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78" w:type="dxa"/>
            <w:noWrap w:val="0"/>
            <w:vAlign w:val="center"/>
          </w:tcPr>
          <w:p w14:paraId="573A6E9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2" w:type="dxa"/>
            <w:noWrap w:val="0"/>
            <w:vAlign w:val="center"/>
          </w:tcPr>
          <w:p w14:paraId="04E83E40">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4" w:type="dxa"/>
            <w:noWrap w:val="0"/>
            <w:vAlign w:val="center"/>
          </w:tcPr>
          <w:p w14:paraId="4EF0971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0" w:type="dxa"/>
            <w:noWrap w:val="0"/>
            <w:vAlign w:val="center"/>
          </w:tcPr>
          <w:p w14:paraId="5DA9522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953" w:type="dxa"/>
            <w:noWrap w:val="0"/>
            <w:vAlign w:val="center"/>
          </w:tcPr>
          <w:p w14:paraId="24EDC81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49" w:type="dxa"/>
            <w:noWrap w:val="0"/>
            <w:vAlign w:val="center"/>
          </w:tcPr>
          <w:p w14:paraId="4A77B660">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53" w:type="dxa"/>
            <w:noWrap w:val="0"/>
            <w:vAlign w:val="center"/>
          </w:tcPr>
          <w:p w14:paraId="5B776E6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17BA4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center"/>
          </w:tcPr>
          <w:p w14:paraId="29894EA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3" w:type="dxa"/>
            <w:noWrap w:val="0"/>
            <w:vAlign w:val="center"/>
          </w:tcPr>
          <w:p w14:paraId="06B663F1">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center"/>
          </w:tcPr>
          <w:p w14:paraId="251D8FD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78" w:type="dxa"/>
            <w:noWrap w:val="0"/>
            <w:vAlign w:val="center"/>
          </w:tcPr>
          <w:p w14:paraId="60B69D0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2" w:type="dxa"/>
            <w:noWrap w:val="0"/>
            <w:vAlign w:val="center"/>
          </w:tcPr>
          <w:p w14:paraId="50806B6B">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4" w:type="dxa"/>
            <w:noWrap w:val="0"/>
            <w:vAlign w:val="center"/>
          </w:tcPr>
          <w:p w14:paraId="6DA602F0">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0" w:type="dxa"/>
            <w:noWrap w:val="0"/>
            <w:vAlign w:val="center"/>
          </w:tcPr>
          <w:p w14:paraId="44A1368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953" w:type="dxa"/>
            <w:noWrap w:val="0"/>
            <w:vAlign w:val="center"/>
          </w:tcPr>
          <w:p w14:paraId="0E355DC3">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49" w:type="dxa"/>
            <w:noWrap w:val="0"/>
            <w:vAlign w:val="center"/>
          </w:tcPr>
          <w:p w14:paraId="4391808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53" w:type="dxa"/>
            <w:noWrap w:val="0"/>
            <w:vAlign w:val="center"/>
          </w:tcPr>
          <w:p w14:paraId="26DEE99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4D147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66AEA84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3" w:type="dxa"/>
            <w:noWrap w:val="0"/>
            <w:vAlign w:val="top"/>
          </w:tcPr>
          <w:p w14:paraId="11239F8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163BA5A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78" w:type="dxa"/>
            <w:noWrap w:val="0"/>
            <w:vAlign w:val="top"/>
          </w:tcPr>
          <w:p w14:paraId="3141B95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2" w:type="dxa"/>
            <w:noWrap w:val="0"/>
            <w:vAlign w:val="top"/>
          </w:tcPr>
          <w:p w14:paraId="4A52DD5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4" w:type="dxa"/>
            <w:noWrap w:val="0"/>
            <w:vAlign w:val="top"/>
          </w:tcPr>
          <w:p w14:paraId="18D3A5E3">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0" w:type="dxa"/>
            <w:noWrap w:val="0"/>
            <w:vAlign w:val="top"/>
          </w:tcPr>
          <w:p w14:paraId="70DAB1CE">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953" w:type="dxa"/>
            <w:noWrap w:val="0"/>
            <w:vAlign w:val="top"/>
          </w:tcPr>
          <w:p w14:paraId="05EBD912">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49" w:type="dxa"/>
            <w:noWrap w:val="0"/>
            <w:vAlign w:val="top"/>
          </w:tcPr>
          <w:p w14:paraId="32F2468C">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53" w:type="dxa"/>
            <w:noWrap w:val="0"/>
            <w:vAlign w:val="top"/>
          </w:tcPr>
          <w:p w14:paraId="150098E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542FC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7E05A21B">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3" w:type="dxa"/>
            <w:noWrap w:val="0"/>
            <w:vAlign w:val="top"/>
          </w:tcPr>
          <w:p w14:paraId="0790D135">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10D612C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78" w:type="dxa"/>
            <w:noWrap w:val="0"/>
            <w:vAlign w:val="top"/>
          </w:tcPr>
          <w:p w14:paraId="2CD35D03">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2" w:type="dxa"/>
            <w:noWrap w:val="0"/>
            <w:vAlign w:val="top"/>
          </w:tcPr>
          <w:p w14:paraId="3185C56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4" w:type="dxa"/>
            <w:noWrap w:val="0"/>
            <w:vAlign w:val="top"/>
          </w:tcPr>
          <w:p w14:paraId="113C7F1C">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0" w:type="dxa"/>
            <w:noWrap w:val="0"/>
            <w:vAlign w:val="top"/>
          </w:tcPr>
          <w:p w14:paraId="077FD67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953" w:type="dxa"/>
            <w:noWrap w:val="0"/>
            <w:vAlign w:val="top"/>
          </w:tcPr>
          <w:p w14:paraId="1A3DEDAB">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49" w:type="dxa"/>
            <w:noWrap w:val="0"/>
            <w:vAlign w:val="top"/>
          </w:tcPr>
          <w:p w14:paraId="0EE80E32">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53" w:type="dxa"/>
            <w:noWrap w:val="0"/>
            <w:vAlign w:val="top"/>
          </w:tcPr>
          <w:p w14:paraId="1F1F80B5">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39F02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2D81B3E8">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3" w:type="dxa"/>
            <w:noWrap w:val="0"/>
            <w:vAlign w:val="top"/>
          </w:tcPr>
          <w:p w14:paraId="570F93E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41715977">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78" w:type="dxa"/>
            <w:noWrap w:val="0"/>
            <w:vAlign w:val="top"/>
          </w:tcPr>
          <w:p w14:paraId="0C773F15">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2" w:type="dxa"/>
            <w:noWrap w:val="0"/>
            <w:vAlign w:val="top"/>
          </w:tcPr>
          <w:p w14:paraId="140CCDA8">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4" w:type="dxa"/>
            <w:noWrap w:val="0"/>
            <w:vAlign w:val="top"/>
          </w:tcPr>
          <w:p w14:paraId="0E12B5B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0" w:type="dxa"/>
            <w:noWrap w:val="0"/>
            <w:vAlign w:val="top"/>
          </w:tcPr>
          <w:p w14:paraId="1160FA64">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953" w:type="dxa"/>
            <w:noWrap w:val="0"/>
            <w:vAlign w:val="top"/>
          </w:tcPr>
          <w:p w14:paraId="5B6F948C">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49" w:type="dxa"/>
            <w:noWrap w:val="0"/>
            <w:vAlign w:val="top"/>
          </w:tcPr>
          <w:p w14:paraId="77472848">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53" w:type="dxa"/>
            <w:noWrap w:val="0"/>
            <w:vAlign w:val="top"/>
          </w:tcPr>
          <w:p w14:paraId="482C5B84">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23FC7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43C09088">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3" w:type="dxa"/>
            <w:noWrap w:val="0"/>
            <w:vAlign w:val="top"/>
          </w:tcPr>
          <w:p w14:paraId="7DAF9FC7">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6055A5A4">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78" w:type="dxa"/>
            <w:noWrap w:val="0"/>
            <w:vAlign w:val="top"/>
          </w:tcPr>
          <w:p w14:paraId="12015AA5">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2" w:type="dxa"/>
            <w:noWrap w:val="0"/>
            <w:vAlign w:val="top"/>
          </w:tcPr>
          <w:p w14:paraId="5AB3227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4" w:type="dxa"/>
            <w:noWrap w:val="0"/>
            <w:vAlign w:val="top"/>
          </w:tcPr>
          <w:p w14:paraId="3F1DC772">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0" w:type="dxa"/>
            <w:noWrap w:val="0"/>
            <w:vAlign w:val="top"/>
          </w:tcPr>
          <w:p w14:paraId="21062DBC">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953" w:type="dxa"/>
            <w:noWrap w:val="0"/>
            <w:vAlign w:val="top"/>
          </w:tcPr>
          <w:p w14:paraId="0B08C313">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49" w:type="dxa"/>
            <w:noWrap w:val="0"/>
            <w:vAlign w:val="top"/>
          </w:tcPr>
          <w:p w14:paraId="0BE74B7B">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53" w:type="dxa"/>
            <w:noWrap w:val="0"/>
            <w:vAlign w:val="top"/>
          </w:tcPr>
          <w:p w14:paraId="3B9FE490">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0BE20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4CAF72C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3" w:type="dxa"/>
            <w:noWrap w:val="0"/>
            <w:vAlign w:val="top"/>
          </w:tcPr>
          <w:p w14:paraId="06A89C4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5B8BB79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78" w:type="dxa"/>
            <w:noWrap w:val="0"/>
            <w:vAlign w:val="top"/>
          </w:tcPr>
          <w:p w14:paraId="055D8ACB">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2" w:type="dxa"/>
            <w:noWrap w:val="0"/>
            <w:vAlign w:val="top"/>
          </w:tcPr>
          <w:p w14:paraId="2DEF4EA4">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4" w:type="dxa"/>
            <w:noWrap w:val="0"/>
            <w:vAlign w:val="top"/>
          </w:tcPr>
          <w:p w14:paraId="74CFB1D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0" w:type="dxa"/>
            <w:noWrap w:val="0"/>
            <w:vAlign w:val="top"/>
          </w:tcPr>
          <w:p w14:paraId="7684DB6C">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953" w:type="dxa"/>
            <w:noWrap w:val="0"/>
            <w:vAlign w:val="top"/>
          </w:tcPr>
          <w:p w14:paraId="22E1E4D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49" w:type="dxa"/>
            <w:noWrap w:val="0"/>
            <w:vAlign w:val="top"/>
          </w:tcPr>
          <w:p w14:paraId="4ABAA9E3">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53" w:type="dxa"/>
            <w:noWrap w:val="0"/>
            <w:vAlign w:val="top"/>
          </w:tcPr>
          <w:p w14:paraId="45D983D3">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4161E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79127008">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3" w:type="dxa"/>
            <w:noWrap w:val="0"/>
            <w:vAlign w:val="top"/>
          </w:tcPr>
          <w:p w14:paraId="55AA083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1B494E05">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78" w:type="dxa"/>
            <w:noWrap w:val="0"/>
            <w:vAlign w:val="top"/>
          </w:tcPr>
          <w:p w14:paraId="5F677A2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2" w:type="dxa"/>
            <w:noWrap w:val="0"/>
            <w:vAlign w:val="top"/>
          </w:tcPr>
          <w:p w14:paraId="797AAA9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4" w:type="dxa"/>
            <w:noWrap w:val="0"/>
            <w:vAlign w:val="top"/>
          </w:tcPr>
          <w:p w14:paraId="3DE1C03C">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0" w:type="dxa"/>
            <w:noWrap w:val="0"/>
            <w:vAlign w:val="top"/>
          </w:tcPr>
          <w:p w14:paraId="4AB1C9CE">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953" w:type="dxa"/>
            <w:noWrap w:val="0"/>
            <w:vAlign w:val="top"/>
          </w:tcPr>
          <w:p w14:paraId="06D2711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49" w:type="dxa"/>
            <w:noWrap w:val="0"/>
            <w:vAlign w:val="top"/>
          </w:tcPr>
          <w:p w14:paraId="7AA91981">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53" w:type="dxa"/>
            <w:noWrap w:val="0"/>
            <w:vAlign w:val="top"/>
          </w:tcPr>
          <w:p w14:paraId="787CBC57">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3F66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4908D55B">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3" w:type="dxa"/>
            <w:noWrap w:val="0"/>
            <w:vAlign w:val="top"/>
          </w:tcPr>
          <w:p w14:paraId="29B9F31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616B26DC">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78" w:type="dxa"/>
            <w:noWrap w:val="0"/>
            <w:vAlign w:val="top"/>
          </w:tcPr>
          <w:p w14:paraId="5D861B8E">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2" w:type="dxa"/>
            <w:noWrap w:val="0"/>
            <w:vAlign w:val="top"/>
          </w:tcPr>
          <w:p w14:paraId="1E178484">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4" w:type="dxa"/>
            <w:noWrap w:val="0"/>
            <w:vAlign w:val="top"/>
          </w:tcPr>
          <w:p w14:paraId="55BE0384">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0" w:type="dxa"/>
            <w:noWrap w:val="0"/>
            <w:vAlign w:val="top"/>
          </w:tcPr>
          <w:p w14:paraId="5F545A80">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953" w:type="dxa"/>
            <w:noWrap w:val="0"/>
            <w:vAlign w:val="top"/>
          </w:tcPr>
          <w:p w14:paraId="46818934">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49" w:type="dxa"/>
            <w:noWrap w:val="0"/>
            <w:vAlign w:val="top"/>
          </w:tcPr>
          <w:p w14:paraId="6F9BDE88">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53" w:type="dxa"/>
            <w:noWrap w:val="0"/>
            <w:vAlign w:val="top"/>
          </w:tcPr>
          <w:p w14:paraId="24B58A9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00E85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47C22ED2">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3" w:type="dxa"/>
            <w:noWrap w:val="0"/>
            <w:vAlign w:val="top"/>
          </w:tcPr>
          <w:p w14:paraId="628F7AE8">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408EB06E">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78" w:type="dxa"/>
            <w:noWrap w:val="0"/>
            <w:vAlign w:val="top"/>
          </w:tcPr>
          <w:p w14:paraId="394DB46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2" w:type="dxa"/>
            <w:noWrap w:val="0"/>
            <w:vAlign w:val="top"/>
          </w:tcPr>
          <w:p w14:paraId="1F77C82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4" w:type="dxa"/>
            <w:noWrap w:val="0"/>
            <w:vAlign w:val="top"/>
          </w:tcPr>
          <w:p w14:paraId="47CDCA71">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0" w:type="dxa"/>
            <w:noWrap w:val="0"/>
            <w:vAlign w:val="top"/>
          </w:tcPr>
          <w:p w14:paraId="1ADF8422">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953" w:type="dxa"/>
            <w:noWrap w:val="0"/>
            <w:vAlign w:val="top"/>
          </w:tcPr>
          <w:p w14:paraId="5828214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49" w:type="dxa"/>
            <w:noWrap w:val="0"/>
            <w:vAlign w:val="top"/>
          </w:tcPr>
          <w:p w14:paraId="6A87FA1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53" w:type="dxa"/>
            <w:noWrap w:val="0"/>
            <w:vAlign w:val="top"/>
          </w:tcPr>
          <w:p w14:paraId="512460E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4C08A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7CBB820">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3" w:type="dxa"/>
            <w:noWrap w:val="0"/>
            <w:vAlign w:val="top"/>
          </w:tcPr>
          <w:p w14:paraId="4B796F75">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36574100">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78" w:type="dxa"/>
            <w:noWrap w:val="0"/>
            <w:vAlign w:val="top"/>
          </w:tcPr>
          <w:p w14:paraId="6BA7DDBB">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2" w:type="dxa"/>
            <w:noWrap w:val="0"/>
            <w:vAlign w:val="top"/>
          </w:tcPr>
          <w:p w14:paraId="126BF68C">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4" w:type="dxa"/>
            <w:noWrap w:val="0"/>
            <w:vAlign w:val="top"/>
          </w:tcPr>
          <w:p w14:paraId="36BF55AE">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0" w:type="dxa"/>
            <w:noWrap w:val="0"/>
            <w:vAlign w:val="top"/>
          </w:tcPr>
          <w:p w14:paraId="649CAB52">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953" w:type="dxa"/>
            <w:noWrap w:val="0"/>
            <w:vAlign w:val="top"/>
          </w:tcPr>
          <w:p w14:paraId="4199601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49" w:type="dxa"/>
            <w:noWrap w:val="0"/>
            <w:vAlign w:val="top"/>
          </w:tcPr>
          <w:p w14:paraId="3295C802">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53" w:type="dxa"/>
            <w:noWrap w:val="0"/>
            <w:vAlign w:val="top"/>
          </w:tcPr>
          <w:p w14:paraId="486A4B2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2CB87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538C6EC2">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3" w:type="dxa"/>
            <w:noWrap w:val="0"/>
            <w:vAlign w:val="top"/>
          </w:tcPr>
          <w:p w14:paraId="5496359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4F971078">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78" w:type="dxa"/>
            <w:noWrap w:val="0"/>
            <w:vAlign w:val="top"/>
          </w:tcPr>
          <w:p w14:paraId="4221B3DB">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2" w:type="dxa"/>
            <w:noWrap w:val="0"/>
            <w:vAlign w:val="top"/>
          </w:tcPr>
          <w:p w14:paraId="606439BB">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4" w:type="dxa"/>
            <w:noWrap w:val="0"/>
            <w:vAlign w:val="top"/>
          </w:tcPr>
          <w:p w14:paraId="2059B38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0" w:type="dxa"/>
            <w:noWrap w:val="0"/>
            <w:vAlign w:val="top"/>
          </w:tcPr>
          <w:p w14:paraId="6712C1C4">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953" w:type="dxa"/>
            <w:noWrap w:val="0"/>
            <w:vAlign w:val="top"/>
          </w:tcPr>
          <w:p w14:paraId="1E9E8A51">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49" w:type="dxa"/>
            <w:noWrap w:val="0"/>
            <w:vAlign w:val="top"/>
          </w:tcPr>
          <w:p w14:paraId="549A18DE">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53" w:type="dxa"/>
            <w:noWrap w:val="0"/>
            <w:vAlign w:val="top"/>
          </w:tcPr>
          <w:p w14:paraId="374B3593">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4EB09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213B6B8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3" w:type="dxa"/>
            <w:noWrap w:val="0"/>
            <w:vAlign w:val="top"/>
          </w:tcPr>
          <w:p w14:paraId="487EC1F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04F29F18">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78" w:type="dxa"/>
            <w:noWrap w:val="0"/>
            <w:vAlign w:val="top"/>
          </w:tcPr>
          <w:p w14:paraId="2FC7321C">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2" w:type="dxa"/>
            <w:noWrap w:val="0"/>
            <w:vAlign w:val="top"/>
          </w:tcPr>
          <w:p w14:paraId="18B73DB1">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4" w:type="dxa"/>
            <w:noWrap w:val="0"/>
            <w:vAlign w:val="top"/>
          </w:tcPr>
          <w:p w14:paraId="5466C4FB">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0" w:type="dxa"/>
            <w:noWrap w:val="0"/>
            <w:vAlign w:val="top"/>
          </w:tcPr>
          <w:p w14:paraId="3BDD8FA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953" w:type="dxa"/>
            <w:noWrap w:val="0"/>
            <w:vAlign w:val="top"/>
          </w:tcPr>
          <w:p w14:paraId="6655CF08">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49" w:type="dxa"/>
            <w:noWrap w:val="0"/>
            <w:vAlign w:val="top"/>
          </w:tcPr>
          <w:p w14:paraId="58C483D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53" w:type="dxa"/>
            <w:noWrap w:val="0"/>
            <w:vAlign w:val="top"/>
          </w:tcPr>
          <w:p w14:paraId="593234CC">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1EA55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279B0C8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3" w:type="dxa"/>
            <w:noWrap w:val="0"/>
            <w:vAlign w:val="top"/>
          </w:tcPr>
          <w:p w14:paraId="2395F34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63086105">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78" w:type="dxa"/>
            <w:noWrap w:val="0"/>
            <w:vAlign w:val="top"/>
          </w:tcPr>
          <w:p w14:paraId="7392F7D8">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2" w:type="dxa"/>
            <w:noWrap w:val="0"/>
            <w:vAlign w:val="top"/>
          </w:tcPr>
          <w:p w14:paraId="482A46C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4" w:type="dxa"/>
            <w:noWrap w:val="0"/>
            <w:vAlign w:val="top"/>
          </w:tcPr>
          <w:p w14:paraId="6E960E1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0" w:type="dxa"/>
            <w:noWrap w:val="0"/>
            <w:vAlign w:val="top"/>
          </w:tcPr>
          <w:p w14:paraId="5EC5276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953" w:type="dxa"/>
            <w:noWrap w:val="0"/>
            <w:vAlign w:val="top"/>
          </w:tcPr>
          <w:p w14:paraId="79D64D73">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49" w:type="dxa"/>
            <w:noWrap w:val="0"/>
            <w:vAlign w:val="top"/>
          </w:tcPr>
          <w:p w14:paraId="71F65A0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53" w:type="dxa"/>
            <w:noWrap w:val="0"/>
            <w:vAlign w:val="top"/>
          </w:tcPr>
          <w:p w14:paraId="3E64376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0082F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18D91D34">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3" w:type="dxa"/>
            <w:noWrap w:val="0"/>
            <w:vAlign w:val="top"/>
          </w:tcPr>
          <w:p w14:paraId="4E3DD75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0B53D777">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78" w:type="dxa"/>
            <w:noWrap w:val="0"/>
            <w:vAlign w:val="top"/>
          </w:tcPr>
          <w:p w14:paraId="27AC9FC5">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2" w:type="dxa"/>
            <w:noWrap w:val="0"/>
            <w:vAlign w:val="top"/>
          </w:tcPr>
          <w:p w14:paraId="20DF54F1">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4" w:type="dxa"/>
            <w:noWrap w:val="0"/>
            <w:vAlign w:val="top"/>
          </w:tcPr>
          <w:p w14:paraId="64A65FCE">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0" w:type="dxa"/>
            <w:noWrap w:val="0"/>
            <w:vAlign w:val="top"/>
          </w:tcPr>
          <w:p w14:paraId="332CB21C">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953" w:type="dxa"/>
            <w:noWrap w:val="0"/>
            <w:vAlign w:val="top"/>
          </w:tcPr>
          <w:p w14:paraId="6E7F3D81">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49" w:type="dxa"/>
            <w:noWrap w:val="0"/>
            <w:vAlign w:val="top"/>
          </w:tcPr>
          <w:p w14:paraId="1ED7E8C1">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53" w:type="dxa"/>
            <w:noWrap w:val="0"/>
            <w:vAlign w:val="top"/>
          </w:tcPr>
          <w:p w14:paraId="51175832">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2AC83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15BF0E63">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3" w:type="dxa"/>
            <w:noWrap w:val="0"/>
            <w:vAlign w:val="top"/>
          </w:tcPr>
          <w:p w14:paraId="13681D22">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0341B113">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78" w:type="dxa"/>
            <w:noWrap w:val="0"/>
            <w:vAlign w:val="top"/>
          </w:tcPr>
          <w:p w14:paraId="22073094">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2" w:type="dxa"/>
            <w:noWrap w:val="0"/>
            <w:vAlign w:val="top"/>
          </w:tcPr>
          <w:p w14:paraId="75422E1C">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4" w:type="dxa"/>
            <w:noWrap w:val="0"/>
            <w:vAlign w:val="top"/>
          </w:tcPr>
          <w:p w14:paraId="4A8B7A78">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0" w:type="dxa"/>
            <w:noWrap w:val="0"/>
            <w:vAlign w:val="top"/>
          </w:tcPr>
          <w:p w14:paraId="7229D647">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953" w:type="dxa"/>
            <w:noWrap w:val="0"/>
            <w:vAlign w:val="top"/>
          </w:tcPr>
          <w:p w14:paraId="71B3C40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49" w:type="dxa"/>
            <w:noWrap w:val="0"/>
            <w:vAlign w:val="top"/>
          </w:tcPr>
          <w:p w14:paraId="6EE22E5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53" w:type="dxa"/>
            <w:noWrap w:val="0"/>
            <w:vAlign w:val="top"/>
          </w:tcPr>
          <w:p w14:paraId="22BFC38B">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47773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694A93F3">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3" w:type="dxa"/>
            <w:noWrap w:val="0"/>
            <w:vAlign w:val="top"/>
          </w:tcPr>
          <w:p w14:paraId="02C65EC4">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7C90B1D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78" w:type="dxa"/>
            <w:noWrap w:val="0"/>
            <w:vAlign w:val="top"/>
          </w:tcPr>
          <w:p w14:paraId="6637857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2" w:type="dxa"/>
            <w:noWrap w:val="0"/>
            <w:vAlign w:val="top"/>
          </w:tcPr>
          <w:p w14:paraId="46C68B01">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4" w:type="dxa"/>
            <w:noWrap w:val="0"/>
            <w:vAlign w:val="top"/>
          </w:tcPr>
          <w:p w14:paraId="7937F4B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0" w:type="dxa"/>
            <w:noWrap w:val="0"/>
            <w:vAlign w:val="top"/>
          </w:tcPr>
          <w:p w14:paraId="450F0364">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953" w:type="dxa"/>
            <w:noWrap w:val="0"/>
            <w:vAlign w:val="top"/>
          </w:tcPr>
          <w:p w14:paraId="508D5ADC">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49" w:type="dxa"/>
            <w:noWrap w:val="0"/>
            <w:vAlign w:val="top"/>
          </w:tcPr>
          <w:p w14:paraId="5403428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53" w:type="dxa"/>
            <w:noWrap w:val="0"/>
            <w:vAlign w:val="top"/>
          </w:tcPr>
          <w:p w14:paraId="5314BD0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0444E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3530CF31">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3" w:type="dxa"/>
            <w:noWrap w:val="0"/>
            <w:vAlign w:val="top"/>
          </w:tcPr>
          <w:p w14:paraId="0FA7386B">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4C0AE521">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78" w:type="dxa"/>
            <w:noWrap w:val="0"/>
            <w:vAlign w:val="top"/>
          </w:tcPr>
          <w:p w14:paraId="3107D4E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2" w:type="dxa"/>
            <w:noWrap w:val="0"/>
            <w:vAlign w:val="top"/>
          </w:tcPr>
          <w:p w14:paraId="7CE79AFC">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4" w:type="dxa"/>
            <w:noWrap w:val="0"/>
            <w:vAlign w:val="top"/>
          </w:tcPr>
          <w:p w14:paraId="6AA70A08">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0" w:type="dxa"/>
            <w:noWrap w:val="0"/>
            <w:vAlign w:val="top"/>
          </w:tcPr>
          <w:p w14:paraId="3AE85084">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953" w:type="dxa"/>
            <w:noWrap w:val="0"/>
            <w:vAlign w:val="top"/>
          </w:tcPr>
          <w:p w14:paraId="68FF611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49" w:type="dxa"/>
            <w:noWrap w:val="0"/>
            <w:vAlign w:val="top"/>
          </w:tcPr>
          <w:p w14:paraId="0486B077">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53" w:type="dxa"/>
            <w:noWrap w:val="0"/>
            <w:vAlign w:val="top"/>
          </w:tcPr>
          <w:p w14:paraId="15BFAD54">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76D8F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6C55E1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3" w:type="dxa"/>
            <w:noWrap w:val="0"/>
            <w:vAlign w:val="top"/>
          </w:tcPr>
          <w:p w14:paraId="7CD30A94">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164CE7C4">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78" w:type="dxa"/>
            <w:noWrap w:val="0"/>
            <w:vAlign w:val="top"/>
          </w:tcPr>
          <w:p w14:paraId="5A8D9E6C">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2" w:type="dxa"/>
            <w:noWrap w:val="0"/>
            <w:vAlign w:val="top"/>
          </w:tcPr>
          <w:p w14:paraId="3E74AF0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4" w:type="dxa"/>
            <w:noWrap w:val="0"/>
            <w:vAlign w:val="top"/>
          </w:tcPr>
          <w:p w14:paraId="7BB79D38">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0" w:type="dxa"/>
            <w:noWrap w:val="0"/>
            <w:vAlign w:val="top"/>
          </w:tcPr>
          <w:p w14:paraId="575974D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953" w:type="dxa"/>
            <w:noWrap w:val="0"/>
            <w:vAlign w:val="top"/>
          </w:tcPr>
          <w:p w14:paraId="14883E3E">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49" w:type="dxa"/>
            <w:noWrap w:val="0"/>
            <w:vAlign w:val="top"/>
          </w:tcPr>
          <w:p w14:paraId="1CA44EB4">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53" w:type="dxa"/>
            <w:noWrap w:val="0"/>
            <w:vAlign w:val="top"/>
          </w:tcPr>
          <w:p w14:paraId="65C3D7CC">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7C595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4BFBF26C">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3" w:type="dxa"/>
            <w:noWrap w:val="0"/>
            <w:vAlign w:val="top"/>
          </w:tcPr>
          <w:p w14:paraId="5FD35CF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76CBB0C0">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78" w:type="dxa"/>
            <w:noWrap w:val="0"/>
            <w:vAlign w:val="top"/>
          </w:tcPr>
          <w:p w14:paraId="457711EC">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2" w:type="dxa"/>
            <w:noWrap w:val="0"/>
            <w:vAlign w:val="top"/>
          </w:tcPr>
          <w:p w14:paraId="01AF0C7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4" w:type="dxa"/>
            <w:noWrap w:val="0"/>
            <w:vAlign w:val="top"/>
          </w:tcPr>
          <w:p w14:paraId="59D59167">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0" w:type="dxa"/>
            <w:noWrap w:val="0"/>
            <w:vAlign w:val="top"/>
          </w:tcPr>
          <w:p w14:paraId="4ADD6DE1">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953" w:type="dxa"/>
            <w:noWrap w:val="0"/>
            <w:vAlign w:val="top"/>
          </w:tcPr>
          <w:p w14:paraId="70C9BCBE">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49" w:type="dxa"/>
            <w:noWrap w:val="0"/>
            <w:vAlign w:val="top"/>
          </w:tcPr>
          <w:p w14:paraId="700C491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53" w:type="dxa"/>
            <w:noWrap w:val="0"/>
            <w:vAlign w:val="top"/>
          </w:tcPr>
          <w:p w14:paraId="4C7DF9FB">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3BDD6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77C701F1">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3" w:type="dxa"/>
            <w:noWrap w:val="0"/>
            <w:vAlign w:val="top"/>
          </w:tcPr>
          <w:p w14:paraId="11867583">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0E5A1BD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78" w:type="dxa"/>
            <w:noWrap w:val="0"/>
            <w:vAlign w:val="top"/>
          </w:tcPr>
          <w:p w14:paraId="5837EB64">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2" w:type="dxa"/>
            <w:noWrap w:val="0"/>
            <w:vAlign w:val="top"/>
          </w:tcPr>
          <w:p w14:paraId="30ACBF8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4" w:type="dxa"/>
            <w:noWrap w:val="0"/>
            <w:vAlign w:val="top"/>
          </w:tcPr>
          <w:p w14:paraId="43D77BC1">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0" w:type="dxa"/>
            <w:noWrap w:val="0"/>
            <w:vAlign w:val="top"/>
          </w:tcPr>
          <w:p w14:paraId="34CBD398">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953" w:type="dxa"/>
            <w:noWrap w:val="0"/>
            <w:vAlign w:val="top"/>
          </w:tcPr>
          <w:p w14:paraId="578C463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49" w:type="dxa"/>
            <w:noWrap w:val="0"/>
            <w:vAlign w:val="top"/>
          </w:tcPr>
          <w:p w14:paraId="366CD29E">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53" w:type="dxa"/>
            <w:noWrap w:val="0"/>
            <w:vAlign w:val="top"/>
          </w:tcPr>
          <w:p w14:paraId="67871270">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2C30A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58690CAB">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3" w:type="dxa"/>
            <w:noWrap w:val="0"/>
            <w:vAlign w:val="top"/>
          </w:tcPr>
          <w:p w14:paraId="00B046B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03133EC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78" w:type="dxa"/>
            <w:noWrap w:val="0"/>
            <w:vAlign w:val="top"/>
          </w:tcPr>
          <w:p w14:paraId="611996D2">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2" w:type="dxa"/>
            <w:noWrap w:val="0"/>
            <w:vAlign w:val="top"/>
          </w:tcPr>
          <w:p w14:paraId="60B25188">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4" w:type="dxa"/>
            <w:noWrap w:val="0"/>
            <w:vAlign w:val="top"/>
          </w:tcPr>
          <w:p w14:paraId="35875CE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0" w:type="dxa"/>
            <w:noWrap w:val="0"/>
            <w:vAlign w:val="top"/>
          </w:tcPr>
          <w:p w14:paraId="4830B177">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953" w:type="dxa"/>
            <w:noWrap w:val="0"/>
            <w:vAlign w:val="top"/>
          </w:tcPr>
          <w:p w14:paraId="7601B2E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49" w:type="dxa"/>
            <w:noWrap w:val="0"/>
            <w:vAlign w:val="top"/>
          </w:tcPr>
          <w:p w14:paraId="2050CC4B">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53" w:type="dxa"/>
            <w:noWrap w:val="0"/>
            <w:vAlign w:val="top"/>
          </w:tcPr>
          <w:p w14:paraId="0114FAB0">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65075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574D9E45">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3" w:type="dxa"/>
            <w:noWrap w:val="0"/>
            <w:vAlign w:val="top"/>
          </w:tcPr>
          <w:p w14:paraId="009F5C0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38A01AE5">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78" w:type="dxa"/>
            <w:noWrap w:val="0"/>
            <w:vAlign w:val="top"/>
          </w:tcPr>
          <w:p w14:paraId="756FBFF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2" w:type="dxa"/>
            <w:noWrap w:val="0"/>
            <w:vAlign w:val="top"/>
          </w:tcPr>
          <w:p w14:paraId="279AA658">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4" w:type="dxa"/>
            <w:noWrap w:val="0"/>
            <w:vAlign w:val="top"/>
          </w:tcPr>
          <w:p w14:paraId="0AC2259C">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0" w:type="dxa"/>
            <w:noWrap w:val="0"/>
            <w:vAlign w:val="top"/>
          </w:tcPr>
          <w:p w14:paraId="1068AB03">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953" w:type="dxa"/>
            <w:noWrap w:val="0"/>
            <w:vAlign w:val="top"/>
          </w:tcPr>
          <w:p w14:paraId="57A4CDB5">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49" w:type="dxa"/>
            <w:noWrap w:val="0"/>
            <w:vAlign w:val="top"/>
          </w:tcPr>
          <w:p w14:paraId="1101549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53" w:type="dxa"/>
            <w:noWrap w:val="0"/>
            <w:vAlign w:val="top"/>
          </w:tcPr>
          <w:p w14:paraId="0B461195">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bl>
    <w:p w14:paraId="15185C23">
      <w:pPr>
        <w:spacing w:line="440" w:lineRule="exact"/>
        <w:rPr>
          <w:rFonts w:eastAsia="黑体"/>
          <w:color w:val="auto"/>
          <w:sz w:val="20"/>
          <w:szCs w:val="20"/>
        </w:rPr>
      </w:pPr>
    </w:p>
    <w:p w14:paraId="01389F44">
      <w:pPr>
        <w:spacing w:line="440" w:lineRule="exact"/>
        <w:rPr>
          <w:rFonts w:hint="eastAsia" w:eastAsia="黑体"/>
          <w:color w:val="auto"/>
          <w:sz w:val="20"/>
          <w:szCs w:val="20"/>
        </w:rPr>
      </w:pPr>
    </w:p>
    <w:p w14:paraId="797F8BC2">
      <w:pPr>
        <w:spacing w:line="440" w:lineRule="exact"/>
        <w:rPr>
          <w:rFonts w:hint="eastAsia" w:eastAsia="黑体"/>
          <w:color w:val="auto"/>
          <w:sz w:val="20"/>
          <w:szCs w:val="20"/>
        </w:rPr>
      </w:pPr>
    </w:p>
    <w:p w14:paraId="26C26701">
      <w:pPr>
        <w:spacing w:line="440" w:lineRule="exact"/>
        <w:rPr>
          <w:rFonts w:hint="eastAsia" w:eastAsia="黑体"/>
          <w:color w:val="auto"/>
          <w:sz w:val="20"/>
          <w:szCs w:val="20"/>
        </w:rPr>
      </w:pPr>
    </w:p>
    <w:p w14:paraId="079D1E27">
      <w:pPr>
        <w:spacing w:line="440" w:lineRule="exact"/>
        <w:rPr>
          <w:rFonts w:hint="eastAsia" w:eastAsia="黑体"/>
          <w:color w:val="auto"/>
          <w:sz w:val="20"/>
          <w:szCs w:val="20"/>
        </w:rPr>
      </w:pPr>
    </w:p>
    <w:p w14:paraId="5D60D397">
      <w:pPr>
        <w:spacing w:line="440" w:lineRule="exact"/>
        <w:rPr>
          <w:rFonts w:hint="eastAsia" w:eastAsia="黑体"/>
          <w:color w:val="auto"/>
          <w:sz w:val="20"/>
          <w:szCs w:val="20"/>
        </w:rPr>
      </w:pPr>
    </w:p>
    <w:p w14:paraId="6B1CD1CB">
      <w:pPr>
        <w:spacing w:line="440" w:lineRule="exact"/>
        <w:rPr>
          <w:rFonts w:hint="eastAsia" w:eastAsia="黑体"/>
          <w:color w:val="auto"/>
          <w:sz w:val="20"/>
          <w:szCs w:val="20"/>
        </w:rPr>
      </w:pPr>
    </w:p>
    <w:p w14:paraId="38F6FEBE">
      <w:pPr>
        <w:rPr>
          <w:rFonts w:hint="eastAsia"/>
          <w:color w:val="auto"/>
          <w:szCs w:val="21"/>
        </w:rPr>
      </w:pPr>
      <w:bookmarkStart w:id="2440" w:name="_Toc168476328"/>
      <w:bookmarkStart w:id="2441" w:name="_Toc519085657"/>
      <w:bookmarkStart w:id="2442" w:name="_Toc168475925"/>
      <w:bookmarkStart w:id="2443" w:name="_Toc456173552"/>
      <w:bookmarkStart w:id="2444" w:name="_Toc221952088"/>
      <w:r>
        <w:rPr>
          <w:color w:val="auto"/>
        </w:rPr>
        <w:t>附表二</w:t>
      </w:r>
      <w:r>
        <w:rPr>
          <w:rFonts w:hint="eastAsia"/>
          <w:color w:val="auto"/>
        </w:rPr>
        <w:t>：</w:t>
      </w:r>
      <w:r>
        <w:rPr>
          <w:color w:val="auto"/>
        </w:rPr>
        <w:t>拟投入本</w:t>
      </w:r>
      <w:r>
        <w:rPr>
          <w:rFonts w:hint="eastAsia"/>
          <w:color w:val="auto"/>
        </w:rPr>
        <w:t>项目</w:t>
      </w:r>
      <w:r>
        <w:rPr>
          <w:color w:val="auto"/>
        </w:rPr>
        <w:t>的</w:t>
      </w:r>
      <w:r>
        <w:rPr>
          <w:rFonts w:hint="eastAsia"/>
          <w:color w:val="auto"/>
        </w:rPr>
        <w:t>试验</w:t>
      </w:r>
      <w:r>
        <w:rPr>
          <w:color w:val="auto"/>
        </w:rPr>
        <w:t>和检测仪器设备表</w:t>
      </w:r>
      <w:bookmarkEnd w:id="2440"/>
      <w:bookmarkEnd w:id="2441"/>
      <w:bookmarkEnd w:id="2442"/>
      <w:bookmarkEnd w:id="2443"/>
      <w:bookmarkEnd w:id="2444"/>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185"/>
        <w:gridCol w:w="829"/>
        <w:gridCol w:w="1080"/>
        <w:gridCol w:w="733"/>
        <w:gridCol w:w="805"/>
        <w:gridCol w:w="1321"/>
        <w:gridCol w:w="1801"/>
        <w:gridCol w:w="749"/>
      </w:tblGrid>
      <w:tr w14:paraId="3F397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center"/>
          </w:tcPr>
          <w:p w14:paraId="2B9E8C2D">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45" w:name="_Toc221952089"/>
            <w:r>
              <w:rPr>
                <w:rFonts w:ascii="Calibri" w:hAnsi="Calibri" w:eastAsia="宋体" w:cs="Times New Roman"/>
                <w:color w:val="auto"/>
              </w:rPr>
              <w:t>序号</w:t>
            </w:r>
            <w:bookmarkEnd w:id="2445"/>
          </w:p>
        </w:tc>
        <w:tc>
          <w:tcPr>
            <w:tcW w:w="1185" w:type="dxa"/>
            <w:noWrap w:val="0"/>
            <w:vAlign w:val="center"/>
          </w:tcPr>
          <w:p w14:paraId="5F424CD2">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46" w:name="_Toc221952090"/>
            <w:r>
              <w:rPr>
                <w:rFonts w:ascii="Calibri" w:hAnsi="Calibri" w:eastAsia="宋体" w:cs="Times New Roman"/>
                <w:color w:val="auto"/>
              </w:rPr>
              <w:t>仪器设备名称</w:t>
            </w:r>
            <w:bookmarkEnd w:id="2446"/>
          </w:p>
        </w:tc>
        <w:tc>
          <w:tcPr>
            <w:tcW w:w="829" w:type="dxa"/>
            <w:noWrap w:val="0"/>
            <w:vAlign w:val="center"/>
          </w:tcPr>
          <w:p w14:paraId="29D7E029">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47" w:name="_Toc221952091"/>
            <w:r>
              <w:rPr>
                <w:rFonts w:ascii="Calibri" w:hAnsi="Calibri" w:eastAsia="宋体" w:cs="Times New Roman"/>
                <w:color w:val="auto"/>
              </w:rPr>
              <w:t>型号</w:t>
            </w:r>
            <w:bookmarkEnd w:id="2447"/>
          </w:p>
          <w:p w14:paraId="312B1F14">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48" w:name="_Toc221952092"/>
            <w:r>
              <w:rPr>
                <w:rFonts w:ascii="Calibri" w:hAnsi="Calibri" w:eastAsia="宋体" w:cs="Times New Roman"/>
                <w:color w:val="auto"/>
              </w:rPr>
              <w:t>规格</w:t>
            </w:r>
            <w:bookmarkEnd w:id="2448"/>
          </w:p>
        </w:tc>
        <w:tc>
          <w:tcPr>
            <w:tcW w:w="1080" w:type="dxa"/>
            <w:noWrap w:val="0"/>
            <w:vAlign w:val="center"/>
          </w:tcPr>
          <w:p w14:paraId="2C496F85">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49" w:name="_Toc221952093"/>
            <w:r>
              <w:rPr>
                <w:rFonts w:ascii="Calibri" w:hAnsi="Calibri" w:eastAsia="宋体" w:cs="Times New Roman"/>
                <w:color w:val="auto"/>
              </w:rPr>
              <w:t>数量</w:t>
            </w:r>
            <w:bookmarkEnd w:id="2449"/>
          </w:p>
        </w:tc>
        <w:tc>
          <w:tcPr>
            <w:tcW w:w="733" w:type="dxa"/>
            <w:noWrap w:val="0"/>
            <w:vAlign w:val="center"/>
          </w:tcPr>
          <w:p w14:paraId="6E411ED1">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50" w:name="_Toc221952094"/>
            <w:r>
              <w:rPr>
                <w:rFonts w:ascii="Calibri" w:hAnsi="Calibri" w:eastAsia="宋体" w:cs="Times New Roman"/>
                <w:color w:val="auto"/>
              </w:rPr>
              <w:t>国别</w:t>
            </w:r>
            <w:bookmarkEnd w:id="2450"/>
          </w:p>
          <w:p w14:paraId="48B1842A">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51" w:name="_Toc221952095"/>
            <w:r>
              <w:rPr>
                <w:rFonts w:ascii="Calibri" w:hAnsi="Calibri" w:eastAsia="宋体" w:cs="Times New Roman"/>
                <w:color w:val="auto"/>
              </w:rPr>
              <w:t>产地</w:t>
            </w:r>
            <w:bookmarkEnd w:id="2451"/>
          </w:p>
        </w:tc>
        <w:tc>
          <w:tcPr>
            <w:tcW w:w="805" w:type="dxa"/>
            <w:noWrap w:val="0"/>
            <w:vAlign w:val="center"/>
          </w:tcPr>
          <w:p w14:paraId="1B3C5618">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52" w:name="_Toc221952096"/>
            <w:r>
              <w:rPr>
                <w:rFonts w:ascii="Calibri" w:hAnsi="Calibri" w:eastAsia="宋体" w:cs="Times New Roman"/>
                <w:color w:val="auto"/>
              </w:rPr>
              <w:t>制造</w:t>
            </w:r>
            <w:bookmarkEnd w:id="2452"/>
          </w:p>
          <w:p w14:paraId="7E0D7D7D">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53" w:name="_Toc221952097"/>
            <w:r>
              <w:rPr>
                <w:rFonts w:ascii="Calibri" w:hAnsi="Calibri" w:eastAsia="宋体" w:cs="Times New Roman"/>
                <w:color w:val="auto"/>
              </w:rPr>
              <w:t>年份</w:t>
            </w:r>
            <w:bookmarkEnd w:id="2453"/>
          </w:p>
        </w:tc>
        <w:tc>
          <w:tcPr>
            <w:tcW w:w="1321" w:type="dxa"/>
            <w:noWrap w:val="0"/>
            <w:vAlign w:val="center"/>
          </w:tcPr>
          <w:p w14:paraId="0825AE15">
            <w:pPr>
              <w:keepNext w:val="0"/>
              <w:keepLines w:val="0"/>
              <w:suppressLineNumbers w:val="0"/>
              <w:spacing w:before="0" w:beforeAutospacing="0" w:after="0" w:afterAutospacing="0" w:line="380" w:lineRule="atLeast"/>
              <w:ind w:left="0" w:right="0"/>
              <w:jc w:val="center"/>
              <w:rPr>
                <w:rFonts w:hint="eastAsia" w:ascii="Calibri" w:hAnsi="Calibri" w:eastAsia="宋体" w:cs="Times New Roman"/>
                <w:color w:val="auto"/>
              </w:rPr>
            </w:pPr>
            <w:bookmarkStart w:id="2454" w:name="_Toc221952098"/>
            <w:r>
              <w:rPr>
                <w:rFonts w:ascii="Calibri" w:hAnsi="Calibri" w:eastAsia="宋体" w:cs="Times New Roman"/>
                <w:color w:val="auto"/>
              </w:rPr>
              <w:t>已使用</w:t>
            </w:r>
          </w:p>
          <w:p w14:paraId="03C9125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r>
              <w:rPr>
                <w:rFonts w:ascii="Calibri" w:hAnsi="Calibri" w:eastAsia="宋体" w:cs="Times New Roman"/>
                <w:color w:val="auto"/>
              </w:rPr>
              <w:t>台时数</w:t>
            </w:r>
            <w:bookmarkEnd w:id="2454"/>
          </w:p>
        </w:tc>
        <w:tc>
          <w:tcPr>
            <w:tcW w:w="1801" w:type="dxa"/>
            <w:noWrap w:val="0"/>
            <w:vAlign w:val="center"/>
          </w:tcPr>
          <w:p w14:paraId="57153D63">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55" w:name="_Toc221952099"/>
            <w:r>
              <w:rPr>
                <w:rFonts w:ascii="Calibri" w:hAnsi="Calibri" w:eastAsia="宋体" w:cs="Times New Roman"/>
                <w:color w:val="auto"/>
              </w:rPr>
              <w:t>用途</w:t>
            </w:r>
            <w:bookmarkEnd w:id="2455"/>
          </w:p>
        </w:tc>
        <w:tc>
          <w:tcPr>
            <w:tcW w:w="749" w:type="dxa"/>
            <w:noWrap w:val="0"/>
            <w:vAlign w:val="center"/>
          </w:tcPr>
          <w:p w14:paraId="195214BB">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56" w:name="_Toc221952100"/>
            <w:r>
              <w:rPr>
                <w:rFonts w:ascii="Calibri" w:hAnsi="Calibri" w:eastAsia="宋体" w:cs="Times New Roman"/>
                <w:color w:val="auto"/>
              </w:rPr>
              <w:t>备注</w:t>
            </w:r>
            <w:bookmarkEnd w:id="2456"/>
          </w:p>
        </w:tc>
      </w:tr>
      <w:tr w14:paraId="3F90D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center"/>
          </w:tcPr>
          <w:p w14:paraId="7C2A1E7E">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5" w:type="dxa"/>
            <w:noWrap w:val="0"/>
            <w:vAlign w:val="center"/>
          </w:tcPr>
          <w:p w14:paraId="32D307F4">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center"/>
          </w:tcPr>
          <w:p w14:paraId="4BCD4914">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80" w:type="dxa"/>
            <w:noWrap w:val="0"/>
            <w:vAlign w:val="center"/>
          </w:tcPr>
          <w:p w14:paraId="01AB1AC4">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3" w:type="dxa"/>
            <w:noWrap w:val="0"/>
            <w:vAlign w:val="center"/>
          </w:tcPr>
          <w:p w14:paraId="5499D2D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5" w:type="dxa"/>
            <w:noWrap w:val="0"/>
            <w:vAlign w:val="center"/>
          </w:tcPr>
          <w:p w14:paraId="0FF03023">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1" w:type="dxa"/>
            <w:noWrap w:val="0"/>
            <w:vAlign w:val="center"/>
          </w:tcPr>
          <w:p w14:paraId="4D77178C">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801" w:type="dxa"/>
            <w:noWrap w:val="0"/>
            <w:vAlign w:val="center"/>
          </w:tcPr>
          <w:p w14:paraId="036012A5">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49" w:type="dxa"/>
            <w:noWrap w:val="0"/>
            <w:vAlign w:val="center"/>
          </w:tcPr>
          <w:p w14:paraId="0897D970">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19B8F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center"/>
          </w:tcPr>
          <w:p w14:paraId="5984531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5" w:type="dxa"/>
            <w:noWrap w:val="0"/>
            <w:vAlign w:val="center"/>
          </w:tcPr>
          <w:p w14:paraId="61EA189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center"/>
          </w:tcPr>
          <w:p w14:paraId="07935A24">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80" w:type="dxa"/>
            <w:noWrap w:val="0"/>
            <w:vAlign w:val="center"/>
          </w:tcPr>
          <w:p w14:paraId="6DA3F763">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3" w:type="dxa"/>
            <w:noWrap w:val="0"/>
            <w:vAlign w:val="center"/>
          </w:tcPr>
          <w:p w14:paraId="1DC11BD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5" w:type="dxa"/>
            <w:noWrap w:val="0"/>
            <w:vAlign w:val="center"/>
          </w:tcPr>
          <w:p w14:paraId="77A01097">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1" w:type="dxa"/>
            <w:noWrap w:val="0"/>
            <w:vAlign w:val="center"/>
          </w:tcPr>
          <w:p w14:paraId="13D85F4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801" w:type="dxa"/>
            <w:noWrap w:val="0"/>
            <w:vAlign w:val="center"/>
          </w:tcPr>
          <w:p w14:paraId="1A222724">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49" w:type="dxa"/>
            <w:noWrap w:val="0"/>
            <w:vAlign w:val="center"/>
          </w:tcPr>
          <w:p w14:paraId="1CAB857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77968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73A8CBF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5" w:type="dxa"/>
            <w:noWrap w:val="0"/>
            <w:vAlign w:val="top"/>
          </w:tcPr>
          <w:p w14:paraId="51D40850">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5BD33303">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80" w:type="dxa"/>
            <w:noWrap w:val="0"/>
            <w:vAlign w:val="top"/>
          </w:tcPr>
          <w:p w14:paraId="06D368E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3" w:type="dxa"/>
            <w:noWrap w:val="0"/>
            <w:vAlign w:val="top"/>
          </w:tcPr>
          <w:p w14:paraId="0ADA142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5" w:type="dxa"/>
            <w:noWrap w:val="0"/>
            <w:vAlign w:val="top"/>
          </w:tcPr>
          <w:p w14:paraId="3E29E29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1" w:type="dxa"/>
            <w:noWrap w:val="0"/>
            <w:vAlign w:val="top"/>
          </w:tcPr>
          <w:p w14:paraId="46F1C407">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801" w:type="dxa"/>
            <w:noWrap w:val="0"/>
            <w:vAlign w:val="top"/>
          </w:tcPr>
          <w:p w14:paraId="4196260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49" w:type="dxa"/>
            <w:noWrap w:val="0"/>
            <w:vAlign w:val="top"/>
          </w:tcPr>
          <w:p w14:paraId="0CC6A6F3">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28E3C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73AB1B8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5" w:type="dxa"/>
            <w:noWrap w:val="0"/>
            <w:vAlign w:val="top"/>
          </w:tcPr>
          <w:p w14:paraId="79FAE45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32DB1B7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80" w:type="dxa"/>
            <w:noWrap w:val="0"/>
            <w:vAlign w:val="top"/>
          </w:tcPr>
          <w:p w14:paraId="4E89D77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3" w:type="dxa"/>
            <w:noWrap w:val="0"/>
            <w:vAlign w:val="top"/>
          </w:tcPr>
          <w:p w14:paraId="3CC469EE">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5" w:type="dxa"/>
            <w:noWrap w:val="0"/>
            <w:vAlign w:val="top"/>
          </w:tcPr>
          <w:p w14:paraId="0E08E34E">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1" w:type="dxa"/>
            <w:noWrap w:val="0"/>
            <w:vAlign w:val="top"/>
          </w:tcPr>
          <w:p w14:paraId="1361834E">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801" w:type="dxa"/>
            <w:noWrap w:val="0"/>
            <w:vAlign w:val="top"/>
          </w:tcPr>
          <w:p w14:paraId="3BA2B9C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49" w:type="dxa"/>
            <w:noWrap w:val="0"/>
            <w:vAlign w:val="top"/>
          </w:tcPr>
          <w:p w14:paraId="5E692F25">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75E34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015BAC7C">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5" w:type="dxa"/>
            <w:noWrap w:val="0"/>
            <w:vAlign w:val="top"/>
          </w:tcPr>
          <w:p w14:paraId="43D997A5">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0149545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80" w:type="dxa"/>
            <w:noWrap w:val="0"/>
            <w:vAlign w:val="top"/>
          </w:tcPr>
          <w:p w14:paraId="284021E0">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3" w:type="dxa"/>
            <w:noWrap w:val="0"/>
            <w:vAlign w:val="top"/>
          </w:tcPr>
          <w:p w14:paraId="6961D2B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5" w:type="dxa"/>
            <w:noWrap w:val="0"/>
            <w:vAlign w:val="top"/>
          </w:tcPr>
          <w:p w14:paraId="3965D282">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1" w:type="dxa"/>
            <w:noWrap w:val="0"/>
            <w:vAlign w:val="top"/>
          </w:tcPr>
          <w:p w14:paraId="2CBC1B8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801" w:type="dxa"/>
            <w:noWrap w:val="0"/>
            <w:vAlign w:val="top"/>
          </w:tcPr>
          <w:p w14:paraId="10D6612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49" w:type="dxa"/>
            <w:noWrap w:val="0"/>
            <w:vAlign w:val="top"/>
          </w:tcPr>
          <w:p w14:paraId="07966A8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304F1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48ACFC6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5" w:type="dxa"/>
            <w:noWrap w:val="0"/>
            <w:vAlign w:val="top"/>
          </w:tcPr>
          <w:p w14:paraId="1952173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1D3186E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80" w:type="dxa"/>
            <w:noWrap w:val="0"/>
            <w:vAlign w:val="top"/>
          </w:tcPr>
          <w:p w14:paraId="1CA3C1A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3" w:type="dxa"/>
            <w:noWrap w:val="0"/>
            <w:vAlign w:val="top"/>
          </w:tcPr>
          <w:p w14:paraId="185CC3B3">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5" w:type="dxa"/>
            <w:noWrap w:val="0"/>
            <w:vAlign w:val="top"/>
          </w:tcPr>
          <w:p w14:paraId="5F7CF86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1" w:type="dxa"/>
            <w:noWrap w:val="0"/>
            <w:vAlign w:val="top"/>
          </w:tcPr>
          <w:p w14:paraId="6D734390">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801" w:type="dxa"/>
            <w:noWrap w:val="0"/>
            <w:vAlign w:val="top"/>
          </w:tcPr>
          <w:p w14:paraId="2F102902">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49" w:type="dxa"/>
            <w:noWrap w:val="0"/>
            <w:vAlign w:val="top"/>
          </w:tcPr>
          <w:p w14:paraId="3CF897F0">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784DA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5C9AABA7">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5" w:type="dxa"/>
            <w:noWrap w:val="0"/>
            <w:vAlign w:val="top"/>
          </w:tcPr>
          <w:p w14:paraId="081DEB15">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31DA2045">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80" w:type="dxa"/>
            <w:noWrap w:val="0"/>
            <w:vAlign w:val="top"/>
          </w:tcPr>
          <w:p w14:paraId="453E5A6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3" w:type="dxa"/>
            <w:noWrap w:val="0"/>
            <w:vAlign w:val="top"/>
          </w:tcPr>
          <w:p w14:paraId="0802E713">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5" w:type="dxa"/>
            <w:noWrap w:val="0"/>
            <w:vAlign w:val="top"/>
          </w:tcPr>
          <w:p w14:paraId="2864F39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1" w:type="dxa"/>
            <w:noWrap w:val="0"/>
            <w:vAlign w:val="top"/>
          </w:tcPr>
          <w:p w14:paraId="223AC05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801" w:type="dxa"/>
            <w:noWrap w:val="0"/>
            <w:vAlign w:val="top"/>
          </w:tcPr>
          <w:p w14:paraId="07FD0A57">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49" w:type="dxa"/>
            <w:noWrap w:val="0"/>
            <w:vAlign w:val="top"/>
          </w:tcPr>
          <w:p w14:paraId="3BC98614">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6ED90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589D0637">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5" w:type="dxa"/>
            <w:noWrap w:val="0"/>
            <w:vAlign w:val="top"/>
          </w:tcPr>
          <w:p w14:paraId="0CCBCCC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13276D9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80" w:type="dxa"/>
            <w:noWrap w:val="0"/>
            <w:vAlign w:val="top"/>
          </w:tcPr>
          <w:p w14:paraId="0F67A09E">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3" w:type="dxa"/>
            <w:noWrap w:val="0"/>
            <w:vAlign w:val="top"/>
          </w:tcPr>
          <w:p w14:paraId="20D77D6C">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5" w:type="dxa"/>
            <w:noWrap w:val="0"/>
            <w:vAlign w:val="top"/>
          </w:tcPr>
          <w:p w14:paraId="5AAFA03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1" w:type="dxa"/>
            <w:noWrap w:val="0"/>
            <w:vAlign w:val="top"/>
          </w:tcPr>
          <w:p w14:paraId="3C9A3ED5">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801" w:type="dxa"/>
            <w:noWrap w:val="0"/>
            <w:vAlign w:val="top"/>
          </w:tcPr>
          <w:p w14:paraId="030710E7">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49" w:type="dxa"/>
            <w:noWrap w:val="0"/>
            <w:vAlign w:val="top"/>
          </w:tcPr>
          <w:p w14:paraId="56597C3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3232A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6616E7D2">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5" w:type="dxa"/>
            <w:noWrap w:val="0"/>
            <w:vAlign w:val="top"/>
          </w:tcPr>
          <w:p w14:paraId="3B54AE2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424AC3E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80" w:type="dxa"/>
            <w:noWrap w:val="0"/>
            <w:vAlign w:val="top"/>
          </w:tcPr>
          <w:p w14:paraId="5DC068F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3" w:type="dxa"/>
            <w:noWrap w:val="0"/>
            <w:vAlign w:val="top"/>
          </w:tcPr>
          <w:p w14:paraId="1331D468">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5" w:type="dxa"/>
            <w:noWrap w:val="0"/>
            <w:vAlign w:val="top"/>
          </w:tcPr>
          <w:p w14:paraId="4619DBB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1" w:type="dxa"/>
            <w:noWrap w:val="0"/>
            <w:vAlign w:val="top"/>
          </w:tcPr>
          <w:p w14:paraId="0B098DF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801" w:type="dxa"/>
            <w:noWrap w:val="0"/>
            <w:vAlign w:val="top"/>
          </w:tcPr>
          <w:p w14:paraId="35B204AE">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49" w:type="dxa"/>
            <w:noWrap w:val="0"/>
            <w:vAlign w:val="top"/>
          </w:tcPr>
          <w:p w14:paraId="4873C852">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067D6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44E2916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5" w:type="dxa"/>
            <w:noWrap w:val="0"/>
            <w:vAlign w:val="top"/>
          </w:tcPr>
          <w:p w14:paraId="53FDED0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3B533EA2">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80" w:type="dxa"/>
            <w:noWrap w:val="0"/>
            <w:vAlign w:val="top"/>
          </w:tcPr>
          <w:p w14:paraId="29D55C92">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3" w:type="dxa"/>
            <w:noWrap w:val="0"/>
            <w:vAlign w:val="top"/>
          </w:tcPr>
          <w:p w14:paraId="591C88D8">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5" w:type="dxa"/>
            <w:noWrap w:val="0"/>
            <w:vAlign w:val="top"/>
          </w:tcPr>
          <w:p w14:paraId="127539C5">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1" w:type="dxa"/>
            <w:noWrap w:val="0"/>
            <w:vAlign w:val="top"/>
          </w:tcPr>
          <w:p w14:paraId="0EE37E5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801" w:type="dxa"/>
            <w:noWrap w:val="0"/>
            <w:vAlign w:val="top"/>
          </w:tcPr>
          <w:p w14:paraId="1961D051">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49" w:type="dxa"/>
            <w:noWrap w:val="0"/>
            <w:vAlign w:val="top"/>
          </w:tcPr>
          <w:p w14:paraId="0A6DDEB2">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0F6D8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7452003E">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5" w:type="dxa"/>
            <w:noWrap w:val="0"/>
            <w:vAlign w:val="top"/>
          </w:tcPr>
          <w:p w14:paraId="3CECFB85">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52CDD76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80" w:type="dxa"/>
            <w:noWrap w:val="0"/>
            <w:vAlign w:val="top"/>
          </w:tcPr>
          <w:p w14:paraId="61F75E90">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3" w:type="dxa"/>
            <w:noWrap w:val="0"/>
            <w:vAlign w:val="top"/>
          </w:tcPr>
          <w:p w14:paraId="0946481B">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5" w:type="dxa"/>
            <w:noWrap w:val="0"/>
            <w:vAlign w:val="top"/>
          </w:tcPr>
          <w:p w14:paraId="3CCA8EC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1" w:type="dxa"/>
            <w:noWrap w:val="0"/>
            <w:vAlign w:val="top"/>
          </w:tcPr>
          <w:p w14:paraId="4D101D4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801" w:type="dxa"/>
            <w:noWrap w:val="0"/>
            <w:vAlign w:val="top"/>
          </w:tcPr>
          <w:p w14:paraId="07E25D92">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49" w:type="dxa"/>
            <w:noWrap w:val="0"/>
            <w:vAlign w:val="top"/>
          </w:tcPr>
          <w:p w14:paraId="57FB36AE">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57B1C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3563774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5" w:type="dxa"/>
            <w:noWrap w:val="0"/>
            <w:vAlign w:val="top"/>
          </w:tcPr>
          <w:p w14:paraId="7A488D27">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2124A86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80" w:type="dxa"/>
            <w:noWrap w:val="0"/>
            <w:vAlign w:val="top"/>
          </w:tcPr>
          <w:p w14:paraId="7E62A34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3" w:type="dxa"/>
            <w:noWrap w:val="0"/>
            <w:vAlign w:val="top"/>
          </w:tcPr>
          <w:p w14:paraId="2316D5F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5" w:type="dxa"/>
            <w:noWrap w:val="0"/>
            <w:vAlign w:val="top"/>
          </w:tcPr>
          <w:p w14:paraId="7AEA120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1" w:type="dxa"/>
            <w:noWrap w:val="0"/>
            <w:vAlign w:val="top"/>
          </w:tcPr>
          <w:p w14:paraId="7BBE809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801" w:type="dxa"/>
            <w:noWrap w:val="0"/>
            <w:vAlign w:val="top"/>
          </w:tcPr>
          <w:p w14:paraId="5A8C6CA3">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49" w:type="dxa"/>
            <w:noWrap w:val="0"/>
            <w:vAlign w:val="top"/>
          </w:tcPr>
          <w:p w14:paraId="06AE9D5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71AC4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58B7AE2B">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5" w:type="dxa"/>
            <w:noWrap w:val="0"/>
            <w:vAlign w:val="top"/>
          </w:tcPr>
          <w:p w14:paraId="71357AC5">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40AD008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80" w:type="dxa"/>
            <w:noWrap w:val="0"/>
            <w:vAlign w:val="top"/>
          </w:tcPr>
          <w:p w14:paraId="2BC9C16E">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3" w:type="dxa"/>
            <w:noWrap w:val="0"/>
            <w:vAlign w:val="top"/>
          </w:tcPr>
          <w:p w14:paraId="3C343B9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5" w:type="dxa"/>
            <w:noWrap w:val="0"/>
            <w:vAlign w:val="top"/>
          </w:tcPr>
          <w:p w14:paraId="5FD60621">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1" w:type="dxa"/>
            <w:noWrap w:val="0"/>
            <w:vAlign w:val="top"/>
          </w:tcPr>
          <w:p w14:paraId="4F42307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801" w:type="dxa"/>
            <w:noWrap w:val="0"/>
            <w:vAlign w:val="top"/>
          </w:tcPr>
          <w:p w14:paraId="79C3B5F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49" w:type="dxa"/>
            <w:noWrap w:val="0"/>
            <w:vAlign w:val="top"/>
          </w:tcPr>
          <w:p w14:paraId="6E15B26E">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7ECF2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55C08CD5">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5" w:type="dxa"/>
            <w:noWrap w:val="0"/>
            <w:vAlign w:val="top"/>
          </w:tcPr>
          <w:p w14:paraId="2EB32228">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0398ADDE">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80" w:type="dxa"/>
            <w:noWrap w:val="0"/>
            <w:vAlign w:val="top"/>
          </w:tcPr>
          <w:p w14:paraId="7964B538">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3" w:type="dxa"/>
            <w:noWrap w:val="0"/>
            <w:vAlign w:val="top"/>
          </w:tcPr>
          <w:p w14:paraId="3B8F11F7">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5" w:type="dxa"/>
            <w:noWrap w:val="0"/>
            <w:vAlign w:val="top"/>
          </w:tcPr>
          <w:p w14:paraId="6FE7E25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1" w:type="dxa"/>
            <w:noWrap w:val="0"/>
            <w:vAlign w:val="top"/>
          </w:tcPr>
          <w:p w14:paraId="632F927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801" w:type="dxa"/>
            <w:noWrap w:val="0"/>
            <w:vAlign w:val="top"/>
          </w:tcPr>
          <w:p w14:paraId="4BCED120">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49" w:type="dxa"/>
            <w:noWrap w:val="0"/>
            <w:vAlign w:val="top"/>
          </w:tcPr>
          <w:p w14:paraId="08421A38">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40B7F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04C4BB4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5" w:type="dxa"/>
            <w:noWrap w:val="0"/>
            <w:vAlign w:val="top"/>
          </w:tcPr>
          <w:p w14:paraId="6E80F1CB">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4CFAC170">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80" w:type="dxa"/>
            <w:noWrap w:val="0"/>
            <w:vAlign w:val="top"/>
          </w:tcPr>
          <w:p w14:paraId="22E1BB5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3" w:type="dxa"/>
            <w:noWrap w:val="0"/>
            <w:vAlign w:val="top"/>
          </w:tcPr>
          <w:p w14:paraId="6021D43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5" w:type="dxa"/>
            <w:noWrap w:val="0"/>
            <w:vAlign w:val="top"/>
          </w:tcPr>
          <w:p w14:paraId="7CE0C12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1" w:type="dxa"/>
            <w:noWrap w:val="0"/>
            <w:vAlign w:val="top"/>
          </w:tcPr>
          <w:p w14:paraId="5F9DC44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801" w:type="dxa"/>
            <w:noWrap w:val="0"/>
            <w:vAlign w:val="top"/>
          </w:tcPr>
          <w:p w14:paraId="50541D8B">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49" w:type="dxa"/>
            <w:noWrap w:val="0"/>
            <w:vAlign w:val="top"/>
          </w:tcPr>
          <w:p w14:paraId="5574DDC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326F8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79BF6D6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5" w:type="dxa"/>
            <w:noWrap w:val="0"/>
            <w:vAlign w:val="top"/>
          </w:tcPr>
          <w:p w14:paraId="4A1E960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41926DB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80" w:type="dxa"/>
            <w:noWrap w:val="0"/>
            <w:vAlign w:val="top"/>
          </w:tcPr>
          <w:p w14:paraId="2D6C18E2">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3" w:type="dxa"/>
            <w:noWrap w:val="0"/>
            <w:vAlign w:val="top"/>
          </w:tcPr>
          <w:p w14:paraId="3B8DC2EC">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5" w:type="dxa"/>
            <w:noWrap w:val="0"/>
            <w:vAlign w:val="top"/>
          </w:tcPr>
          <w:p w14:paraId="3F15894E">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1" w:type="dxa"/>
            <w:noWrap w:val="0"/>
            <w:vAlign w:val="top"/>
          </w:tcPr>
          <w:p w14:paraId="0B5BBC9B">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801" w:type="dxa"/>
            <w:noWrap w:val="0"/>
            <w:vAlign w:val="top"/>
          </w:tcPr>
          <w:p w14:paraId="33457CAE">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49" w:type="dxa"/>
            <w:noWrap w:val="0"/>
            <w:vAlign w:val="top"/>
          </w:tcPr>
          <w:p w14:paraId="7B333DF0">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29087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30F85A97">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5" w:type="dxa"/>
            <w:noWrap w:val="0"/>
            <w:vAlign w:val="top"/>
          </w:tcPr>
          <w:p w14:paraId="41F7B118">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5A919A3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80" w:type="dxa"/>
            <w:noWrap w:val="0"/>
            <w:vAlign w:val="top"/>
          </w:tcPr>
          <w:p w14:paraId="59702618">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3" w:type="dxa"/>
            <w:noWrap w:val="0"/>
            <w:vAlign w:val="top"/>
          </w:tcPr>
          <w:p w14:paraId="338BF10B">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5" w:type="dxa"/>
            <w:noWrap w:val="0"/>
            <w:vAlign w:val="top"/>
          </w:tcPr>
          <w:p w14:paraId="7616B0A8">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1" w:type="dxa"/>
            <w:noWrap w:val="0"/>
            <w:vAlign w:val="top"/>
          </w:tcPr>
          <w:p w14:paraId="1507F0C3">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801" w:type="dxa"/>
            <w:noWrap w:val="0"/>
            <w:vAlign w:val="top"/>
          </w:tcPr>
          <w:p w14:paraId="76D9CB1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49" w:type="dxa"/>
            <w:noWrap w:val="0"/>
            <w:vAlign w:val="top"/>
          </w:tcPr>
          <w:p w14:paraId="49574714">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2FC6C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4A9F709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5" w:type="dxa"/>
            <w:noWrap w:val="0"/>
            <w:vAlign w:val="top"/>
          </w:tcPr>
          <w:p w14:paraId="1BB4AA13">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5C7370AB">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80" w:type="dxa"/>
            <w:noWrap w:val="0"/>
            <w:vAlign w:val="top"/>
          </w:tcPr>
          <w:p w14:paraId="546CF575">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3" w:type="dxa"/>
            <w:noWrap w:val="0"/>
            <w:vAlign w:val="top"/>
          </w:tcPr>
          <w:p w14:paraId="555B9851">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5" w:type="dxa"/>
            <w:noWrap w:val="0"/>
            <w:vAlign w:val="top"/>
          </w:tcPr>
          <w:p w14:paraId="5815F8B5">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1" w:type="dxa"/>
            <w:noWrap w:val="0"/>
            <w:vAlign w:val="top"/>
          </w:tcPr>
          <w:p w14:paraId="41F1E49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801" w:type="dxa"/>
            <w:noWrap w:val="0"/>
            <w:vAlign w:val="top"/>
          </w:tcPr>
          <w:p w14:paraId="057DC5F5">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49" w:type="dxa"/>
            <w:noWrap w:val="0"/>
            <w:vAlign w:val="top"/>
          </w:tcPr>
          <w:p w14:paraId="016E364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02349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412C2C1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5" w:type="dxa"/>
            <w:noWrap w:val="0"/>
            <w:vAlign w:val="top"/>
          </w:tcPr>
          <w:p w14:paraId="2315E41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75286E6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80" w:type="dxa"/>
            <w:noWrap w:val="0"/>
            <w:vAlign w:val="top"/>
          </w:tcPr>
          <w:p w14:paraId="281D6B8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3" w:type="dxa"/>
            <w:noWrap w:val="0"/>
            <w:vAlign w:val="top"/>
          </w:tcPr>
          <w:p w14:paraId="14FB235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5" w:type="dxa"/>
            <w:noWrap w:val="0"/>
            <w:vAlign w:val="top"/>
          </w:tcPr>
          <w:p w14:paraId="1F359885">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1" w:type="dxa"/>
            <w:noWrap w:val="0"/>
            <w:vAlign w:val="top"/>
          </w:tcPr>
          <w:p w14:paraId="414DB2FB">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801" w:type="dxa"/>
            <w:noWrap w:val="0"/>
            <w:vAlign w:val="top"/>
          </w:tcPr>
          <w:p w14:paraId="30E65441">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49" w:type="dxa"/>
            <w:noWrap w:val="0"/>
            <w:vAlign w:val="top"/>
          </w:tcPr>
          <w:p w14:paraId="10B5C1CC">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50226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6BD54E81">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5" w:type="dxa"/>
            <w:noWrap w:val="0"/>
            <w:vAlign w:val="top"/>
          </w:tcPr>
          <w:p w14:paraId="31198A1E">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5F40D040">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80" w:type="dxa"/>
            <w:noWrap w:val="0"/>
            <w:vAlign w:val="top"/>
          </w:tcPr>
          <w:p w14:paraId="3974CA51">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3" w:type="dxa"/>
            <w:noWrap w:val="0"/>
            <w:vAlign w:val="top"/>
          </w:tcPr>
          <w:p w14:paraId="4E94145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5" w:type="dxa"/>
            <w:noWrap w:val="0"/>
            <w:vAlign w:val="top"/>
          </w:tcPr>
          <w:p w14:paraId="31D6DC9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1" w:type="dxa"/>
            <w:noWrap w:val="0"/>
            <w:vAlign w:val="top"/>
          </w:tcPr>
          <w:p w14:paraId="702904E3">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801" w:type="dxa"/>
            <w:noWrap w:val="0"/>
            <w:vAlign w:val="top"/>
          </w:tcPr>
          <w:p w14:paraId="6E627E5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49" w:type="dxa"/>
            <w:noWrap w:val="0"/>
            <w:vAlign w:val="top"/>
          </w:tcPr>
          <w:p w14:paraId="15E25E4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76339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4C63877A">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5" w:type="dxa"/>
            <w:noWrap w:val="0"/>
            <w:vAlign w:val="top"/>
          </w:tcPr>
          <w:p w14:paraId="11D1C463">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6AFCB7B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80" w:type="dxa"/>
            <w:noWrap w:val="0"/>
            <w:vAlign w:val="top"/>
          </w:tcPr>
          <w:p w14:paraId="7B8612C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3" w:type="dxa"/>
            <w:noWrap w:val="0"/>
            <w:vAlign w:val="top"/>
          </w:tcPr>
          <w:p w14:paraId="49EF35F7">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5" w:type="dxa"/>
            <w:noWrap w:val="0"/>
            <w:vAlign w:val="top"/>
          </w:tcPr>
          <w:p w14:paraId="3C7F426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1" w:type="dxa"/>
            <w:noWrap w:val="0"/>
            <w:vAlign w:val="top"/>
          </w:tcPr>
          <w:p w14:paraId="5E50C6E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801" w:type="dxa"/>
            <w:noWrap w:val="0"/>
            <w:vAlign w:val="top"/>
          </w:tcPr>
          <w:p w14:paraId="5DE00010">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49" w:type="dxa"/>
            <w:noWrap w:val="0"/>
            <w:vAlign w:val="top"/>
          </w:tcPr>
          <w:p w14:paraId="3BE19F98">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481D4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1ECFF871">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5" w:type="dxa"/>
            <w:noWrap w:val="0"/>
            <w:vAlign w:val="top"/>
          </w:tcPr>
          <w:p w14:paraId="7277D2F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26014E18">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80" w:type="dxa"/>
            <w:noWrap w:val="0"/>
            <w:vAlign w:val="top"/>
          </w:tcPr>
          <w:p w14:paraId="05A390DB">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3" w:type="dxa"/>
            <w:noWrap w:val="0"/>
            <w:vAlign w:val="top"/>
          </w:tcPr>
          <w:p w14:paraId="66155A14">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5" w:type="dxa"/>
            <w:noWrap w:val="0"/>
            <w:vAlign w:val="top"/>
          </w:tcPr>
          <w:p w14:paraId="3099BEE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1" w:type="dxa"/>
            <w:noWrap w:val="0"/>
            <w:vAlign w:val="top"/>
          </w:tcPr>
          <w:p w14:paraId="61F18813">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801" w:type="dxa"/>
            <w:noWrap w:val="0"/>
            <w:vAlign w:val="top"/>
          </w:tcPr>
          <w:p w14:paraId="4D422F1B">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49" w:type="dxa"/>
            <w:noWrap w:val="0"/>
            <w:vAlign w:val="top"/>
          </w:tcPr>
          <w:p w14:paraId="58EBA9F2">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r w14:paraId="27EFB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2C4D4CF1">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185" w:type="dxa"/>
            <w:noWrap w:val="0"/>
            <w:vAlign w:val="top"/>
          </w:tcPr>
          <w:p w14:paraId="3C96893D">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29" w:type="dxa"/>
            <w:noWrap w:val="0"/>
            <w:vAlign w:val="top"/>
          </w:tcPr>
          <w:p w14:paraId="6BE0CD7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080" w:type="dxa"/>
            <w:noWrap w:val="0"/>
            <w:vAlign w:val="top"/>
          </w:tcPr>
          <w:p w14:paraId="68D4EC96">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33" w:type="dxa"/>
            <w:noWrap w:val="0"/>
            <w:vAlign w:val="top"/>
          </w:tcPr>
          <w:p w14:paraId="388A7D72">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805" w:type="dxa"/>
            <w:noWrap w:val="0"/>
            <w:vAlign w:val="top"/>
          </w:tcPr>
          <w:p w14:paraId="579B3299">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321" w:type="dxa"/>
            <w:noWrap w:val="0"/>
            <w:vAlign w:val="top"/>
          </w:tcPr>
          <w:p w14:paraId="2046991C">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1801" w:type="dxa"/>
            <w:noWrap w:val="0"/>
            <w:vAlign w:val="top"/>
          </w:tcPr>
          <w:p w14:paraId="104A1013">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c>
          <w:tcPr>
            <w:tcW w:w="749" w:type="dxa"/>
            <w:noWrap w:val="0"/>
            <w:vAlign w:val="top"/>
          </w:tcPr>
          <w:p w14:paraId="70B707EF">
            <w:pPr>
              <w:keepNext w:val="0"/>
              <w:keepLines w:val="0"/>
              <w:suppressLineNumbers w:val="0"/>
              <w:spacing w:before="0" w:beforeAutospacing="0" w:after="0" w:afterAutospacing="0" w:line="380" w:lineRule="atLeast"/>
              <w:ind w:left="0" w:right="0"/>
              <w:rPr>
                <w:rFonts w:ascii="Calibri" w:hAnsi="Calibri" w:eastAsia="宋体" w:cs="Times New Roman"/>
                <w:color w:val="auto"/>
              </w:rPr>
            </w:pPr>
          </w:p>
        </w:tc>
      </w:tr>
    </w:tbl>
    <w:p w14:paraId="248DAAF3">
      <w:pPr>
        <w:jc w:val="left"/>
        <w:rPr>
          <w:rFonts w:hint="eastAsia"/>
          <w:color w:val="auto"/>
        </w:rPr>
      </w:pPr>
      <w:r>
        <w:rPr>
          <w:rFonts w:eastAsia="黑体"/>
          <w:color w:val="auto"/>
          <w:sz w:val="20"/>
          <w:szCs w:val="20"/>
        </w:rPr>
        <w:br w:type="page"/>
      </w:r>
      <w:bookmarkStart w:id="2457" w:name="_Toc456173553"/>
      <w:bookmarkStart w:id="2458" w:name="_Toc519085658"/>
      <w:bookmarkStart w:id="2459" w:name="_Toc168475926"/>
      <w:bookmarkStart w:id="2460" w:name="_Toc168476329"/>
      <w:bookmarkStart w:id="2461" w:name="_Toc221952101"/>
      <w:bookmarkStart w:id="2462" w:name="_Toc144974867"/>
      <w:r>
        <w:rPr>
          <w:color w:val="auto"/>
        </w:rPr>
        <w:t>附表三：</w:t>
      </w:r>
      <w:r>
        <w:rPr>
          <w:rFonts w:hint="eastAsia"/>
          <w:color w:val="auto"/>
        </w:rPr>
        <w:t>拟投入本项目的劳动力计划表</w:t>
      </w:r>
      <w:bookmarkEnd w:id="2457"/>
      <w:bookmarkEnd w:id="2458"/>
    </w:p>
    <w:bookmarkEnd w:id="2459"/>
    <w:bookmarkEnd w:id="2460"/>
    <w:bookmarkEnd w:id="2461"/>
    <w:bookmarkEnd w:id="2462"/>
    <w:p w14:paraId="78B4F1B7">
      <w:pPr>
        <w:spacing w:line="440" w:lineRule="exact"/>
        <w:ind w:right="200"/>
        <w:jc w:val="right"/>
        <w:rPr>
          <w:rFonts w:eastAsia="黑体"/>
          <w:color w:val="auto"/>
          <w:szCs w:val="21"/>
        </w:rPr>
      </w:pPr>
      <w:bookmarkStart w:id="2463" w:name="_Toc221952102"/>
      <w:r>
        <w:rPr>
          <w:rFonts w:eastAsia="黑体"/>
          <w:color w:val="auto"/>
          <w:szCs w:val="21"/>
        </w:rPr>
        <w:t>单位：人</w:t>
      </w:r>
      <w:bookmarkEnd w:id="2463"/>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1420"/>
        <w:gridCol w:w="1161"/>
        <w:gridCol w:w="1161"/>
        <w:gridCol w:w="1161"/>
        <w:gridCol w:w="1161"/>
        <w:gridCol w:w="1161"/>
        <w:gridCol w:w="1159"/>
      </w:tblGrid>
      <w:tr w14:paraId="4F4FF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center"/>
          </w:tcPr>
          <w:p w14:paraId="0D319E9D">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64" w:name="_Toc221952103"/>
            <w:r>
              <w:rPr>
                <w:rFonts w:ascii="Calibri" w:hAnsi="Calibri" w:eastAsia="宋体" w:cs="Times New Roman"/>
                <w:color w:val="auto"/>
              </w:rPr>
              <w:t>工种</w:t>
            </w:r>
            <w:bookmarkEnd w:id="2464"/>
          </w:p>
        </w:tc>
        <w:tc>
          <w:tcPr>
            <w:tcW w:w="8384" w:type="dxa"/>
            <w:gridSpan w:val="7"/>
            <w:noWrap w:val="0"/>
            <w:vAlign w:val="center"/>
          </w:tcPr>
          <w:p w14:paraId="1C00A6BE">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65" w:name="_Toc221952104"/>
            <w:r>
              <w:rPr>
                <w:rFonts w:ascii="Calibri" w:hAnsi="Calibri" w:eastAsia="宋体" w:cs="Times New Roman"/>
                <w:color w:val="auto"/>
              </w:rPr>
              <w:t>按工程阶段投入劳动力情况</w:t>
            </w:r>
            <w:bookmarkEnd w:id="2465"/>
          </w:p>
        </w:tc>
      </w:tr>
      <w:tr w14:paraId="46606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center"/>
          </w:tcPr>
          <w:p w14:paraId="5367DB2C">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420" w:type="dxa"/>
            <w:noWrap w:val="0"/>
            <w:vAlign w:val="center"/>
          </w:tcPr>
          <w:p w14:paraId="663C9E95">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center"/>
          </w:tcPr>
          <w:p w14:paraId="3F5E9BD6">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center"/>
          </w:tcPr>
          <w:p w14:paraId="20B9990C">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center"/>
          </w:tcPr>
          <w:p w14:paraId="2661DF81">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center"/>
          </w:tcPr>
          <w:p w14:paraId="50557B27">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center"/>
          </w:tcPr>
          <w:p w14:paraId="00726C7C">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59" w:type="dxa"/>
            <w:noWrap w:val="0"/>
            <w:vAlign w:val="center"/>
          </w:tcPr>
          <w:p w14:paraId="79BDD54E">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07EAB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center"/>
          </w:tcPr>
          <w:p w14:paraId="0CD8B0A3">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420" w:type="dxa"/>
            <w:noWrap w:val="0"/>
            <w:vAlign w:val="center"/>
          </w:tcPr>
          <w:p w14:paraId="47DC42C2">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center"/>
          </w:tcPr>
          <w:p w14:paraId="410B133F">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center"/>
          </w:tcPr>
          <w:p w14:paraId="7789B1B4">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center"/>
          </w:tcPr>
          <w:p w14:paraId="5AE50C71">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center"/>
          </w:tcPr>
          <w:p w14:paraId="7FE5A17A">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center"/>
          </w:tcPr>
          <w:p w14:paraId="5F7E6359">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59" w:type="dxa"/>
            <w:noWrap w:val="0"/>
            <w:vAlign w:val="center"/>
          </w:tcPr>
          <w:p w14:paraId="761A4B59">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4CE7B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781C83E9">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420" w:type="dxa"/>
            <w:noWrap w:val="0"/>
            <w:vAlign w:val="top"/>
          </w:tcPr>
          <w:p w14:paraId="0FD1AD33">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47366465">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558ADD2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5485570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506E157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7264383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59" w:type="dxa"/>
            <w:noWrap w:val="0"/>
            <w:vAlign w:val="top"/>
          </w:tcPr>
          <w:p w14:paraId="667139F7">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4936B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E4912AE">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420" w:type="dxa"/>
            <w:noWrap w:val="0"/>
            <w:vAlign w:val="top"/>
          </w:tcPr>
          <w:p w14:paraId="26CBA862">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6C0FDBDF">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3D2020CE">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7C912ADE">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5AB4EC19">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445B0E59">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59" w:type="dxa"/>
            <w:noWrap w:val="0"/>
            <w:vAlign w:val="top"/>
          </w:tcPr>
          <w:p w14:paraId="6F1E4D73">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6D2CE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28BC2ED5">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420" w:type="dxa"/>
            <w:noWrap w:val="0"/>
            <w:vAlign w:val="top"/>
          </w:tcPr>
          <w:p w14:paraId="231D88CC">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5389B7E8">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2C3F11F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42D243CA">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69F56F85">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59C71722">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59" w:type="dxa"/>
            <w:noWrap w:val="0"/>
            <w:vAlign w:val="top"/>
          </w:tcPr>
          <w:p w14:paraId="25B2D22D">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7E0A3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84EB34D">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420" w:type="dxa"/>
            <w:noWrap w:val="0"/>
            <w:vAlign w:val="top"/>
          </w:tcPr>
          <w:p w14:paraId="531C6572">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577B8FC7">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63FA6DD6">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72840711">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08ACDB1C">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7C32E763">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59" w:type="dxa"/>
            <w:noWrap w:val="0"/>
            <w:vAlign w:val="top"/>
          </w:tcPr>
          <w:p w14:paraId="48CCA831">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14E3C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74273604">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420" w:type="dxa"/>
            <w:noWrap w:val="0"/>
            <w:vAlign w:val="top"/>
          </w:tcPr>
          <w:p w14:paraId="1615FD1E">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19F1EE6F">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6A9B864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56009096">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29AB5DF1">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11FF067F">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59" w:type="dxa"/>
            <w:noWrap w:val="0"/>
            <w:vAlign w:val="top"/>
          </w:tcPr>
          <w:p w14:paraId="548255BC">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77749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2CC82812">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420" w:type="dxa"/>
            <w:noWrap w:val="0"/>
            <w:vAlign w:val="top"/>
          </w:tcPr>
          <w:p w14:paraId="3CCBFBB2">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51825038">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11A951CE">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544E2313">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1B9A897C">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6A56969C">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59" w:type="dxa"/>
            <w:noWrap w:val="0"/>
            <w:vAlign w:val="top"/>
          </w:tcPr>
          <w:p w14:paraId="2B389BC4">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0EFCD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3B1D94F">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420" w:type="dxa"/>
            <w:noWrap w:val="0"/>
            <w:vAlign w:val="top"/>
          </w:tcPr>
          <w:p w14:paraId="654AAC9D">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17030343">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426A70DC">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0EABFEB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4217760F">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5FC5055C">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59" w:type="dxa"/>
            <w:noWrap w:val="0"/>
            <w:vAlign w:val="top"/>
          </w:tcPr>
          <w:p w14:paraId="04EDD53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453D2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A0171A8">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420" w:type="dxa"/>
            <w:noWrap w:val="0"/>
            <w:vAlign w:val="top"/>
          </w:tcPr>
          <w:p w14:paraId="6418520A">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7107C3D3">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01D7AC97">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3F30D6FD">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10D67A74">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2DBD055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59" w:type="dxa"/>
            <w:noWrap w:val="0"/>
            <w:vAlign w:val="top"/>
          </w:tcPr>
          <w:p w14:paraId="6B6A903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4A4DC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74C8177">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420" w:type="dxa"/>
            <w:noWrap w:val="0"/>
            <w:vAlign w:val="top"/>
          </w:tcPr>
          <w:p w14:paraId="3E2A302D">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6A09891D">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3FE0A81B">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54CC0798">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2D7A35A9">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133A60C1">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59" w:type="dxa"/>
            <w:noWrap w:val="0"/>
            <w:vAlign w:val="top"/>
          </w:tcPr>
          <w:p w14:paraId="060BB98F">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6EB3C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251C1E56">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420" w:type="dxa"/>
            <w:noWrap w:val="0"/>
            <w:vAlign w:val="top"/>
          </w:tcPr>
          <w:p w14:paraId="07F3CF3A">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4FE65F8E">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37AE634D">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31BE13E7">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56E7828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31802806">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59" w:type="dxa"/>
            <w:noWrap w:val="0"/>
            <w:vAlign w:val="top"/>
          </w:tcPr>
          <w:p w14:paraId="5FCB831B">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3A8E2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298CEBBB">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420" w:type="dxa"/>
            <w:noWrap w:val="0"/>
            <w:vAlign w:val="top"/>
          </w:tcPr>
          <w:p w14:paraId="5091D971">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5DB0873A">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438533DE">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04B1B7DD">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37E25CFF">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7C30B494">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59" w:type="dxa"/>
            <w:noWrap w:val="0"/>
            <w:vAlign w:val="top"/>
          </w:tcPr>
          <w:p w14:paraId="15600363">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46D57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EE00737">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420" w:type="dxa"/>
            <w:noWrap w:val="0"/>
            <w:vAlign w:val="top"/>
          </w:tcPr>
          <w:p w14:paraId="33E60296">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4B74E198">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23C83D8C">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641A4CD4">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049E810D">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0654F822">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59" w:type="dxa"/>
            <w:noWrap w:val="0"/>
            <w:vAlign w:val="top"/>
          </w:tcPr>
          <w:p w14:paraId="5AB14C9F">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22DEB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5968EC67">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420" w:type="dxa"/>
            <w:noWrap w:val="0"/>
            <w:vAlign w:val="top"/>
          </w:tcPr>
          <w:p w14:paraId="78AD22CF">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2236B3D9">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79950F96">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76557A61">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628C1A56">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775EF585">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59" w:type="dxa"/>
            <w:noWrap w:val="0"/>
            <w:vAlign w:val="top"/>
          </w:tcPr>
          <w:p w14:paraId="710B8499">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52893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5EFE4E3C">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420" w:type="dxa"/>
            <w:noWrap w:val="0"/>
            <w:vAlign w:val="top"/>
          </w:tcPr>
          <w:p w14:paraId="5A935E6E">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386FD8B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5A7E5AD1">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2EBB86AB">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5A14C688">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0F2E30B3">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59" w:type="dxa"/>
            <w:noWrap w:val="0"/>
            <w:vAlign w:val="top"/>
          </w:tcPr>
          <w:p w14:paraId="59840796">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167C4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00C446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420" w:type="dxa"/>
            <w:noWrap w:val="0"/>
            <w:vAlign w:val="top"/>
          </w:tcPr>
          <w:p w14:paraId="7BE5A7DB">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75BAF63E">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78E76688">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220A3C5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473BCE27">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55B553EC">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59" w:type="dxa"/>
            <w:noWrap w:val="0"/>
            <w:vAlign w:val="top"/>
          </w:tcPr>
          <w:p w14:paraId="241FE071">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18BFB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586250AB">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420" w:type="dxa"/>
            <w:noWrap w:val="0"/>
            <w:vAlign w:val="top"/>
          </w:tcPr>
          <w:p w14:paraId="27B5D84B">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0002530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5D679982">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18A7D8B1">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1F145C23">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08116FF2">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59" w:type="dxa"/>
            <w:noWrap w:val="0"/>
            <w:vAlign w:val="top"/>
          </w:tcPr>
          <w:p w14:paraId="7DC6997B">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0EEEF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7B9D5159">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420" w:type="dxa"/>
            <w:noWrap w:val="0"/>
            <w:vAlign w:val="top"/>
          </w:tcPr>
          <w:p w14:paraId="14002FFB">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275AEE9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38FE743A">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72B5E7AC">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3D728559">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57F1E16F">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59" w:type="dxa"/>
            <w:noWrap w:val="0"/>
            <w:vAlign w:val="top"/>
          </w:tcPr>
          <w:p w14:paraId="2710F846">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334D5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4B371E9A">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420" w:type="dxa"/>
            <w:noWrap w:val="0"/>
            <w:vAlign w:val="top"/>
          </w:tcPr>
          <w:p w14:paraId="348619A3">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382E3AE2">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4FE0BD98">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7B552DD4">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5FC51A65">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02208FD9">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59" w:type="dxa"/>
            <w:noWrap w:val="0"/>
            <w:vAlign w:val="top"/>
          </w:tcPr>
          <w:p w14:paraId="0247C6F7">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4BE98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E56DB3C">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420" w:type="dxa"/>
            <w:noWrap w:val="0"/>
            <w:vAlign w:val="top"/>
          </w:tcPr>
          <w:p w14:paraId="5B9F500A">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7EED2543">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53BE62DB">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77E45E4A">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636DBBB7">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3482A715">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59" w:type="dxa"/>
            <w:noWrap w:val="0"/>
            <w:vAlign w:val="top"/>
          </w:tcPr>
          <w:p w14:paraId="5789AE3A">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24687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221EF657">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420" w:type="dxa"/>
            <w:noWrap w:val="0"/>
            <w:vAlign w:val="top"/>
          </w:tcPr>
          <w:p w14:paraId="028D33BF">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567B17EB">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4593FD1A">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78BB0E1B">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2B2D678E">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48DC9343">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59" w:type="dxa"/>
            <w:noWrap w:val="0"/>
            <w:vAlign w:val="top"/>
          </w:tcPr>
          <w:p w14:paraId="62437473">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6F670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39F4E38">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420" w:type="dxa"/>
            <w:noWrap w:val="0"/>
            <w:vAlign w:val="top"/>
          </w:tcPr>
          <w:p w14:paraId="69AA5082">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3478E3A1">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733BBAB1">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42DD12C6">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58D558CF">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270760C5">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59" w:type="dxa"/>
            <w:noWrap w:val="0"/>
            <w:vAlign w:val="top"/>
          </w:tcPr>
          <w:p w14:paraId="40E55775">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3922E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B61D1BF">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420" w:type="dxa"/>
            <w:noWrap w:val="0"/>
            <w:vAlign w:val="top"/>
          </w:tcPr>
          <w:p w14:paraId="706AE1F4">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0759F2ED">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2A7BE634">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57497A75">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7548B592">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5725A499">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59" w:type="dxa"/>
            <w:noWrap w:val="0"/>
            <w:vAlign w:val="top"/>
          </w:tcPr>
          <w:p w14:paraId="1828EE92">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23C21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DE23FF7">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420" w:type="dxa"/>
            <w:noWrap w:val="0"/>
            <w:vAlign w:val="top"/>
          </w:tcPr>
          <w:p w14:paraId="010BA9F6">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48CC6DDE">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04BCE57D">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406EC64E">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16957904">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61" w:type="dxa"/>
            <w:noWrap w:val="0"/>
            <w:vAlign w:val="top"/>
          </w:tcPr>
          <w:p w14:paraId="0639F527">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1159" w:type="dxa"/>
            <w:noWrap w:val="0"/>
            <w:vAlign w:val="top"/>
          </w:tcPr>
          <w:p w14:paraId="1A7685B4">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bl>
    <w:p w14:paraId="26853875">
      <w:pPr>
        <w:spacing w:line="440" w:lineRule="exact"/>
        <w:rPr>
          <w:rFonts w:eastAsia="黑体"/>
          <w:color w:val="auto"/>
          <w:sz w:val="20"/>
          <w:szCs w:val="20"/>
        </w:rPr>
      </w:pPr>
    </w:p>
    <w:p w14:paraId="1D5AD3E1">
      <w:pPr>
        <w:spacing w:line="440" w:lineRule="exact"/>
        <w:rPr>
          <w:rFonts w:eastAsia="黑体"/>
          <w:color w:val="auto"/>
          <w:sz w:val="20"/>
          <w:szCs w:val="20"/>
        </w:rPr>
      </w:pPr>
    </w:p>
    <w:p w14:paraId="1CC49FC5">
      <w:pPr>
        <w:spacing w:line="380" w:lineRule="atLeast"/>
        <w:jc w:val="center"/>
        <w:rPr>
          <w:rFonts w:hint="eastAsia"/>
          <w:color w:val="auto"/>
        </w:rPr>
      </w:pPr>
    </w:p>
    <w:p w14:paraId="142E49CB">
      <w:pPr>
        <w:spacing w:line="380" w:lineRule="atLeast"/>
        <w:jc w:val="center"/>
        <w:rPr>
          <w:rFonts w:hint="eastAsia"/>
          <w:color w:val="auto"/>
        </w:rPr>
      </w:pPr>
    </w:p>
    <w:p w14:paraId="2B171FB8">
      <w:pPr>
        <w:spacing w:line="380" w:lineRule="atLeast"/>
        <w:jc w:val="center"/>
        <w:rPr>
          <w:rFonts w:hint="eastAsia"/>
          <w:color w:val="auto"/>
        </w:rPr>
      </w:pPr>
    </w:p>
    <w:p w14:paraId="7760F6DF">
      <w:pPr>
        <w:spacing w:line="380" w:lineRule="atLeast"/>
        <w:jc w:val="center"/>
        <w:rPr>
          <w:rFonts w:hint="eastAsia"/>
          <w:color w:val="auto"/>
        </w:rPr>
      </w:pPr>
    </w:p>
    <w:p w14:paraId="16BA191F">
      <w:pPr>
        <w:spacing w:line="380" w:lineRule="atLeast"/>
        <w:jc w:val="center"/>
        <w:rPr>
          <w:rFonts w:hint="eastAsia"/>
          <w:color w:val="auto"/>
        </w:rPr>
      </w:pPr>
    </w:p>
    <w:p w14:paraId="1B7A72A8">
      <w:pPr>
        <w:rPr>
          <w:rFonts w:hint="eastAsia"/>
          <w:color w:val="auto"/>
        </w:rPr>
      </w:pPr>
      <w:bookmarkStart w:id="2466" w:name="_Toc519085659"/>
      <w:bookmarkStart w:id="2467" w:name="_Toc144974868"/>
      <w:bookmarkStart w:id="2468" w:name="_Toc168476330"/>
      <w:bookmarkStart w:id="2469" w:name="_Toc221952105"/>
      <w:bookmarkStart w:id="2470" w:name="_Toc168475927"/>
      <w:bookmarkStart w:id="2471" w:name="_Toc456173554"/>
      <w:r>
        <w:rPr>
          <w:color w:val="auto"/>
        </w:rPr>
        <w:t>附表四：计划开</w:t>
      </w:r>
      <w:r>
        <w:rPr>
          <w:rFonts w:hint="eastAsia"/>
          <w:color w:val="auto"/>
        </w:rPr>
        <w:t>工日期</w:t>
      </w:r>
      <w:r>
        <w:rPr>
          <w:color w:val="auto"/>
        </w:rPr>
        <w:t>、</w:t>
      </w:r>
      <w:r>
        <w:rPr>
          <w:rFonts w:hint="eastAsia"/>
          <w:color w:val="auto"/>
        </w:rPr>
        <w:t>完工</w:t>
      </w:r>
      <w:r>
        <w:rPr>
          <w:color w:val="auto"/>
        </w:rPr>
        <w:t>日期和施工进度网络图</w:t>
      </w:r>
      <w:bookmarkEnd w:id="2466"/>
      <w:bookmarkEnd w:id="2467"/>
      <w:bookmarkEnd w:id="2468"/>
      <w:bookmarkEnd w:id="2469"/>
      <w:bookmarkEnd w:id="2470"/>
      <w:bookmarkEnd w:id="2471"/>
    </w:p>
    <w:p w14:paraId="64B339F0">
      <w:pPr>
        <w:ind w:firstLine="420" w:firstLineChars="200"/>
        <w:outlineLvl w:val="0"/>
        <w:rPr>
          <w:color w:val="auto"/>
        </w:rPr>
      </w:pPr>
      <w:bookmarkStart w:id="2472" w:name="_Toc221952106"/>
      <w:bookmarkStart w:id="2473" w:name="_Toc21003"/>
      <w:bookmarkStart w:id="2474" w:name="_Toc78047127"/>
      <w:bookmarkStart w:id="2475" w:name="_Toc3981237"/>
      <w:bookmarkStart w:id="2476" w:name="_Toc3980789"/>
      <w:bookmarkStart w:id="2477" w:name="_Toc154064085"/>
      <w:r>
        <w:rPr>
          <w:color w:val="auto"/>
        </w:rPr>
        <w:t>1. 投标人应递交</w:t>
      </w:r>
      <w:r>
        <w:rPr>
          <w:rFonts w:hint="eastAsia"/>
          <w:color w:val="auto"/>
        </w:rPr>
        <w:t>设计、</w:t>
      </w:r>
      <w:r>
        <w:rPr>
          <w:color w:val="auto"/>
        </w:rPr>
        <w:t>施工进度网络图或施工进度表，说明按招标文件要求的计划工期进行施工的各个关键日期。</w:t>
      </w:r>
      <w:bookmarkEnd w:id="2472"/>
      <w:bookmarkEnd w:id="2473"/>
      <w:bookmarkEnd w:id="2474"/>
      <w:bookmarkEnd w:id="2475"/>
      <w:bookmarkEnd w:id="2476"/>
      <w:bookmarkEnd w:id="2477"/>
    </w:p>
    <w:p w14:paraId="55569571">
      <w:pPr>
        <w:spacing w:line="440" w:lineRule="exact"/>
        <w:ind w:firstLine="420" w:firstLineChars="200"/>
        <w:rPr>
          <w:color w:val="auto"/>
          <w:szCs w:val="21"/>
        </w:rPr>
      </w:pPr>
      <w:bookmarkStart w:id="2478" w:name="_Toc221952107"/>
      <w:r>
        <w:rPr>
          <w:color w:val="auto"/>
          <w:szCs w:val="21"/>
        </w:rPr>
        <w:t>2. 施工进度表可采用</w:t>
      </w:r>
      <w:r>
        <w:rPr>
          <w:rFonts w:hint="eastAsia"/>
          <w:color w:val="auto"/>
          <w:szCs w:val="21"/>
          <w:u w:val="single"/>
        </w:rPr>
        <w:t xml:space="preserve">                               </w:t>
      </w:r>
      <w:r>
        <w:rPr>
          <w:color w:val="auto"/>
          <w:szCs w:val="21"/>
        </w:rPr>
        <w:t>网络图（或横道图）表示。</w:t>
      </w:r>
      <w:bookmarkEnd w:id="2478"/>
    </w:p>
    <w:p w14:paraId="3FE3D1B2">
      <w:pPr>
        <w:spacing w:line="440" w:lineRule="exact"/>
        <w:rPr>
          <w:color w:val="auto"/>
          <w:sz w:val="20"/>
          <w:szCs w:val="20"/>
        </w:rPr>
      </w:pPr>
    </w:p>
    <w:p w14:paraId="5E141222">
      <w:pPr>
        <w:spacing w:line="440" w:lineRule="exact"/>
        <w:rPr>
          <w:rFonts w:eastAsia="黑体"/>
          <w:color w:val="auto"/>
          <w:sz w:val="20"/>
          <w:szCs w:val="20"/>
        </w:rPr>
      </w:pPr>
    </w:p>
    <w:p w14:paraId="5A7AC36D">
      <w:pPr>
        <w:spacing w:line="440" w:lineRule="exact"/>
        <w:rPr>
          <w:rFonts w:hint="eastAsia" w:eastAsia="黑体"/>
          <w:color w:val="auto"/>
          <w:sz w:val="20"/>
          <w:szCs w:val="20"/>
        </w:rPr>
      </w:pPr>
    </w:p>
    <w:p w14:paraId="5A0B2219">
      <w:pPr>
        <w:spacing w:line="440" w:lineRule="exact"/>
        <w:rPr>
          <w:rFonts w:hint="eastAsia" w:eastAsia="黑体"/>
          <w:color w:val="auto"/>
          <w:sz w:val="20"/>
          <w:szCs w:val="20"/>
        </w:rPr>
      </w:pPr>
    </w:p>
    <w:p w14:paraId="27C98CDF">
      <w:pPr>
        <w:spacing w:line="440" w:lineRule="exact"/>
        <w:rPr>
          <w:rFonts w:hint="eastAsia" w:eastAsia="黑体"/>
          <w:color w:val="auto"/>
          <w:sz w:val="20"/>
          <w:szCs w:val="20"/>
        </w:rPr>
      </w:pPr>
    </w:p>
    <w:p w14:paraId="3C882E27">
      <w:pPr>
        <w:spacing w:line="440" w:lineRule="exact"/>
        <w:rPr>
          <w:rFonts w:hint="eastAsia" w:eastAsia="黑体"/>
          <w:color w:val="auto"/>
          <w:sz w:val="20"/>
          <w:szCs w:val="20"/>
        </w:rPr>
      </w:pPr>
    </w:p>
    <w:p w14:paraId="6C79474D">
      <w:pPr>
        <w:spacing w:line="440" w:lineRule="exact"/>
        <w:rPr>
          <w:rFonts w:hint="eastAsia" w:eastAsia="黑体"/>
          <w:color w:val="auto"/>
          <w:sz w:val="20"/>
          <w:szCs w:val="20"/>
        </w:rPr>
      </w:pPr>
    </w:p>
    <w:p w14:paraId="3F806F42">
      <w:pPr>
        <w:spacing w:line="440" w:lineRule="exact"/>
        <w:rPr>
          <w:rFonts w:hint="eastAsia" w:eastAsia="黑体"/>
          <w:color w:val="auto"/>
          <w:sz w:val="20"/>
          <w:szCs w:val="20"/>
        </w:rPr>
      </w:pPr>
    </w:p>
    <w:p w14:paraId="19C9A5F2">
      <w:pPr>
        <w:spacing w:line="440" w:lineRule="exact"/>
        <w:rPr>
          <w:rFonts w:hint="eastAsia" w:eastAsia="黑体"/>
          <w:color w:val="auto"/>
          <w:sz w:val="20"/>
          <w:szCs w:val="20"/>
        </w:rPr>
      </w:pPr>
    </w:p>
    <w:p w14:paraId="17F04BB3">
      <w:pPr>
        <w:spacing w:line="440" w:lineRule="exact"/>
        <w:rPr>
          <w:rFonts w:hint="eastAsia" w:eastAsia="黑体"/>
          <w:color w:val="auto"/>
          <w:sz w:val="20"/>
          <w:szCs w:val="20"/>
        </w:rPr>
      </w:pPr>
    </w:p>
    <w:p w14:paraId="25F19DC5">
      <w:pPr>
        <w:spacing w:line="440" w:lineRule="exact"/>
        <w:rPr>
          <w:rFonts w:hint="eastAsia" w:eastAsia="黑体"/>
          <w:color w:val="auto"/>
          <w:sz w:val="20"/>
          <w:szCs w:val="20"/>
        </w:rPr>
      </w:pPr>
    </w:p>
    <w:p w14:paraId="0E5A2344">
      <w:pPr>
        <w:spacing w:line="440" w:lineRule="exact"/>
        <w:rPr>
          <w:rFonts w:hint="eastAsia" w:eastAsia="黑体"/>
          <w:color w:val="auto"/>
          <w:sz w:val="20"/>
          <w:szCs w:val="20"/>
        </w:rPr>
      </w:pPr>
    </w:p>
    <w:p w14:paraId="557E0891">
      <w:pPr>
        <w:spacing w:line="440" w:lineRule="exact"/>
        <w:rPr>
          <w:rFonts w:hint="eastAsia" w:eastAsia="黑体"/>
          <w:color w:val="auto"/>
          <w:sz w:val="20"/>
          <w:szCs w:val="20"/>
        </w:rPr>
      </w:pPr>
    </w:p>
    <w:p w14:paraId="075B2AAF">
      <w:pPr>
        <w:spacing w:line="440" w:lineRule="exact"/>
        <w:rPr>
          <w:rFonts w:hint="eastAsia" w:eastAsia="黑体"/>
          <w:color w:val="auto"/>
          <w:sz w:val="20"/>
          <w:szCs w:val="20"/>
        </w:rPr>
      </w:pPr>
    </w:p>
    <w:p w14:paraId="48D6892D">
      <w:pPr>
        <w:spacing w:line="440" w:lineRule="exact"/>
        <w:rPr>
          <w:rFonts w:hint="eastAsia" w:eastAsia="黑体"/>
          <w:color w:val="auto"/>
          <w:sz w:val="20"/>
          <w:szCs w:val="20"/>
        </w:rPr>
      </w:pPr>
    </w:p>
    <w:p w14:paraId="7E5085A4">
      <w:pPr>
        <w:spacing w:line="440" w:lineRule="exact"/>
        <w:rPr>
          <w:rFonts w:hint="eastAsia" w:eastAsia="黑体"/>
          <w:color w:val="auto"/>
          <w:sz w:val="20"/>
          <w:szCs w:val="20"/>
        </w:rPr>
      </w:pPr>
    </w:p>
    <w:p w14:paraId="24929AAB">
      <w:pPr>
        <w:spacing w:line="440" w:lineRule="exact"/>
        <w:rPr>
          <w:rFonts w:hint="eastAsia" w:eastAsia="黑体"/>
          <w:color w:val="auto"/>
          <w:sz w:val="20"/>
          <w:szCs w:val="20"/>
        </w:rPr>
      </w:pPr>
    </w:p>
    <w:p w14:paraId="32FBF794">
      <w:pPr>
        <w:spacing w:line="440" w:lineRule="exact"/>
        <w:rPr>
          <w:rFonts w:hint="eastAsia" w:eastAsia="黑体"/>
          <w:color w:val="auto"/>
          <w:sz w:val="20"/>
          <w:szCs w:val="20"/>
        </w:rPr>
      </w:pPr>
    </w:p>
    <w:p w14:paraId="38043E48">
      <w:pPr>
        <w:spacing w:line="440" w:lineRule="exact"/>
        <w:rPr>
          <w:rFonts w:hint="eastAsia" w:eastAsia="黑体"/>
          <w:color w:val="auto"/>
          <w:sz w:val="20"/>
          <w:szCs w:val="20"/>
        </w:rPr>
      </w:pPr>
    </w:p>
    <w:p w14:paraId="7BF0B089">
      <w:pPr>
        <w:spacing w:line="440" w:lineRule="exact"/>
        <w:rPr>
          <w:rFonts w:hint="eastAsia" w:eastAsia="黑体"/>
          <w:color w:val="auto"/>
          <w:sz w:val="20"/>
          <w:szCs w:val="20"/>
        </w:rPr>
      </w:pPr>
    </w:p>
    <w:p w14:paraId="00C7E567">
      <w:pPr>
        <w:spacing w:line="440" w:lineRule="exact"/>
        <w:rPr>
          <w:rFonts w:hint="eastAsia" w:eastAsia="黑体"/>
          <w:color w:val="auto"/>
          <w:sz w:val="20"/>
          <w:szCs w:val="20"/>
        </w:rPr>
      </w:pPr>
    </w:p>
    <w:p w14:paraId="1969429B">
      <w:pPr>
        <w:spacing w:line="440" w:lineRule="exact"/>
        <w:rPr>
          <w:rFonts w:hint="eastAsia" w:eastAsia="黑体"/>
          <w:color w:val="auto"/>
          <w:sz w:val="20"/>
          <w:szCs w:val="20"/>
        </w:rPr>
      </w:pPr>
    </w:p>
    <w:p w14:paraId="0ADDA9AA">
      <w:pPr>
        <w:spacing w:line="440" w:lineRule="exact"/>
        <w:rPr>
          <w:rFonts w:hint="eastAsia" w:eastAsia="黑体"/>
          <w:color w:val="auto"/>
          <w:sz w:val="20"/>
          <w:szCs w:val="20"/>
        </w:rPr>
      </w:pPr>
    </w:p>
    <w:p w14:paraId="60351E95">
      <w:pPr>
        <w:spacing w:line="440" w:lineRule="exact"/>
        <w:rPr>
          <w:rFonts w:hint="eastAsia" w:eastAsia="黑体"/>
          <w:color w:val="auto"/>
          <w:sz w:val="20"/>
          <w:szCs w:val="20"/>
        </w:rPr>
      </w:pPr>
    </w:p>
    <w:p w14:paraId="1FD1CCC3">
      <w:pPr>
        <w:spacing w:line="440" w:lineRule="exact"/>
        <w:rPr>
          <w:rFonts w:hint="eastAsia" w:eastAsia="黑体"/>
          <w:color w:val="auto"/>
          <w:sz w:val="20"/>
          <w:szCs w:val="20"/>
        </w:rPr>
      </w:pPr>
    </w:p>
    <w:p w14:paraId="04E46D4E">
      <w:pPr>
        <w:spacing w:line="440" w:lineRule="exact"/>
        <w:rPr>
          <w:rFonts w:hint="eastAsia" w:eastAsia="黑体"/>
          <w:color w:val="auto"/>
          <w:sz w:val="20"/>
          <w:szCs w:val="20"/>
        </w:rPr>
      </w:pPr>
    </w:p>
    <w:p w14:paraId="4B444EF9">
      <w:pPr>
        <w:spacing w:line="440" w:lineRule="exact"/>
        <w:rPr>
          <w:rFonts w:hint="eastAsia" w:eastAsia="黑体"/>
          <w:color w:val="auto"/>
          <w:sz w:val="20"/>
          <w:szCs w:val="20"/>
        </w:rPr>
      </w:pPr>
    </w:p>
    <w:p w14:paraId="6C5F3457">
      <w:pPr>
        <w:rPr>
          <w:rFonts w:hint="eastAsia"/>
          <w:color w:val="auto"/>
        </w:rPr>
      </w:pPr>
      <w:bookmarkStart w:id="2479" w:name="_Toc456173555"/>
      <w:bookmarkStart w:id="2480" w:name="_Toc144974869"/>
      <w:bookmarkStart w:id="2481" w:name="_Toc519085660"/>
      <w:bookmarkStart w:id="2482" w:name="_Toc221952108"/>
      <w:bookmarkStart w:id="2483" w:name="_Toc168476331"/>
      <w:bookmarkStart w:id="2484" w:name="_Toc168475928"/>
    </w:p>
    <w:p w14:paraId="3A7C1425">
      <w:pPr>
        <w:rPr>
          <w:rFonts w:hint="eastAsia"/>
          <w:color w:val="auto"/>
        </w:rPr>
      </w:pPr>
      <w:r>
        <w:rPr>
          <w:color w:val="auto"/>
        </w:rPr>
        <w:t>附表五：施工总平面图</w:t>
      </w:r>
      <w:bookmarkEnd w:id="2479"/>
      <w:bookmarkEnd w:id="2480"/>
      <w:bookmarkEnd w:id="2481"/>
      <w:bookmarkEnd w:id="2482"/>
      <w:bookmarkEnd w:id="2483"/>
      <w:bookmarkEnd w:id="2484"/>
    </w:p>
    <w:p w14:paraId="2381B2E9">
      <w:pPr>
        <w:spacing w:line="440" w:lineRule="exact"/>
        <w:ind w:firstLine="420" w:firstLineChars="200"/>
        <w:rPr>
          <w:color w:val="auto"/>
          <w:szCs w:val="21"/>
        </w:rPr>
      </w:pPr>
      <w:bookmarkStart w:id="2485" w:name="_Toc221952109"/>
      <w:r>
        <w:rPr>
          <w:color w:val="auto"/>
          <w:szCs w:val="21"/>
        </w:rPr>
        <w:t>投标人应递交一份施工总平面图，绘出现场临时设施布置图</w:t>
      </w:r>
      <w:r>
        <w:rPr>
          <w:rFonts w:hint="eastAsia"/>
          <w:color w:val="auto"/>
          <w:szCs w:val="21"/>
        </w:rPr>
        <w:t>及</w:t>
      </w:r>
      <w:r>
        <w:rPr>
          <w:color w:val="auto"/>
          <w:szCs w:val="21"/>
        </w:rPr>
        <w:t>表并附文字说明，说明临时设施、加工车间、现场办公、设备及仓储、供电、供水、卫生、生活、道路、消防等设施的情况和布置。</w:t>
      </w:r>
      <w:bookmarkEnd w:id="2485"/>
    </w:p>
    <w:p w14:paraId="07B096C9">
      <w:pPr>
        <w:spacing w:line="440" w:lineRule="exact"/>
        <w:rPr>
          <w:rFonts w:eastAsia="黑体"/>
          <w:color w:val="auto"/>
          <w:sz w:val="20"/>
          <w:szCs w:val="20"/>
        </w:rPr>
      </w:pPr>
    </w:p>
    <w:p w14:paraId="3F176F5A">
      <w:pPr>
        <w:spacing w:line="440" w:lineRule="exact"/>
        <w:rPr>
          <w:rFonts w:hint="eastAsia" w:eastAsia="黑体"/>
          <w:color w:val="auto"/>
          <w:sz w:val="20"/>
          <w:szCs w:val="20"/>
        </w:rPr>
      </w:pPr>
    </w:p>
    <w:p w14:paraId="2AB5B162">
      <w:pPr>
        <w:spacing w:line="440" w:lineRule="exact"/>
        <w:rPr>
          <w:rFonts w:hint="eastAsia" w:eastAsia="黑体"/>
          <w:color w:val="auto"/>
          <w:sz w:val="20"/>
          <w:szCs w:val="20"/>
        </w:rPr>
      </w:pPr>
    </w:p>
    <w:p w14:paraId="34CCE9D7">
      <w:pPr>
        <w:spacing w:line="440" w:lineRule="exact"/>
        <w:rPr>
          <w:rFonts w:hint="eastAsia" w:eastAsia="黑体"/>
          <w:color w:val="auto"/>
          <w:sz w:val="20"/>
          <w:szCs w:val="20"/>
        </w:rPr>
      </w:pPr>
    </w:p>
    <w:p w14:paraId="2CE1B40C">
      <w:pPr>
        <w:spacing w:line="440" w:lineRule="exact"/>
        <w:rPr>
          <w:rFonts w:hint="eastAsia" w:eastAsia="黑体"/>
          <w:color w:val="auto"/>
          <w:sz w:val="20"/>
          <w:szCs w:val="20"/>
        </w:rPr>
      </w:pPr>
    </w:p>
    <w:p w14:paraId="0B901A3C">
      <w:pPr>
        <w:spacing w:line="440" w:lineRule="exact"/>
        <w:rPr>
          <w:rFonts w:hint="eastAsia" w:eastAsia="黑体"/>
          <w:color w:val="auto"/>
          <w:sz w:val="20"/>
          <w:szCs w:val="20"/>
        </w:rPr>
      </w:pPr>
    </w:p>
    <w:p w14:paraId="06D5AD9D">
      <w:pPr>
        <w:spacing w:line="440" w:lineRule="exact"/>
        <w:rPr>
          <w:rFonts w:hint="eastAsia" w:eastAsia="黑体"/>
          <w:color w:val="auto"/>
          <w:sz w:val="20"/>
          <w:szCs w:val="20"/>
        </w:rPr>
      </w:pPr>
    </w:p>
    <w:p w14:paraId="55FC7B0E">
      <w:pPr>
        <w:spacing w:line="440" w:lineRule="exact"/>
        <w:rPr>
          <w:rFonts w:hint="eastAsia" w:eastAsia="黑体"/>
          <w:color w:val="auto"/>
          <w:sz w:val="20"/>
          <w:szCs w:val="20"/>
        </w:rPr>
      </w:pPr>
    </w:p>
    <w:p w14:paraId="6696F28F">
      <w:pPr>
        <w:spacing w:line="440" w:lineRule="exact"/>
        <w:rPr>
          <w:rFonts w:hint="eastAsia" w:eastAsia="黑体"/>
          <w:color w:val="auto"/>
          <w:sz w:val="20"/>
          <w:szCs w:val="20"/>
        </w:rPr>
      </w:pPr>
    </w:p>
    <w:p w14:paraId="63F6CFCF">
      <w:pPr>
        <w:spacing w:line="440" w:lineRule="exact"/>
        <w:rPr>
          <w:rFonts w:hint="eastAsia" w:eastAsia="黑体"/>
          <w:color w:val="auto"/>
          <w:sz w:val="20"/>
          <w:szCs w:val="20"/>
        </w:rPr>
      </w:pPr>
    </w:p>
    <w:p w14:paraId="5115D525">
      <w:pPr>
        <w:spacing w:line="440" w:lineRule="exact"/>
        <w:rPr>
          <w:rFonts w:hint="eastAsia" w:eastAsia="黑体"/>
          <w:color w:val="auto"/>
          <w:sz w:val="20"/>
          <w:szCs w:val="20"/>
        </w:rPr>
      </w:pPr>
    </w:p>
    <w:p w14:paraId="3DAC2CF0">
      <w:pPr>
        <w:spacing w:line="440" w:lineRule="exact"/>
        <w:rPr>
          <w:rFonts w:hint="eastAsia" w:eastAsia="黑体"/>
          <w:color w:val="auto"/>
          <w:sz w:val="20"/>
          <w:szCs w:val="20"/>
        </w:rPr>
      </w:pPr>
    </w:p>
    <w:p w14:paraId="7F431F4A">
      <w:pPr>
        <w:spacing w:line="440" w:lineRule="exact"/>
        <w:rPr>
          <w:rFonts w:hint="eastAsia" w:eastAsia="黑体"/>
          <w:color w:val="auto"/>
          <w:sz w:val="20"/>
          <w:szCs w:val="20"/>
        </w:rPr>
      </w:pPr>
    </w:p>
    <w:p w14:paraId="0B4608C7">
      <w:pPr>
        <w:spacing w:line="440" w:lineRule="exact"/>
        <w:rPr>
          <w:rFonts w:hint="eastAsia" w:eastAsia="黑体"/>
          <w:color w:val="auto"/>
          <w:sz w:val="20"/>
          <w:szCs w:val="20"/>
        </w:rPr>
      </w:pPr>
    </w:p>
    <w:p w14:paraId="396747A4">
      <w:pPr>
        <w:spacing w:line="440" w:lineRule="exact"/>
        <w:rPr>
          <w:rFonts w:hint="eastAsia" w:eastAsia="黑体"/>
          <w:color w:val="auto"/>
          <w:sz w:val="20"/>
          <w:szCs w:val="20"/>
        </w:rPr>
      </w:pPr>
    </w:p>
    <w:p w14:paraId="4512E1CA">
      <w:pPr>
        <w:spacing w:line="440" w:lineRule="exact"/>
        <w:rPr>
          <w:rFonts w:hint="eastAsia" w:eastAsia="黑体"/>
          <w:color w:val="auto"/>
          <w:sz w:val="20"/>
          <w:szCs w:val="20"/>
        </w:rPr>
      </w:pPr>
    </w:p>
    <w:p w14:paraId="1E1D81C8">
      <w:pPr>
        <w:spacing w:line="440" w:lineRule="exact"/>
        <w:rPr>
          <w:rFonts w:hint="eastAsia" w:eastAsia="黑体"/>
          <w:color w:val="auto"/>
          <w:sz w:val="20"/>
          <w:szCs w:val="20"/>
        </w:rPr>
      </w:pPr>
    </w:p>
    <w:p w14:paraId="65B1FBD6">
      <w:pPr>
        <w:spacing w:line="440" w:lineRule="exact"/>
        <w:rPr>
          <w:rFonts w:hint="eastAsia" w:eastAsia="黑体"/>
          <w:color w:val="auto"/>
          <w:sz w:val="20"/>
          <w:szCs w:val="20"/>
        </w:rPr>
      </w:pPr>
    </w:p>
    <w:p w14:paraId="6D6A83F2">
      <w:pPr>
        <w:spacing w:line="440" w:lineRule="exact"/>
        <w:rPr>
          <w:rFonts w:hint="eastAsia" w:eastAsia="黑体"/>
          <w:color w:val="auto"/>
          <w:sz w:val="20"/>
          <w:szCs w:val="20"/>
        </w:rPr>
      </w:pPr>
    </w:p>
    <w:p w14:paraId="653E3917">
      <w:pPr>
        <w:spacing w:line="440" w:lineRule="exact"/>
        <w:rPr>
          <w:rFonts w:hint="eastAsia" w:eastAsia="黑体"/>
          <w:color w:val="auto"/>
          <w:sz w:val="20"/>
          <w:szCs w:val="20"/>
        </w:rPr>
      </w:pPr>
    </w:p>
    <w:p w14:paraId="542730B9">
      <w:pPr>
        <w:spacing w:line="440" w:lineRule="exact"/>
        <w:rPr>
          <w:rFonts w:hint="eastAsia" w:eastAsia="黑体"/>
          <w:color w:val="auto"/>
          <w:sz w:val="20"/>
          <w:szCs w:val="20"/>
        </w:rPr>
      </w:pPr>
    </w:p>
    <w:p w14:paraId="645CF5F1">
      <w:pPr>
        <w:spacing w:line="440" w:lineRule="exact"/>
        <w:rPr>
          <w:rFonts w:hint="eastAsia" w:eastAsia="黑体"/>
          <w:color w:val="auto"/>
          <w:sz w:val="20"/>
          <w:szCs w:val="20"/>
        </w:rPr>
      </w:pPr>
    </w:p>
    <w:p w14:paraId="3CA6B04E">
      <w:pPr>
        <w:spacing w:line="440" w:lineRule="exact"/>
        <w:rPr>
          <w:rFonts w:hint="eastAsia" w:eastAsia="黑体"/>
          <w:color w:val="auto"/>
          <w:sz w:val="20"/>
          <w:szCs w:val="20"/>
        </w:rPr>
      </w:pPr>
    </w:p>
    <w:p w14:paraId="119E2293">
      <w:pPr>
        <w:spacing w:line="440" w:lineRule="exact"/>
        <w:rPr>
          <w:rFonts w:hint="eastAsia" w:eastAsia="黑体"/>
          <w:color w:val="auto"/>
          <w:sz w:val="20"/>
          <w:szCs w:val="20"/>
        </w:rPr>
      </w:pPr>
    </w:p>
    <w:p w14:paraId="6FE48355">
      <w:pPr>
        <w:spacing w:line="440" w:lineRule="exact"/>
        <w:rPr>
          <w:rFonts w:hint="eastAsia" w:eastAsia="黑体"/>
          <w:color w:val="auto"/>
          <w:sz w:val="20"/>
          <w:szCs w:val="20"/>
        </w:rPr>
      </w:pPr>
    </w:p>
    <w:p w14:paraId="2D555099">
      <w:pPr>
        <w:spacing w:line="440" w:lineRule="exact"/>
        <w:rPr>
          <w:rFonts w:hint="eastAsia" w:eastAsia="黑体"/>
          <w:color w:val="auto"/>
          <w:sz w:val="20"/>
          <w:szCs w:val="20"/>
        </w:rPr>
      </w:pPr>
    </w:p>
    <w:p w14:paraId="3F75C6C1">
      <w:pPr>
        <w:spacing w:line="440" w:lineRule="exact"/>
        <w:rPr>
          <w:rFonts w:hint="eastAsia" w:eastAsia="黑体"/>
          <w:color w:val="auto"/>
          <w:sz w:val="20"/>
          <w:szCs w:val="20"/>
        </w:rPr>
      </w:pPr>
    </w:p>
    <w:p w14:paraId="4786FF4A">
      <w:pPr>
        <w:rPr>
          <w:rFonts w:hint="eastAsia"/>
          <w:color w:val="auto"/>
        </w:rPr>
      </w:pPr>
      <w:bookmarkStart w:id="2486" w:name="_Toc519085661"/>
      <w:bookmarkStart w:id="2487" w:name="_Toc168476332"/>
      <w:bookmarkStart w:id="2488" w:name="_Toc144974870"/>
      <w:bookmarkStart w:id="2489" w:name="_Toc221952110"/>
      <w:bookmarkStart w:id="2490" w:name="_Toc168475929"/>
      <w:bookmarkStart w:id="2491" w:name="_Toc456173556"/>
    </w:p>
    <w:p w14:paraId="58881753">
      <w:pPr>
        <w:rPr>
          <w:rFonts w:hint="eastAsia"/>
          <w:color w:val="auto"/>
        </w:rPr>
      </w:pPr>
      <w:r>
        <w:rPr>
          <w:color w:val="auto"/>
        </w:rPr>
        <w:t>附表六</w:t>
      </w:r>
      <w:r>
        <w:rPr>
          <w:rFonts w:hint="eastAsia"/>
          <w:color w:val="auto"/>
        </w:rPr>
        <w:t>：</w:t>
      </w:r>
      <w:r>
        <w:rPr>
          <w:color w:val="auto"/>
        </w:rPr>
        <w:t>临时用地表</w:t>
      </w:r>
      <w:bookmarkEnd w:id="2486"/>
      <w:bookmarkEnd w:id="2487"/>
      <w:bookmarkEnd w:id="2488"/>
      <w:bookmarkEnd w:id="2489"/>
      <w:bookmarkEnd w:id="2490"/>
      <w:bookmarkEnd w:id="2491"/>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1"/>
        <w:gridCol w:w="2321"/>
        <w:gridCol w:w="2322"/>
        <w:gridCol w:w="2322"/>
      </w:tblGrid>
      <w:tr w14:paraId="61991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20954717">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92" w:name="_Toc221952111"/>
            <w:r>
              <w:rPr>
                <w:rFonts w:ascii="Calibri" w:hAnsi="Calibri" w:eastAsia="宋体" w:cs="Times New Roman"/>
                <w:color w:val="auto"/>
              </w:rPr>
              <w:t>用 途</w:t>
            </w:r>
            <w:bookmarkEnd w:id="2492"/>
            <w:r>
              <w:rPr>
                <w:rFonts w:ascii="Calibri" w:hAnsi="Calibri" w:eastAsia="宋体" w:cs="Times New Roman"/>
                <w:color w:val="auto"/>
              </w:rPr>
              <w:cr/>
            </w:r>
          </w:p>
        </w:tc>
        <w:tc>
          <w:tcPr>
            <w:tcW w:w="2321" w:type="dxa"/>
            <w:noWrap w:val="0"/>
            <w:vAlign w:val="top"/>
          </w:tcPr>
          <w:p w14:paraId="0B383CA9">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93" w:name="_Toc221952112"/>
            <w:r>
              <w:rPr>
                <w:rFonts w:ascii="Calibri" w:hAnsi="Calibri" w:eastAsia="宋体" w:cs="Times New Roman"/>
                <w:color w:val="auto"/>
              </w:rPr>
              <w:t>面 积（</w:t>
            </w:r>
            <w:r>
              <w:rPr>
                <w:rFonts w:hint="eastAsia" w:ascii="Calibri" w:hAnsi="Calibri" w:eastAsia="宋体" w:cs="Times New Roman"/>
                <w:color w:val="auto"/>
              </w:rPr>
              <w:t>m</w:t>
            </w:r>
            <w:r>
              <w:rPr>
                <w:rFonts w:hint="eastAsia" w:ascii="Calibri" w:hAnsi="Calibri" w:eastAsia="宋体" w:cs="Times New Roman"/>
                <w:color w:val="auto"/>
                <w:vertAlign w:val="superscript"/>
              </w:rPr>
              <w:t>2</w:t>
            </w:r>
            <w:r>
              <w:rPr>
                <w:rFonts w:ascii="Calibri" w:hAnsi="Calibri" w:eastAsia="宋体" w:cs="Times New Roman"/>
                <w:color w:val="auto"/>
              </w:rPr>
              <w:t>）</w:t>
            </w:r>
            <w:bookmarkEnd w:id="2493"/>
          </w:p>
        </w:tc>
        <w:tc>
          <w:tcPr>
            <w:tcW w:w="2322" w:type="dxa"/>
            <w:noWrap w:val="0"/>
            <w:vAlign w:val="top"/>
          </w:tcPr>
          <w:p w14:paraId="66C802BF">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94" w:name="_Toc221952113"/>
            <w:r>
              <w:rPr>
                <w:rFonts w:ascii="Calibri" w:hAnsi="Calibri" w:eastAsia="宋体" w:cs="Times New Roman"/>
                <w:color w:val="auto"/>
              </w:rPr>
              <w:t>位 置</w:t>
            </w:r>
            <w:bookmarkEnd w:id="2494"/>
          </w:p>
        </w:tc>
        <w:tc>
          <w:tcPr>
            <w:tcW w:w="2322" w:type="dxa"/>
            <w:noWrap w:val="0"/>
            <w:vAlign w:val="top"/>
          </w:tcPr>
          <w:p w14:paraId="6CD653ED">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bookmarkStart w:id="2495" w:name="_Toc221952114"/>
            <w:r>
              <w:rPr>
                <w:rFonts w:ascii="Calibri" w:hAnsi="Calibri" w:eastAsia="宋体" w:cs="Times New Roman"/>
                <w:color w:val="auto"/>
              </w:rPr>
              <w:t>需用时间</w:t>
            </w:r>
            <w:bookmarkEnd w:id="2495"/>
          </w:p>
        </w:tc>
      </w:tr>
      <w:tr w14:paraId="4D14A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53A94D8">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1" w:type="dxa"/>
            <w:noWrap w:val="0"/>
            <w:vAlign w:val="top"/>
          </w:tcPr>
          <w:p w14:paraId="4C91A3AD">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59FFCC8C">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18E47CAA">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37523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468F135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1" w:type="dxa"/>
            <w:noWrap w:val="0"/>
            <w:vAlign w:val="top"/>
          </w:tcPr>
          <w:p w14:paraId="08D1D335">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7AC5000E">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59CCF811">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3236F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833D3C9">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1" w:type="dxa"/>
            <w:noWrap w:val="0"/>
            <w:vAlign w:val="top"/>
          </w:tcPr>
          <w:p w14:paraId="1385202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4B11443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2B2A8144">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676ED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639C66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1" w:type="dxa"/>
            <w:noWrap w:val="0"/>
            <w:vAlign w:val="top"/>
          </w:tcPr>
          <w:p w14:paraId="302B9159">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47136323">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55E1E3D7">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46037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371992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1" w:type="dxa"/>
            <w:noWrap w:val="0"/>
            <w:vAlign w:val="top"/>
          </w:tcPr>
          <w:p w14:paraId="09CDC49C">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0DA5F834">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1E8B272A">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57C61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8584DFC">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1" w:type="dxa"/>
            <w:noWrap w:val="0"/>
            <w:vAlign w:val="top"/>
          </w:tcPr>
          <w:p w14:paraId="02BB90E5">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52DEF499">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2AE9A75D">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383C4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2AB3C54A">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1" w:type="dxa"/>
            <w:noWrap w:val="0"/>
            <w:vAlign w:val="top"/>
          </w:tcPr>
          <w:p w14:paraId="0ADA2589">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1CE5A603">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4EDAEA3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63369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4AD9187">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1" w:type="dxa"/>
            <w:noWrap w:val="0"/>
            <w:vAlign w:val="top"/>
          </w:tcPr>
          <w:p w14:paraId="5CD4B97A">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497A2B66">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637817BB">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1F39C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77EE336">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1" w:type="dxa"/>
            <w:noWrap w:val="0"/>
            <w:vAlign w:val="top"/>
          </w:tcPr>
          <w:p w14:paraId="1D2B162F">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24A1BCE7">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39274E4C">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1C238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ECD80BE">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1" w:type="dxa"/>
            <w:noWrap w:val="0"/>
            <w:vAlign w:val="top"/>
          </w:tcPr>
          <w:p w14:paraId="5CEC20A3">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7B4D14E3">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664D437E">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36070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55271DC7">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1" w:type="dxa"/>
            <w:noWrap w:val="0"/>
            <w:vAlign w:val="top"/>
          </w:tcPr>
          <w:p w14:paraId="1E41AEF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41DFB9E9">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359C2813">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1A04C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6BC47DFF">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1" w:type="dxa"/>
            <w:noWrap w:val="0"/>
            <w:vAlign w:val="top"/>
          </w:tcPr>
          <w:p w14:paraId="40E0D986">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3E353FDF">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402059E5">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5E73F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7F8E143">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1" w:type="dxa"/>
            <w:noWrap w:val="0"/>
            <w:vAlign w:val="top"/>
          </w:tcPr>
          <w:p w14:paraId="7724F1CB">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0ACC2006">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64641DCE">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0BCDB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6566F8D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1" w:type="dxa"/>
            <w:noWrap w:val="0"/>
            <w:vAlign w:val="top"/>
          </w:tcPr>
          <w:p w14:paraId="1D3DE1E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7B05E0B8">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4A95A2A7">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5388F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4AA17352">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1" w:type="dxa"/>
            <w:noWrap w:val="0"/>
            <w:vAlign w:val="top"/>
          </w:tcPr>
          <w:p w14:paraId="06734596">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670BD43A">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3E0FE696">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2AD12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E9B7989">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1" w:type="dxa"/>
            <w:noWrap w:val="0"/>
            <w:vAlign w:val="top"/>
          </w:tcPr>
          <w:p w14:paraId="3C30A66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6041D9CE">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1B96DDD5">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157F8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4B816DA9">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1" w:type="dxa"/>
            <w:noWrap w:val="0"/>
            <w:vAlign w:val="top"/>
          </w:tcPr>
          <w:p w14:paraId="571C9533">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5208EA07">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5121ED6F">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17EFB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42BF00F">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1" w:type="dxa"/>
            <w:noWrap w:val="0"/>
            <w:vAlign w:val="top"/>
          </w:tcPr>
          <w:p w14:paraId="53CFE669">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23149294">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7BEA1CF8">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114A6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548D4D6F">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1" w:type="dxa"/>
            <w:noWrap w:val="0"/>
            <w:vAlign w:val="top"/>
          </w:tcPr>
          <w:p w14:paraId="2C0397AD">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205E7939">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2008AAD4">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2BE2D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573D156F">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1" w:type="dxa"/>
            <w:noWrap w:val="0"/>
            <w:vAlign w:val="top"/>
          </w:tcPr>
          <w:p w14:paraId="68630FCA">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0E4120D2">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26631F07">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7CFB8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22160AFF">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1" w:type="dxa"/>
            <w:noWrap w:val="0"/>
            <w:vAlign w:val="top"/>
          </w:tcPr>
          <w:p w14:paraId="7998EC74">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7BF78EC5">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7DD83234">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15E5E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EA99BB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1" w:type="dxa"/>
            <w:noWrap w:val="0"/>
            <w:vAlign w:val="top"/>
          </w:tcPr>
          <w:p w14:paraId="117217E0">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662E3BF8">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088CA805">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590BD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5701CB7A">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1" w:type="dxa"/>
            <w:noWrap w:val="0"/>
            <w:vAlign w:val="top"/>
          </w:tcPr>
          <w:p w14:paraId="1E35CD57">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39BDEEAF">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6A767C36">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41830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31952D1">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1" w:type="dxa"/>
            <w:noWrap w:val="0"/>
            <w:vAlign w:val="top"/>
          </w:tcPr>
          <w:p w14:paraId="21180DBD">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5E0FAC8F">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5E516FD3">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r w14:paraId="36836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159D518A">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1" w:type="dxa"/>
            <w:noWrap w:val="0"/>
            <w:vAlign w:val="top"/>
          </w:tcPr>
          <w:p w14:paraId="48130BE6">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19918648">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c>
          <w:tcPr>
            <w:tcW w:w="2322" w:type="dxa"/>
            <w:noWrap w:val="0"/>
            <w:vAlign w:val="top"/>
          </w:tcPr>
          <w:p w14:paraId="7CF364AF">
            <w:pPr>
              <w:keepNext w:val="0"/>
              <w:keepLines w:val="0"/>
              <w:suppressLineNumbers w:val="0"/>
              <w:spacing w:before="0" w:beforeAutospacing="0" w:after="0" w:afterAutospacing="0" w:line="380" w:lineRule="atLeast"/>
              <w:ind w:left="0" w:right="0"/>
              <w:jc w:val="center"/>
              <w:rPr>
                <w:rFonts w:ascii="Calibri" w:hAnsi="Calibri" w:eastAsia="宋体" w:cs="Times New Roman"/>
                <w:color w:val="auto"/>
              </w:rPr>
            </w:pPr>
          </w:p>
        </w:tc>
      </w:tr>
    </w:tbl>
    <w:p w14:paraId="750D0E3E">
      <w:pPr>
        <w:spacing w:line="440" w:lineRule="exact"/>
        <w:jc w:val="center"/>
        <w:rPr>
          <w:rFonts w:hint="eastAsia" w:eastAsia="黑体"/>
          <w:color w:val="auto"/>
          <w:sz w:val="27"/>
          <w:szCs w:val="27"/>
        </w:rPr>
      </w:pPr>
    </w:p>
    <w:p w14:paraId="4600944E">
      <w:pPr>
        <w:spacing w:line="440" w:lineRule="exact"/>
        <w:jc w:val="center"/>
        <w:rPr>
          <w:rFonts w:hint="eastAsia" w:eastAsia="黑体"/>
          <w:color w:val="auto"/>
          <w:sz w:val="27"/>
          <w:szCs w:val="27"/>
        </w:rPr>
      </w:pPr>
    </w:p>
    <w:p w14:paraId="69B7086D">
      <w:pPr>
        <w:spacing w:line="440" w:lineRule="exact"/>
        <w:jc w:val="center"/>
        <w:rPr>
          <w:rFonts w:eastAsia="黑体"/>
          <w:color w:val="auto"/>
          <w:sz w:val="27"/>
          <w:szCs w:val="27"/>
        </w:rPr>
      </w:pPr>
    </w:p>
    <w:p w14:paraId="2A74625A">
      <w:pPr>
        <w:spacing w:line="440" w:lineRule="exact"/>
        <w:jc w:val="center"/>
        <w:rPr>
          <w:rFonts w:eastAsia="黑体"/>
          <w:color w:val="auto"/>
          <w:sz w:val="27"/>
          <w:szCs w:val="27"/>
        </w:rPr>
      </w:pPr>
    </w:p>
    <w:p w14:paraId="5871E406">
      <w:pPr>
        <w:spacing w:line="440" w:lineRule="exact"/>
        <w:jc w:val="center"/>
        <w:rPr>
          <w:rFonts w:hint="eastAsia" w:eastAsia="黑体"/>
          <w:color w:val="auto"/>
          <w:sz w:val="27"/>
          <w:szCs w:val="27"/>
        </w:rPr>
      </w:pPr>
    </w:p>
    <w:p w14:paraId="64BE977E">
      <w:pPr>
        <w:rPr>
          <w:rFonts w:hint="eastAsia"/>
          <w:color w:val="auto"/>
        </w:rPr>
      </w:pPr>
    </w:p>
    <w:p w14:paraId="39D4A207">
      <w:pPr>
        <w:pStyle w:val="83"/>
        <w:spacing w:before="63"/>
        <w:outlineLvl w:val="0"/>
        <w:rPr>
          <w:color w:val="auto"/>
          <w:sz w:val="28"/>
          <w:szCs w:val="28"/>
        </w:rPr>
      </w:pPr>
      <w:bookmarkStart w:id="2496" w:name="_Toc154064086"/>
      <w:bookmarkStart w:id="2497" w:name="_Toc10584"/>
      <w:bookmarkStart w:id="2498" w:name="_Toc24258"/>
      <w:bookmarkStart w:id="2499" w:name="_Toc3492"/>
      <w:bookmarkStart w:id="2500" w:name="_Toc519085692"/>
      <w:bookmarkStart w:id="2501" w:name="_Toc13558"/>
      <w:bookmarkStart w:id="2502" w:name="_Toc271821942"/>
      <w:r>
        <w:rPr>
          <w:rFonts w:hint="eastAsia"/>
          <w:color w:val="auto"/>
          <w:sz w:val="28"/>
          <w:szCs w:val="28"/>
        </w:rPr>
        <w:t>十二</w:t>
      </w:r>
      <w:r>
        <w:rPr>
          <w:color w:val="auto"/>
          <w:sz w:val="28"/>
          <w:szCs w:val="28"/>
        </w:rPr>
        <w:t>、其他资料</w:t>
      </w:r>
      <w:bookmarkEnd w:id="2496"/>
      <w:bookmarkEnd w:id="2497"/>
      <w:bookmarkEnd w:id="2498"/>
      <w:bookmarkEnd w:id="2499"/>
      <w:bookmarkEnd w:id="2500"/>
      <w:bookmarkEnd w:id="2501"/>
      <w:bookmarkEnd w:id="2502"/>
    </w:p>
    <w:p w14:paraId="0743A713">
      <w:pPr>
        <w:spacing w:line="400" w:lineRule="exact"/>
        <w:rPr>
          <w:color w:val="auto"/>
        </w:rPr>
      </w:pPr>
    </w:p>
    <w:p w14:paraId="01E7581B">
      <w:pPr>
        <w:pStyle w:val="14"/>
        <w:rPr>
          <w:color w:val="auto"/>
        </w:rPr>
      </w:pPr>
    </w:p>
    <w:sectPr>
      <w:pgSz w:w="11906" w:h="16838"/>
      <w:pgMar w:top="1440" w:right="1803" w:bottom="1440" w:left="1803" w:header="851" w:footer="992" w:gutter="0"/>
      <w:cols w:space="720" w:num="1"/>
      <w:docGrid w:type="lines" w:linePitch="31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imes">
    <w:altName w:val="Times New Roman"/>
    <w:panose1 w:val="02020603050405020304"/>
    <w:charset w:val="00"/>
    <w:family w:val="roman"/>
    <w:pitch w:val="default"/>
    <w:sig w:usb0="00000000" w:usb1="00000000" w:usb2="00000009" w:usb3="00000000" w:csb0="000001FF" w:csb1="00000000"/>
  </w:font>
  <w:font w:name="Calibri Light">
    <w:panose1 w:val="020F0302020204030204"/>
    <w:charset w:val="00"/>
    <w:family w:val="swiss"/>
    <w:pitch w:val="default"/>
    <w:sig w:usb0="E4002EFF" w:usb1="C200247B" w:usb2="00000009" w:usb3="00000000" w:csb0="200001FF" w:csb1="00000000"/>
  </w:font>
  <w:font w:name="CG Times">
    <w:panose1 w:val="02020603050405020304"/>
    <w:charset w:val="00"/>
    <w:family w:val="roman"/>
    <w:pitch w:val="default"/>
    <w:sig w:usb0="00000007" w:usb1="00000000" w:usb2="00000000" w:usb3="00000000" w:csb0="00000093" w:csb1="00000000"/>
  </w:font>
  <w:font w:name="华文仿宋">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073351"/>
  <w:p w14:paraId="007EB2AE">
    <w:pPr>
      <w:pStyle w:val="25"/>
      <w:framePr w:wrap="around" w:vAnchor="text" w:hAnchor="margin" w:xAlign="center" w:y="1"/>
      <w:rPr>
        <w:rStyle w:val="44"/>
      </w:rPr>
    </w:pPr>
    <w:r>
      <w:fldChar w:fldCharType="begin"/>
    </w:r>
    <w:r>
      <w:rPr>
        <w:rStyle w:val="44"/>
      </w:rPr>
      <w:instrText xml:space="preserve">PAGE  </w:instrText>
    </w:r>
    <w:r>
      <w:fldChar w:fldCharType="separate"/>
    </w:r>
    <w:r>
      <w:rPr>
        <w:rStyle w:val="44"/>
      </w:rPr>
      <w:t>9</w:t>
    </w:r>
    <w:r>
      <w:fldChar w:fldCharType="end"/>
    </w:r>
  </w:p>
  <w:p w14:paraId="36CF9DFD">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72113">
    <w:pPr>
      <w:pStyle w:val="25"/>
      <w:rPr>
        <w:rFonts w:hint="eastAsia"/>
      </w:rPr>
    </w:pPr>
  </w:p>
  <w:p w14:paraId="4809BC06"/>
  <w:p w14:paraId="4EFDCE77">
    <w:pPr>
      <w:pStyle w:val="25"/>
      <w:framePr w:wrap="around" w:vAnchor="text" w:hAnchor="margin" w:xAlign="center" w:y="1"/>
      <w:rPr>
        <w:rStyle w:val="44"/>
      </w:rPr>
    </w:pPr>
    <w:r>
      <w:fldChar w:fldCharType="begin"/>
    </w:r>
    <w:r>
      <w:rPr>
        <w:rStyle w:val="44"/>
      </w:rPr>
      <w:instrText xml:space="preserve">PAGE  </w:instrText>
    </w:r>
    <w:r>
      <w:fldChar w:fldCharType="separate"/>
    </w:r>
    <w:r>
      <w:rPr>
        <w:rStyle w:val="44"/>
      </w:rPr>
      <w:t>41</w:t>
    </w:r>
    <w:r>
      <w:fldChar w:fldCharType="end"/>
    </w:r>
  </w:p>
  <w:p w14:paraId="6CFEB006">
    <w:pPr>
      <w:pStyle w:val="2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28C03">
    <w:pPr>
      <w:pStyle w:val="25"/>
      <w:jc w:val="center"/>
      <w:rPr>
        <w:rFonts w:hint="eastAsia" w:cs="宋体"/>
      </w:rPr>
    </w:pPr>
    <w:r>
      <w:rPr>
        <w:rFonts w:hint="eastAsia" w:cs="宋体"/>
      </w:rPr>
      <w:fldChar w:fldCharType="begin"/>
    </w:r>
    <w:r>
      <w:rPr>
        <w:rFonts w:hint="eastAsia" w:cs="宋体"/>
      </w:rPr>
      <w:instrText xml:space="preserve"> PAGE   \* MERGEFORMAT </w:instrText>
    </w:r>
    <w:r>
      <w:rPr>
        <w:rFonts w:hint="eastAsia" w:cs="宋体"/>
      </w:rPr>
      <w:fldChar w:fldCharType="separate"/>
    </w:r>
    <w:r>
      <w:rPr>
        <w:rFonts w:cs="宋体"/>
      </w:rPr>
      <w:t>159</w:t>
    </w:r>
    <w:r>
      <w:rPr>
        <w:rFonts w:hint="eastAsia" w:cs="宋体"/>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D5F0E">
    <w:pPr>
      <w:pStyle w:val="25"/>
      <w:jc w:val="center"/>
      <w:rPr>
        <w:rFonts w:hint="eastAsia" w:ascii="仿宋_GB2312" w:eastAsia="仿宋_GB2312"/>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3035" cy="200025"/>
              <wp:effectExtent l="0" t="0" r="0" b="0"/>
              <wp:wrapNone/>
              <wp:docPr id="2" name="文本框 7"/>
              <wp:cNvGraphicFramePr/>
              <a:graphic xmlns:a="http://schemas.openxmlformats.org/drawingml/2006/main">
                <a:graphicData uri="http://schemas.microsoft.com/office/word/2010/wordprocessingShape">
                  <wps:wsp>
                    <wps:cNvSpPr txBox="1"/>
                    <wps:spPr>
                      <a:xfrm>
                        <a:off x="0" y="0"/>
                        <a:ext cx="153035" cy="200025"/>
                      </a:xfrm>
                      <a:prstGeom prst="rect">
                        <a:avLst/>
                      </a:prstGeom>
                      <a:noFill/>
                      <a:ln>
                        <a:noFill/>
                      </a:ln>
                    </wps:spPr>
                    <wps:txbx>
                      <w:txbxContent>
                        <w:p w14:paraId="7B75CD8E">
                          <w:pPr>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PAGE   \* MERGEFORMAT</w:instrText>
                          </w:r>
                          <w:r>
                            <w:rPr>
                              <w:rFonts w:hint="eastAsia" w:ascii="宋体" w:hAnsi="宋体" w:eastAsia="宋体" w:cs="宋体"/>
                              <w:sz w:val="21"/>
                              <w:szCs w:val="21"/>
                            </w:rPr>
                            <w:fldChar w:fldCharType="separate"/>
                          </w:r>
                          <w:r>
                            <w:rPr>
                              <w:rFonts w:hint="eastAsia" w:ascii="宋体" w:hAnsi="宋体" w:eastAsia="宋体" w:cs="宋体"/>
                              <w:sz w:val="21"/>
                              <w:szCs w:val="21"/>
                              <w:lang w:val="zh-CN"/>
                            </w:rPr>
                            <w:t>230</w:t>
                          </w:r>
                          <w:r>
                            <w:rPr>
                              <w:rFonts w:hint="eastAsia" w:ascii="宋体" w:hAnsi="宋体" w:eastAsia="宋体" w:cs="宋体"/>
                              <w:sz w:val="21"/>
                              <w:szCs w:val="21"/>
                            </w:rPr>
                            <w:fldChar w:fldCharType="end"/>
                          </w:r>
                        </w:p>
                      </w:txbxContent>
                    </wps:txbx>
                    <wps:bodyPr wrap="none" lIns="0" tIns="0" rIns="0" bIns="0" upright="0">
                      <a:spAutoFit/>
                    </wps:bodyPr>
                  </wps:wsp>
                </a:graphicData>
              </a:graphic>
            </wp:anchor>
          </w:drawing>
        </mc:Choice>
        <mc:Fallback>
          <w:pict>
            <v:shape id="文本框 7" o:spid="_x0000_s1026" o:spt="202" type="#_x0000_t202" style="position:absolute;left:0pt;margin-top:0pt;height:15.75pt;width:12.05pt;mso-position-horizontal:center;mso-position-horizontal-relative:margin;mso-wrap-style:none;z-index:251659264;mso-width-relative:page;mso-height-relative:page;" filled="f" stroked="f" coordsize="21600,21600" o:gfxdata="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JosB2nSAAAAAwEAAA8AAAAAAAAAAQAgAAAAIgAAAGRycy9kb3du&#10;cmV2LnhtbFBLAQIUABQAAAAIAIdO4kB7BOemzAEAAJcDAAAOAAAAAAAAAAEAIAAAACEBAABkcnMv&#10;ZTJvRG9jLnhtbFBLBQYAAAAABgAGAFkBAABfBQAAAAA=&#10;">
              <v:fill on="f" focussize="0,0"/>
              <v:stroke on="f"/>
              <v:imagedata o:title=""/>
              <o:lock v:ext="edit" aspectratio="f"/>
              <v:textbox inset="0mm,0mm,0mm,0mm" style="mso-fit-shape-to-text:t;">
                <w:txbxContent>
                  <w:p w14:paraId="7B75CD8E">
                    <w:pPr>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PAGE   \* MERGEFORMAT</w:instrText>
                    </w:r>
                    <w:r>
                      <w:rPr>
                        <w:rFonts w:hint="eastAsia" w:ascii="宋体" w:hAnsi="宋体" w:eastAsia="宋体" w:cs="宋体"/>
                        <w:sz w:val="21"/>
                        <w:szCs w:val="21"/>
                      </w:rPr>
                      <w:fldChar w:fldCharType="separate"/>
                    </w:r>
                    <w:r>
                      <w:rPr>
                        <w:rFonts w:hint="eastAsia" w:ascii="宋体" w:hAnsi="宋体" w:eastAsia="宋体" w:cs="宋体"/>
                        <w:sz w:val="21"/>
                        <w:szCs w:val="21"/>
                        <w:lang w:val="zh-CN"/>
                      </w:rPr>
                      <w:t>230</w:t>
                    </w:r>
                    <w:r>
                      <w:rPr>
                        <w:rFonts w:hint="eastAsia" w:ascii="宋体" w:hAnsi="宋体" w:eastAsia="宋体" w:cs="宋体"/>
                        <w:sz w:val="21"/>
                        <w:szCs w:val="21"/>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53849">
    <w:pPr>
      <w:pStyle w:val="25"/>
      <w:framePr w:wrap="around" w:vAnchor="text" w:hAnchor="margin" w:xAlign="center" w:y="1"/>
      <w:rPr>
        <w:rStyle w:val="44"/>
      </w:rPr>
    </w:pPr>
    <w:r>
      <w:fldChar w:fldCharType="begin"/>
    </w:r>
    <w:r>
      <w:rPr>
        <w:rStyle w:val="44"/>
      </w:rPr>
      <w:instrText xml:space="preserve">PAGE  </w:instrText>
    </w:r>
    <w:r>
      <w:fldChar w:fldCharType="separate"/>
    </w:r>
    <w:r>
      <w:rPr>
        <w:rStyle w:val="44"/>
      </w:rPr>
      <w:t>236</w:t>
    </w:r>
    <w:r>
      <w:fldChar w:fldCharType="end"/>
    </w:r>
  </w:p>
  <w:p w14:paraId="4F4A44AB">
    <w:pPr>
      <w:pStyle w:val="25"/>
      <w:jc w:val="center"/>
      <w:rPr>
        <w:rFonts w:hint="eastAsi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94C4F">
    <w:pPr>
      <w:pStyle w:val="25"/>
      <w:framePr w:wrap="around" w:vAnchor="text" w:hAnchor="margin" w:xAlign="center" w:y="1"/>
      <w:rPr>
        <w:rStyle w:val="44"/>
      </w:rPr>
    </w:pPr>
    <w:r>
      <w:fldChar w:fldCharType="begin"/>
    </w:r>
    <w:r>
      <w:rPr>
        <w:rStyle w:val="44"/>
      </w:rPr>
      <w:instrText xml:space="preserve">PAGE  </w:instrText>
    </w:r>
    <w:r>
      <w:fldChar w:fldCharType="separate"/>
    </w:r>
    <w:r>
      <w:rPr>
        <w:rStyle w:val="44"/>
      </w:rPr>
      <w:t>24</w:t>
    </w:r>
    <w:r>
      <w:fldChar w:fldCharType="end"/>
    </w:r>
  </w:p>
  <w:p w14:paraId="51154AE6">
    <w:pPr>
      <w:pStyle w:val="2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C14DC9">
    <w:pPr>
      <w:pStyle w:val="25"/>
      <w:framePr w:wrap="around" w:vAnchor="text" w:hAnchor="margin" w:xAlign="center" w:y="1"/>
      <w:rPr>
        <w:rStyle w:val="44"/>
      </w:rPr>
    </w:pPr>
    <w:r>
      <w:fldChar w:fldCharType="begin"/>
    </w:r>
    <w:r>
      <w:rPr>
        <w:rStyle w:val="44"/>
      </w:rPr>
      <w:instrText xml:space="preserve">PAGE  </w:instrText>
    </w:r>
    <w:r>
      <w:fldChar w:fldCharType="separate"/>
    </w:r>
    <w:r>
      <w:rPr>
        <w:rStyle w:val="44"/>
      </w:rPr>
      <w:t>237</w:t>
    </w:r>
    <w:r>
      <w:fldChar w:fldCharType="end"/>
    </w:r>
  </w:p>
  <w:p w14:paraId="12DEFC4C">
    <w:pPr>
      <w:pStyle w:val="25"/>
      <w:jc w:val="center"/>
      <w:rPr>
        <w:rFonts w:hint="eastAsia"/>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5EE03">
    <w:pPr>
      <w:pStyle w:val="25"/>
      <w:framePr w:wrap="around" w:vAnchor="text" w:hAnchor="margin" w:xAlign="center" w:y="1"/>
      <w:rPr>
        <w:rStyle w:val="44"/>
      </w:rPr>
    </w:pPr>
    <w:r>
      <w:fldChar w:fldCharType="begin"/>
    </w:r>
    <w:r>
      <w:rPr>
        <w:rStyle w:val="44"/>
      </w:rPr>
      <w:instrText xml:space="preserve">PAGE  </w:instrText>
    </w:r>
    <w:r>
      <w:fldChar w:fldCharType="separate"/>
    </w:r>
    <w:r>
      <w:rPr>
        <w:rStyle w:val="44"/>
      </w:rPr>
      <w:t>24</w:t>
    </w:r>
    <w:r>
      <w:fldChar w:fldCharType="end"/>
    </w:r>
  </w:p>
  <w:p w14:paraId="3F904E64">
    <w:pPr>
      <w:pStyle w:val="2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8B117">
    <w:pPr>
      <w:pStyle w:val="25"/>
      <w:framePr w:wrap="around" w:vAnchor="text" w:hAnchor="margin" w:xAlign="center" w:y="1"/>
      <w:rPr>
        <w:rStyle w:val="44"/>
      </w:rPr>
    </w:pPr>
    <w:r>
      <w:fldChar w:fldCharType="begin"/>
    </w:r>
    <w:r>
      <w:rPr>
        <w:rStyle w:val="44"/>
      </w:rPr>
      <w:instrText xml:space="preserve">PAGE  </w:instrText>
    </w:r>
    <w:r>
      <w:fldChar w:fldCharType="separate"/>
    </w:r>
    <w:r>
      <w:rPr>
        <w:rStyle w:val="44"/>
      </w:rPr>
      <w:t>278</w:t>
    </w:r>
    <w:r>
      <w:fldChar w:fldCharType="end"/>
    </w:r>
  </w:p>
  <w:p w14:paraId="73E10467">
    <w:pPr>
      <w:pStyle w:val="25"/>
      <w:ind w:right="360"/>
    </w:pPr>
  </w:p>
  <w:p w14:paraId="267D8701"/>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DA979">
    <w:pPr>
      <w:pStyle w:val="25"/>
      <w:framePr w:wrap="around" w:vAnchor="text" w:hAnchor="margin" w:xAlign="center" w:y="1"/>
      <w:rPr>
        <w:rStyle w:val="44"/>
      </w:rPr>
    </w:pPr>
    <w:r>
      <w:fldChar w:fldCharType="begin"/>
    </w:r>
    <w:r>
      <w:rPr>
        <w:rStyle w:val="44"/>
      </w:rPr>
      <w:instrText xml:space="preserve">PAGE  </w:instrText>
    </w:r>
    <w:r>
      <w:fldChar w:fldCharType="end"/>
    </w:r>
  </w:p>
  <w:p w14:paraId="10203473">
    <w:pPr>
      <w:pStyle w:val="25"/>
      <w:ind w:right="360"/>
    </w:pPr>
  </w:p>
  <w:p w14:paraId="7A9E319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C84A7">
    <w:pPr>
      <w:pStyle w:val="2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9DAB1">
    <w:pPr>
      <w:pStyle w:val="26"/>
      <w:pBdr>
        <w:bottom w:val="none" w:color="auto" w:sz="0" w:space="0"/>
      </w:pBdr>
    </w:pPr>
  </w:p>
  <w:p w14:paraId="446E27A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083AE9"/>
    <w:multiLevelType w:val="singleLevel"/>
    <w:tmpl w:val="C5083AE9"/>
    <w:lvl w:ilvl="0" w:tentative="0">
      <w:start w:val="10"/>
      <w:numFmt w:val="decimal"/>
      <w:suff w:val="space"/>
      <w:lvlText w:val="%1."/>
      <w:lvlJc w:val="left"/>
    </w:lvl>
  </w:abstractNum>
  <w:abstractNum w:abstractNumId="1">
    <w:nsid w:val="0D8C6054"/>
    <w:multiLevelType w:val="multilevel"/>
    <w:tmpl w:val="0D8C6054"/>
    <w:lvl w:ilvl="0" w:tentative="0">
      <w:start w:val="1"/>
      <w:numFmt w:val="decimal"/>
      <w:pStyle w:val="139"/>
      <w:lvlText w:val="%1."/>
      <w:lvlJc w:val="left"/>
      <w:pPr>
        <w:ind w:left="780" w:hanging="360"/>
      </w:pPr>
      <w:rPr>
        <w:rFonts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 w:val="16"/>
        <w:szCs w:val="0"/>
        <w:u w:val="none" w:color="000000"/>
        <w:shd w:val="clear" w:color="000000" w:fill="000000"/>
        <w:vertAlign w:val="baseline"/>
        <w:lang w:val="zh-CN" w:eastAsia="zh-CN" w:bidi="zh-CN"/>
      </w:rPr>
    </w:lvl>
    <w:lvl w:ilvl="1" w:tentative="0">
      <w:start w:val="1"/>
      <w:numFmt w:val="decimal"/>
      <w:lvlText w:val="%2)"/>
      <w:lvlJc w:val="left"/>
      <w:pPr>
        <w:ind w:left="1200" w:hanging="36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229734FF"/>
    <w:multiLevelType w:val="multilevel"/>
    <w:tmpl w:val="229734FF"/>
    <w:lvl w:ilvl="0" w:tentative="0">
      <w:start w:val="1"/>
      <w:numFmt w:val="decimal"/>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3">
    <w:nsid w:val="28D9536E"/>
    <w:multiLevelType w:val="multilevel"/>
    <w:tmpl w:val="28D9536E"/>
    <w:lvl w:ilvl="0" w:tentative="0">
      <w:start w:val="1"/>
      <w:numFmt w:val="upperLetter"/>
      <w:lvlText w:val="(%1)"/>
      <w:lvlJc w:val="left"/>
      <w:pPr>
        <w:tabs>
          <w:tab w:val="left" w:pos="624"/>
        </w:tabs>
        <w:ind w:left="624" w:hanging="624"/>
      </w:pPr>
    </w:lvl>
    <w:lvl w:ilvl="1" w:tentative="0">
      <w:start w:val="1"/>
      <w:numFmt w:val="upperLetter"/>
      <w:pStyle w:val="151"/>
      <w:lvlText w:val="(%2)"/>
      <w:lvlJc w:val="left"/>
      <w:pPr>
        <w:tabs>
          <w:tab w:val="left" w:pos="1417"/>
        </w:tabs>
        <w:ind w:left="1417" w:hanging="793"/>
      </w:pPr>
    </w:lvl>
    <w:lvl w:ilvl="2" w:tentative="0">
      <w:start w:val="1"/>
      <w:numFmt w:val="upperLetter"/>
      <w:pStyle w:val="143"/>
      <w:lvlText w:val="(%3)"/>
      <w:lvlJc w:val="left"/>
      <w:pPr>
        <w:tabs>
          <w:tab w:val="left" w:pos="1928"/>
        </w:tabs>
        <w:ind w:left="1928" w:hanging="511"/>
      </w:pPr>
    </w:lvl>
    <w:lvl w:ilvl="3" w:tentative="0">
      <w:start w:val="1"/>
      <w:numFmt w:val="lowerLetter"/>
      <w:lvlText w:val="(%4)"/>
      <w:lvlJc w:val="left"/>
      <w:pPr>
        <w:tabs>
          <w:tab w:val="left" w:pos="1928"/>
        </w:tabs>
        <w:ind w:left="1928" w:hanging="511"/>
      </w:pPr>
    </w:lvl>
    <w:lvl w:ilvl="4" w:tentative="0">
      <w:start w:val="1"/>
      <w:numFmt w:val="lowerRoman"/>
      <w:lvlText w:val="(%5)"/>
      <w:lvlJc w:val="left"/>
      <w:pPr>
        <w:tabs>
          <w:tab w:val="left" w:pos="2438"/>
        </w:tabs>
        <w:ind w:left="2438" w:hanging="510"/>
      </w:pPr>
    </w:lvl>
    <w:lvl w:ilvl="5" w:tentative="0">
      <w:start w:val="1"/>
      <w:numFmt w:val="decimal"/>
      <w:lvlText w:val="(%6)"/>
      <w:lvlJc w:val="left"/>
      <w:pPr>
        <w:tabs>
          <w:tab w:val="left" w:pos="2948"/>
        </w:tabs>
        <w:ind w:left="2948" w:hanging="51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decimal"/>
      <w:lvlRestart w:val="0"/>
      <w:lvlText w:val="SCHEDULE %9"/>
      <w:lvlJc w:val="left"/>
      <w:pPr>
        <w:tabs>
          <w:tab w:val="left" w:pos="0"/>
        </w:tabs>
        <w:ind w:left="0" w:firstLine="0"/>
      </w:pPr>
    </w:lvl>
  </w:abstractNum>
  <w:abstractNum w:abstractNumId="4">
    <w:nsid w:val="301F5202"/>
    <w:multiLevelType w:val="multilevel"/>
    <w:tmpl w:val="301F5202"/>
    <w:lvl w:ilvl="0" w:tentative="0">
      <w:start w:val="1"/>
      <w:numFmt w:val="decimal"/>
      <w:pStyle w:val="146"/>
      <w:lvlText w:val="第%1条"/>
      <w:lvlJc w:val="left"/>
      <w:pPr>
        <w:ind w:left="851" w:firstLine="0"/>
      </w:pPr>
    </w:lvl>
    <w:lvl w:ilvl="1" w:tentative="0">
      <w:start w:val="1"/>
      <w:numFmt w:val="decimal"/>
      <w:lvlText w:val="%1.%2"/>
      <w:lvlJc w:val="left"/>
      <w:pPr>
        <w:ind w:left="991" w:hanging="567"/>
      </w:pPr>
    </w:lvl>
    <w:lvl w:ilvl="2" w:tentative="0">
      <w:start w:val="1"/>
      <w:numFmt w:val="decimal"/>
      <w:lvlText w:val="%1.%2.%3"/>
      <w:lvlJc w:val="left"/>
      <w:pPr>
        <w:ind w:left="2835" w:hanging="567"/>
      </w:pPr>
    </w:lvl>
    <w:lvl w:ilvl="3" w:tentative="0">
      <w:start w:val="1"/>
      <w:numFmt w:val="decimal"/>
      <w:lvlText w:val="%1.%2.%3.%4"/>
      <w:lvlJc w:val="left"/>
      <w:pPr>
        <w:ind w:left="1983" w:hanging="708"/>
      </w:pPr>
    </w:lvl>
    <w:lvl w:ilvl="4" w:tentative="0">
      <w:start w:val="1"/>
      <w:numFmt w:val="decimal"/>
      <w:lvlText w:val="%1.%2.%3.%4.%5"/>
      <w:lvlJc w:val="left"/>
      <w:pPr>
        <w:ind w:left="2550" w:hanging="850"/>
      </w:pPr>
    </w:lvl>
    <w:lvl w:ilvl="5" w:tentative="0">
      <w:start w:val="1"/>
      <w:numFmt w:val="decimal"/>
      <w:lvlText w:val="%1.%2.%3.%4.%5.%6"/>
      <w:lvlJc w:val="left"/>
      <w:pPr>
        <w:ind w:left="3259" w:hanging="1134"/>
      </w:pPr>
    </w:lvl>
    <w:lvl w:ilvl="6" w:tentative="0">
      <w:start w:val="1"/>
      <w:numFmt w:val="decimal"/>
      <w:lvlText w:val="%1.%2.%3.%4.%5.%6.%7"/>
      <w:lvlJc w:val="left"/>
      <w:pPr>
        <w:ind w:left="3826" w:hanging="1276"/>
      </w:pPr>
    </w:lvl>
    <w:lvl w:ilvl="7" w:tentative="0">
      <w:start w:val="1"/>
      <w:numFmt w:val="decimal"/>
      <w:lvlText w:val="%1.%2.%3.%4.%5.%6.%7.%8"/>
      <w:lvlJc w:val="left"/>
      <w:pPr>
        <w:ind w:left="4393" w:hanging="1418"/>
      </w:pPr>
    </w:lvl>
    <w:lvl w:ilvl="8" w:tentative="0">
      <w:start w:val="1"/>
      <w:numFmt w:val="decimal"/>
      <w:lvlText w:val="%1.%2.%3.%4.%5.%6.%7.%8.%9"/>
      <w:lvlJc w:val="left"/>
      <w:pPr>
        <w:ind w:left="5101" w:hanging="1700"/>
      </w:pPr>
    </w:lvl>
  </w:abstractNum>
  <w:abstractNum w:abstractNumId="5">
    <w:nsid w:val="61BD6C99"/>
    <w:multiLevelType w:val="multilevel"/>
    <w:tmpl w:val="61BD6C99"/>
    <w:lvl w:ilvl="0" w:tentative="0">
      <w:start w:val="1"/>
      <w:numFmt w:val="lowerRoman"/>
      <w:pStyle w:val="154"/>
      <w:lvlText w:val="(%1)"/>
      <w:lvlJc w:val="left"/>
      <w:pPr>
        <w:ind w:left="1560" w:hanging="7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pStyle w:val="136"/>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6">
    <w:nsid w:val="62687BB6"/>
    <w:multiLevelType w:val="multilevel"/>
    <w:tmpl w:val="62687BB6"/>
    <w:lvl w:ilvl="0" w:tentative="0">
      <w:start w:val="1"/>
      <w:numFmt w:val="decimal"/>
      <w:pStyle w:val="141"/>
      <w:lvlText w:val="附件%1"/>
      <w:lvlJc w:val="left"/>
      <w:pPr>
        <w:ind w:left="3681" w:hanging="420"/>
      </w:pPr>
      <w:rPr>
        <w:sz w:val="30"/>
        <w:szCs w:val="30"/>
      </w:rPr>
    </w:lvl>
    <w:lvl w:ilvl="1" w:tentative="0">
      <w:start w:val="1"/>
      <w:numFmt w:val="lowerLetter"/>
      <w:pStyle w:val="144"/>
      <w:lvlText w:val="%2)"/>
      <w:lvlJc w:val="left"/>
      <w:pPr>
        <w:ind w:left="983" w:hanging="420"/>
      </w:pPr>
    </w:lvl>
    <w:lvl w:ilvl="2" w:tentative="0">
      <w:start w:val="1"/>
      <w:numFmt w:val="lowerRoman"/>
      <w:pStyle w:val="153"/>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abstractNum w:abstractNumId="7">
    <w:nsid w:val="6D533D9B"/>
    <w:multiLevelType w:val="singleLevel"/>
    <w:tmpl w:val="6D533D9B"/>
    <w:lvl w:ilvl="0" w:tentative="0">
      <w:start w:val="1"/>
      <w:numFmt w:val="decimal"/>
      <w:suff w:val="nothing"/>
      <w:lvlText w:val="%1、"/>
      <w:lvlJc w:val="left"/>
    </w:lvl>
  </w:abstractNum>
  <w:abstractNum w:abstractNumId="8">
    <w:nsid w:val="6E87019F"/>
    <w:multiLevelType w:val="multilevel"/>
    <w:tmpl w:val="6E87019F"/>
    <w:lvl w:ilvl="0" w:tentative="0">
      <w:start w:val="1"/>
      <w:numFmt w:val="chineseCountingThousand"/>
      <w:lvlText w:val="%1、"/>
      <w:lvlJc w:val="left"/>
      <w:pPr>
        <w:ind w:left="425" w:hanging="425"/>
      </w:pPr>
    </w:lvl>
    <w:lvl w:ilvl="1" w:tentative="0">
      <w:start w:val="1"/>
      <w:numFmt w:val="decimal"/>
      <w:lvlText w:val="%1.%2"/>
      <w:lvlJc w:val="left"/>
      <w:pPr>
        <w:ind w:left="992" w:hanging="567"/>
      </w:pPr>
    </w:lvl>
    <w:lvl w:ilvl="2" w:tentative="0">
      <w:start w:val="1"/>
      <w:numFmt w:val="decimal"/>
      <w:pStyle w:val="149"/>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9">
    <w:nsid w:val="72DF347D"/>
    <w:multiLevelType w:val="multilevel"/>
    <w:tmpl w:val="72DF347D"/>
    <w:lvl w:ilvl="0" w:tentative="0">
      <w:start w:val="1"/>
      <w:numFmt w:val="decimal"/>
      <w:pStyle w:val="157"/>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113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7543651A"/>
    <w:multiLevelType w:val="multilevel"/>
    <w:tmpl w:val="7543651A"/>
    <w:lvl w:ilvl="0" w:tentative="0">
      <w:start w:val="1"/>
      <w:numFmt w:val="lowerLetter"/>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pStyle w:val="147"/>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7C4410C1"/>
    <w:multiLevelType w:val="multilevel"/>
    <w:tmpl w:val="7C4410C1"/>
    <w:lvl w:ilvl="0" w:tentative="0">
      <w:start w:val="5"/>
      <w:numFmt w:val="bullet"/>
      <w:lvlText w:val="□"/>
      <w:lvlJc w:val="left"/>
      <w:pPr>
        <w:tabs>
          <w:tab w:val="left" w:pos="360"/>
        </w:tabs>
        <w:ind w:left="360" w:hanging="360"/>
      </w:pPr>
      <w:rPr>
        <w:rFonts w:hint="eastAsia" w:ascii="宋体" w:hAnsi="宋体" w:eastAsia="宋体" w:cs="Times New Roman"/>
      </w:rPr>
    </w:lvl>
    <w:lvl w:ilvl="1" w:tentative="0">
      <w:start w:val="1"/>
      <w:numFmt w:val="bullet"/>
      <w:pStyle w:val="158"/>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pStyle w:val="152"/>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2"/>
    <w:lvlOverride w:ilvl="0">
      <w:lvl w:ilvl="0" w:tentative="1">
        <w:start w:val="1"/>
        <w:numFmt w:val="decimal"/>
        <w:pStyle w:val="134"/>
        <w:lvlText w:val="第%1条"/>
        <w:lvlJc w:val="left"/>
        <w:pPr>
          <w:ind w:left="0" w:firstLine="0"/>
        </w:pPr>
      </w:lvl>
    </w:lvlOverride>
    <w:lvlOverride w:ilvl="1">
      <w:lvl w:ilvl="1" w:tentative="1">
        <w:start w:val="1"/>
        <w:numFmt w:val="decimal"/>
        <w:lvlText w:val="%1.%2"/>
        <w:lvlJc w:val="left"/>
        <w:pPr>
          <w:ind w:left="1843" w:firstLine="0"/>
        </w:pPr>
      </w:lvl>
    </w:lvlOverride>
    <w:lvlOverride w:ilvl="2">
      <w:lvl w:ilvl="2" w:tentative="1">
        <w:start w:val="1"/>
        <w:numFmt w:val="decimal"/>
        <w:pStyle w:val="130"/>
        <w:lvlText w:val="%1.%2.%3"/>
        <w:lvlJc w:val="left"/>
        <w:pPr>
          <w:ind w:left="2126" w:firstLine="0"/>
        </w:pPr>
      </w:lvl>
    </w:lvlOverride>
    <w:lvlOverride w:ilvl="3">
      <w:lvl w:ilvl="3" w:tentative="1">
        <w:start w:val="1"/>
        <w:numFmt w:val="decimal"/>
        <w:lvlText w:val="%1.%2.%3.%4"/>
        <w:lvlJc w:val="left"/>
        <w:pPr>
          <w:ind w:left="710" w:firstLine="0"/>
        </w:pPr>
      </w:lvl>
    </w:lvlOverride>
    <w:lvlOverride w:ilvl="4">
      <w:lvl w:ilvl="4" w:tentative="1">
        <w:start w:val="1"/>
        <w:numFmt w:val="decimal"/>
        <w:lvlText w:val="%1.%2.%3.%4.%5"/>
        <w:lvlJc w:val="left"/>
        <w:pPr>
          <w:ind w:left="0" w:firstLine="0"/>
        </w:pPr>
      </w:lvl>
    </w:lvlOverride>
    <w:lvlOverride w:ilvl="5">
      <w:lvl w:ilvl="5" w:tentative="1">
        <w:start w:val="1"/>
        <w:numFmt w:val="decimal"/>
        <w:lvlText w:val="%1.%2.%3.%4.%5.%6"/>
        <w:lvlJc w:val="left"/>
        <w:pPr>
          <w:ind w:left="0" w:firstLine="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2">
    <w:abstractNumId w:val="5"/>
  </w:num>
  <w:num w:numId="3">
    <w:abstractNumId w:val="1"/>
  </w:num>
  <w:num w:numId="4">
    <w:abstractNumId w:val="6"/>
  </w:num>
  <w:num w:numId="5">
    <w:abstractNumId w:val="3"/>
  </w:num>
  <w:num w:numId="6">
    <w:abstractNumId w:val="4"/>
  </w:num>
  <w:num w:numId="7">
    <w:abstractNumId w:val="10"/>
  </w:num>
  <w:num w:numId="8">
    <w:abstractNumId w:val="2"/>
    <w:lvlOverride w:ilvl="0">
      <w:lvl w:ilvl="0" w:tentative="1">
        <w:start w:val="1"/>
        <w:numFmt w:val="decimal"/>
        <w:pStyle w:val="148"/>
        <w:lvlText w:val="第%1条"/>
        <w:lvlJc w:val="left"/>
        <w:pPr>
          <w:ind w:left="0" w:firstLine="0"/>
        </w:pPr>
      </w:lvl>
    </w:lvlOverride>
    <w:lvlOverride w:ilvl="1">
      <w:lvl w:ilvl="1" w:tentative="1">
        <w:start w:val="1"/>
        <w:numFmt w:val="decimal"/>
        <w:lvlText w:val="%1.%2"/>
        <w:lvlJc w:val="left"/>
        <w:pPr>
          <w:ind w:left="0" w:firstLine="0"/>
        </w:pPr>
      </w:lvl>
    </w:lvlOverride>
    <w:lvlOverride w:ilvl="2">
      <w:lvl w:ilvl="2" w:tentative="1">
        <w:start w:val="1"/>
        <w:numFmt w:val="decimal"/>
        <w:lvlText w:val="%1.%2.%3"/>
        <w:lvlJc w:val="left"/>
        <w:pPr>
          <w:ind w:left="0" w:firstLine="0"/>
        </w:pPr>
      </w:lvl>
    </w:lvlOverride>
    <w:lvlOverride w:ilvl="3">
      <w:lvl w:ilvl="3" w:tentative="1">
        <w:start w:val="1"/>
        <w:numFmt w:val="decimal"/>
        <w:lvlText w:val="%1.%2.%3.%4"/>
        <w:lvlJc w:val="left"/>
        <w:pPr>
          <w:ind w:left="0" w:firstLine="0"/>
        </w:pPr>
      </w:lvl>
    </w:lvlOverride>
    <w:lvlOverride w:ilvl="4">
      <w:lvl w:ilvl="4" w:tentative="1">
        <w:start w:val="1"/>
        <w:numFmt w:val="decimal"/>
        <w:lvlText w:val="(%5)"/>
        <w:lvlJc w:val="left"/>
        <w:pPr>
          <w:ind w:left="310" w:firstLine="400"/>
        </w:pPr>
      </w:lvl>
    </w:lvlOverride>
    <w:lvlOverride w:ilvl="5">
      <w:lvl w:ilvl="5" w:tentative="1">
        <w:start w:val="1"/>
        <w:numFmt w:val="decimal"/>
        <w:lvlText w:val="%6)"/>
        <w:lvlJc w:val="left"/>
        <w:pPr>
          <w:ind w:left="0" w:firstLine="48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9">
    <w:abstractNumId w:val="8"/>
  </w:num>
  <w:num w:numId="10">
    <w:abstractNumId w:val="11"/>
  </w:num>
  <w:num w:numId="11">
    <w:abstractNumId w:val="9"/>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layout v:ext="edit">
      <o:idmap v:ext="edit" data="3,4,5,6"/>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ExMTdmYjkzYWE3Y2E2MTUwNWI3YjFiZjk1YzlkMDQifQ=="/>
  </w:docVars>
  <w:rsids>
    <w:rsidRoot w:val="00172A27"/>
    <w:rsid w:val="000004F0"/>
    <w:rsid w:val="000041E8"/>
    <w:rsid w:val="000079D4"/>
    <w:rsid w:val="000126EC"/>
    <w:rsid w:val="000155CE"/>
    <w:rsid w:val="00021026"/>
    <w:rsid w:val="0002439D"/>
    <w:rsid w:val="00027CAA"/>
    <w:rsid w:val="00030627"/>
    <w:rsid w:val="000343DB"/>
    <w:rsid w:val="00034654"/>
    <w:rsid w:val="000352B6"/>
    <w:rsid w:val="00035EF8"/>
    <w:rsid w:val="000378FE"/>
    <w:rsid w:val="00043754"/>
    <w:rsid w:val="00063326"/>
    <w:rsid w:val="00063E3B"/>
    <w:rsid w:val="00066D8F"/>
    <w:rsid w:val="00072DF0"/>
    <w:rsid w:val="00080748"/>
    <w:rsid w:val="000808B1"/>
    <w:rsid w:val="00086A61"/>
    <w:rsid w:val="0009058E"/>
    <w:rsid w:val="000919B5"/>
    <w:rsid w:val="00092DE0"/>
    <w:rsid w:val="00097508"/>
    <w:rsid w:val="000A1BD9"/>
    <w:rsid w:val="000A49FB"/>
    <w:rsid w:val="000A57B9"/>
    <w:rsid w:val="000A6330"/>
    <w:rsid w:val="000B557B"/>
    <w:rsid w:val="000B7985"/>
    <w:rsid w:val="000B7EC5"/>
    <w:rsid w:val="000D089D"/>
    <w:rsid w:val="000D3E7F"/>
    <w:rsid w:val="000D49E5"/>
    <w:rsid w:val="000D7656"/>
    <w:rsid w:val="000E3618"/>
    <w:rsid w:val="000E453A"/>
    <w:rsid w:val="000F09DC"/>
    <w:rsid w:val="000F17D7"/>
    <w:rsid w:val="000F2E42"/>
    <w:rsid w:val="000F3B94"/>
    <w:rsid w:val="000F60D7"/>
    <w:rsid w:val="00100476"/>
    <w:rsid w:val="001011C3"/>
    <w:rsid w:val="00110256"/>
    <w:rsid w:val="00111815"/>
    <w:rsid w:val="0011786D"/>
    <w:rsid w:val="00117E47"/>
    <w:rsid w:val="00117E61"/>
    <w:rsid w:val="00124FB7"/>
    <w:rsid w:val="0012760A"/>
    <w:rsid w:val="00127D70"/>
    <w:rsid w:val="00131391"/>
    <w:rsid w:val="001348F8"/>
    <w:rsid w:val="00136263"/>
    <w:rsid w:val="00147E59"/>
    <w:rsid w:val="00153558"/>
    <w:rsid w:val="001544E2"/>
    <w:rsid w:val="00156215"/>
    <w:rsid w:val="00161402"/>
    <w:rsid w:val="001641BE"/>
    <w:rsid w:val="00165293"/>
    <w:rsid w:val="0016770D"/>
    <w:rsid w:val="00173EAF"/>
    <w:rsid w:val="00175604"/>
    <w:rsid w:val="00196A14"/>
    <w:rsid w:val="001A0B36"/>
    <w:rsid w:val="001A352E"/>
    <w:rsid w:val="001A5619"/>
    <w:rsid w:val="001A70F3"/>
    <w:rsid w:val="001B47FC"/>
    <w:rsid w:val="001B4C0A"/>
    <w:rsid w:val="001C1959"/>
    <w:rsid w:val="001D46F8"/>
    <w:rsid w:val="001D5523"/>
    <w:rsid w:val="001D58EF"/>
    <w:rsid w:val="001D65D7"/>
    <w:rsid w:val="001E5CC5"/>
    <w:rsid w:val="001E68DC"/>
    <w:rsid w:val="001F3A45"/>
    <w:rsid w:val="002044FF"/>
    <w:rsid w:val="0020465B"/>
    <w:rsid w:val="0021464B"/>
    <w:rsid w:val="002171F8"/>
    <w:rsid w:val="002259EE"/>
    <w:rsid w:val="00225F2A"/>
    <w:rsid w:val="00231057"/>
    <w:rsid w:val="00232E3B"/>
    <w:rsid w:val="00247661"/>
    <w:rsid w:val="002478A9"/>
    <w:rsid w:val="00256A0E"/>
    <w:rsid w:val="00256C4C"/>
    <w:rsid w:val="00274C98"/>
    <w:rsid w:val="002804C8"/>
    <w:rsid w:val="002806C7"/>
    <w:rsid w:val="00284490"/>
    <w:rsid w:val="00291715"/>
    <w:rsid w:val="0029486F"/>
    <w:rsid w:val="002A3528"/>
    <w:rsid w:val="002A4A2E"/>
    <w:rsid w:val="002A7B7F"/>
    <w:rsid w:val="002B0929"/>
    <w:rsid w:val="002B4F94"/>
    <w:rsid w:val="002B7F73"/>
    <w:rsid w:val="002C0B67"/>
    <w:rsid w:val="002C26CA"/>
    <w:rsid w:val="002C2706"/>
    <w:rsid w:val="002C4B73"/>
    <w:rsid w:val="002C6C69"/>
    <w:rsid w:val="002D1503"/>
    <w:rsid w:val="002D26A4"/>
    <w:rsid w:val="002E2BA7"/>
    <w:rsid w:val="002E2CC9"/>
    <w:rsid w:val="002E2CE4"/>
    <w:rsid w:val="002E3697"/>
    <w:rsid w:val="002E4BE4"/>
    <w:rsid w:val="002F4B27"/>
    <w:rsid w:val="00311963"/>
    <w:rsid w:val="00311CAA"/>
    <w:rsid w:val="00313C7F"/>
    <w:rsid w:val="003143DC"/>
    <w:rsid w:val="00320173"/>
    <w:rsid w:val="00321034"/>
    <w:rsid w:val="003403F6"/>
    <w:rsid w:val="0034190E"/>
    <w:rsid w:val="00345BC0"/>
    <w:rsid w:val="00351A24"/>
    <w:rsid w:val="003533F7"/>
    <w:rsid w:val="00354D27"/>
    <w:rsid w:val="003566B4"/>
    <w:rsid w:val="0036087A"/>
    <w:rsid w:val="003630A1"/>
    <w:rsid w:val="00366ACB"/>
    <w:rsid w:val="0036705E"/>
    <w:rsid w:val="003718DB"/>
    <w:rsid w:val="00373547"/>
    <w:rsid w:val="003776A7"/>
    <w:rsid w:val="00377715"/>
    <w:rsid w:val="00385882"/>
    <w:rsid w:val="00390AB1"/>
    <w:rsid w:val="003A40F1"/>
    <w:rsid w:val="003A741F"/>
    <w:rsid w:val="003A7D02"/>
    <w:rsid w:val="003B242A"/>
    <w:rsid w:val="003B4C79"/>
    <w:rsid w:val="003B59CC"/>
    <w:rsid w:val="003B6002"/>
    <w:rsid w:val="003B7988"/>
    <w:rsid w:val="003C22D9"/>
    <w:rsid w:val="003C4F98"/>
    <w:rsid w:val="003C59DC"/>
    <w:rsid w:val="003C5AE6"/>
    <w:rsid w:val="003C5FF2"/>
    <w:rsid w:val="003C6880"/>
    <w:rsid w:val="003D4731"/>
    <w:rsid w:val="003D6E9F"/>
    <w:rsid w:val="003D7860"/>
    <w:rsid w:val="003E22CC"/>
    <w:rsid w:val="003E768D"/>
    <w:rsid w:val="003E7BEE"/>
    <w:rsid w:val="003F6740"/>
    <w:rsid w:val="003F7F86"/>
    <w:rsid w:val="00410268"/>
    <w:rsid w:val="00411E40"/>
    <w:rsid w:val="00413C6A"/>
    <w:rsid w:val="004145F0"/>
    <w:rsid w:val="0041780D"/>
    <w:rsid w:val="00421F4F"/>
    <w:rsid w:val="004315FE"/>
    <w:rsid w:val="004318D0"/>
    <w:rsid w:val="00437247"/>
    <w:rsid w:val="00444E02"/>
    <w:rsid w:val="004473E9"/>
    <w:rsid w:val="004502C1"/>
    <w:rsid w:val="00451AC5"/>
    <w:rsid w:val="004545DA"/>
    <w:rsid w:val="004624CB"/>
    <w:rsid w:val="0046445C"/>
    <w:rsid w:val="00466A5D"/>
    <w:rsid w:val="00470D86"/>
    <w:rsid w:val="004819B4"/>
    <w:rsid w:val="00481C92"/>
    <w:rsid w:val="00481CEE"/>
    <w:rsid w:val="00482507"/>
    <w:rsid w:val="0048505B"/>
    <w:rsid w:val="00485EC9"/>
    <w:rsid w:val="00487CF2"/>
    <w:rsid w:val="00490ACF"/>
    <w:rsid w:val="004971D0"/>
    <w:rsid w:val="004973C8"/>
    <w:rsid w:val="00497458"/>
    <w:rsid w:val="00497871"/>
    <w:rsid w:val="004A246A"/>
    <w:rsid w:val="004A4D95"/>
    <w:rsid w:val="004A7D73"/>
    <w:rsid w:val="004B42C4"/>
    <w:rsid w:val="004B556C"/>
    <w:rsid w:val="004B614C"/>
    <w:rsid w:val="004C5DB9"/>
    <w:rsid w:val="004D014E"/>
    <w:rsid w:val="004D28EF"/>
    <w:rsid w:val="004D50C1"/>
    <w:rsid w:val="004D6B6B"/>
    <w:rsid w:val="004E4749"/>
    <w:rsid w:val="004E5FB4"/>
    <w:rsid w:val="004F48C0"/>
    <w:rsid w:val="005003DF"/>
    <w:rsid w:val="00500D97"/>
    <w:rsid w:val="005137B3"/>
    <w:rsid w:val="0051643A"/>
    <w:rsid w:val="005179B2"/>
    <w:rsid w:val="005233E0"/>
    <w:rsid w:val="00527D00"/>
    <w:rsid w:val="005354A0"/>
    <w:rsid w:val="00537E4C"/>
    <w:rsid w:val="005400E1"/>
    <w:rsid w:val="005409B8"/>
    <w:rsid w:val="00540BDD"/>
    <w:rsid w:val="00541D3C"/>
    <w:rsid w:val="005447DF"/>
    <w:rsid w:val="005536CE"/>
    <w:rsid w:val="005562DA"/>
    <w:rsid w:val="00566D77"/>
    <w:rsid w:val="00575E3A"/>
    <w:rsid w:val="00577205"/>
    <w:rsid w:val="005841CE"/>
    <w:rsid w:val="005855AF"/>
    <w:rsid w:val="005876C7"/>
    <w:rsid w:val="005876F2"/>
    <w:rsid w:val="005878FC"/>
    <w:rsid w:val="005922C6"/>
    <w:rsid w:val="00596213"/>
    <w:rsid w:val="005B0277"/>
    <w:rsid w:val="005B51BA"/>
    <w:rsid w:val="005B5B33"/>
    <w:rsid w:val="005B7101"/>
    <w:rsid w:val="005B7487"/>
    <w:rsid w:val="005C5468"/>
    <w:rsid w:val="005C7EA1"/>
    <w:rsid w:val="005D2207"/>
    <w:rsid w:val="005E0CE4"/>
    <w:rsid w:val="005F6ACF"/>
    <w:rsid w:val="005F7448"/>
    <w:rsid w:val="00601011"/>
    <w:rsid w:val="006060B6"/>
    <w:rsid w:val="0061017A"/>
    <w:rsid w:val="0062135C"/>
    <w:rsid w:val="0062344F"/>
    <w:rsid w:val="00623887"/>
    <w:rsid w:val="00626A36"/>
    <w:rsid w:val="00635DB0"/>
    <w:rsid w:val="006661B7"/>
    <w:rsid w:val="0066622B"/>
    <w:rsid w:val="006751E1"/>
    <w:rsid w:val="00677AA0"/>
    <w:rsid w:val="00682DC9"/>
    <w:rsid w:val="006909CA"/>
    <w:rsid w:val="00694133"/>
    <w:rsid w:val="00694C9C"/>
    <w:rsid w:val="00695F2A"/>
    <w:rsid w:val="00697EBE"/>
    <w:rsid w:val="006A08EC"/>
    <w:rsid w:val="006A38E4"/>
    <w:rsid w:val="006B2FDB"/>
    <w:rsid w:val="006B73BB"/>
    <w:rsid w:val="006C1F49"/>
    <w:rsid w:val="006C5351"/>
    <w:rsid w:val="006D2737"/>
    <w:rsid w:val="006F2EFE"/>
    <w:rsid w:val="006F3B94"/>
    <w:rsid w:val="006F66EE"/>
    <w:rsid w:val="006F6E24"/>
    <w:rsid w:val="0070142C"/>
    <w:rsid w:val="00701D33"/>
    <w:rsid w:val="00707A6C"/>
    <w:rsid w:val="00710913"/>
    <w:rsid w:val="00716918"/>
    <w:rsid w:val="00720501"/>
    <w:rsid w:val="00720942"/>
    <w:rsid w:val="0072125E"/>
    <w:rsid w:val="00722EE9"/>
    <w:rsid w:val="00723316"/>
    <w:rsid w:val="00723C16"/>
    <w:rsid w:val="00724A0C"/>
    <w:rsid w:val="0072731B"/>
    <w:rsid w:val="007309A3"/>
    <w:rsid w:val="00735A30"/>
    <w:rsid w:val="00740C6C"/>
    <w:rsid w:val="00744AED"/>
    <w:rsid w:val="00744CB3"/>
    <w:rsid w:val="00753E46"/>
    <w:rsid w:val="0076612A"/>
    <w:rsid w:val="00770008"/>
    <w:rsid w:val="0077126E"/>
    <w:rsid w:val="007717C4"/>
    <w:rsid w:val="00772A2E"/>
    <w:rsid w:val="00777352"/>
    <w:rsid w:val="007801C2"/>
    <w:rsid w:val="00782E98"/>
    <w:rsid w:val="00784ABA"/>
    <w:rsid w:val="0079172D"/>
    <w:rsid w:val="007926AE"/>
    <w:rsid w:val="00796CD9"/>
    <w:rsid w:val="007A0A18"/>
    <w:rsid w:val="007A4870"/>
    <w:rsid w:val="007A5156"/>
    <w:rsid w:val="007B432E"/>
    <w:rsid w:val="007B58BD"/>
    <w:rsid w:val="007B6093"/>
    <w:rsid w:val="007C554A"/>
    <w:rsid w:val="007D0051"/>
    <w:rsid w:val="007D058C"/>
    <w:rsid w:val="007D1C6A"/>
    <w:rsid w:val="007D1F7D"/>
    <w:rsid w:val="007D2F50"/>
    <w:rsid w:val="007D3C87"/>
    <w:rsid w:val="007D5AC4"/>
    <w:rsid w:val="007D5FCB"/>
    <w:rsid w:val="007E0662"/>
    <w:rsid w:val="007E083B"/>
    <w:rsid w:val="007E1FBD"/>
    <w:rsid w:val="007E2B9E"/>
    <w:rsid w:val="007E401E"/>
    <w:rsid w:val="007E5D6B"/>
    <w:rsid w:val="007F2185"/>
    <w:rsid w:val="007F3CC6"/>
    <w:rsid w:val="007F57E1"/>
    <w:rsid w:val="007F62FE"/>
    <w:rsid w:val="007F7915"/>
    <w:rsid w:val="00802A17"/>
    <w:rsid w:val="00805E94"/>
    <w:rsid w:val="0080621B"/>
    <w:rsid w:val="008067F1"/>
    <w:rsid w:val="00807879"/>
    <w:rsid w:val="00813651"/>
    <w:rsid w:val="00824872"/>
    <w:rsid w:val="00826CA2"/>
    <w:rsid w:val="00827B47"/>
    <w:rsid w:val="00831139"/>
    <w:rsid w:val="008315AF"/>
    <w:rsid w:val="00832D50"/>
    <w:rsid w:val="00832F17"/>
    <w:rsid w:val="00834B55"/>
    <w:rsid w:val="00836F8A"/>
    <w:rsid w:val="0083730E"/>
    <w:rsid w:val="008438E8"/>
    <w:rsid w:val="00844388"/>
    <w:rsid w:val="008458E1"/>
    <w:rsid w:val="00852E43"/>
    <w:rsid w:val="008536D7"/>
    <w:rsid w:val="008646D0"/>
    <w:rsid w:val="008654D0"/>
    <w:rsid w:val="00865AAD"/>
    <w:rsid w:val="00867B63"/>
    <w:rsid w:val="0087011F"/>
    <w:rsid w:val="00873704"/>
    <w:rsid w:val="00877305"/>
    <w:rsid w:val="008800C1"/>
    <w:rsid w:val="008843D1"/>
    <w:rsid w:val="00894B61"/>
    <w:rsid w:val="00894F72"/>
    <w:rsid w:val="0089552C"/>
    <w:rsid w:val="008A6D4B"/>
    <w:rsid w:val="008B3E3C"/>
    <w:rsid w:val="008B4733"/>
    <w:rsid w:val="008C1404"/>
    <w:rsid w:val="008D4A04"/>
    <w:rsid w:val="008D4A8D"/>
    <w:rsid w:val="008D5509"/>
    <w:rsid w:val="008E0ABA"/>
    <w:rsid w:val="008E1004"/>
    <w:rsid w:val="008E3074"/>
    <w:rsid w:val="008E319E"/>
    <w:rsid w:val="008E3456"/>
    <w:rsid w:val="008E3DE3"/>
    <w:rsid w:val="008E4B67"/>
    <w:rsid w:val="008E4D50"/>
    <w:rsid w:val="008E57AB"/>
    <w:rsid w:val="008F118A"/>
    <w:rsid w:val="008F7743"/>
    <w:rsid w:val="00911E43"/>
    <w:rsid w:val="009242CA"/>
    <w:rsid w:val="00924D07"/>
    <w:rsid w:val="009340D1"/>
    <w:rsid w:val="009418AB"/>
    <w:rsid w:val="00946875"/>
    <w:rsid w:val="00946FB9"/>
    <w:rsid w:val="00953C56"/>
    <w:rsid w:val="0095465B"/>
    <w:rsid w:val="00955297"/>
    <w:rsid w:val="00960E20"/>
    <w:rsid w:val="00961DC6"/>
    <w:rsid w:val="00962BAC"/>
    <w:rsid w:val="00974180"/>
    <w:rsid w:val="0097558F"/>
    <w:rsid w:val="00993DC6"/>
    <w:rsid w:val="00997DA9"/>
    <w:rsid w:val="009A13A4"/>
    <w:rsid w:val="009B0965"/>
    <w:rsid w:val="009C47F0"/>
    <w:rsid w:val="009C4D65"/>
    <w:rsid w:val="009C56D9"/>
    <w:rsid w:val="009D4756"/>
    <w:rsid w:val="009E4B82"/>
    <w:rsid w:val="009E776A"/>
    <w:rsid w:val="009F136C"/>
    <w:rsid w:val="009F1E6D"/>
    <w:rsid w:val="009F741A"/>
    <w:rsid w:val="00A026EC"/>
    <w:rsid w:val="00A10EC0"/>
    <w:rsid w:val="00A13C3F"/>
    <w:rsid w:val="00A15EB9"/>
    <w:rsid w:val="00A1625D"/>
    <w:rsid w:val="00A16337"/>
    <w:rsid w:val="00A24156"/>
    <w:rsid w:val="00A31748"/>
    <w:rsid w:val="00A42818"/>
    <w:rsid w:val="00A431B2"/>
    <w:rsid w:val="00A44992"/>
    <w:rsid w:val="00A50F3D"/>
    <w:rsid w:val="00A52B74"/>
    <w:rsid w:val="00A556D8"/>
    <w:rsid w:val="00A5706F"/>
    <w:rsid w:val="00A57994"/>
    <w:rsid w:val="00A611DA"/>
    <w:rsid w:val="00A614FD"/>
    <w:rsid w:val="00A61ABF"/>
    <w:rsid w:val="00A623FD"/>
    <w:rsid w:val="00A644C4"/>
    <w:rsid w:val="00A67E0F"/>
    <w:rsid w:val="00A7262C"/>
    <w:rsid w:val="00A737AD"/>
    <w:rsid w:val="00A853BF"/>
    <w:rsid w:val="00A9202D"/>
    <w:rsid w:val="00A9517F"/>
    <w:rsid w:val="00A95BC5"/>
    <w:rsid w:val="00A9763C"/>
    <w:rsid w:val="00AA2079"/>
    <w:rsid w:val="00AA2385"/>
    <w:rsid w:val="00AA48C1"/>
    <w:rsid w:val="00AA7363"/>
    <w:rsid w:val="00AB0397"/>
    <w:rsid w:val="00AB7C82"/>
    <w:rsid w:val="00AC11A7"/>
    <w:rsid w:val="00AC30AC"/>
    <w:rsid w:val="00AC3D21"/>
    <w:rsid w:val="00AC6C97"/>
    <w:rsid w:val="00AD1F46"/>
    <w:rsid w:val="00AD5075"/>
    <w:rsid w:val="00AD74C9"/>
    <w:rsid w:val="00B04972"/>
    <w:rsid w:val="00B061FA"/>
    <w:rsid w:val="00B10EAF"/>
    <w:rsid w:val="00B13DC8"/>
    <w:rsid w:val="00B16574"/>
    <w:rsid w:val="00B16AD0"/>
    <w:rsid w:val="00B20F81"/>
    <w:rsid w:val="00B213A3"/>
    <w:rsid w:val="00B229BF"/>
    <w:rsid w:val="00B300AA"/>
    <w:rsid w:val="00B35917"/>
    <w:rsid w:val="00B429B1"/>
    <w:rsid w:val="00B46A1F"/>
    <w:rsid w:val="00B52554"/>
    <w:rsid w:val="00B540FB"/>
    <w:rsid w:val="00B543BA"/>
    <w:rsid w:val="00B54DDB"/>
    <w:rsid w:val="00B6029A"/>
    <w:rsid w:val="00B61318"/>
    <w:rsid w:val="00B61CE3"/>
    <w:rsid w:val="00B63995"/>
    <w:rsid w:val="00B6660C"/>
    <w:rsid w:val="00B66FDA"/>
    <w:rsid w:val="00B85C3E"/>
    <w:rsid w:val="00B8691E"/>
    <w:rsid w:val="00B94D02"/>
    <w:rsid w:val="00BA722E"/>
    <w:rsid w:val="00BC092F"/>
    <w:rsid w:val="00BC7B77"/>
    <w:rsid w:val="00BD0FFC"/>
    <w:rsid w:val="00BD2191"/>
    <w:rsid w:val="00BD3BA2"/>
    <w:rsid w:val="00BD7F3F"/>
    <w:rsid w:val="00BE1F9F"/>
    <w:rsid w:val="00BE35DD"/>
    <w:rsid w:val="00BF12BB"/>
    <w:rsid w:val="00BF1FC9"/>
    <w:rsid w:val="00BF31BF"/>
    <w:rsid w:val="00C010EF"/>
    <w:rsid w:val="00C03CE2"/>
    <w:rsid w:val="00C06E32"/>
    <w:rsid w:val="00C166B6"/>
    <w:rsid w:val="00C209D0"/>
    <w:rsid w:val="00C217B0"/>
    <w:rsid w:val="00C22C67"/>
    <w:rsid w:val="00C24BD1"/>
    <w:rsid w:val="00C34BD4"/>
    <w:rsid w:val="00C352F0"/>
    <w:rsid w:val="00C35457"/>
    <w:rsid w:val="00C35A64"/>
    <w:rsid w:val="00C35D79"/>
    <w:rsid w:val="00C36E91"/>
    <w:rsid w:val="00C458EA"/>
    <w:rsid w:val="00C45E34"/>
    <w:rsid w:val="00C51E72"/>
    <w:rsid w:val="00C5377A"/>
    <w:rsid w:val="00C54F0E"/>
    <w:rsid w:val="00C5773D"/>
    <w:rsid w:val="00C702E9"/>
    <w:rsid w:val="00C70363"/>
    <w:rsid w:val="00C712F6"/>
    <w:rsid w:val="00C833EC"/>
    <w:rsid w:val="00C849BF"/>
    <w:rsid w:val="00C8518B"/>
    <w:rsid w:val="00C856C2"/>
    <w:rsid w:val="00C97D9C"/>
    <w:rsid w:val="00CA02BC"/>
    <w:rsid w:val="00CA1479"/>
    <w:rsid w:val="00CA1907"/>
    <w:rsid w:val="00CA50DC"/>
    <w:rsid w:val="00CA605B"/>
    <w:rsid w:val="00CA619C"/>
    <w:rsid w:val="00CB298C"/>
    <w:rsid w:val="00CC22DD"/>
    <w:rsid w:val="00CD2C6D"/>
    <w:rsid w:val="00D02666"/>
    <w:rsid w:val="00D07110"/>
    <w:rsid w:val="00D134EF"/>
    <w:rsid w:val="00D20C7F"/>
    <w:rsid w:val="00D23BA6"/>
    <w:rsid w:val="00D24D4A"/>
    <w:rsid w:val="00D25D92"/>
    <w:rsid w:val="00D264AE"/>
    <w:rsid w:val="00D266F0"/>
    <w:rsid w:val="00D303E0"/>
    <w:rsid w:val="00D321D5"/>
    <w:rsid w:val="00D363FA"/>
    <w:rsid w:val="00D44BAD"/>
    <w:rsid w:val="00D473F7"/>
    <w:rsid w:val="00D5176F"/>
    <w:rsid w:val="00D54A26"/>
    <w:rsid w:val="00D60BA8"/>
    <w:rsid w:val="00D621D2"/>
    <w:rsid w:val="00D64E21"/>
    <w:rsid w:val="00D66887"/>
    <w:rsid w:val="00D71785"/>
    <w:rsid w:val="00D76429"/>
    <w:rsid w:val="00D942B4"/>
    <w:rsid w:val="00D95027"/>
    <w:rsid w:val="00D9560C"/>
    <w:rsid w:val="00D97683"/>
    <w:rsid w:val="00DA44DC"/>
    <w:rsid w:val="00DA7A96"/>
    <w:rsid w:val="00DB2FCA"/>
    <w:rsid w:val="00DB4EE8"/>
    <w:rsid w:val="00DB4F8A"/>
    <w:rsid w:val="00DB7664"/>
    <w:rsid w:val="00DD7B57"/>
    <w:rsid w:val="00DD7CD5"/>
    <w:rsid w:val="00DE0D8D"/>
    <w:rsid w:val="00DF2B25"/>
    <w:rsid w:val="00DF3860"/>
    <w:rsid w:val="00DF7FAF"/>
    <w:rsid w:val="00E03CC4"/>
    <w:rsid w:val="00E0696D"/>
    <w:rsid w:val="00E10758"/>
    <w:rsid w:val="00E128E8"/>
    <w:rsid w:val="00E14551"/>
    <w:rsid w:val="00E24DA3"/>
    <w:rsid w:val="00E31328"/>
    <w:rsid w:val="00E3197C"/>
    <w:rsid w:val="00E32056"/>
    <w:rsid w:val="00E32A7F"/>
    <w:rsid w:val="00E37E97"/>
    <w:rsid w:val="00E41F50"/>
    <w:rsid w:val="00E454E0"/>
    <w:rsid w:val="00E71BA7"/>
    <w:rsid w:val="00E725B3"/>
    <w:rsid w:val="00E738EE"/>
    <w:rsid w:val="00E76878"/>
    <w:rsid w:val="00E81450"/>
    <w:rsid w:val="00E829FB"/>
    <w:rsid w:val="00E8658C"/>
    <w:rsid w:val="00E91AA5"/>
    <w:rsid w:val="00E9449B"/>
    <w:rsid w:val="00EB3FF6"/>
    <w:rsid w:val="00EB4C23"/>
    <w:rsid w:val="00EB76DF"/>
    <w:rsid w:val="00EC07C9"/>
    <w:rsid w:val="00EC5A16"/>
    <w:rsid w:val="00EC7476"/>
    <w:rsid w:val="00EC7605"/>
    <w:rsid w:val="00ED14CA"/>
    <w:rsid w:val="00ED5801"/>
    <w:rsid w:val="00EE23C3"/>
    <w:rsid w:val="00EE2FAF"/>
    <w:rsid w:val="00F01A21"/>
    <w:rsid w:val="00F1362D"/>
    <w:rsid w:val="00F22B31"/>
    <w:rsid w:val="00F267D7"/>
    <w:rsid w:val="00F35B3F"/>
    <w:rsid w:val="00F415ED"/>
    <w:rsid w:val="00F4269E"/>
    <w:rsid w:val="00F42865"/>
    <w:rsid w:val="00F530E0"/>
    <w:rsid w:val="00F57FDC"/>
    <w:rsid w:val="00F65F8E"/>
    <w:rsid w:val="00F66E80"/>
    <w:rsid w:val="00F76EA2"/>
    <w:rsid w:val="00F84158"/>
    <w:rsid w:val="00F91093"/>
    <w:rsid w:val="00F9347F"/>
    <w:rsid w:val="00F97682"/>
    <w:rsid w:val="00FB764F"/>
    <w:rsid w:val="00FC5721"/>
    <w:rsid w:val="00FC6D49"/>
    <w:rsid w:val="00FD1064"/>
    <w:rsid w:val="00FD463E"/>
    <w:rsid w:val="00FD5794"/>
    <w:rsid w:val="00FE373E"/>
    <w:rsid w:val="00FE3C07"/>
    <w:rsid w:val="00FF1803"/>
    <w:rsid w:val="00FF5DC8"/>
    <w:rsid w:val="01137739"/>
    <w:rsid w:val="016C71F3"/>
    <w:rsid w:val="032913D1"/>
    <w:rsid w:val="038210DA"/>
    <w:rsid w:val="04480860"/>
    <w:rsid w:val="05B253F0"/>
    <w:rsid w:val="070659F4"/>
    <w:rsid w:val="082F37EA"/>
    <w:rsid w:val="0D613984"/>
    <w:rsid w:val="0F360D5F"/>
    <w:rsid w:val="0F457FD1"/>
    <w:rsid w:val="0F50643F"/>
    <w:rsid w:val="0FFC1457"/>
    <w:rsid w:val="105504BB"/>
    <w:rsid w:val="1084059B"/>
    <w:rsid w:val="112665E3"/>
    <w:rsid w:val="12535865"/>
    <w:rsid w:val="125D0492"/>
    <w:rsid w:val="12887C05"/>
    <w:rsid w:val="12FD414F"/>
    <w:rsid w:val="13642DDD"/>
    <w:rsid w:val="14620738"/>
    <w:rsid w:val="14FB6366"/>
    <w:rsid w:val="15270F29"/>
    <w:rsid w:val="15D849FF"/>
    <w:rsid w:val="168E3310"/>
    <w:rsid w:val="177115D5"/>
    <w:rsid w:val="17C729C4"/>
    <w:rsid w:val="1ADE4866"/>
    <w:rsid w:val="1BD023B7"/>
    <w:rsid w:val="1BF6686D"/>
    <w:rsid w:val="1C3109C5"/>
    <w:rsid w:val="1D417C5F"/>
    <w:rsid w:val="1D9C6312"/>
    <w:rsid w:val="21F20BF7"/>
    <w:rsid w:val="22216195"/>
    <w:rsid w:val="23C95987"/>
    <w:rsid w:val="23D000D7"/>
    <w:rsid w:val="24CB4BF8"/>
    <w:rsid w:val="27455C6D"/>
    <w:rsid w:val="27974CD4"/>
    <w:rsid w:val="29AF1496"/>
    <w:rsid w:val="29E973E1"/>
    <w:rsid w:val="2A1B3985"/>
    <w:rsid w:val="2B88437A"/>
    <w:rsid w:val="2D685D06"/>
    <w:rsid w:val="2EE47B19"/>
    <w:rsid w:val="2FE204FD"/>
    <w:rsid w:val="30C11183"/>
    <w:rsid w:val="30DE49BA"/>
    <w:rsid w:val="31837ABD"/>
    <w:rsid w:val="31C1593A"/>
    <w:rsid w:val="324F1302"/>
    <w:rsid w:val="3289303F"/>
    <w:rsid w:val="32931F82"/>
    <w:rsid w:val="33BA5366"/>
    <w:rsid w:val="34B85CD0"/>
    <w:rsid w:val="3524459F"/>
    <w:rsid w:val="35ED1D7F"/>
    <w:rsid w:val="365461BB"/>
    <w:rsid w:val="370428F4"/>
    <w:rsid w:val="372206D5"/>
    <w:rsid w:val="37604154"/>
    <w:rsid w:val="3C032101"/>
    <w:rsid w:val="3C630915"/>
    <w:rsid w:val="3CE6216B"/>
    <w:rsid w:val="3DD22845"/>
    <w:rsid w:val="3E9F7E97"/>
    <w:rsid w:val="3FA81B25"/>
    <w:rsid w:val="406F4DA3"/>
    <w:rsid w:val="40782F75"/>
    <w:rsid w:val="42953641"/>
    <w:rsid w:val="42B34525"/>
    <w:rsid w:val="43912D10"/>
    <w:rsid w:val="439765D1"/>
    <w:rsid w:val="467D0334"/>
    <w:rsid w:val="497F49C1"/>
    <w:rsid w:val="4A4D3E9C"/>
    <w:rsid w:val="4C806C7C"/>
    <w:rsid w:val="4D1D44CA"/>
    <w:rsid w:val="51DF3A1A"/>
    <w:rsid w:val="51F85506"/>
    <w:rsid w:val="527A2BB8"/>
    <w:rsid w:val="52CE1399"/>
    <w:rsid w:val="55A05226"/>
    <w:rsid w:val="55A10D66"/>
    <w:rsid w:val="56700D89"/>
    <w:rsid w:val="585711D8"/>
    <w:rsid w:val="59176EB9"/>
    <w:rsid w:val="5A43633A"/>
    <w:rsid w:val="5AAA16C0"/>
    <w:rsid w:val="5B764CDD"/>
    <w:rsid w:val="5B7A6A20"/>
    <w:rsid w:val="5BC528FD"/>
    <w:rsid w:val="5BFF0AFB"/>
    <w:rsid w:val="5C8066F7"/>
    <w:rsid w:val="5CCE7744"/>
    <w:rsid w:val="5E9A63EC"/>
    <w:rsid w:val="5EE17174"/>
    <w:rsid w:val="63B6265F"/>
    <w:rsid w:val="63F024E1"/>
    <w:rsid w:val="644670B7"/>
    <w:rsid w:val="64BD4ED1"/>
    <w:rsid w:val="65183A9D"/>
    <w:rsid w:val="65412852"/>
    <w:rsid w:val="657D7DA4"/>
    <w:rsid w:val="659678F7"/>
    <w:rsid w:val="67531E82"/>
    <w:rsid w:val="6779459B"/>
    <w:rsid w:val="686048F7"/>
    <w:rsid w:val="697C6400"/>
    <w:rsid w:val="6A0171F6"/>
    <w:rsid w:val="6A154822"/>
    <w:rsid w:val="6ECE1D12"/>
    <w:rsid w:val="6EF2710D"/>
    <w:rsid w:val="72757BF4"/>
    <w:rsid w:val="74D53759"/>
    <w:rsid w:val="74D93943"/>
    <w:rsid w:val="757F69A3"/>
    <w:rsid w:val="78BD69DE"/>
    <w:rsid w:val="78E977D3"/>
    <w:rsid w:val="78FB2838"/>
    <w:rsid w:val="7A637111"/>
    <w:rsid w:val="7ABE6923"/>
    <w:rsid w:val="7C457D32"/>
    <w:rsid w:val="7C8021FC"/>
    <w:rsid w:val="7CDE6EA8"/>
    <w:rsid w:val="7CEA3B1A"/>
    <w:rsid w:val="7DED1B13"/>
    <w:rsid w:val="7E2F2C8B"/>
    <w:rsid w:val="7E66542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qFormat="1" w:uiPriority="0"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00"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0"/>
    <w:qFormat/>
    <w:uiPriority w:val="0"/>
    <w:pPr>
      <w:keepNext/>
      <w:keepLines/>
      <w:spacing w:before="340" w:beforeLines="0" w:after="330" w:afterLines="0" w:line="576" w:lineRule="auto"/>
      <w:outlineLvl w:val="0"/>
    </w:pPr>
    <w:rPr>
      <w:b/>
      <w:bCs/>
      <w:kern w:val="44"/>
      <w:sz w:val="44"/>
      <w:szCs w:val="44"/>
    </w:rPr>
  </w:style>
  <w:style w:type="paragraph" w:styleId="3">
    <w:name w:val="heading 2"/>
    <w:basedOn w:val="1"/>
    <w:next w:val="1"/>
    <w:link w:val="51"/>
    <w:qFormat/>
    <w:uiPriority w:val="0"/>
    <w:pPr>
      <w:keepNext/>
      <w:keepLines/>
      <w:spacing w:before="20" w:beforeLines="20" w:line="240" w:lineRule="auto"/>
      <w:outlineLvl w:val="1"/>
    </w:pPr>
    <w:rPr>
      <w:rFonts w:ascii="Arial" w:hAnsi="Arial" w:eastAsia="黑体"/>
      <w:bCs/>
      <w:sz w:val="24"/>
      <w:szCs w:val="32"/>
    </w:rPr>
  </w:style>
  <w:style w:type="paragraph" w:styleId="4">
    <w:name w:val="heading 3"/>
    <w:basedOn w:val="1"/>
    <w:next w:val="1"/>
    <w:link w:val="52"/>
    <w:qFormat/>
    <w:uiPriority w:val="0"/>
    <w:pPr>
      <w:keepNext/>
      <w:keepLines/>
      <w:spacing w:before="50" w:beforeLines="50" w:line="240" w:lineRule="auto"/>
      <w:outlineLvl w:val="2"/>
    </w:pPr>
    <w:rPr>
      <w:rFonts w:ascii="黑体" w:hAnsi="黑体" w:eastAsia="黑体"/>
    </w:rPr>
  </w:style>
  <w:style w:type="paragraph" w:styleId="5">
    <w:name w:val="heading 4"/>
    <w:basedOn w:val="1"/>
    <w:next w:val="1"/>
    <w:link w:val="53"/>
    <w:qFormat/>
    <w:uiPriority w:val="0"/>
    <w:pPr>
      <w:keepNext/>
      <w:keepLines/>
      <w:spacing w:before="280" w:beforeLines="0" w:after="290" w:afterLines="0" w:line="374" w:lineRule="auto"/>
      <w:outlineLvl w:val="3"/>
    </w:pPr>
    <w:rPr>
      <w:rFonts w:ascii="Arial" w:hAnsi="Arial"/>
      <w:bCs/>
      <w:sz w:val="24"/>
      <w:szCs w:val="28"/>
    </w:rPr>
  </w:style>
  <w:style w:type="paragraph" w:styleId="6">
    <w:name w:val="heading 5"/>
    <w:basedOn w:val="1"/>
    <w:next w:val="1"/>
    <w:link w:val="54"/>
    <w:qFormat/>
    <w:uiPriority w:val="9"/>
    <w:pPr>
      <w:keepNext/>
      <w:keepLines/>
      <w:spacing w:before="280" w:after="290" w:line="376" w:lineRule="auto"/>
      <w:outlineLvl w:val="4"/>
    </w:pPr>
    <w:rPr>
      <w:b/>
      <w:bCs/>
      <w:sz w:val="28"/>
      <w:szCs w:val="28"/>
    </w:rPr>
  </w:style>
  <w:style w:type="paragraph" w:styleId="7">
    <w:name w:val="heading 6"/>
    <w:basedOn w:val="1"/>
    <w:next w:val="1"/>
    <w:qFormat/>
    <w:uiPriority w:val="0"/>
    <w:pPr>
      <w:keepNext/>
      <w:keepLines/>
      <w:widowControl/>
      <w:tabs>
        <w:tab w:val="left" w:pos="1440"/>
      </w:tabs>
      <w:spacing w:before="240" w:beforeLines="0" w:after="64" w:afterLines="0" w:line="319" w:lineRule="auto"/>
      <w:ind w:left="1152" w:hanging="1152"/>
      <w:jc w:val="left"/>
      <w:outlineLvl w:val="5"/>
    </w:pPr>
    <w:rPr>
      <w:rFonts w:ascii="Arial" w:hAnsi="Arial" w:eastAsia="黑体"/>
      <w:bCs/>
      <w:kern w:val="0"/>
      <w:sz w:val="24"/>
    </w:rPr>
  </w:style>
  <w:style w:type="paragraph" w:styleId="8">
    <w:name w:val="heading 7"/>
    <w:basedOn w:val="1"/>
    <w:next w:val="1"/>
    <w:qFormat/>
    <w:uiPriority w:val="0"/>
    <w:pPr>
      <w:keepNext/>
      <w:keepLines/>
      <w:widowControl/>
      <w:tabs>
        <w:tab w:val="left" w:pos="2520"/>
      </w:tabs>
      <w:spacing w:before="240" w:beforeLines="0" w:after="64" w:afterLines="0" w:line="319" w:lineRule="auto"/>
      <w:ind w:left="1296" w:hanging="1296"/>
      <w:jc w:val="left"/>
      <w:outlineLvl w:val="6"/>
    </w:pPr>
    <w:rPr>
      <w:b/>
      <w:bCs/>
      <w:kern w:val="0"/>
      <w:sz w:val="24"/>
    </w:rPr>
  </w:style>
  <w:style w:type="paragraph" w:styleId="9">
    <w:name w:val="heading 8"/>
    <w:basedOn w:val="1"/>
    <w:next w:val="1"/>
    <w:qFormat/>
    <w:uiPriority w:val="0"/>
    <w:pPr>
      <w:keepNext/>
      <w:keepLines/>
      <w:widowControl/>
      <w:tabs>
        <w:tab w:val="left" w:pos="1440"/>
      </w:tabs>
      <w:spacing w:before="240" w:beforeLines="0" w:after="64" w:afterLines="0" w:line="319" w:lineRule="auto"/>
      <w:ind w:left="1440" w:hanging="1440"/>
      <w:jc w:val="left"/>
      <w:outlineLvl w:val="7"/>
    </w:pPr>
    <w:rPr>
      <w:rFonts w:ascii="Arial" w:hAnsi="Arial" w:eastAsia="黑体"/>
      <w:kern w:val="0"/>
      <w:sz w:val="24"/>
    </w:rPr>
  </w:style>
  <w:style w:type="paragraph" w:styleId="10">
    <w:name w:val="heading 9"/>
    <w:basedOn w:val="1"/>
    <w:next w:val="1"/>
    <w:qFormat/>
    <w:uiPriority w:val="0"/>
    <w:pPr>
      <w:keepNext/>
      <w:keepLines/>
      <w:widowControl/>
      <w:tabs>
        <w:tab w:val="left" w:pos="1584"/>
      </w:tabs>
      <w:spacing w:before="240" w:beforeLines="0" w:after="64" w:afterLines="0" w:line="319" w:lineRule="auto"/>
      <w:ind w:left="1584" w:hanging="1584"/>
      <w:jc w:val="left"/>
      <w:outlineLvl w:val="8"/>
    </w:pPr>
    <w:rPr>
      <w:rFonts w:ascii="Arial" w:hAnsi="Arial" w:eastAsia="黑体"/>
      <w:kern w:val="0"/>
      <w:szCs w:val="21"/>
    </w:rPr>
  </w:style>
  <w:style w:type="character" w:default="1" w:styleId="42">
    <w:name w:val="Default Paragraph Font"/>
    <w:qFormat/>
    <w:uiPriority w:val="0"/>
  </w:style>
  <w:style w:type="table" w:default="1" w:styleId="41">
    <w:name w:val="Normal Table"/>
    <w:unhideWhenUsed/>
    <w:qFormat/>
    <w:uiPriority w:val="99"/>
    <w:pPr>
      <w:keepNext w:val="0"/>
      <w:keepLines w:val="0"/>
      <w:widowControl/>
      <w:suppressLineNumbers w:val="0"/>
      <w:spacing w:before="0" w:beforeAutospacing="0" w:after="0" w:afterAutospacing="0"/>
      <w:ind w:left="0" w:right="0"/>
    </w:pPr>
    <w:rPr>
      <w:rFonts w:ascii="Calibri" w:hAnsi="Calibri" w:eastAsia="宋体" w:cs="Times New Roman"/>
      <w:kern w:val="2"/>
      <w:sz w:val="21"/>
      <w:szCs w:val="22"/>
    </w:rPr>
    <w:tblPr>
      <w:tblCellMar>
        <w:top w:w="0" w:type="dxa"/>
        <w:left w:w="108" w:type="dxa"/>
        <w:bottom w:w="0" w:type="dxa"/>
        <w:right w:w="108" w:type="dxa"/>
      </w:tblCellMar>
    </w:tblPr>
  </w:style>
  <w:style w:type="paragraph" w:styleId="11">
    <w:name w:val="toc 7"/>
    <w:basedOn w:val="1"/>
    <w:next w:val="1"/>
    <w:qFormat/>
    <w:uiPriority w:val="39"/>
    <w:pPr>
      <w:ind w:left="1260"/>
      <w:jc w:val="left"/>
    </w:pPr>
    <w:rPr>
      <w:rFonts w:ascii="Calibri" w:hAnsi="Calibri"/>
      <w:sz w:val="18"/>
      <w:szCs w:val="18"/>
    </w:rPr>
  </w:style>
  <w:style w:type="paragraph" w:styleId="12">
    <w:name w:val="Normal Indent"/>
    <w:basedOn w:val="1"/>
    <w:qFormat/>
    <w:uiPriority w:val="0"/>
    <w:pPr>
      <w:ind w:firstLine="420" w:firstLineChars="200"/>
    </w:pPr>
  </w:style>
  <w:style w:type="paragraph" w:styleId="13">
    <w:name w:val="Document Map"/>
    <w:basedOn w:val="1"/>
    <w:link w:val="55"/>
    <w:qFormat/>
    <w:uiPriority w:val="0"/>
    <w:pPr>
      <w:shd w:val="clear" w:color="auto" w:fill="000080"/>
    </w:pPr>
  </w:style>
  <w:style w:type="paragraph" w:styleId="14">
    <w:name w:val="annotation text"/>
    <w:basedOn w:val="1"/>
    <w:link w:val="56"/>
    <w:qFormat/>
    <w:uiPriority w:val="0"/>
    <w:pPr>
      <w:keepNext w:val="0"/>
      <w:keepLines w:val="0"/>
      <w:widowControl w:val="0"/>
      <w:suppressLineNumbers w:val="0"/>
      <w:spacing w:before="0" w:beforeAutospacing="0" w:after="0" w:afterAutospacing="0"/>
      <w:ind w:left="0" w:right="0"/>
      <w:jc w:val="left"/>
    </w:pPr>
  </w:style>
  <w:style w:type="paragraph" w:styleId="15">
    <w:name w:val="Body Text 3"/>
    <w:basedOn w:val="1"/>
    <w:link w:val="57"/>
    <w:qFormat/>
    <w:uiPriority w:val="0"/>
    <w:rPr>
      <w:rFonts w:ascii="宋体"/>
      <w:sz w:val="24"/>
      <w:szCs w:val="20"/>
    </w:rPr>
  </w:style>
  <w:style w:type="paragraph" w:styleId="16">
    <w:name w:val="Body Text"/>
    <w:basedOn w:val="1"/>
    <w:link w:val="58"/>
    <w:qFormat/>
    <w:uiPriority w:val="0"/>
    <w:pPr>
      <w:spacing w:after="120" w:afterLines="0"/>
    </w:pPr>
  </w:style>
  <w:style w:type="paragraph" w:styleId="17">
    <w:name w:val="Body Text Indent"/>
    <w:basedOn w:val="1"/>
    <w:link w:val="59"/>
    <w:qFormat/>
    <w:uiPriority w:val="0"/>
    <w:pPr>
      <w:spacing w:after="120" w:afterLines="0"/>
      <w:ind w:left="420" w:leftChars="200"/>
    </w:pPr>
  </w:style>
  <w:style w:type="paragraph" w:styleId="18">
    <w:name w:val="toc 5"/>
    <w:basedOn w:val="1"/>
    <w:next w:val="1"/>
    <w:qFormat/>
    <w:uiPriority w:val="39"/>
    <w:pPr>
      <w:ind w:left="840"/>
      <w:jc w:val="left"/>
    </w:pPr>
    <w:rPr>
      <w:rFonts w:ascii="Calibri" w:hAnsi="Calibri"/>
      <w:sz w:val="18"/>
      <w:szCs w:val="18"/>
    </w:rPr>
  </w:style>
  <w:style w:type="paragraph" w:styleId="19">
    <w:name w:val="toc 3"/>
    <w:basedOn w:val="1"/>
    <w:next w:val="1"/>
    <w:qFormat/>
    <w:uiPriority w:val="39"/>
    <w:pPr>
      <w:spacing w:line="240" w:lineRule="auto"/>
      <w:ind w:left="420"/>
      <w:jc w:val="left"/>
    </w:pPr>
    <w:rPr>
      <w:rFonts w:ascii="Calibri" w:hAnsi="Calibri"/>
      <w:iCs/>
      <w:szCs w:val="20"/>
    </w:rPr>
  </w:style>
  <w:style w:type="paragraph" w:styleId="20">
    <w:name w:val="Plain Text"/>
    <w:basedOn w:val="1"/>
    <w:link w:val="60"/>
    <w:qFormat/>
    <w:uiPriority w:val="0"/>
    <w:pPr>
      <w:spacing w:line="305" w:lineRule="auto"/>
      <w:ind w:firstLine="420"/>
    </w:pPr>
    <w:rPr>
      <w:rFonts w:ascii="宋体" w:hAnsi="Courier New"/>
      <w:szCs w:val="21"/>
    </w:rPr>
  </w:style>
  <w:style w:type="paragraph" w:styleId="21">
    <w:name w:val="toc 8"/>
    <w:basedOn w:val="1"/>
    <w:next w:val="1"/>
    <w:qFormat/>
    <w:uiPriority w:val="39"/>
    <w:pPr>
      <w:ind w:left="1470"/>
      <w:jc w:val="left"/>
    </w:pPr>
    <w:rPr>
      <w:rFonts w:ascii="Calibri" w:hAnsi="Calibri"/>
      <w:sz w:val="18"/>
      <w:szCs w:val="18"/>
    </w:rPr>
  </w:style>
  <w:style w:type="paragraph" w:styleId="22">
    <w:name w:val="Date"/>
    <w:basedOn w:val="1"/>
    <w:next w:val="1"/>
    <w:qFormat/>
    <w:uiPriority w:val="0"/>
    <w:rPr>
      <w:sz w:val="24"/>
      <w:szCs w:val="20"/>
    </w:rPr>
  </w:style>
  <w:style w:type="paragraph" w:styleId="23">
    <w:name w:val="Body Text Indent 2"/>
    <w:basedOn w:val="1"/>
    <w:link w:val="61"/>
    <w:qFormat/>
    <w:uiPriority w:val="0"/>
    <w:pPr>
      <w:spacing w:after="120" w:line="480" w:lineRule="auto"/>
      <w:ind w:left="420" w:leftChars="200"/>
    </w:pPr>
  </w:style>
  <w:style w:type="paragraph" w:styleId="24">
    <w:name w:val="Balloon Text"/>
    <w:basedOn w:val="1"/>
    <w:qFormat/>
    <w:uiPriority w:val="0"/>
    <w:rPr>
      <w:sz w:val="18"/>
      <w:szCs w:val="18"/>
    </w:rPr>
  </w:style>
  <w:style w:type="paragraph" w:styleId="25">
    <w:name w:val="footer"/>
    <w:basedOn w:val="1"/>
    <w:link w:val="62"/>
    <w:qFormat/>
    <w:uiPriority w:val="99"/>
    <w:pPr>
      <w:tabs>
        <w:tab w:val="center" w:pos="4153"/>
        <w:tab w:val="right" w:pos="8306"/>
      </w:tabs>
      <w:snapToGrid w:val="0"/>
      <w:jc w:val="left"/>
    </w:pPr>
    <w:rPr>
      <w:sz w:val="18"/>
      <w:szCs w:val="18"/>
    </w:rPr>
  </w:style>
  <w:style w:type="paragraph" w:styleId="26">
    <w:name w:val="header"/>
    <w:basedOn w:val="1"/>
    <w:link w:val="63"/>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spacing w:before="120" w:after="120" w:line="240" w:lineRule="auto"/>
      <w:jc w:val="left"/>
    </w:pPr>
    <w:rPr>
      <w:rFonts w:ascii="Calibri" w:hAnsi="Calibri" w:eastAsia="黑体"/>
      <w:b/>
      <w:bCs/>
      <w:caps/>
      <w:sz w:val="20"/>
      <w:szCs w:val="20"/>
    </w:rPr>
  </w:style>
  <w:style w:type="paragraph" w:styleId="28">
    <w:name w:val="toc 4"/>
    <w:basedOn w:val="1"/>
    <w:next w:val="1"/>
    <w:qFormat/>
    <w:uiPriority w:val="39"/>
    <w:pPr>
      <w:ind w:left="630"/>
      <w:jc w:val="left"/>
    </w:pPr>
    <w:rPr>
      <w:rFonts w:ascii="Calibri" w:hAnsi="Calibri"/>
      <w:sz w:val="18"/>
      <w:szCs w:val="18"/>
    </w:rPr>
  </w:style>
  <w:style w:type="paragraph" w:styleId="29">
    <w:name w:val="Subtitle"/>
    <w:next w:val="1"/>
    <w:qFormat/>
    <w:uiPriority w:val="0"/>
    <w:pPr>
      <w:adjustRightInd w:val="0"/>
      <w:snapToGrid w:val="0"/>
      <w:ind w:left="708" w:leftChars="295"/>
      <w:outlineLvl w:val="1"/>
    </w:pPr>
    <w:rPr>
      <w:rFonts w:ascii="宋体" w:hAnsi="宋体" w:eastAsia="宋体" w:cs="Times New Roman"/>
      <w:b/>
      <w:bCs/>
      <w:kern w:val="28"/>
      <w:sz w:val="24"/>
      <w:szCs w:val="32"/>
      <w:lang w:val="en-US" w:eastAsia="zh-CN" w:bidi="ar-SA"/>
    </w:rPr>
  </w:style>
  <w:style w:type="paragraph" w:styleId="30">
    <w:name w:val="toc 6"/>
    <w:basedOn w:val="1"/>
    <w:next w:val="1"/>
    <w:qFormat/>
    <w:uiPriority w:val="39"/>
    <w:pPr>
      <w:ind w:left="1050"/>
      <w:jc w:val="left"/>
    </w:pPr>
    <w:rPr>
      <w:rFonts w:ascii="Calibri" w:hAnsi="Calibri"/>
      <w:sz w:val="18"/>
      <w:szCs w:val="18"/>
    </w:rPr>
  </w:style>
  <w:style w:type="paragraph" w:styleId="31">
    <w:name w:val="Body Text Indent 3"/>
    <w:basedOn w:val="1"/>
    <w:qFormat/>
    <w:uiPriority w:val="0"/>
    <w:pPr>
      <w:spacing w:after="120" w:afterLines="0"/>
      <w:ind w:left="420" w:leftChars="200"/>
    </w:pPr>
    <w:rPr>
      <w:sz w:val="16"/>
      <w:szCs w:val="16"/>
    </w:rPr>
  </w:style>
  <w:style w:type="paragraph" w:styleId="32">
    <w:name w:val="toc 2"/>
    <w:basedOn w:val="1"/>
    <w:next w:val="1"/>
    <w:qFormat/>
    <w:uiPriority w:val="39"/>
    <w:pPr>
      <w:spacing w:line="240" w:lineRule="auto"/>
      <w:ind w:left="210"/>
      <w:jc w:val="left"/>
    </w:pPr>
    <w:rPr>
      <w:rFonts w:ascii="Calibri" w:hAnsi="Calibri"/>
      <w:smallCaps/>
      <w:sz w:val="20"/>
      <w:szCs w:val="20"/>
    </w:rPr>
  </w:style>
  <w:style w:type="paragraph" w:styleId="33">
    <w:name w:val="toc 9"/>
    <w:basedOn w:val="1"/>
    <w:next w:val="1"/>
    <w:qFormat/>
    <w:uiPriority w:val="39"/>
    <w:pPr>
      <w:ind w:left="1680"/>
      <w:jc w:val="left"/>
    </w:pPr>
    <w:rPr>
      <w:rFonts w:ascii="Calibri" w:hAnsi="Calibri"/>
      <w:sz w:val="18"/>
      <w:szCs w:val="18"/>
    </w:rPr>
  </w:style>
  <w:style w:type="paragraph" w:styleId="34">
    <w:name w:val="Body Text 2"/>
    <w:basedOn w:val="1"/>
    <w:link w:val="64"/>
    <w:qFormat/>
    <w:uiPriority w:val="0"/>
    <w:pPr>
      <w:spacing w:after="120" w:line="480" w:lineRule="auto"/>
    </w:pPr>
  </w:style>
  <w:style w:type="paragraph" w:styleId="35">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topLinePunct/>
      <w:spacing w:line="240" w:lineRule="auto"/>
      <w:jc w:val="left"/>
    </w:pPr>
    <w:rPr>
      <w:rFonts w:ascii="宋体" w:hAnsi="宋体" w:cs="宋体"/>
      <w:kern w:val="0"/>
      <w:sz w:val="24"/>
      <w:szCs w:val="20"/>
    </w:rPr>
  </w:style>
  <w:style w:type="paragraph" w:styleId="36">
    <w:name w:val="Normal (Web)"/>
    <w:basedOn w:val="1"/>
    <w:unhideWhenUsed/>
    <w:qFormat/>
    <w:uiPriority w:val="99"/>
    <w:rPr>
      <w:sz w:val="24"/>
    </w:rPr>
  </w:style>
  <w:style w:type="paragraph" w:styleId="37">
    <w:name w:val="index 1"/>
    <w:basedOn w:val="1"/>
    <w:next w:val="1"/>
    <w:qFormat/>
    <w:uiPriority w:val="0"/>
    <w:pPr>
      <w:spacing w:line="220" w:lineRule="exact"/>
      <w:jc w:val="center"/>
    </w:pPr>
    <w:rPr>
      <w:rFonts w:ascii="仿宋_GB2312" w:eastAsia="仿宋_GB2312"/>
      <w:szCs w:val="21"/>
    </w:rPr>
  </w:style>
  <w:style w:type="paragraph" w:styleId="38">
    <w:name w:val="Title"/>
    <w:basedOn w:val="1"/>
    <w:qFormat/>
    <w:uiPriority w:val="0"/>
    <w:pPr>
      <w:adjustRightInd w:val="0"/>
      <w:spacing w:before="240" w:beforeLines="0" w:after="60" w:afterLines="0" w:line="420" w:lineRule="atLeast"/>
      <w:jc w:val="center"/>
      <w:textAlignment w:val="baseline"/>
      <w:outlineLvl w:val="0"/>
    </w:pPr>
    <w:rPr>
      <w:rFonts w:ascii="Arial" w:hAnsi="Arial"/>
      <w:b/>
      <w:kern w:val="0"/>
      <w:sz w:val="32"/>
      <w:szCs w:val="20"/>
    </w:rPr>
  </w:style>
  <w:style w:type="paragraph" w:styleId="39">
    <w:name w:val="annotation subject"/>
    <w:basedOn w:val="14"/>
    <w:next w:val="14"/>
    <w:link w:val="65"/>
    <w:qFormat/>
    <w:uiPriority w:val="0"/>
    <w:pPr>
      <w:jc w:val="both"/>
    </w:pPr>
    <w:rPr>
      <w:b/>
      <w:bCs/>
    </w:rPr>
  </w:style>
  <w:style w:type="paragraph" w:styleId="40">
    <w:name w:val="Body Text First Indent"/>
    <w:basedOn w:val="1"/>
    <w:link w:val="66"/>
    <w:qFormat/>
    <w:uiPriority w:val="0"/>
    <w:pPr>
      <w:spacing w:line="312" w:lineRule="auto"/>
      <w:ind w:firstLine="420"/>
    </w:pPr>
  </w:style>
  <w:style w:type="character" w:styleId="43">
    <w:name w:val="Strong"/>
    <w:qFormat/>
    <w:uiPriority w:val="0"/>
    <w:rPr>
      <w:b/>
      <w:bCs/>
    </w:rPr>
  </w:style>
  <w:style w:type="character" w:styleId="44">
    <w:name w:val="page number"/>
    <w:qFormat/>
    <w:uiPriority w:val="0"/>
  </w:style>
  <w:style w:type="character" w:styleId="45">
    <w:name w:val="FollowedHyperlink"/>
    <w:qFormat/>
    <w:uiPriority w:val="0"/>
    <w:rPr>
      <w:color w:val="800080"/>
      <w:u w:val="single"/>
    </w:rPr>
  </w:style>
  <w:style w:type="character" w:styleId="46">
    <w:name w:val="Hyperlink"/>
    <w:qFormat/>
    <w:uiPriority w:val="99"/>
    <w:rPr>
      <w:rFonts w:ascii="Times New Roman" w:hAnsi="Times New Roman" w:eastAsia="宋体" w:cs="Times New Roman"/>
      <w:color w:val="0000FF"/>
      <w:kern w:val="2"/>
      <w:sz w:val="21"/>
      <w:szCs w:val="24"/>
      <w:u w:val="single"/>
      <w:lang w:val="en-US" w:eastAsia="zh-CN" w:bidi="ar-SA"/>
    </w:rPr>
  </w:style>
  <w:style w:type="character" w:styleId="47">
    <w:name w:val="annotation reference"/>
    <w:qFormat/>
    <w:uiPriority w:val="0"/>
    <w:rPr>
      <w:sz w:val="21"/>
      <w:szCs w:val="21"/>
    </w:rPr>
  </w:style>
  <w:style w:type="character" w:styleId="48">
    <w:name w:val="footnote reference"/>
    <w:qFormat/>
    <w:uiPriority w:val="0"/>
    <w:rPr>
      <w:vertAlign w:val="superscript"/>
    </w:rPr>
  </w:style>
  <w:style w:type="paragraph" w:customStyle="1" w:styleId="49">
    <w:name w:val="样式20"/>
    <w:basedOn w:val="1"/>
    <w:next w:val="1"/>
    <w:qFormat/>
    <w:uiPriority w:val="0"/>
    <w:pPr>
      <w:spacing w:line="460" w:lineRule="exact"/>
      <w:ind w:firstLine="900" w:firstLineChars="300"/>
      <w:outlineLvl w:val="0"/>
    </w:pPr>
    <w:rPr>
      <w:rFonts w:eastAsia="黑体"/>
      <w:sz w:val="30"/>
      <w:szCs w:val="30"/>
      <w:u w:val="single"/>
    </w:rPr>
  </w:style>
  <w:style w:type="character" w:customStyle="1" w:styleId="50">
    <w:name w:val="标题 1 字符"/>
    <w:link w:val="2"/>
    <w:qFormat/>
    <w:uiPriority w:val="0"/>
    <w:rPr>
      <w:rFonts w:eastAsia="宋体"/>
      <w:b/>
      <w:bCs/>
      <w:kern w:val="44"/>
      <w:sz w:val="44"/>
      <w:szCs w:val="44"/>
      <w:lang w:val="en-US" w:eastAsia="zh-CN" w:bidi="ar-SA"/>
    </w:rPr>
  </w:style>
  <w:style w:type="character" w:customStyle="1" w:styleId="51">
    <w:name w:val="标题 2 字符"/>
    <w:link w:val="3"/>
    <w:qFormat/>
    <w:uiPriority w:val="0"/>
    <w:rPr>
      <w:rFonts w:ascii="Arial" w:hAnsi="Arial" w:eastAsia="黑体"/>
      <w:bCs/>
      <w:kern w:val="2"/>
      <w:sz w:val="24"/>
      <w:szCs w:val="32"/>
    </w:rPr>
  </w:style>
  <w:style w:type="character" w:customStyle="1" w:styleId="52">
    <w:name w:val="标题 3 字符"/>
    <w:link w:val="4"/>
    <w:qFormat/>
    <w:uiPriority w:val="0"/>
    <w:rPr>
      <w:rFonts w:ascii="黑体" w:hAnsi="黑体" w:eastAsia="黑体"/>
      <w:kern w:val="2"/>
      <w:sz w:val="21"/>
      <w:szCs w:val="24"/>
      <w:lang w:val="en-US" w:eastAsia="zh-CN" w:bidi="ar-SA"/>
    </w:rPr>
  </w:style>
  <w:style w:type="character" w:customStyle="1" w:styleId="53">
    <w:name w:val="标题 4 字符"/>
    <w:link w:val="5"/>
    <w:qFormat/>
    <w:uiPriority w:val="0"/>
    <w:rPr>
      <w:rFonts w:ascii="Arial" w:hAnsi="Arial" w:eastAsia="宋体"/>
      <w:bCs/>
      <w:kern w:val="2"/>
      <w:sz w:val="24"/>
      <w:szCs w:val="28"/>
    </w:rPr>
  </w:style>
  <w:style w:type="character" w:customStyle="1" w:styleId="54">
    <w:name w:val="标题 5 字符"/>
    <w:link w:val="6"/>
    <w:semiHidden/>
    <w:qFormat/>
    <w:uiPriority w:val="9"/>
    <w:rPr>
      <w:b/>
      <w:bCs/>
      <w:kern w:val="2"/>
      <w:sz w:val="28"/>
      <w:szCs w:val="28"/>
    </w:rPr>
  </w:style>
  <w:style w:type="character" w:customStyle="1" w:styleId="55">
    <w:name w:val="文档结构图 字符"/>
    <w:link w:val="13"/>
    <w:qFormat/>
    <w:uiPriority w:val="0"/>
    <w:rPr>
      <w:rFonts w:eastAsia="宋体"/>
      <w:kern w:val="2"/>
      <w:sz w:val="21"/>
      <w:szCs w:val="24"/>
      <w:lang w:val="en-US" w:eastAsia="zh-CN" w:bidi="ar-SA"/>
    </w:rPr>
  </w:style>
  <w:style w:type="character" w:customStyle="1" w:styleId="56">
    <w:name w:val="批注文字 字符"/>
    <w:link w:val="14"/>
    <w:qFormat/>
    <w:uiPriority w:val="0"/>
    <w:rPr>
      <w:rFonts w:eastAsia="宋体"/>
      <w:kern w:val="2"/>
      <w:sz w:val="21"/>
      <w:szCs w:val="24"/>
      <w:lang w:val="en-US" w:eastAsia="zh-CN" w:bidi="ar-SA"/>
    </w:rPr>
  </w:style>
  <w:style w:type="character" w:customStyle="1" w:styleId="57">
    <w:name w:val="正文文本 3 字符"/>
    <w:link w:val="15"/>
    <w:qFormat/>
    <w:uiPriority w:val="0"/>
    <w:rPr>
      <w:rFonts w:ascii="宋体"/>
      <w:kern w:val="2"/>
      <w:sz w:val="24"/>
    </w:rPr>
  </w:style>
  <w:style w:type="character" w:customStyle="1" w:styleId="58">
    <w:name w:val="正文文本 字符"/>
    <w:link w:val="16"/>
    <w:qFormat/>
    <w:uiPriority w:val="0"/>
    <w:rPr>
      <w:rFonts w:eastAsia="宋体"/>
      <w:kern w:val="2"/>
      <w:sz w:val="21"/>
      <w:szCs w:val="24"/>
      <w:lang w:val="en-US" w:eastAsia="zh-CN" w:bidi="ar-SA"/>
    </w:rPr>
  </w:style>
  <w:style w:type="character" w:customStyle="1" w:styleId="59">
    <w:name w:val="正文文本缩进 字符"/>
    <w:link w:val="17"/>
    <w:qFormat/>
    <w:uiPriority w:val="0"/>
    <w:rPr>
      <w:kern w:val="2"/>
      <w:sz w:val="21"/>
      <w:szCs w:val="24"/>
    </w:rPr>
  </w:style>
  <w:style w:type="character" w:customStyle="1" w:styleId="60">
    <w:name w:val="纯文本 字符"/>
    <w:link w:val="20"/>
    <w:qFormat/>
    <w:uiPriority w:val="0"/>
    <w:rPr>
      <w:rFonts w:ascii="宋体" w:hAnsi="Courier New" w:cs="Courier New"/>
      <w:kern w:val="2"/>
      <w:sz w:val="21"/>
      <w:szCs w:val="21"/>
    </w:rPr>
  </w:style>
  <w:style w:type="character" w:customStyle="1" w:styleId="61">
    <w:name w:val="正文文本缩进 2 字符"/>
    <w:link w:val="23"/>
    <w:qFormat/>
    <w:uiPriority w:val="0"/>
    <w:rPr>
      <w:kern w:val="2"/>
      <w:sz w:val="21"/>
      <w:szCs w:val="24"/>
    </w:rPr>
  </w:style>
  <w:style w:type="character" w:customStyle="1" w:styleId="62">
    <w:name w:val="页脚 字符"/>
    <w:link w:val="25"/>
    <w:qFormat/>
    <w:uiPriority w:val="99"/>
    <w:rPr>
      <w:rFonts w:eastAsia="宋体"/>
      <w:kern w:val="2"/>
      <w:sz w:val="18"/>
      <w:szCs w:val="18"/>
      <w:lang w:val="en-US" w:eastAsia="zh-CN" w:bidi="ar-SA"/>
    </w:rPr>
  </w:style>
  <w:style w:type="character" w:customStyle="1" w:styleId="63">
    <w:name w:val="页眉 字符"/>
    <w:link w:val="26"/>
    <w:qFormat/>
    <w:uiPriority w:val="0"/>
    <w:rPr>
      <w:rFonts w:eastAsia="宋体"/>
      <w:kern w:val="2"/>
      <w:sz w:val="18"/>
      <w:szCs w:val="18"/>
      <w:lang w:val="en-US" w:eastAsia="zh-CN" w:bidi="ar-SA"/>
    </w:rPr>
  </w:style>
  <w:style w:type="character" w:customStyle="1" w:styleId="64">
    <w:name w:val="正文文本 2 字符"/>
    <w:link w:val="34"/>
    <w:qFormat/>
    <w:uiPriority w:val="0"/>
    <w:rPr>
      <w:kern w:val="2"/>
      <w:sz w:val="21"/>
      <w:szCs w:val="24"/>
    </w:rPr>
  </w:style>
  <w:style w:type="character" w:customStyle="1" w:styleId="65">
    <w:name w:val="批注主题 字符"/>
    <w:link w:val="39"/>
    <w:qFormat/>
    <w:uiPriority w:val="0"/>
    <w:rPr>
      <w:rFonts w:eastAsia="宋体"/>
      <w:b/>
      <w:bCs/>
      <w:kern w:val="2"/>
      <w:sz w:val="21"/>
      <w:szCs w:val="24"/>
      <w:lang w:val="en-US" w:eastAsia="zh-CN" w:bidi="ar-SA"/>
    </w:rPr>
  </w:style>
  <w:style w:type="character" w:customStyle="1" w:styleId="66">
    <w:name w:val="正文文本首行缩进 字符"/>
    <w:link w:val="40"/>
    <w:qFormat/>
    <w:uiPriority w:val="0"/>
    <w:rPr>
      <w:lang w:val="en-US" w:eastAsia="zh-CN" w:bidi="ar-SA"/>
    </w:rPr>
  </w:style>
  <w:style w:type="character" w:customStyle="1" w:styleId="67">
    <w:name w:val="wg正文 仿宋_GB2312 四号"/>
    <w:qFormat/>
    <w:uiPriority w:val="0"/>
    <w:rPr>
      <w:rFonts w:ascii="仿宋_GB2312" w:hAnsi="仿宋_GB2312" w:eastAsia="仿宋_GB2312"/>
      <w:sz w:val="28"/>
    </w:rPr>
  </w:style>
  <w:style w:type="character" w:customStyle="1" w:styleId="68">
    <w:name w:val="样式 标题 3 + 首行缩进:  0.49 字符2 Char"/>
    <w:link w:val="69"/>
    <w:qFormat/>
    <w:uiPriority w:val="0"/>
    <w:rPr>
      <w:rFonts w:ascii="黑体" w:hAnsi="宋体" w:eastAsia="黑体" w:cs="宋体"/>
      <w:bCs/>
      <w:kern w:val="2"/>
      <w:sz w:val="24"/>
      <w:szCs w:val="28"/>
      <w:lang w:val="en-US" w:eastAsia="zh-CN" w:bidi="ar-SA"/>
    </w:rPr>
  </w:style>
  <w:style w:type="paragraph" w:customStyle="1" w:styleId="69">
    <w:name w:val="样式 标题 3 + 首行缩进:  0.49 字符2"/>
    <w:basedOn w:val="4"/>
    <w:link w:val="68"/>
    <w:qFormat/>
    <w:uiPriority w:val="0"/>
    <w:pPr>
      <w:spacing w:before="0"/>
    </w:pPr>
    <w:rPr>
      <w:rFonts w:hAnsi="宋体" w:cs="宋体"/>
      <w:bCs/>
      <w:sz w:val="24"/>
      <w:szCs w:val="28"/>
    </w:rPr>
  </w:style>
  <w:style w:type="character" w:customStyle="1" w:styleId="70">
    <w:name w:val="纯文本 Char"/>
    <w:semiHidden/>
    <w:qFormat/>
    <w:uiPriority w:val="99"/>
    <w:rPr>
      <w:rFonts w:ascii="宋体" w:hAnsi="Courier New" w:cs="Courier New"/>
      <w:kern w:val="2"/>
      <w:sz w:val="21"/>
      <w:szCs w:val="21"/>
    </w:rPr>
  </w:style>
  <w:style w:type="character" w:customStyle="1" w:styleId="71">
    <w:name w:val="样式 标题 3 + (西文) Times New Roman (中文) 宋体 Char"/>
    <w:link w:val="72"/>
    <w:qFormat/>
    <w:uiPriority w:val="0"/>
    <w:rPr>
      <w:rFonts w:ascii="黑体" w:hAnsi="宋体" w:eastAsia="黑体"/>
      <w:bCs/>
      <w:kern w:val="2"/>
      <w:sz w:val="28"/>
      <w:szCs w:val="28"/>
      <w:lang w:val="en-US" w:eastAsia="zh-CN" w:bidi="ar-SA"/>
    </w:rPr>
  </w:style>
  <w:style w:type="paragraph" w:customStyle="1" w:styleId="72">
    <w:name w:val="样式 标题 3 + (西文) Times New Roman (中文) 宋体"/>
    <w:basedOn w:val="4"/>
    <w:link w:val="71"/>
    <w:qFormat/>
    <w:uiPriority w:val="0"/>
    <w:rPr>
      <w:rFonts w:hAnsi="宋体"/>
      <w:bCs/>
      <w:sz w:val="28"/>
      <w:szCs w:val="28"/>
    </w:rPr>
  </w:style>
  <w:style w:type="character" w:customStyle="1" w:styleId="73">
    <w:name w:val="样式 标题 3 + Times New Roman Char"/>
    <w:link w:val="74"/>
    <w:qFormat/>
    <w:uiPriority w:val="0"/>
    <w:rPr>
      <w:rFonts w:ascii="黑体" w:hAnsi="宋体" w:eastAsia="黑体"/>
      <w:bCs/>
      <w:kern w:val="2"/>
      <w:sz w:val="24"/>
      <w:szCs w:val="28"/>
      <w:lang w:val="en-US" w:eastAsia="zh-CN" w:bidi="ar-SA"/>
    </w:rPr>
  </w:style>
  <w:style w:type="paragraph" w:customStyle="1" w:styleId="74">
    <w:name w:val="样式 标题 3 + Times New Roman"/>
    <w:basedOn w:val="4"/>
    <w:link w:val="73"/>
    <w:qFormat/>
    <w:uiPriority w:val="0"/>
    <w:pPr>
      <w:spacing w:before="0" w:after="0" w:line="400" w:lineRule="exact"/>
      <w:ind w:firstLine="49"/>
    </w:pPr>
    <w:rPr>
      <w:rFonts w:hAnsi="宋体"/>
      <w:bCs/>
      <w:sz w:val="24"/>
      <w:szCs w:val="28"/>
    </w:rPr>
  </w:style>
  <w:style w:type="character" w:customStyle="1" w:styleId="75">
    <w:name w:val="样式 样式 标题 3 + 首行缩进:  0.49 字符2 + (西文) Times New Roman (中文) 宋体 Char"/>
    <w:link w:val="76"/>
    <w:qFormat/>
    <w:uiPriority w:val="0"/>
    <w:rPr>
      <w:lang w:val="en-US" w:eastAsia="zh-CN" w:bidi="ar-SA"/>
    </w:rPr>
  </w:style>
  <w:style w:type="paragraph" w:customStyle="1" w:styleId="76">
    <w:name w:val="样式 样式 标题 3 + 首行缩进:  0.49 字符2 + (西文) Times New Roman (中文) 宋体"/>
    <w:basedOn w:val="69"/>
    <w:link w:val="75"/>
    <w:qFormat/>
    <w:uiPriority w:val="0"/>
    <w:rPr>
      <w:rFonts w:ascii="Times New Roman" w:hAnsi="Times New Roman"/>
    </w:rPr>
  </w:style>
  <w:style w:type="character" w:customStyle="1" w:styleId="77">
    <w:name w:val="批注文字 Char1"/>
    <w:qFormat/>
    <w:uiPriority w:val="0"/>
    <w:rPr>
      <w:rFonts w:eastAsia="宋体"/>
      <w:kern w:val="2"/>
      <w:sz w:val="21"/>
      <w:szCs w:val="24"/>
      <w:lang w:val="en-US" w:eastAsia="zh-CN" w:bidi="ar-SA"/>
    </w:rPr>
  </w:style>
  <w:style w:type="character" w:customStyle="1" w:styleId="78">
    <w:name w:val="样式 样式 标题 3 + Times New Roman + (中文) 宋体 Char"/>
    <w:link w:val="79"/>
    <w:qFormat/>
    <w:uiPriority w:val="0"/>
    <w:rPr>
      <w:lang w:val="en-US" w:eastAsia="zh-CN" w:bidi="ar-SA"/>
    </w:rPr>
  </w:style>
  <w:style w:type="paragraph" w:customStyle="1" w:styleId="79">
    <w:name w:val="样式 样式 标题 3 + Times New Roman + (中文) 宋体"/>
    <w:basedOn w:val="74"/>
    <w:link w:val="78"/>
    <w:qFormat/>
    <w:uiPriority w:val="0"/>
  </w:style>
  <w:style w:type="character" w:customStyle="1" w:styleId="80">
    <w:name w:val="样式 标题 2 + (西文) Times New Roman (中文) 宋体 Char"/>
    <w:link w:val="81"/>
    <w:qFormat/>
    <w:uiPriority w:val="0"/>
  </w:style>
  <w:style w:type="paragraph" w:customStyle="1" w:styleId="81">
    <w:name w:val="样式 标题 2 + (西文) Times New Roman (中文) 宋体"/>
    <w:basedOn w:val="3"/>
    <w:link w:val="80"/>
    <w:qFormat/>
    <w:uiPriority w:val="0"/>
    <w:rPr>
      <w:rFonts w:ascii="Times New Roman" w:hAnsi="Times New Roman"/>
      <w:bCs w:val="0"/>
    </w:rPr>
  </w:style>
  <w:style w:type="character" w:customStyle="1" w:styleId="82">
    <w:name w:val="font161"/>
    <w:qFormat/>
    <w:uiPriority w:val="0"/>
    <w:rPr>
      <w:b/>
      <w:bCs/>
      <w:sz w:val="32"/>
      <w:szCs w:val="32"/>
    </w:rPr>
  </w:style>
  <w:style w:type="paragraph" w:customStyle="1" w:styleId="83">
    <w:name w:val="样式 标题 2 + 居中"/>
    <w:basedOn w:val="3"/>
    <w:qFormat/>
    <w:uiPriority w:val="0"/>
    <w:pPr>
      <w:jc w:val="center"/>
    </w:pPr>
    <w:rPr>
      <w:rFonts w:cs="宋体"/>
      <w:bCs w:val="0"/>
      <w:szCs w:val="20"/>
    </w:rPr>
  </w:style>
  <w:style w:type="paragraph" w:customStyle="1" w:styleId="84">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85">
    <w:name w:val="1"/>
    <w:basedOn w:val="1"/>
    <w:qFormat/>
    <w:uiPriority w:val="0"/>
  </w:style>
  <w:style w:type="paragraph" w:customStyle="1" w:styleId="86">
    <w:name w:val="表格文字"/>
    <w:basedOn w:val="1"/>
    <w:qFormat/>
    <w:uiPriority w:val="0"/>
    <w:pPr>
      <w:adjustRightInd w:val="0"/>
      <w:spacing w:line="420" w:lineRule="atLeast"/>
      <w:jc w:val="left"/>
      <w:textAlignment w:val="baseline"/>
    </w:pPr>
    <w:rPr>
      <w:kern w:val="0"/>
      <w:szCs w:val="20"/>
    </w:rPr>
  </w:style>
  <w:style w:type="paragraph" w:customStyle="1" w:styleId="87">
    <w:name w:val="Char1"/>
    <w:basedOn w:val="1"/>
    <w:qFormat/>
    <w:uiPriority w:val="0"/>
    <w:pPr>
      <w:tabs>
        <w:tab w:val="left" w:pos="360"/>
      </w:tabs>
    </w:pPr>
    <w:rPr>
      <w:sz w:val="24"/>
    </w:rPr>
  </w:style>
  <w:style w:type="paragraph" w:customStyle="1" w:styleId="88">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89">
    <w:name w:val="样式 标题 3 + 首行缩进:  0.49 字符"/>
    <w:basedOn w:val="4"/>
    <w:qFormat/>
    <w:uiPriority w:val="0"/>
    <w:pPr>
      <w:spacing w:before="0" w:after="0" w:line="400" w:lineRule="exact"/>
      <w:ind w:firstLine="0" w:firstLineChars="0"/>
    </w:pPr>
    <w:rPr>
      <w:rFonts w:cs="宋体"/>
      <w:bCs/>
      <w:sz w:val="24"/>
      <w:szCs w:val="20"/>
    </w:rPr>
  </w:style>
  <w:style w:type="paragraph" w:customStyle="1" w:styleId="90">
    <w:name w:val="Revision"/>
    <w:qFormat/>
    <w:uiPriority w:val="0"/>
    <w:rPr>
      <w:rFonts w:ascii="Times New Roman" w:hAnsi="Times New Roman" w:eastAsia="宋体" w:cs="Times New Roman"/>
      <w:kern w:val="2"/>
      <w:sz w:val="21"/>
      <w:szCs w:val="24"/>
      <w:lang w:val="en-US" w:eastAsia="zh-CN" w:bidi="ar-SA"/>
    </w:rPr>
  </w:style>
  <w:style w:type="paragraph" w:customStyle="1" w:styleId="91">
    <w:name w:val="样式 样式 标题 3 + Times New Roman + (中文) 宋体2"/>
    <w:basedOn w:val="74"/>
    <w:qFormat/>
    <w:uiPriority w:val="0"/>
  </w:style>
  <w:style w:type="paragraph" w:customStyle="1" w:styleId="92">
    <w:name w:val="样式 标题 1 + 黑体 三号 非加粗 居中 段前: 6 磅 段后: 6 磅 行距: 固定值 20 磅"/>
    <w:basedOn w:val="2"/>
    <w:qFormat/>
    <w:uiPriority w:val="0"/>
    <w:pPr>
      <w:spacing w:before="120" w:beforeLines="0" w:after="120" w:afterLines="0" w:line="400" w:lineRule="exact"/>
      <w:jc w:val="center"/>
    </w:pPr>
    <w:rPr>
      <w:rFonts w:ascii="黑体" w:hAnsi="黑体" w:eastAsia="黑体" w:cs="宋体"/>
      <w:b w:val="0"/>
      <w:bCs w:val="0"/>
      <w:sz w:val="32"/>
      <w:szCs w:val="20"/>
    </w:rPr>
  </w:style>
  <w:style w:type="paragraph" w:customStyle="1" w:styleId="93">
    <w:name w:val="样式 标题 2 + 加粗"/>
    <w:basedOn w:val="3"/>
    <w:qFormat/>
    <w:uiPriority w:val="0"/>
    <w:pPr>
      <w:spacing w:before="260" w:after="260" w:line="415" w:lineRule="auto"/>
    </w:pPr>
    <w:rPr>
      <w:sz w:val="24"/>
    </w:rPr>
  </w:style>
  <w:style w:type="paragraph" w:customStyle="1" w:styleId="94">
    <w:name w:val="样式1"/>
    <w:basedOn w:val="1"/>
    <w:next w:val="5"/>
    <w:link w:val="95"/>
    <w:qFormat/>
    <w:uiPriority w:val="0"/>
    <w:pPr>
      <w:spacing w:line="360" w:lineRule="auto"/>
      <w:ind w:firstLine="420" w:firstLineChars="200"/>
    </w:pPr>
    <w:rPr>
      <w:rFonts w:ascii="宋体" w:hAnsi="宋体"/>
      <w:szCs w:val="21"/>
    </w:rPr>
  </w:style>
  <w:style w:type="character" w:customStyle="1" w:styleId="95">
    <w:name w:val="样式1 字符"/>
    <w:link w:val="94"/>
    <w:qFormat/>
    <w:uiPriority w:val="0"/>
    <w:rPr>
      <w:rFonts w:ascii="宋体" w:hAnsi="宋体" w:eastAsia="宋体"/>
      <w:kern w:val="2"/>
      <w:sz w:val="21"/>
      <w:szCs w:val="21"/>
      <w:lang w:val="en-US" w:eastAsia="zh-CN" w:bidi="ar-SA"/>
    </w:rPr>
  </w:style>
  <w:style w:type="paragraph" w:customStyle="1" w:styleId="96">
    <w:name w:val="默认段落字体 Para Char Char Char Char"/>
    <w:basedOn w:val="1"/>
    <w:qFormat/>
    <w:uiPriority w:val="0"/>
  </w:style>
  <w:style w:type="paragraph" w:customStyle="1" w:styleId="97">
    <w:name w:val="样式2"/>
    <w:basedOn w:val="4"/>
    <w:qFormat/>
    <w:uiPriority w:val="0"/>
    <w:rPr>
      <w:i/>
    </w:rPr>
  </w:style>
  <w:style w:type="paragraph" w:customStyle="1" w:styleId="98">
    <w:name w:val="_Style 97"/>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99">
    <w:name w:val="样式 标题 3 + (中文) 黑体 小四 非加粗 段前: 7.8 磅 段后: 0 磅 行距: 固定值 20 磅_0"/>
    <w:basedOn w:val="1"/>
    <w:qFormat/>
    <w:uiPriority w:val="0"/>
    <w:pPr>
      <w:keepNext/>
      <w:keepLines/>
      <w:spacing w:line="400" w:lineRule="exact"/>
      <w:outlineLvl w:val="2"/>
    </w:pPr>
    <w:rPr>
      <w:rFonts w:ascii="Calibri" w:hAnsi="Calibri" w:eastAsia="黑体" w:cs="宋体"/>
      <w:sz w:val="24"/>
      <w:szCs w:val="20"/>
    </w:rPr>
  </w:style>
  <w:style w:type="paragraph" w:customStyle="1" w:styleId="100">
    <w:name w:val="样式 标题 1 + 居中"/>
    <w:basedOn w:val="2"/>
    <w:qFormat/>
    <w:uiPriority w:val="0"/>
    <w:pPr>
      <w:spacing w:before="120" w:after="120" w:line="400" w:lineRule="exact"/>
      <w:jc w:val="center"/>
    </w:pPr>
    <w:rPr>
      <w:rFonts w:eastAsia="黑体" w:cs="宋体"/>
      <w:b w:val="0"/>
      <w:sz w:val="32"/>
      <w:szCs w:val="20"/>
    </w:rPr>
  </w:style>
  <w:style w:type="paragraph" w:customStyle="1" w:styleId="101">
    <w:name w:val="样式 标题 3 + 首行缩进:  0.49 字符1"/>
    <w:basedOn w:val="4"/>
    <w:qFormat/>
    <w:uiPriority w:val="0"/>
    <w:pPr>
      <w:spacing w:before="0" w:after="0" w:line="400" w:lineRule="exact"/>
      <w:ind w:firstLine="0" w:firstLineChars="0"/>
    </w:pPr>
    <w:rPr>
      <w:rFonts w:cs="宋体"/>
      <w:bCs/>
      <w:sz w:val="24"/>
      <w:szCs w:val="20"/>
    </w:rPr>
  </w:style>
  <w:style w:type="paragraph" w:customStyle="1" w:styleId="102">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103">
    <w:name w:val="样式 标题 3 + 居中"/>
    <w:basedOn w:val="4"/>
    <w:qFormat/>
    <w:uiPriority w:val="0"/>
    <w:pPr>
      <w:jc w:val="center"/>
    </w:pPr>
    <w:rPr>
      <w:rFonts w:cs="宋体"/>
      <w:bCs/>
      <w:sz w:val="28"/>
      <w:szCs w:val="20"/>
    </w:rPr>
  </w:style>
  <w:style w:type="paragraph" w:customStyle="1" w:styleId="104">
    <w:name w:val="Char"/>
    <w:basedOn w:val="1"/>
    <w:qFormat/>
    <w:uiPriority w:val="0"/>
    <w:pPr>
      <w:tabs>
        <w:tab w:val="left" w:pos="360"/>
      </w:tabs>
    </w:pPr>
    <w:rPr>
      <w:sz w:val="24"/>
    </w:rPr>
  </w:style>
  <w:style w:type="paragraph" w:customStyle="1" w:styleId="105">
    <w:name w:val="样式 样式 标题 3 + (中文) 黑体 小四 非加粗 段前: 7.8 磅 段后: 0 磅 行距: 固定值 20 磅 + 居中..."/>
    <w:basedOn w:val="106"/>
    <w:qFormat/>
    <w:uiPriority w:val="0"/>
    <w:pPr>
      <w:jc w:val="center"/>
    </w:pPr>
  </w:style>
  <w:style w:type="paragraph" w:customStyle="1" w:styleId="106">
    <w:name w:val="样式 标题 3 + (中文) 黑体 小四 非加粗 段前: 7.8 磅 段后: 0 磅 行距: 固定值 20 磅"/>
    <w:basedOn w:val="4"/>
    <w:qFormat/>
    <w:uiPriority w:val="0"/>
    <w:pPr>
      <w:spacing w:before="0" w:beforeLines="0" w:after="0" w:afterLines="0" w:line="400" w:lineRule="exact"/>
    </w:pPr>
    <w:rPr>
      <w:rFonts w:eastAsia="黑体" w:cs="宋体"/>
      <w:sz w:val="24"/>
      <w:szCs w:val="20"/>
    </w:rPr>
  </w:style>
  <w:style w:type="paragraph" w:customStyle="1" w:styleId="107">
    <w:name w:val="样式 标题 2 + Times New Roman 四号 非加粗 段前: 5 磅 段后: 0 磅 行距: 固定值 20..."/>
    <w:basedOn w:val="3"/>
    <w:qFormat/>
    <w:uiPriority w:val="0"/>
    <w:pPr>
      <w:spacing w:before="100" w:beforeLines="0" w:after="0" w:afterLines="0" w:line="400" w:lineRule="exact"/>
    </w:pPr>
    <w:rPr>
      <w:rFonts w:ascii="Times New Roman" w:hAnsi="Times New Roman" w:cs="宋体"/>
      <w:bCs w:val="0"/>
      <w:sz w:val="28"/>
      <w:szCs w:val="20"/>
    </w:rPr>
  </w:style>
  <w:style w:type="paragraph" w:customStyle="1" w:styleId="108">
    <w:name w:val="样式 样式 标题 3 + Times New Roman + 首行缩进:  0.21 厘米"/>
    <w:basedOn w:val="74"/>
    <w:qFormat/>
    <w:uiPriority w:val="0"/>
    <w:pPr>
      <w:ind w:firstLine="0"/>
    </w:pPr>
    <w:rPr>
      <w:rFonts w:cs="宋体"/>
      <w:szCs w:val="20"/>
    </w:rPr>
  </w:style>
  <w:style w:type="paragraph" w:customStyle="1" w:styleId="109">
    <w:name w:val="样式 黑体 四号 加粗 灰色-80% 居中 行距: 固定值 20 磅"/>
    <w:basedOn w:val="1"/>
    <w:qFormat/>
    <w:uiPriority w:val="0"/>
    <w:pPr>
      <w:spacing w:line="400" w:lineRule="exact"/>
      <w:jc w:val="center"/>
    </w:pPr>
    <w:rPr>
      <w:rFonts w:ascii="黑体" w:eastAsia="黑体" w:cs="宋体"/>
      <w:bCs/>
      <w:color w:val="333333"/>
      <w:sz w:val="28"/>
      <w:szCs w:val="20"/>
    </w:rPr>
  </w:style>
  <w:style w:type="paragraph" w:customStyle="1" w:styleId="110">
    <w:name w:val="样式 标题 2 + Times New Roman 四号 非加粗 段前: 5 磅 段后: 0 磅 行距: 固定值 20..._0"/>
    <w:basedOn w:val="1"/>
    <w:qFormat/>
    <w:uiPriority w:val="0"/>
    <w:pPr>
      <w:keepNext/>
      <w:keepLines/>
      <w:spacing w:before="100" w:line="400" w:lineRule="exact"/>
      <w:outlineLvl w:val="1"/>
    </w:pPr>
    <w:rPr>
      <w:rFonts w:eastAsia="黑体"/>
      <w:sz w:val="28"/>
      <w:szCs w:val="20"/>
    </w:rPr>
  </w:style>
  <w:style w:type="paragraph" w:customStyle="1" w:styleId="111">
    <w:name w:val="样式 样式 标题 3 + Times New Roman + (中文) 宋体1"/>
    <w:basedOn w:val="74"/>
    <w:qFormat/>
    <w:uiPriority w:val="0"/>
  </w:style>
  <w:style w:type="paragraph" w:customStyle="1" w:styleId="112">
    <w:name w:val="表格"/>
    <w:basedOn w:val="1"/>
    <w:qFormat/>
    <w:uiPriority w:val="0"/>
    <w:pPr>
      <w:jc w:val="center"/>
      <w:textAlignment w:val="center"/>
    </w:pPr>
    <w:rPr>
      <w:rFonts w:ascii="华文细黑" w:hAnsi="华文细黑"/>
      <w:kern w:val="0"/>
      <w:szCs w:val="20"/>
    </w:rPr>
  </w:style>
  <w:style w:type="paragraph" w:customStyle="1" w:styleId="113">
    <w:name w:val="样式 样式 标题 3 + (中文) 黑体 小四 非加粗 段前: 7.8 磅 段后: 0 磅 行距: 固定值 20 磅 + 黑色"/>
    <w:basedOn w:val="106"/>
    <w:qFormat/>
    <w:uiPriority w:val="0"/>
    <w:rPr>
      <w:rFonts w:ascii="Times New Roman" w:hAnsi="Times New Roman"/>
      <w:bCs/>
      <w:color w:val="000000"/>
    </w:rPr>
  </w:style>
  <w:style w:type="paragraph" w:customStyle="1" w:styleId="114">
    <w:name w:val="WPSOffice手动目录 1"/>
    <w:qFormat/>
    <w:uiPriority w:val="0"/>
    <w:rPr>
      <w:rFonts w:ascii="Times New Roman" w:hAnsi="Times New Roman" w:eastAsia="宋体" w:cs="Times New Roman"/>
      <w:lang w:val="en-US" w:eastAsia="zh-CN" w:bidi="ar-SA"/>
    </w:rPr>
  </w:style>
  <w:style w:type="paragraph" w:customStyle="1" w:styleId="115">
    <w:name w:val="WPSOffice手动目录 2"/>
    <w:qFormat/>
    <w:uiPriority w:val="0"/>
    <w:pPr>
      <w:ind w:leftChars="200"/>
    </w:pPr>
    <w:rPr>
      <w:rFonts w:ascii="Times New Roman" w:hAnsi="Times New Roman" w:eastAsia="宋体" w:cs="Times New Roman"/>
      <w:lang w:val="en-US" w:eastAsia="zh-CN" w:bidi="ar-SA"/>
    </w:rPr>
  </w:style>
  <w:style w:type="paragraph" w:customStyle="1" w:styleId="116">
    <w:name w:val="WPSOffice手动目录 3"/>
    <w:qFormat/>
    <w:uiPriority w:val="0"/>
    <w:pPr>
      <w:ind w:leftChars="400"/>
    </w:pPr>
    <w:rPr>
      <w:rFonts w:ascii="Times New Roman" w:hAnsi="Times New Roman" w:eastAsia="宋体" w:cs="Times New Roman"/>
      <w:lang w:val="en-US" w:eastAsia="zh-CN" w:bidi="ar-SA"/>
    </w:rPr>
  </w:style>
  <w:style w:type="character" w:customStyle="1" w:styleId="117">
    <w:name w:val="refer-count"/>
    <w:qFormat/>
    <w:uiPriority w:val="0"/>
  </w:style>
  <w:style w:type="character" w:customStyle="1" w:styleId="118">
    <w:name w:val="未处理的提及3"/>
    <w:unhideWhenUsed/>
    <w:qFormat/>
    <w:uiPriority w:val="0"/>
    <w:rPr>
      <w:color w:val="605E5C"/>
      <w:shd w:val="clear" w:color="auto" w:fill="E1DFDD"/>
    </w:rPr>
  </w:style>
  <w:style w:type="character" w:styleId="119">
    <w:name w:val="Placeholder Text"/>
    <w:unhideWhenUsed/>
    <w:qFormat/>
    <w:uiPriority w:val="0"/>
    <w:rPr>
      <w:color w:val="808080"/>
    </w:rPr>
  </w:style>
  <w:style w:type="character" w:customStyle="1" w:styleId="120">
    <w:name w:val="content"/>
    <w:qFormat/>
    <w:uiPriority w:val="0"/>
  </w:style>
  <w:style w:type="character" w:customStyle="1" w:styleId="121">
    <w:name w:val="search-in-page-highlight-item"/>
    <w:qFormat/>
    <w:uiPriority w:val="0"/>
  </w:style>
  <w:style w:type="character" w:customStyle="1" w:styleId="122">
    <w:name w:val="未处理的提及1"/>
    <w:unhideWhenUsed/>
    <w:qFormat/>
    <w:uiPriority w:val="0"/>
    <w:rPr>
      <w:color w:val="605E5C"/>
      <w:shd w:val="clear" w:color="auto" w:fill="E1DFDD"/>
    </w:rPr>
  </w:style>
  <w:style w:type="character" w:customStyle="1" w:styleId="123">
    <w:name w:val="law-parenthese"/>
    <w:qFormat/>
    <w:uiPriority w:val="0"/>
  </w:style>
  <w:style w:type="character" w:customStyle="1" w:styleId="124">
    <w:name w:val=" Char Char18"/>
    <w:qFormat/>
    <w:uiPriority w:val="0"/>
    <w:rPr>
      <w:rFonts w:ascii="宋体" w:hAnsi="Calibri" w:cs="Times New Roman"/>
      <w:b/>
      <w:kern w:val="2"/>
      <w:sz w:val="24"/>
      <w:szCs w:val="22"/>
    </w:rPr>
  </w:style>
  <w:style w:type="character" w:customStyle="1" w:styleId="125">
    <w:name w:val=" Char Char19"/>
    <w:qFormat/>
    <w:uiPriority w:val="0"/>
    <w:rPr>
      <w:rFonts w:eastAsia="宋体" w:cs="Times New Roman"/>
      <w:b/>
      <w:kern w:val="44"/>
      <w:sz w:val="30"/>
      <w:szCs w:val="22"/>
    </w:rPr>
  </w:style>
  <w:style w:type="character" w:customStyle="1" w:styleId="126">
    <w:name w:val=" Char Char17"/>
    <w:qFormat/>
    <w:uiPriority w:val="0"/>
    <w:rPr>
      <w:b/>
      <w:bCs/>
      <w:kern w:val="2"/>
      <w:sz w:val="28"/>
      <w:szCs w:val="28"/>
    </w:rPr>
  </w:style>
  <w:style w:type="character" w:customStyle="1" w:styleId="127">
    <w:name w:val="search-in-page-highlight-wrapper"/>
    <w:qFormat/>
    <w:uiPriority w:val="0"/>
  </w:style>
  <w:style w:type="character" w:customStyle="1" w:styleId="128">
    <w:name w:val="未处理的提及2"/>
    <w:unhideWhenUsed/>
    <w:qFormat/>
    <w:uiPriority w:val="0"/>
    <w:rPr>
      <w:color w:val="605E5C"/>
      <w:shd w:val="clear" w:color="auto" w:fill="E1DFDD"/>
    </w:rPr>
  </w:style>
  <w:style w:type="paragraph" w:customStyle="1" w:styleId="129">
    <w:name w:val="专用标题2"/>
    <w:basedOn w:val="3"/>
    <w:next w:val="1"/>
    <w:qFormat/>
    <w:uiPriority w:val="0"/>
    <w:pPr>
      <w:keepNext w:val="0"/>
      <w:keepLines w:val="0"/>
      <w:widowControl/>
      <w:tabs>
        <w:tab w:val="left" w:pos="993"/>
      </w:tabs>
      <w:adjustRightInd w:val="0"/>
      <w:snapToGrid w:val="0"/>
      <w:spacing w:before="0" w:beforeLines="0" w:after="120" w:afterLines="50" w:line="360" w:lineRule="auto"/>
    </w:pPr>
    <w:rPr>
      <w:rFonts w:ascii="宋体" w:hAnsi="宋体" w:eastAsia="宋体" w:cs="Times"/>
      <w:b/>
      <w:bCs w:val="0"/>
      <w:kern w:val="0"/>
      <w:sz w:val="28"/>
      <w:szCs w:val="20"/>
      <w:lang w:val="en-US" w:eastAsia="zh-CN"/>
    </w:rPr>
  </w:style>
  <w:style w:type="paragraph" w:customStyle="1" w:styleId="130">
    <w:name w:val="通用标题4"/>
    <w:next w:val="1"/>
    <w:qFormat/>
    <w:uiPriority w:val="0"/>
    <w:pPr>
      <w:numPr>
        <w:ilvl w:val="2"/>
        <w:numId w:val="1"/>
      </w:numPr>
      <w:tabs>
        <w:tab w:val="left" w:pos="851"/>
      </w:tabs>
      <w:adjustRightInd w:val="0"/>
      <w:snapToGrid w:val="0"/>
      <w:spacing w:after="120" w:afterLines="50" w:line="360" w:lineRule="auto"/>
      <w:jc w:val="both"/>
      <w:outlineLvl w:val="3"/>
    </w:pPr>
    <w:rPr>
      <w:rFonts w:ascii="宋体" w:hAnsi="宋体" w:eastAsia="宋体" w:cs="Times New Roman"/>
      <w:kern w:val="2"/>
      <w:sz w:val="24"/>
      <w:szCs w:val="21"/>
      <w:lang w:val="en-US" w:eastAsia="zh-CN" w:bidi="ar-SA"/>
    </w:rPr>
  </w:style>
  <w:style w:type="paragraph" w:customStyle="1" w:styleId="131">
    <w:name w:val="缩进2中"/>
    <w:qFormat/>
    <w:uiPriority w:val="0"/>
    <w:pPr>
      <w:ind w:left="708" w:leftChars="295"/>
      <w:jc w:val="both"/>
    </w:pPr>
    <w:rPr>
      <w:rFonts w:ascii="Times" w:hAnsi="Times" w:eastAsia="宋体" w:cs="Times New Roman"/>
      <w:kern w:val="2"/>
      <w:sz w:val="24"/>
      <w:szCs w:val="22"/>
      <w:lang w:val="en-US" w:eastAsia="zh-CN" w:bidi="ar-SA"/>
    </w:rPr>
  </w:style>
  <w:style w:type="paragraph" w:customStyle="1" w:styleId="132">
    <w:name w:val="TOC 标题1"/>
    <w:basedOn w:val="2"/>
    <w:next w:val="1"/>
    <w:unhideWhenUsed/>
    <w:qFormat/>
    <w:uiPriority w:val="0"/>
    <w:pPr>
      <w:keepNext w:val="0"/>
      <w:keepLines w:val="0"/>
      <w:widowControl/>
      <w:adjustRightInd w:val="0"/>
      <w:snapToGrid w:val="0"/>
      <w:spacing w:before="240" w:after="0" w:line="259" w:lineRule="auto"/>
      <w:jc w:val="left"/>
      <w:outlineLvl w:val="9"/>
    </w:pPr>
    <w:rPr>
      <w:rFonts w:ascii="Calibri Light" w:hAnsi="Calibri Light"/>
      <w:b w:val="0"/>
      <w:bCs w:val="0"/>
      <w:color w:val="2E75B5"/>
      <w:kern w:val="0"/>
      <w:sz w:val="32"/>
      <w:szCs w:val="32"/>
    </w:rPr>
  </w:style>
  <w:style w:type="paragraph" w:customStyle="1" w:styleId="133">
    <w:name w:val="Char Char Char Char Char Char Char Char Char Char Char Char Char"/>
    <w:basedOn w:val="1"/>
    <w:qFormat/>
    <w:uiPriority w:val="0"/>
    <w:pPr>
      <w:spacing w:line="240" w:lineRule="auto"/>
    </w:pPr>
    <w:rPr>
      <w:rFonts w:ascii="宋体" w:hAnsi="宋体"/>
      <w:sz w:val="24"/>
    </w:rPr>
  </w:style>
  <w:style w:type="paragraph" w:customStyle="1" w:styleId="134">
    <w:name w:val="Title 5"/>
    <w:next w:val="135"/>
    <w:qFormat/>
    <w:uiPriority w:val="0"/>
    <w:pPr>
      <w:numPr>
        <w:ilvl w:val="0"/>
        <w:numId w:val="1"/>
      </w:numPr>
      <w:ind w:left="1701" w:hanging="426"/>
      <w:jc w:val="both"/>
    </w:pPr>
    <w:rPr>
      <w:rFonts w:ascii="Times New Roman" w:hAnsi="Times New Roman" w:eastAsia="宋体" w:cs="Times New Roman"/>
      <w:kern w:val="2"/>
      <w:sz w:val="24"/>
      <w:szCs w:val="24"/>
      <w:lang w:val="en-US" w:eastAsia="zh-CN" w:bidi="ar-SA"/>
    </w:rPr>
  </w:style>
  <w:style w:type="paragraph" w:customStyle="1" w:styleId="135">
    <w:name w:val="Title 5 Chinese"/>
    <w:qFormat/>
    <w:uiPriority w:val="0"/>
    <w:pPr>
      <w:ind w:left="1701"/>
    </w:pPr>
    <w:rPr>
      <w:rFonts w:ascii="Times New Roman" w:hAnsi="Times New Roman" w:eastAsia="宋体" w:cs="Times New Roman"/>
      <w:kern w:val="2"/>
      <w:sz w:val="24"/>
      <w:szCs w:val="24"/>
      <w:lang w:val="en-US" w:eastAsia="zh-CN" w:bidi="ar-SA"/>
    </w:rPr>
  </w:style>
  <w:style w:type="paragraph" w:customStyle="1" w:styleId="136">
    <w:name w:val="通用标题7"/>
    <w:basedOn w:val="1"/>
    <w:qFormat/>
    <w:uiPriority w:val="0"/>
    <w:pPr>
      <w:widowControl/>
      <w:numPr>
        <w:ilvl w:val="5"/>
        <w:numId w:val="2"/>
      </w:numPr>
      <w:wordWrap w:val="0"/>
      <w:topLinePunct/>
      <w:adjustRightInd w:val="0"/>
      <w:snapToGrid w:val="0"/>
      <w:spacing w:after="120" w:afterLines="50" w:line="360" w:lineRule="auto"/>
      <w:ind w:firstLineChars="200"/>
    </w:pPr>
    <w:rPr>
      <w:rFonts w:ascii="宋体" w:hAnsi="宋体"/>
      <w:kern w:val="0"/>
      <w:sz w:val="24"/>
      <w:szCs w:val="20"/>
    </w:rPr>
  </w:style>
  <w:style w:type="paragraph" w:styleId="137">
    <w:name w:val="List Paragraph"/>
    <w:basedOn w:val="1"/>
    <w:qFormat/>
    <w:uiPriority w:val="0"/>
    <w:pPr>
      <w:tabs>
        <w:tab w:val="left" w:pos="993"/>
      </w:tabs>
      <w:spacing w:line="240" w:lineRule="auto"/>
      <w:ind w:firstLine="420" w:firstLineChars="200"/>
    </w:pPr>
    <w:rPr>
      <w:szCs w:val="20"/>
    </w:rPr>
  </w:style>
  <w:style w:type="paragraph" w:customStyle="1" w:styleId="138">
    <w:name w:val="样式8"/>
    <w:basedOn w:val="1"/>
    <w:qFormat/>
    <w:uiPriority w:val="0"/>
    <w:pPr>
      <w:widowControl/>
      <w:wordWrap w:val="0"/>
      <w:topLinePunct/>
      <w:autoSpaceDE w:val="0"/>
      <w:autoSpaceDN w:val="0"/>
      <w:adjustRightInd w:val="0"/>
      <w:spacing w:line="240" w:lineRule="auto"/>
      <w:ind w:left="1274" w:leftChars="531" w:firstLine="2"/>
    </w:pPr>
    <w:rPr>
      <w:rFonts w:ascii="宋体" w:hAnsi="宋体"/>
      <w:bCs/>
      <w:kern w:val="0"/>
      <w:sz w:val="24"/>
      <w:szCs w:val="20"/>
    </w:rPr>
  </w:style>
  <w:style w:type="paragraph" w:customStyle="1" w:styleId="139">
    <w:name w:val="附件标题"/>
    <w:basedOn w:val="3"/>
    <w:next w:val="1"/>
    <w:qFormat/>
    <w:uiPriority w:val="0"/>
    <w:pPr>
      <w:widowControl/>
      <w:numPr>
        <w:ilvl w:val="0"/>
        <w:numId w:val="3"/>
      </w:numPr>
      <w:tabs>
        <w:tab w:val="left" w:pos="1134"/>
      </w:tabs>
      <w:wordWrap w:val="0"/>
      <w:topLinePunct/>
      <w:adjustRightInd w:val="0"/>
      <w:snapToGrid w:val="0"/>
      <w:spacing w:before="0" w:beforeLines="0" w:after="120" w:afterLines="50" w:line="360" w:lineRule="auto"/>
      <w:jc w:val="center"/>
    </w:pPr>
    <w:rPr>
      <w:rFonts w:ascii="黑体" w:hAnsi="黑体"/>
      <w:b/>
      <w:bCs w:val="0"/>
      <w:kern w:val="0"/>
      <w:sz w:val="30"/>
      <w:szCs w:val="30"/>
      <w:lang w:val="en-US" w:eastAsia="zh-CN"/>
    </w:rPr>
  </w:style>
  <w:style w:type="paragraph" w:customStyle="1" w:styleId="140">
    <w:name w:val="through-content"/>
    <w:basedOn w:val="1"/>
    <w:qFormat/>
    <w:uiPriority w:val="0"/>
    <w:pPr>
      <w:widowControl/>
      <w:wordWrap w:val="0"/>
      <w:topLinePunct/>
      <w:spacing w:before="100" w:beforeAutospacing="1" w:after="100" w:afterAutospacing="1" w:line="240" w:lineRule="auto"/>
      <w:jc w:val="left"/>
    </w:pPr>
    <w:rPr>
      <w:rFonts w:ascii="宋体" w:hAnsi="宋体" w:cs="宋体"/>
      <w:kern w:val="0"/>
      <w:sz w:val="24"/>
      <w:szCs w:val="20"/>
    </w:rPr>
  </w:style>
  <w:style w:type="paragraph" w:customStyle="1" w:styleId="141">
    <w:name w:val="List ALPHA CAPS 1"/>
    <w:basedOn w:val="1"/>
    <w:next w:val="16"/>
    <w:qFormat/>
    <w:uiPriority w:val="0"/>
    <w:pPr>
      <w:widowControl/>
      <w:numPr>
        <w:ilvl w:val="0"/>
        <w:numId w:val="4"/>
      </w:numPr>
      <w:tabs>
        <w:tab w:val="left" w:pos="22"/>
        <w:tab w:val="left" w:pos="624"/>
      </w:tabs>
      <w:wordWrap w:val="0"/>
      <w:topLinePunct/>
      <w:adjustRightInd w:val="0"/>
      <w:snapToGrid w:val="0"/>
      <w:spacing w:after="200" w:afterLines="50" w:line="288" w:lineRule="auto"/>
      <w:ind w:firstLineChars="200"/>
    </w:pPr>
    <w:rPr>
      <w:rFonts w:ascii="CG Times" w:hAnsi="CG Times"/>
      <w:kern w:val="0"/>
      <w:sz w:val="22"/>
      <w:szCs w:val="20"/>
      <w:lang w:val="en-GB"/>
    </w:rPr>
  </w:style>
  <w:style w:type="paragraph" w:customStyle="1" w:styleId="142">
    <w:name w:val="TOC 标题2"/>
    <w:basedOn w:val="2"/>
    <w:next w:val="1"/>
    <w:qFormat/>
    <w:uiPriority w:val="0"/>
    <w:pPr>
      <w:spacing w:before="260" w:after="260" w:line="413" w:lineRule="auto"/>
      <w:jc w:val="center"/>
    </w:pPr>
    <w:rPr>
      <w:rFonts w:ascii="宋体" w:hAnsi="宋体"/>
      <w:sz w:val="36"/>
      <w:lang w:val="zh-CN"/>
    </w:rPr>
  </w:style>
  <w:style w:type="paragraph" w:customStyle="1" w:styleId="143">
    <w:name w:val="专用标题4"/>
    <w:basedOn w:val="5"/>
    <w:next w:val="1"/>
    <w:qFormat/>
    <w:uiPriority w:val="0"/>
    <w:pPr>
      <w:widowControl/>
      <w:numPr>
        <w:ilvl w:val="2"/>
        <w:numId w:val="5"/>
      </w:numPr>
      <w:adjustRightInd w:val="0"/>
      <w:snapToGrid w:val="0"/>
      <w:spacing w:before="0" w:after="0" w:line="240" w:lineRule="auto"/>
      <w:jc w:val="left"/>
    </w:pPr>
    <w:rPr>
      <w:bCs w:val="0"/>
      <w:sz w:val="28"/>
      <w:szCs w:val="22"/>
      <w:lang w:val="en-US" w:eastAsia="zh-CN"/>
    </w:rPr>
  </w:style>
  <w:style w:type="paragraph" w:customStyle="1" w:styleId="144">
    <w:name w:val="LIST ALPHA CAPS 2"/>
    <w:basedOn w:val="1"/>
    <w:next w:val="34"/>
    <w:qFormat/>
    <w:uiPriority w:val="0"/>
    <w:pPr>
      <w:widowControl/>
      <w:numPr>
        <w:ilvl w:val="1"/>
        <w:numId w:val="4"/>
      </w:numPr>
      <w:tabs>
        <w:tab w:val="left" w:pos="50"/>
        <w:tab w:val="left" w:pos="1417"/>
      </w:tabs>
      <w:wordWrap w:val="0"/>
      <w:topLinePunct/>
      <w:adjustRightInd w:val="0"/>
      <w:snapToGrid w:val="0"/>
      <w:spacing w:after="200" w:afterLines="50" w:line="288" w:lineRule="auto"/>
      <w:ind w:firstLineChars="200"/>
    </w:pPr>
    <w:rPr>
      <w:rFonts w:ascii="CG Times" w:hAnsi="CG Times"/>
      <w:kern w:val="0"/>
      <w:sz w:val="22"/>
      <w:szCs w:val="20"/>
      <w:lang w:val="en-GB"/>
    </w:rPr>
  </w:style>
  <w:style w:type="paragraph" w:customStyle="1" w:styleId="145">
    <w:name w:val="Title 4 Chinese"/>
    <w:qFormat/>
    <w:uiPriority w:val="0"/>
    <w:pPr>
      <w:ind w:left="1276"/>
    </w:pPr>
    <w:rPr>
      <w:rFonts w:ascii="Times New Roman" w:hAnsi="Times New Roman" w:eastAsia="宋体" w:cs="Times New Roman"/>
      <w:kern w:val="2"/>
      <w:sz w:val="24"/>
      <w:szCs w:val="24"/>
      <w:lang w:val="en-US" w:eastAsia="zh-CN" w:bidi="ar-SA"/>
    </w:rPr>
  </w:style>
  <w:style w:type="paragraph" w:customStyle="1" w:styleId="146">
    <w:name w:val="Title 4"/>
    <w:next w:val="145"/>
    <w:qFormat/>
    <w:uiPriority w:val="0"/>
    <w:pPr>
      <w:numPr>
        <w:ilvl w:val="0"/>
        <w:numId w:val="6"/>
      </w:numPr>
      <w:ind w:left="1276" w:hanging="562"/>
      <w:jc w:val="both"/>
    </w:pPr>
    <w:rPr>
      <w:rFonts w:ascii="Times New Roman" w:hAnsi="Times New Roman" w:eastAsia="宋体" w:cs="Times New Roman"/>
      <w:kern w:val="2"/>
      <w:sz w:val="24"/>
      <w:szCs w:val="24"/>
      <w:lang w:val="en-US" w:eastAsia="zh-CN" w:bidi="ar-SA"/>
    </w:rPr>
  </w:style>
  <w:style w:type="paragraph" w:customStyle="1" w:styleId="147">
    <w:name w:val="通用标题6"/>
    <w:basedOn w:val="1"/>
    <w:qFormat/>
    <w:uiPriority w:val="0"/>
    <w:pPr>
      <w:widowControl/>
      <w:numPr>
        <w:ilvl w:val="4"/>
        <w:numId w:val="7"/>
      </w:numPr>
      <w:tabs>
        <w:tab w:val="left" w:pos="993"/>
      </w:tabs>
      <w:adjustRightInd w:val="0"/>
      <w:snapToGrid w:val="0"/>
      <w:spacing w:after="120" w:afterLines="50" w:line="360" w:lineRule="auto"/>
      <w:ind w:firstLine="0"/>
    </w:pPr>
    <w:rPr>
      <w:rFonts w:ascii="宋体" w:hAnsi="宋体"/>
      <w:kern w:val="0"/>
      <w:sz w:val="24"/>
      <w:szCs w:val="20"/>
    </w:rPr>
  </w:style>
  <w:style w:type="paragraph" w:customStyle="1" w:styleId="148">
    <w:name w:val="协议书标题2"/>
    <w:basedOn w:val="3"/>
    <w:next w:val="1"/>
    <w:qFormat/>
    <w:uiPriority w:val="0"/>
    <w:pPr>
      <w:keepNext w:val="0"/>
      <w:keepLines w:val="0"/>
      <w:widowControl/>
      <w:numPr>
        <w:ilvl w:val="0"/>
        <w:numId w:val="8"/>
      </w:numPr>
      <w:tabs>
        <w:tab w:val="left" w:pos="567"/>
      </w:tabs>
      <w:wordWrap w:val="0"/>
      <w:topLinePunct/>
      <w:adjustRightInd w:val="0"/>
      <w:snapToGrid w:val="0"/>
      <w:spacing w:before="0" w:beforeLines="0" w:after="120" w:afterLines="50" w:line="360" w:lineRule="auto"/>
      <w:jc w:val="left"/>
    </w:pPr>
    <w:rPr>
      <w:rFonts w:ascii="宋体" w:hAnsi="宋体" w:eastAsia="宋体"/>
      <w:b/>
      <w:bCs w:val="0"/>
      <w:kern w:val="0"/>
      <w:szCs w:val="20"/>
      <w:lang w:val="en-US" w:eastAsia="zh-CN"/>
    </w:rPr>
  </w:style>
  <w:style w:type="paragraph" w:customStyle="1" w:styleId="149">
    <w:name w:val="样式3"/>
    <w:next w:val="1"/>
    <w:qFormat/>
    <w:uiPriority w:val="0"/>
    <w:pPr>
      <w:numPr>
        <w:ilvl w:val="2"/>
        <w:numId w:val="9"/>
      </w:numPr>
    </w:pPr>
    <w:rPr>
      <w:rFonts w:ascii="Times New Roman" w:hAnsi="Times New Roman" w:eastAsia="宋体" w:cs="Times New Roman"/>
      <w:bCs/>
      <w:kern w:val="2"/>
      <w:sz w:val="24"/>
      <w:szCs w:val="24"/>
      <w:lang w:val="en-US" w:eastAsia="zh-CN" w:bidi="ar-SA"/>
    </w:rPr>
  </w:style>
  <w:style w:type="paragraph" w:customStyle="1" w:styleId="150">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151">
    <w:name w:val="专用标题3"/>
    <w:basedOn w:val="4"/>
    <w:qFormat/>
    <w:uiPriority w:val="0"/>
    <w:pPr>
      <w:widowControl/>
      <w:numPr>
        <w:ilvl w:val="1"/>
        <w:numId w:val="5"/>
      </w:numPr>
      <w:wordWrap w:val="0"/>
      <w:topLinePunct/>
      <w:adjustRightInd w:val="0"/>
      <w:snapToGrid w:val="0"/>
      <w:spacing w:before="0" w:beforeLines="0" w:after="120" w:afterLines="50" w:line="360" w:lineRule="auto"/>
      <w:jc w:val="left"/>
    </w:pPr>
    <w:rPr>
      <w:rFonts w:ascii="宋体" w:hAnsi="宋体" w:eastAsia="宋体"/>
      <w:b/>
      <w:kern w:val="0"/>
      <w:sz w:val="24"/>
      <w:szCs w:val="20"/>
    </w:rPr>
  </w:style>
  <w:style w:type="paragraph" w:customStyle="1" w:styleId="152">
    <w:name w:val="通用标题5"/>
    <w:qFormat/>
    <w:uiPriority w:val="0"/>
    <w:pPr>
      <w:widowControl w:val="0"/>
      <w:numPr>
        <w:ilvl w:val="3"/>
        <w:numId w:val="10"/>
      </w:numPr>
      <w:tabs>
        <w:tab w:val="left" w:pos="1134"/>
      </w:tabs>
      <w:autoSpaceDE w:val="0"/>
      <w:autoSpaceDN w:val="0"/>
      <w:adjustRightInd w:val="0"/>
      <w:snapToGrid w:val="0"/>
      <w:spacing w:after="120" w:afterLines="50" w:line="360" w:lineRule="auto"/>
      <w:jc w:val="both"/>
    </w:pPr>
    <w:rPr>
      <w:rFonts w:ascii="宋体" w:hAnsi="宋体" w:eastAsia="宋体" w:cs="Times New Roman"/>
      <w:kern w:val="2"/>
      <w:sz w:val="24"/>
      <w:szCs w:val="21"/>
      <w:lang w:val="en-US" w:eastAsia="zh-CN" w:bidi="ar-SA"/>
    </w:rPr>
  </w:style>
  <w:style w:type="paragraph" w:customStyle="1" w:styleId="153">
    <w:name w:val="LIST ALPHA CAPS 3"/>
    <w:basedOn w:val="1"/>
    <w:next w:val="15"/>
    <w:qFormat/>
    <w:uiPriority w:val="0"/>
    <w:pPr>
      <w:widowControl/>
      <w:numPr>
        <w:ilvl w:val="2"/>
        <w:numId w:val="4"/>
      </w:numPr>
      <w:tabs>
        <w:tab w:val="left" w:pos="68"/>
        <w:tab w:val="left" w:pos="1928"/>
      </w:tabs>
      <w:wordWrap w:val="0"/>
      <w:topLinePunct/>
      <w:adjustRightInd w:val="0"/>
      <w:snapToGrid w:val="0"/>
      <w:spacing w:after="200" w:afterLines="50" w:line="288" w:lineRule="auto"/>
      <w:ind w:firstLineChars="200"/>
    </w:pPr>
    <w:rPr>
      <w:rFonts w:ascii="CG Times" w:hAnsi="CG Times"/>
      <w:kern w:val="0"/>
      <w:sz w:val="22"/>
      <w:szCs w:val="20"/>
      <w:lang w:val="en-GB"/>
    </w:rPr>
  </w:style>
  <w:style w:type="paragraph" w:customStyle="1" w:styleId="154">
    <w:name w:val="通用标题2"/>
    <w:basedOn w:val="3"/>
    <w:next w:val="1"/>
    <w:qFormat/>
    <w:uiPriority w:val="0"/>
    <w:pPr>
      <w:keepNext w:val="0"/>
      <w:keepLines w:val="0"/>
      <w:widowControl/>
      <w:numPr>
        <w:ilvl w:val="0"/>
        <w:numId w:val="2"/>
      </w:numPr>
      <w:tabs>
        <w:tab w:val="left" w:pos="993"/>
      </w:tabs>
      <w:wordWrap w:val="0"/>
      <w:topLinePunct/>
      <w:adjustRightInd w:val="0"/>
      <w:snapToGrid w:val="0"/>
      <w:spacing w:before="0" w:beforeLines="0" w:after="120" w:afterLines="50" w:line="360" w:lineRule="auto"/>
    </w:pPr>
    <w:rPr>
      <w:rFonts w:ascii="黑体" w:hAnsi="黑体"/>
      <w:b/>
      <w:bCs w:val="0"/>
      <w:kern w:val="0"/>
      <w:sz w:val="28"/>
      <w:szCs w:val="20"/>
      <w:lang w:val="en-US" w:eastAsia="zh-CN"/>
    </w:rPr>
  </w:style>
  <w:style w:type="paragraph" w:customStyle="1" w:styleId="155">
    <w:name w:val="Main Title"/>
    <w:next w:val="1"/>
    <w:qFormat/>
    <w:uiPriority w:val="0"/>
    <w:pPr>
      <w:adjustRightInd w:val="0"/>
      <w:snapToGrid w:val="0"/>
      <w:spacing w:after="120" w:afterLines="50" w:line="360" w:lineRule="auto"/>
      <w:jc w:val="center"/>
    </w:pPr>
    <w:rPr>
      <w:rFonts w:ascii="黑体" w:hAnsi="黑体" w:eastAsia="黑体" w:cs="Times New Roman"/>
      <w:b/>
      <w:kern w:val="2"/>
      <w:sz w:val="36"/>
      <w:szCs w:val="22"/>
      <w:lang w:val="zh-CN" w:eastAsia="zh-CN" w:bidi="ar-SA"/>
    </w:rPr>
  </w:style>
  <w:style w:type="paragraph" w:customStyle="1" w:styleId="156">
    <w:name w:val="小标题"/>
    <w:qFormat/>
    <w:uiPriority w:val="0"/>
    <w:pPr>
      <w:tabs>
        <w:tab w:val="left" w:pos="993"/>
      </w:tabs>
      <w:adjustRightInd w:val="0"/>
      <w:snapToGrid w:val="0"/>
    </w:pPr>
    <w:rPr>
      <w:rFonts w:ascii="Times New Roman" w:hAnsi="Times New Roman" w:eastAsia="宋体" w:cs="Times New Roman"/>
      <w:bCs/>
      <w:kern w:val="2"/>
      <w:sz w:val="24"/>
      <w:szCs w:val="22"/>
      <w:lang w:val="en-US" w:eastAsia="zh-CN" w:bidi="ar-SA"/>
    </w:rPr>
  </w:style>
  <w:style w:type="paragraph" w:customStyle="1" w:styleId="157">
    <w:name w:val="附件标题1"/>
    <w:next w:val="1"/>
    <w:qFormat/>
    <w:uiPriority w:val="0"/>
    <w:pPr>
      <w:numPr>
        <w:ilvl w:val="0"/>
        <w:numId w:val="11"/>
      </w:numPr>
      <w:tabs>
        <w:tab w:val="left" w:pos="567"/>
      </w:tabs>
      <w:adjustRightInd w:val="0"/>
      <w:snapToGrid w:val="0"/>
      <w:spacing w:after="120" w:afterLines="50" w:line="312" w:lineRule="auto"/>
    </w:pPr>
    <w:rPr>
      <w:rFonts w:ascii="黑体" w:hAnsi="黑体" w:eastAsia="黑体" w:cs="Times New Roman"/>
      <w:b/>
      <w:kern w:val="2"/>
      <w:sz w:val="24"/>
      <w:szCs w:val="24"/>
      <w:lang w:val="en-US" w:eastAsia="zh-CN" w:bidi="ar-SA"/>
    </w:rPr>
  </w:style>
  <w:style w:type="paragraph" w:customStyle="1" w:styleId="158">
    <w:name w:val="通用标题3"/>
    <w:next w:val="1"/>
    <w:qFormat/>
    <w:uiPriority w:val="0"/>
    <w:pPr>
      <w:widowControl w:val="0"/>
      <w:numPr>
        <w:ilvl w:val="1"/>
        <w:numId w:val="10"/>
      </w:numPr>
      <w:tabs>
        <w:tab w:val="left" w:pos="851"/>
        <w:tab w:val="clear" w:pos="840"/>
      </w:tabs>
      <w:adjustRightInd w:val="0"/>
      <w:snapToGrid w:val="0"/>
      <w:spacing w:after="120" w:afterLines="50" w:line="360" w:lineRule="auto"/>
      <w:jc w:val="both"/>
      <w:outlineLvl w:val="2"/>
    </w:pPr>
    <w:rPr>
      <w:rFonts w:ascii="黑体" w:hAnsi="黑体" w:eastAsia="黑体" w:cs="Times New Roman"/>
      <w:b/>
      <w:kern w:val="2"/>
      <w:sz w:val="24"/>
      <w:szCs w:val="24"/>
      <w:lang w:val="en-US" w:eastAsia="zh-CN" w:bidi="ar-SA"/>
    </w:rPr>
  </w:style>
  <w:style w:type="paragraph" w:customStyle="1" w:styleId="159">
    <w:name w:val="图表a"/>
    <w:basedOn w:val="1"/>
    <w:qFormat/>
    <w:uiPriority w:val="0"/>
    <w:pPr>
      <w:spacing w:line="440" w:lineRule="exact"/>
      <w:jc w:val="center"/>
    </w:pPr>
    <w:rPr>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2.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224</Pages>
  <Words>5210</Words>
  <Characters>5922</Characters>
  <Lines>1548</Lines>
  <Paragraphs>435</Paragraphs>
  <TotalTime>57</TotalTime>
  <ScaleCrop>false</ScaleCrop>
  <LinksUpToDate>false</LinksUpToDate>
  <CharactersWithSpaces>7013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2024-05-08T14:03:00Z</dcterms:created>
  <dc:creator>1</dc:creator>
  <cp:lastModifiedBy>正浩</cp:lastModifiedBy>
  <cp:lastPrinted>2017-04-17T00:42:00Z</cp:lastPrinted>
  <dcterms:modified xsi:type="dcterms:W3CDTF">2026-08-11T08:49:49Z</dcterms:modified>
  <dc:title>中华人民共和国</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CEB70CE4ABDF429380F1CD3203918764_13</vt:lpwstr>
  </property>
  <property fmtid="{D5CDD505-2E9C-101B-9397-08002B2CF9AE}" pid="4" name="KSOTemplateDocerSaveRecord">
    <vt:lpwstr>eyJoZGlkIjoiZTY1MzI2NWExYTA5YzA5M2Y3NzhjYzhhY2M3YTU1MzEiLCJ1c2VySWQiOiIxMDAzODAwMzUyIn0=</vt:lpwstr>
  </property>
</Properties>
</file>