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5C6BC1">
      <w:pPr>
        <w:jc w:val="center"/>
        <w:rPr>
          <w:rFonts w:hint="default" w:ascii="Times New Roman" w:hAnsi="Times New Roman" w:cs="Times New Roman"/>
          <w:color w:val="000000"/>
        </w:rPr>
      </w:pPr>
      <w:bookmarkStart w:id="314" w:name="_GoBack"/>
      <w:bookmarkEnd w:id="314"/>
    </w:p>
    <w:p w14:paraId="24CE6074">
      <w:pPr>
        <w:spacing w:line="540" w:lineRule="exact"/>
        <w:jc w:val="center"/>
        <w:rPr>
          <w:rFonts w:hint="default" w:ascii="Times New Roman" w:hAnsi="Times New Roman" w:cs="Times New Roman"/>
          <w:b/>
          <w:color w:val="000000"/>
          <w:sz w:val="32"/>
          <w:szCs w:val="32"/>
          <w:u w:val="single"/>
        </w:rPr>
      </w:pPr>
    </w:p>
    <w:p w14:paraId="7F37A5C0">
      <w:pPr>
        <w:spacing w:line="540" w:lineRule="exact"/>
        <w:jc w:val="center"/>
        <w:rPr>
          <w:rFonts w:hint="default" w:ascii="Times New Roman" w:hAnsi="Times New Roman" w:cs="Times New Roman"/>
          <w:b/>
          <w:color w:val="000000"/>
          <w:sz w:val="32"/>
          <w:szCs w:val="32"/>
          <w:u w:val="single"/>
        </w:rPr>
      </w:pPr>
    </w:p>
    <w:p w14:paraId="7F112059">
      <w:pPr>
        <w:spacing w:line="540" w:lineRule="exact"/>
        <w:ind w:firstLine="437"/>
        <w:jc w:val="center"/>
        <w:rPr>
          <w:rFonts w:hint="eastAsia" w:ascii="Times New Roman" w:hAnsi="Times New Roman" w:eastAsia="黑体" w:cs="Times New Roman"/>
          <w:color w:val="000000"/>
          <w:sz w:val="32"/>
          <w:szCs w:val="32"/>
          <w:lang w:val="en-US" w:eastAsia="zh-CN"/>
        </w:rPr>
      </w:pPr>
      <w:r>
        <w:rPr>
          <w:rFonts w:hint="default" w:ascii="Times New Roman" w:hAnsi="Times New Roman"/>
          <w:color w:val="000000"/>
          <w:sz w:val="32"/>
          <w:szCs w:val="32"/>
          <w:u w:val="single"/>
          <w:lang w:bidi="ar"/>
        </w:rPr>
        <w:t>新107国道与官埠大道贯通工程（EPC）</w:t>
      </w:r>
      <w:r>
        <w:rPr>
          <w:rFonts w:hint="default" w:ascii="Times New Roman" w:hAnsi="Times New Roman" w:cs="Times New Roman"/>
          <w:b/>
          <w:color w:val="000000"/>
          <w:sz w:val="32"/>
          <w:szCs w:val="32"/>
          <w:u w:val="single"/>
        </w:rPr>
        <w:t xml:space="preserve"> </w:t>
      </w:r>
      <w:r>
        <w:rPr>
          <w:rFonts w:hint="default" w:ascii="Times New Roman" w:hAnsi="Times New Roman" w:cs="Times New Roman"/>
          <w:b/>
          <w:color w:val="000000"/>
          <w:sz w:val="32"/>
          <w:szCs w:val="32"/>
        </w:rPr>
        <w:t xml:space="preserve">（项目名称） </w:t>
      </w:r>
      <w:r>
        <w:rPr>
          <w:rFonts w:hint="default" w:ascii="Times New Roman" w:hAnsi="Times New Roman" w:cs="Times New Roman"/>
          <w:b/>
          <w:bCs/>
          <w:color w:val="000000"/>
          <w:sz w:val="28"/>
          <w:szCs w:val="28"/>
          <w:u w:val="single"/>
          <w:lang w:eastAsia="zh-CN" w:bidi="ar"/>
        </w:rPr>
        <w:t>GTEPC-1标段</w:t>
      </w:r>
      <w:r>
        <w:rPr>
          <w:rFonts w:hint="default" w:ascii="Times New Roman" w:hAnsi="Times New Roman" w:eastAsia="黑体" w:cs="Times New Roman"/>
          <w:color w:val="000000"/>
          <w:sz w:val="32"/>
          <w:szCs w:val="32"/>
        </w:rPr>
        <w:t>（标段/包名称）</w:t>
      </w:r>
      <w:r>
        <w:rPr>
          <w:rFonts w:hint="eastAsia" w:ascii="Times New Roman" w:hAnsi="Times New Roman" w:eastAsia="黑体" w:cs="Times New Roman"/>
          <w:color w:val="000000"/>
          <w:sz w:val="32"/>
          <w:szCs w:val="32"/>
          <w:lang w:val="en-US" w:eastAsia="zh-CN"/>
        </w:rPr>
        <w:t>招标</w:t>
      </w:r>
    </w:p>
    <w:p w14:paraId="3738A3E5">
      <w:pPr>
        <w:jc w:val="center"/>
        <w:rPr>
          <w:rFonts w:hint="default" w:ascii="Times New Roman" w:hAnsi="Times New Roman" w:cs="Times New Roman"/>
          <w:color w:val="000000"/>
          <w:sz w:val="32"/>
          <w:szCs w:val="32"/>
        </w:rPr>
      </w:pPr>
    </w:p>
    <w:p w14:paraId="774AA0C7">
      <w:pPr>
        <w:jc w:val="center"/>
        <w:rPr>
          <w:rFonts w:hint="default" w:ascii="Times New Roman" w:hAnsi="Times New Roman" w:cs="Times New Roman"/>
          <w:color w:val="000000"/>
          <w:sz w:val="32"/>
          <w:szCs w:val="32"/>
        </w:rPr>
      </w:pPr>
    </w:p>
    <w:p w14:paraId="5C17FF2E">
      <w:pPr>
        <w:rPr>
          <w:rFonts w:hint="default" w:ascii="Times New Roman" w:hAnsi="Times New Roman" w:cs="Times New Roman"/>
          <w:color w:val="000000"/>
        </w:rPr>
      </w:pPr>
    </w:p>
    <w:p w14:paraId="04029026">
      <w:pPr>
        <w:jc w:val="center"/>
        <w:rPr>
          <w:rFonts w:hint="default" w:ascii="Times New Roman" w:hAnsi="Times New Roman" w:eastAsia="黑体" w:cs="Times New Roman"/>
          <w:b/>
          <w:color w:val="000000"/>
          <w:sz w:val="96"/>
          <w:szCs w:val="84"/>
        </w:rPr>
      </w:pPr>
      <w:r>
        <w:rPr>
          <w:rFonts w:hint="default" w:ascii="Times New Roman" w:hAnsi="Times New Roman" w:eastAsia="黑体" w:cs="Times New Roman"/>
          <w:b/>
          <w:color w:val="000000"/>
          <w:sz w:val="96"/>
          <w:szCs w:val="84"/>
        </w:rPr>
        <w:t>招  标  文  件</w:t>
      </w:r>
    </w:p>
    <w:p w14:paraId="065315B2">
      <w:pPr>
        <w:jc w:val="center"/>
        <w:rPr>
          <w:rFonts w:hint="default" w:ascii="Times New Roman" w:hAnsi="Times New Roman" w:cs="Times New Roman"/>
          <w:color w:val="000000"/>
          <w:sz w:val="72"/>
          <w:szCs w:val="72"/>
        </w:rPr>
      </w:pPr>
    </w:p>
    <w:tbl>
      <w:tblPr>
        <w:tblStyle w:val="17"/>
        <w:tblW w:w="8420" w:type="dxa"/>
        <w:tblInd w:w="0" w:type="dxa"/>
        <w:tblLayout w:type="fixed"/>
        <w:tblCellMar>
          <w:top w:w="0" w:type="dxa"/>
          <w:left w:w="108" w:type="dxa"/>
          <w:bottom w:w="0" w:type="dxa"/>
          <w:right w:w="108" w:type="dxa"/>
        </w:tblCellMar>
      </w:tblPr>
      <w:tblGrid>
        <w:gridCol w:w="3362"/>
        <w:gridCol w:w="5058"/>
      </w:tblGrid>
      <w:tr w14:paraId="12BDB421">
        <w:tblPrEx>
          <w:tblCellMar>
            <w:top w:w="0" w:type="dxa"/>
            <w:left w:w="108" w:type="dxa"/>
            <w:bottom w:w="0" w:type="dxa"/>
            <w:right w:w="108" w:type="dxa"/>
          </w:tblCellMar>
        </w:tblPrEx>
        <w:trPr>
          <w:trHeight w:val="614" w:hRule="atLeast"/>
        </w:trPr>
        <w:tc>
          <w:tcPr>
            <w:tcW w:w="3362" w:type="dxa"/>
          </w:tcPr>
          <w:p w14:paraId="417F7D9B">
            <w:pPr>
              <w:jc w:val="right"/>
              <w:rPr>
                <w:rFonts w:hint="default" w:ascii="Times New Roman" w:hAnsi="Times New Roman" w:cs="Times New Roman"/>
                <w:b/>
                <w:color w:val="000000"/>
                <w:sz w:val="32"/>
                <w:szCs w:val="32"/>
              </w:rPr>
            </w:pPr>
            <w:r>
              <w:rPr>
                <w:rFonts w:hint="default" w:ascii="Times New Roman" w:hAnsi="Times New Roman" w:eastAsia="黑体" w:cs="Times New Roman"/>
                <w:b/>
                <w:color w:val="000000"/>
                <w:sz w:val="32"/>
                <w:szCs w:val="32"/>
              </w:rPr>
              <w:t>招标编号:</w:t>
            </w:r>
          </w:p>
        </w:tc>
        <w:tc>
          <w:tcPr>
            <w:tcW w:w="5058" w:type="dxa"/>
          </w:tcPr>
          <w:p w14:paraId="50979CCF">
            <w:pPr>
              <w:jc w:val="left"/>
              <w:rPr>
                <w:rFonts w:hint="default" w:ascii="Times New Roman" w:hAnsi="Times New Roman" w:eastAsia="黑体" w:cs="Times New Roman"/>
                <w:b/>
                <w:color w:val="000000"/>
                <w:sz w:val="32"/>
                <w:szCs w:val="32"/>
              </w:rPr>
            </w:pPr>
          </w:p>
        </w:tc>
      </w:tr>
    </w:tbl>
    <w:p w14:paraId="366725DA">
      <w:pPr>
        <w:jc w:val="center"/>
        <w:rPr>
          <w:rFonts w:hint="default" w:ascii="Times New Roman" w:hAnsi="Times New Roman" w:cs="Times New Roman"/>
          <w:color w:val="000000"/>
          <w:szCs w:val="21"/>
        </w:rPr>
      </w:pPr>
    </w:p>
    <w:p w14:paraId="73190F95">
      <w:pPr>
        <w:jc w:val="center"/>
        <w:rPr>
          <w:rFonts w:hint="default" w:ascii="Times New Roman" w:hAnsi="Times New Roman" w:cs="Times New Roman"/>
          <w:color w:val="000000"/>
          <w:szCs w:val="21"/>
        </w:rPr>
      </w:pPr>
    </w:p>
    <w:p w14:paraId="1CE90D29">
      <w:pPr>
        <w:jc w:val="center"/>
        <w:rPr>
          <w:rFonts w:hint="default" w:ascii="Times New Roman" w:hAnsi="Times New Roman" w:cs="Times New Roman"/>
          <w:color w:val="000000"/>
          <w:szCs w:val="21"/>
        </w:rPr>
      </w:pPr>
    </w:p>
    <w:p w14:paraId="1E9165DC">
      <w:pPr>
        <w:jc w:val="center"/>
        <w:rPr>
          <w:rFonts w:hint="default" w:ascii="Times New Roman" w:hAnsi="Times New Roman" w:cs="Times New Roman"/>
          <w:color w:val="000000"/>
          <w:szCs w:val="21"/>
        </w:rPr>
      </w:pPr>
    </w:p>
    <w:p w14:paraId="54EE3C52">
      <w:pPr>
        <w:jc w:val="center"/>
        <w:rPr>
          <w:rFonts w:hint="default" w:ascii="Times New Roman" w:hAnsi="Times New Roman" w:cs="Times New Roman"/>
          <w:color w:val="000000"/>
          <w:szCs w:val="21"/>
        </w:rPr>
      </w:pPr>
    </w:p>
    <w:p w14:paraId="1EC02151">
      <w:pPr>
        <w:jc w:val="center"/>
        <w:rPr>
          <w:rFonts w:hint="default" w:ascii="Times New Roman" w:hAnsi="Times New Roman" w:cs="Times New Roman"/>
          <w:color w:val="000000"/>
          <w:szCs w:val="21"/>
        </w:rPr>
      </w:pPr>
    </w:p>
    <w:p w14:paraId="67295812">
      <w:pPr>
        <w:jc w:val="center"/>
        <w:rPr>
          <w:rFonts w:hint="default" w:ascii="Times New Roman" w:hAnsi="Times New Roman" w:cs="Times New Roman"/>
          <w:color w:val="000000"/>
          <w:szCs w:val="21"/>
        </w:rPr>
      </w:pPr>
    </w:p>
    <w:p w14:paraId="14B0C102">
      <w:pPr>
        <w:spacing w:line="360" w:lineRule="auto"/>
        <w:rPr>
          <w:rFonts w:hint="default" w:ascii="Times New Roman" w:hAnsi="Times New Roman" w:eastAsia="黑体" w:cs="Times New Roman"/>
          <w:color w:val="000000"/>
          <w:sz w:val="32"/>
          <w:szCs w:val="32"/>
        </w:rPr>
      </w:pPr>
    </w:p>
    <w:p w14:paraId="3131BE08">
      <w:pPr>
        <w:spacing w:line="360" w:lineRule="auto"/>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z w:val="32"/>
          <w:szCs w:val="32"/>
        </w:rPr>
        <w:t>招标人/招标代理机构：</w:t>
      </w:r>
      <w:r>
        <w:rPr>
          <w:rFonts w:hint="eastAsia" w:ascii="Times New Roman" w:hAnsi="Times New Roman" w:eastAsia="黑体" w:cs="Times New Roman"/>
          <w:color w:val="000000"/>
          <w:sz w:val="32"/>
          <w:szCs w:val="32"/>
          <w:lang w:val="en-US" w:eastAsia="zh-CN"/>
        </w:rPr>
        <w:t>咸宁市公路事业发展中心</w:t>
      </w:r>
      <w:r>
        <w:rPr>
          <w:rFonts w:hint="default" w:ascii="Times New Roman" w:hAnsi="Times New Roman" w:eastAsia="黑体" w:cs="Times New Roman"/>
          <w:color w:val="000000"/>
          <w:sz w:val="32"/>
          <w:szCs w:val="32"/>
        </w:rPr>
        <w:t>（盖章）</w:t>
      </w:r>
    </w:p>
    <w:p w14:paraId="6EB97E92">
      <w:pPr>
        <w:spacing w:line="360" w:lineRule="auto"/>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z w:val="32"/>
          <w:szCs w:val="32"/>
        </w:rPr>
        <w:t>招标代理机构项目负责人( 招标文件编制人)：</w:t>
      </w:r>
      <w:r>
        <w:rPr>
          <w:rFonts w:hint="default" w:ascii="Times New Roman" w:hAnsi="Times New Roman" w:eastAsia="黑体" w:cs="Times New Roman"/>
          <w:color w:val="000000"/>
          <w:sz w:val="32"/>
          <w:szCs w:val="32"/>
          <w:u w:val="single"/>
        </w:rPr>
        <w:t xml:space="preserve">    </w:t>
      </w:r>
      <w:r>
        <w:rPr>
          <w:rFonts w:hint="default" w:ascii="Times New Roman" w:hAnsi="Times New Roman" w:eastAsia="黑体" w:cs="Times New Roman"/>
          <w:color w:val="000000"/>
          <w:sz w:val="32"/>
          <w:szCs w:val="32"/>
        </w:rPr>
        <w:t>(签字)</w:t>
      </w:r>
    </w:p>
    <w:p w14:paraId="4F235916">
      <w:pPr>
        <w:spacing w:line="360" w:lineRule="auto"/>
        <w:jc w:val="center"/>
        <w:rPr>
          <w:rFonts w:hint="default" w:ascii="Times New Roman" w:hAnsi="Times New Roman" w:cs="Times New Roman"/>
          <w:color w:val="000000"/>
          <w:sz w:val="32"/>
          <w:szCs w:val="32"/>
        </w:rPr>
      </w:pPr>
      <w:r>
        <w:rPr>
          <w:rFonts w:hint="default" w:ascii="Times New Roman" w:hAnsi="Times New Roman" w:cs="Times New Roman"/>
          <w:color w:val="000000"/>
          <w:sz w:val="32"/>
          <w:szCs w:val="32"/>
        </w:rPr>
        <w:t>日    期：</w:t>
      </w:r>
      <w:r>
        <w:rPr>
          <w:rFonts w:hint="default" w:ascii="Times New Roman" w:hAnsi="Times New Roman" w:eastAsia="黑体" w:cs="Times New Roman"/>
          <w:color w:val="000000"/>
          <w:sz w:val="32"/>
          <w:szCs w:val="32"/>
          <w:u w:val="single"/>
        </w:rPr>
        <w:t xml:space="preserve"> </w:t>
      </w:r>
      <w:r>
        <w:rPr>
          <w:rFonts w:hint="default" w:ascii="Times New Roman" w:hAnsi="Times New Roman" w:eastAsia="黑体" w:cs="Times New Roman"/>
          <w:color w:val="000000"/>
          <w:sz w:val="32"/>
          <w:szCs w:val="32"/>
          <w:u w:val="single"/>
          <w:lang w:bidi="ar"/>
        </w:rPr>
        <w:t>202</w:t>
      </w:r>
      <w:r>
        <w:rPr>
          <w:rFonts w:hint="default" w:ascii="Times New Roman" w:hAnsi="Times New Roman" w:eastAsia="黑体" w:cs="Times New Roman"/>
          <w:color w:val="000000"/>
          <w:sz w:val="32"/>
          <w:szCs w:val="32"/>
          <w:u w:val="single"/>
          <w:lang w:val="en-US" w:eastAsia="zh-CN" w:bidi="ar"/>
        </w:rPr>
        <w:t>6</w:t>
      </w:r>
      <w:r>
        <w:rPr>
          <w:rFonts w:hint="default" w:ascii="Times New Roman" w:hAnsi="Times New Roman" w:eastAsia="黑体" w:cs="Times New Roman"/>
          <w:color w:val="000000"/>
          <w:sz w:val="32"/>
          <w:szCs w:val="32"/>
          <w:u w:val="single"/>
        </w:rPr>
        <w:t xml:space="preserve"> </w:t>
      </w:r>
      <w:r>
        <w:rPr>
          <w:rFonts w:hint="default" w:ascii="Times New Roman" w:hAnsi="Times New Roman" w:cs="Times New Roman"/>
          <w:color w:val="000000"/>
          <w:sz w:val="32"/>
          <w:szCs w:val="32"/>
        </w:rPr>
        <w:t>年</w:t>
      </w:r>
      <w:r>
        <w:rPr>
          <w:rFonts w:hint="default" w:ascii="Times New Roman" w:hAnsi="Times New Roman" w:eastAsia="黑体" w:cs="Times New Roman"/>
          <w:color w:val="000000"/>
          <w:sz w:val="32"/>
          <w:szCs w:val="32"/>
          <w:u w:val="single"/>
        </w:rPr>
        <w:t xml:space="preserve">  </w:t>
      </w:r>
      <w:r>
        <w:rPr>
          <w:rFonts w:hint="eastAsia" w:ascii="Times New Roman" w:hAnsi="Times New Roman" w:eastAsia="黑体" w:cs="Times New Roman"/>
          <w:color w:val="000000"/>
          <w:sz w:val="32"/>
          <w:szCs w:val="32"/>
          <w:u w:val="single"/>
          <w:lang w:val="en-US" w:eastAsia="zh-CN"/>
        </w:rPr>
        <w:t>5</w:t>
      </w:r>
      <w:r>
        <w:rPr>
          <w:rFonts w:hint="default" w:ascii="Times New Roman" w:hAnsi="Times New Roman" w:eastAsia="黑体" w:cs="Times New Roman"/>
          <w:color w:val="000000"/>
          <w:sz w:val="32"/>
          <w:szCs w:val="32"/>
          <w:u w:val="single"/>
          <w:lang w:bidi="ar"/>
        </w:rPr>
        <w:t xml:space="preserve"> </w:t>
      </w:r>
      <w:r>
        <w:rPr>
          <w:rFonts w:hint="default" w:ascii="Times New Roman" w:hAnsi="Times New Roman" w:eastAsia="黑体" w:cs="Times New Roman"/>
          <w:color w:val="000000"/>
          <w:sz w:val="32"/>
          <w:szCs w:val="32"/>
          <w:u w:val="single"/>
        </w:rPr>
        <w:t xml:space="preserve"> </w:t>
      </w:r>
      <w:r>
        <w:rPr>
          <w:rFonts w:hint="default" w:ascii="Times New Roman" w:hAnsi="Times New Roman" w:cs="Times New Roman"/>
          <w:color w:val="000000"/>
          <w:sz w:val="32"/>
          <w:szCs w:val="32"/>
        </w:rPr>
        <w:t>月</w:t>
      </w:r>
      <w:r>
        <w:rPr>
          <w:rFonts w:hint="default" w:ascii="Times New Roman" w:hAnsi="Times New Roman" w:eastAsia="黑体" w:cs="Times New Roman"/>
          <w:color w:val="000000"/>
          <w:sz w:val="32"/>
          <w:szCs w:val="32"/>
          <w:u w:val="single"/>
        </w:rPr>
        <w:t xml:space="preserve">  </w:t>
      </w:r>
      <w:r>
        <w:rPr>
          <w:rFonts w:hint="default" w:ascii="Times New Roman" w:hAnsi="Times New Roman" w:eastAsia="黑体" w:cs="Times New Roman"/>
          <w:color w:val="000000"/>
          <w:sz w:val="32"/>
          <w:szCs w:val="32"/>
          <w:u w:val="single"/>
          <w:lang w:bidi="ar"/>
        </w:rPr>
        <w:t xml:space="preserve"> </w:t>
      </w:r>
      <w:r>
        <w:rPr>
          <w:rFonts w:hint="default" w:ascii="Times New Roman" w:hAnsi="Times New Roman" w:eastAsia="黑体" w:cs="Times New Roman"/>
          <w:color w:val="000000"/>
          <w:sz w:val="32"/>
          <w:szCs w:val="32"/>
          <w:u w:val="single"/>
        </w:rPr>
        <w:t xml:space="preserve"> </w:t>
      </w:r>
      <w:r>
        <w:rPr>
          <w:rFonts w:hint="default" w:ascii="Times New Roman" w:hAnsi="Times New Roman" w:cs="Times New Roman"/>
          <w:color w:val="000000"/>
          <w:sz w:val="32"/>
          <w:szCs w:val="32"/>
        </w:rPr>
        <w:t>日</w:t>
      </w:r>
    </w:p>
    <w:p w14:paraId="168B046E">
      <w:pPr>
        <w:spacing w:line="20" w:lineRule="exact"/>
        <w:rPr>
          <w:rFonts w:hint="default" w:ascii="Times New Roman" w:hAnsi="Times New Roman" w:cs="Times New Roman"/>
          <w:color w:val="000000"/>
          <w:sz w:val="32"/>
          <w:szCs w:val="32"/>
        </w:rPr>
      </w:pPr>
      <w:r>
        <w:rPr>
          <w:rFonts w:hint="default" w:ascii="Times New Roman" w:hAnsi="Times New Roman" w:cs="Times New Roman"/>
          <w:color w:val="000000"/>
        </w:rPr>
        <w:br w:type="page"/>
      </w:r>
    </w:p>
    <w:p w14:paraId="2810A3B2">
      <w:pPr>
        <w:pStyle w:val="25"/>
        <w:jc w:val="center"/>
        <w:outlineLvl w:val="0"/>
        <w:rPr>
          <w:rFonts w:hint="default" w:ascii="Times New Roman" w:hAnsi="Times New Roman" w:cs="Times New Roman"/>
          <w:bCs w:val="0"/>
          <w:color w:val="000000"/>
          <w:kern w:val="2"/>
        </w:rPr>
      </w:pPr>
      <w:bookmarkStart w:id="0" w:name="_Toc29553"/>
      <w:r>
        <w:rPr>
          <w:rFonts w:hint="default" w:ascii="Times New Roman" w:hAnsi="Times New Roman" w:cs="Times New Roman"/>
          <w:bCs w:val="0"/>
          <w:color w:val="000000"/>
          <w:kern w:val="2"/>
        </w:rPr>
        <w:t>目   录</w:t>
      </w:r>
      <w:bookmarkEnd w:id="0"/>
    </w:p>
    <w:p w14:paraId="71E42F5F">
      <w:pPr>
        <w:rPr>
          <w:rFonts w:hint="default" w:ascii="Times New Roman" w:hAnsi="Times New Roman" w:cs="Times New Roman"/>
          <w:color w:val="000000"/>
        </w:rPr>
      </w:pPr>
    </w:p>
    <w:p w14:paraId="192560E3">
      <w:pPr>
        <w:spacing w:line="48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第一章  招标公告（或 投标邀请书）</w:t>
      </w:r>
    </w:p>
    <w:p w14:paraId="097C5401">
      <w:pPr>
        <w:spacing w:line="48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第二章  投标人须知</w:t>
      </w:r>
    </w:p>
    <w:p w14:paraId="22411BC0">
      <w:pPr>
        <w:spacing w:line="48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第三章  评标办法</w:t>
      </w:r>
    </w:p>
    <w:p w14:paraId="49CF2BE3">
      <w:pPr>
        <w:spacing w:line="48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第四章  合同条款及格式</w:t>
      </w:r>
    </w:p>
    <w:p w14:paraId="7FDBE4BF">
      <w:pPr>
        <w:spacing w:line="48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第五章  发包人要求</w:t>
      </w:r>
    </w:p>
    <w:p w14:paraId="70E380C5">
      <w:pPr>
        <w:spacing w:line="48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第六章  图纸、资料、工程量清单</w:t>
      </w:r>
    </w:p>
    <w:p w14:paraId="254B1BCF">
      <w:pPr>
        <w:spacing w:line="480" w:lineRule="auto"/>
        <w:rPr>
          <w:rFonts w:hint="default" w:ascii="Times New Roman" w:hAnsi="Times New Roman" w:cs="Times New Roman"/>
          <w:color w:val="000000"/>
          <w:sz w:val="24"/>
          <w:szCs w:val="24"/>
        </w:rPr>
        <w:sectPr>
          <w:footerReference r:id="rId3" w:type="default"/>
          <w:pgSz w:w="11906" w:h="16838"/>
          <w:pgMar w:top="1440" w:right="1800" w:bottom="1440" w:left="1800" w:header="851" w:footer="992" w:gutter="0"/>
          <w:cols w:space="425" w:num="1"/>
          <w:docGrid w:type="lines" w:linePitch="312" w:charSpace="0"/>
        </w:sectPr>
      </w:pPr>
      <w:r>
        <w:rPr>
          <w:rFonts w:hint="default" w:ascii="Times New Roman" w:hAnsi="Times New Roman" w:cs="Times New Roman"/>
          <w:color w:val="000000"/>
          <w:sz w:val="24"/>
          <w:szCs w:val="24"/>
        </w:rPr>
        <w:t>第七章  投标文件格式</w:t>
      </w:r>
      <w:r>
        <w:rPr>
          <w:rFonts w:hint="default" w:ascii="Times New Roman" w:hAnsi="Times New Roman" w:cs="Times New Roman"/>
          <w:color w:val="000000"/>
          <w:sz w:val="24"/>
          <w:szCs w:val="24"/>
        </w:rPr>
        <w:br w:type="page"/>
      </w:r>
    </w:p>
    <w:p w14:paraId="3245E697">
      <w:pPr>
        <w:widowControl/>
        <w:ind w:left="1350" w:leftChars="300" w:hanging="720" w:hangingChars="200"/>
        <w:jc w:val="center"/>
        <w:outlineLvl w:val="0"/>
        <w:rPr>
          <w:rFonts w:hint="default" w:ascii="Times New Roman" w:hAnsi="Times New Roman" w:cs="Times New Roman"/>
          <w:bCs/>
          <w:iCs/>
          <w:color w:val="000000"/>
          <w:kern w:val="44"/>
          <w:sz w:val="36"/>
          <w:szCs w:val="36"/>
        </w:rPr>
      </w:pPr>
      <w:bookmarkStart w:id="1" w:name="_Toc468288573"/>
      <w:bookmarkStart w:id="2" w:name="_Toc28243"/>
      <w:r>
        <w:rPr>
          <w:rFonts w:hint="default" w:ascii="Times New Roman" w:hAnsi="Times New Roman" w:cs="Times New Roman"/>
          <w:bCs/>
          <w:color w:val="000000"/>
          <w:kern w:val="44"/>
          <w:sz w:val="36"/>
          <w:szCs w:val="36"/>
        </w:rPr>
        <w:t>第一章 招标公告</w:t>
      </w:r>
      <w:bookmarkEnd w:id="1"/>
      <w:bookmarkEnd w:id="2"/>
    </w:p>
    <w:p w14:paraId="68A40E94">
      <w:pPr>
        <w:widowControl/>
        <w:wordWrap w:val="0"/>
        <w:ind w:left="1270" w:leftChars="300" w:hanging="640" w:hangingChars="200"/>
        <w:jc w:val="left"/>
        <w:rPr>
          <w:rFonts w:hint="default" w:ascii="Times New Roman" w:hAnsi="Times New Roman" w:cs="Times New Roman"/>
          <w:bCs/>
          <w:i/>
          <w:color w:val="000000"/>
          <w:kern w:val="44"/>
          <w:sz w:val="32"/>
          <w:szCs w:val="44"/>
        </w:rPr>
      </w:pPr>
    </w:p>
    <w:p w14:paraId="74A776F7">
      <w:pPr>
        <w:spacing w:before="120" w:beforeLines="50" w:line="520" w:lineRule="atLeast"/>
        <w:jc w:val="center"/>
        <w:rPr>
          <w:rFonts w:hint="default" w:ascii="Times New Roman" w:hAnsi="Times New Roman" w:eastAsia="黑体" w:cs="Times New Roman"/>
          <w:b w:val="0"/>
          <w:color w:val="000000"/>
          <w:kern w:val="2"/>
          <w:sz w:val="30"/>
          <w:szCs w:val="30"/>
          <w:u w:val="none"/>
          <w:lang w:bidi="ar"/>
        </w:rPr>
      </w:pPr>
      <w:bookmarkStart w:id="3" w:name="_Toc19902"/>
      <w:bookmarkStart w:id="4" w:name="_Toc468288574"/>
      <w:r>
        <w:rPr>
          <w:rFonts w:hint="default" w:ascii="Times New Roman" w:hAnsi="Times New Roman" w:eastAsia="黑体"/>
          <w:color w:val="000000"/>
          <w:sz w:val="30"/>
          <w:szCs w:val="30"/>
          <w:u w:val="none"/>
          <w:lang w:bidi="ar"/>
        </w:rPr>
        <w:t>新107国道与官埠大道贯通工程</w:t>
      </w:r>
      <w:r>
        <w:rPr>
          <w:rFonts w:hint="eastAsia" w:ascii="Times New Roman" w:hAnsi="Times New Roman" w:eastAsia="黑体"/>
          <w:color w:val="000000"/>
          <w:sz w:val="30"/>
          <w:szCs w:val="30"/>
          <w:u w:val="none"/>
          <w:lang w:eastAsia="zh-CN" w:bidi="ar"/>
        </w:rPr>
        <w:t>（</w:t>
      </w:r>
      <w:r>
        <w:rPr>
          <w:rFonts w:hint="eastAsia" w:ascii="Times New Roman" w:hAnsi="Times New Roman" w:eastAsia="黑体"/>
          <w:color w:val="000000"/>
          <w:sz w:val="30"/>
          <w:szCs w:val="30"/>
          <w:u w:val="none"/>
          <w:lang w:val="en-US" w:eastAsia="zh-CN" w:bidi="ar"/>
        </w:rPr>
        <w:t>EPC）</w:t>
      </w:r>
    </w:p>
    <w:p w14:paraId="0BCBA447">
      <w:pPr>
        <w:spacing w:before="120" w:beforeLines="50" w:line="520" w:lineRule="atLeast"/>
        <w:jc w:val="center"/>
        <w:rPr>
          <w:rFonts w:hint="default" w:ascii="Times New Roman" w:hAnsi="Times New Roman" w:eastAsia="黑体" w:cs="Times New Roman"/>
          <w:color w:val="000000"/>
          <w:kern w:val="2"/>
          <w:sz w:val="30"/>
          <w:szCs w:val="30"/>
          <w:u w:val="none"/>
          <w:lang w:bidi="ar"/>
        </w:rPr>
      </w:pPr>
      <w:r>
        <w:rPr>
          <w:rFonts w:hint="default" w:ascii="Times New Roman" w:hAnsi="Times New Roman" w:eastAsia="黑体" w:cs="Times New Roman"/>
          <w:b w:val="0"/>
          <w:color w:val="000000"/>
          <w:kern w:val="2"/>
          <w:sz w:val="30"/>
          <w:szCs w:val="30"/>
          <w:u w:val="none"/>
          <w:lang w:bidi="ar"/>
        </w:rPr>
        <w:t>GTEPC-1 标段招标公告</w:t>
      </w:r>
    </w:p>
    <w:p w14:paraId="25BE0960">
      <w:pPr>
        <w:spacing w:line="400" w:lineRule="exact"/>
        <w:ind w:firstLine="0" w:firstLineChars="0"/>
        <w:jc w:val="center"/>
        <w:rPr>
          <w:rFonts w:hint="default" w:ascii="Times New Roman" w:hAnsi="Times New Roman" w:cs="Times New Roman"/>
          <w:szCs w:val="21"/>
          <w:u w:val="single"/>
        </w:rPr>
      </w:pPr>
      <w:r>
        <w:rPr>
          <w:rFonts w:hint="default" w:ascii="Times New Roman" w:hAnsi="Times New Roman" w:cs="Times New Roman"/>
          <w:szCs w:val="21"/>
        </w:rPr>
        <w:t>招标编号：</w:t>
      </w:r>
    </w:p>
    <w:p w14:paraId="374EE45C">
      <w:pPr>
        <w:spacing w:before="156" w:beforeLines="50" w:after="156" w:afterLines="50" w:line="400" w:lineRule="exact"/>
        <w:rPr>
          <w:rFonts w:hint="default" w:ascii="Times New Roman" w:hAnsi="Times New Roman" w:cs="Times New Roman"/>
          <w:b/>
          <w:szCs w:val="21"/>
        </w:rPr>
      </w:pPr>
      <w:r>
        <w:rPr>
          <w:rFonts w:hint="default" w:ascii="Times New Roman" w:hAnsi="Times New Roman" w:cs="Times New Roman"/>
          <w:b/>
          <w:szCs w:val="21"/>
        </w:rPr>
        <w:t>1.招标条件</w:t>
      </w:r>
    </w:p>
    <w:p w14:paraId="49F4609C">
      <w:pPr>
        <w:spacing w:line="4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新107国道与官埠大道贯通工程</w:t>
      </w: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EPC)</w:t>
      </w:r>
      <w:r>
        <w:rPr>
          <w:rFonts w:hint="default" w:ascii="Times New Roman" w:hAnsi="Times New Roman" w:cs="Times New Roman"/>
          <w:szCs w:val="21"/>
        </w:rPr>
        <w:t>（以下简称“本项目”）已由咸宁市发展和改革委员会（项目审批、核准或备案机关名称）以《关于新107国道与官埠大道贯通工程可行性研究报告的批复》(咸发改审批〔2026〕20号)批准建设，建设资金来源为申请政府一般债券资金，建设资金已落实，项目业主为咸宁市公路事业发展中心 ，招标人为咸宁市公路事业发展中心。本项目 GTEPC-1 （标段/包名称）已具备招标条件，现进行公开招标。</w:t>
      </w:r>
    </w:p>
    <w:p w14:paraId="05D4CA44">
      <w:pPr>
        <w:spacing w:before="156" w:beforeLines="50" w:after="156" w:afterLines="50" w:line="400" w:lineRule="exact"/>
        <w:rPr>
          <w:rFonts w:hint="default" w:ascii="Times New Roman" w:hAnsi="Times New Roman" w:cs="Times New Roman"/>
          <w:b/>
          <w:szCs w:val="21"/>
        </w:rPr>
      </w:pPr>
      <w:r>
        <w:rPr>
          <w:rFonts w:hint="default" w:ascii="Times New Roman" w:hAnsi="Times New Roman" w:cs="Times New Roman"/>
          <w:b/>
          <w:szCs w:val="21"/>
        </w:rPr>
        <w:t>2.项目概况与招标范围</w:t>
      </w:r>
    </w:p>
    <w:p w14:paraId="45FE45E5">
      <w:pPr>
        <w:spacing w:line="4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2.1项目概况：</w:t>
      </w:r>
    </w:p>
    <w:p w14:paraId="6FA49C85">
      <w:pPr>
        <w:spacing w:line="400" w:lineRule="exact"/>
        <w:ind w:firstLine="420" w:firstLineChars="200"/>
        <w:rPr>
          <w:rFonts w:hint="eastAsia" w:ascii="Times New Roman" w:hAnsi="Times New Roman" w:eastAsia="宋体" w:cs="Times New Roman"/>
          <w:szCs w:val="21"/>
          <w:lang w:val="en-US" w:eastAsia="zh-CN"/>
        </w:rPr>
      </w:pPr>
      <w:r>
        <w:rPr>
          <w:rFonts w:hint="default" w:ascii="Times New Roman" w:hAnsi="Times New Roman" w:cs="Times New Roman"/>
          <w:szCs w:val="21"/>
        </w:rPr>
        <w:t xml:space="preserve"> 建设地点：咸宁市咸安区官埠桥镇张公庙村</w:t>
      </w:r>
      <w:r>
        <w:rPr>
          <w:rFonts w:hint="eastAsia" w:ascii="Times New Roman" w:hAnsi="Times New Roman" w:cs="Times New Roman"/>
          <w:szCs w:val="21"/>
          <w:lang w:eastAsia="zh-CN"/>
        </w:rPr>
        <w:t>。</w:t>
      </w:r>
    </w:p>
    <w:p w14:paraId="598D24D5">
      <w:pPr>
        <w:spacing w:line="400" w:lineRule="atLeast"/>
        <w:ind w:firstLine="420" w:firstLineChars="200"/>
        <w:rPr>
          <w:rFonts w:hint="default" w:ascii="Times New Roman" w:hAnsi="Times New Roman" w:cs="Times New Roman"/>
          <w:szCs w:val="21"/>
        </w:rPr>
      </w:pPr>
      <w:r>
        <w:rPr>
          <w:rFonts w:hint="default" w:ascii="Times New Roman" w:hAnsi="Times New Roman" w:cs="Times New Roman"/>
          <w:szCs w:val="21"/>
        </w:rPr>
        <w:t>建设规模：在新107国道北侧设置连接道路，长 343m，分别平交新107国道和官埠大道。在平交口设置信号灯控和电子警察，并对4处交叉路口进行改造。该道路为二级公路(兼顾城市道路功能),设计速度40km/h，路基宽23m，项目概算总投资1899.37万元，其中:建筑安装工程费1341.50万元、工程建设其他费用484.82万元、预备费73.05万元。资金来源为申请政府一般债券资金。</w:t>
      </w:r>
    </w:p>
    <w:p w14:paraId="61537B64">
      <w:pPr>
        <w:spacing w:line="400" w:lineRule="atLeast"/>
        <w:ind w:firstLine="420" w:firstLineChars="200"/>
        <w:rPr>
          <w:rFonts w:hint="default" w:ascii="Times New Roman" w:hAnsi="Times New Roman" w:cs="Times New Roman"/>
          <w:szCs w:val="21"/>
        </w:rPr>
      </w:pPr>
      <w:r>
        <w:rPr>
          <w:rFonts w:hint="default" w:ascii="Times New Roman" w:hAnsi="Times New Roman" w:cs="Times New Roman"/>
          <w:szCs w:val="21"/>
        </w:rPr>
        <w:t>2.2招标范围：</w:t>
      </w:r>
    </w:p>
    <w:p w14:paraId="581B3FB9">
      <w:pPr>
        <w:spacing w:line="400" w:lineRule="atLeast"/>
        <w:ind w:firstLine="420" w:firstLineChars="200"/>
        <w:rPr>
          <w:rFonts w:hint="default" w:ascii="Times New Roman" w:hAnsi="Times New Roman" w:cs="Times New Roman"/>
          <w:szCs w:val="21"/>
        </w:rPr>
      </w:pPr>
      <w:r>
        <w:rPr>
          <w:rFonts w:hint="default" w:ascii="Times New Roman" w:hAnsi="Times New Roman" w:cs="Times New Roman"/>
          <w:szCs w:val="21"/>
        </w:rPr>
        <w:t>本项目采用设计、施工总承包的模式进行建设，具体范围如下：：</w:t>
      </w:r>
    </w:p>
    <w:p w14:paraId="19BA6715">
      <w:pPr>
        <w:spacing w:line="400" w:lineRule="atLeast"/>
        <w:ind w:firstLine="420" w:firstLineChars="200"/>
        <w:rPr>
          <w:rFonts w:hint="default" w:ascii="Times New Roman" w:hAnsi="Times New Roman"/>
          <w:szCs w:val="21"/>
        </w:rPr>
      </w:pPr>
      <w:r>
        <w:rPr>
          <w:rFonts w:hint="default" w:ascii="Times New Roman" w:hAnsi="Times New Roman"/>
          <w:szCs w:val="21"/>
        </w:rPr>
        <w:t xml:space="preserve"> 1、工程设计：本项目[含路线、路基、路面、桥涵、路线交叉、交通安全设施、景观绿化、照明、排水、其他工程等]的施工图设计、施工图预算文件编制等工作。</w:t>
      </w:r>
    </w:p>
    <w:p w14:paraId="4D13E51C">
      <w:pPr>
        <w:spacing w:line="400" w:lineRule="exact"/>
        <w:ind w:firstLine="420" w:firstLineChars="200"/>
        <w:rPr>
          <w:rFonts w:hint="default" w:ascii="Times New Roman" w:hAnsi="Times New Roman" w:cs="Times New Roman"/>
          <w:szCs w:val="21"/>
        </w:rPr>
      </w:pPr>
      <w:r>
        <w:rPr>
          <w:rFonts w:hint="default" w:ascii="Times New Roman" w:hAnsi="Times New Roman"/>
          <w:szCs w:val="21"/>
        </w:rPr>
        <w:t xml:space="preserve"> 2、工程施工：标段范围内的所有施工内容[包括但不限于路基、路面、桥涵、排水、照明、绿化、交通工程及其他工程]的实施、完成及缺陷修复。</w:t>
      </w:r>
    </w:p>
    <w:p w14:paraId="4BE35C3E">
      <w:pPr>
        <w:spacing w:line="4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计划工期：</w:t>
      </w:r>
      <w:r>
        <w:rPr>
          <w:rFonts w:hint="default" w:ascii="Times New Roman" w:hAnsi="Times New Roman" w:cs="Times New Roman"/>
          <w:szCs w:val="21"/>
          <w:u w:val="single"/>
        </w:rPr>
        <w:t xml:space="preserve"> </w:t>
      </w:r>
      <w:r>
        <w:rPr>
          <w:rFonts w:hint="eastAsia" w:ascii="Times New Roman" w:hAnsi="Times New Roman" w:cs="Times New Roman"/>
          <w:szCs w:val="21"/>
          <w:u w:val="single"/>
          <w:lang w:val="en-US" w:eastAsia="zh-CN"/>
        </w:rPr>
        <w:t>365</w:t>
      </w:r>
      <w:r>
        <w:rPr>
          <w:rFonts w:hint="default" w:ascii="Times New Roman" w:hAnsi="Times New Roman" w:cs="Times New Roman"/>
          <w:szCs w:val="21"/>
          <w:u w:val="single"/>
        </w:rPr>
        <w:t xml:space="preserve"> </w:t>
      </w:r>
      <w:r>
        <w:rPr>
          <w:rFonts w:hint="default" w:ascii="Times New Roman" w:hAnsi="Times New Roman" w:cs="Times New Roman"/>
          <w:szCs w:val="21"/>
        </w:rPr>
        <w:t>日历天。</w:t>
      </w:r>
    </w:p>
    <w:p w14:paraId="7F9E79FD">
      <w:pPr>
        <w:spacing w:line="400" w:lineRule="exact"/>
        <w:ind w:firstLine="420" w:firstLineChars="200"/>
        <w:jc w:val="left"/>
        <w:rPr>
          <w:rFonts w:hint="default" w:ascii="Times New Roman" w:hAnsi="Times New Roman" w:eastAsia="宋体" w:cs="Times New Roman"/>
          <w:szCs w:val="21"/>
          <w:lang w:val="en-US" w:eastAsia="zh-CN"/>
        </w:rPr>
      </w:pPr>
      <w:r>
        <w:rPr>
          <w:rFonts w:hint="default" w:ascii="Times New Roman" w:hAnsi="Times New Roman" w:cs="Times New Roman"/>
          <w:szCs w:val="21"/>
        </w:rPr>
        <w:t>2.3其他：合同估算价：</w:t>
      </w:r>
      <w:r>
        <w:rPr>
          <w:rFonts w:hint="eastAsia" w:ascii="Times New Roman" w:hAnsi="Times New Roman" w:cs="Times New Roman"/>
          <w:szCs w:val="21"/>
          <w:lang w:val="en-US" w:eastAsia="zh-CN"/>
        </w:rPr>
        <w:t xml:space="preserve"> 1500万元。</w:t>
      </w:r>
    </w:p>
    <w:p w14:paraId="3A651B9D">
      <w:pPr>
        <w:spacing w:before="156" w:beforeLines="50" w:after="156" w:afterLines="50" w:line="400" w:lineRule="exact"/>
        <w:rPr>
          <w:rFonts w:hint="default" w:ascii="Times New Roman" w:hAnsi="Times New Roman" w:cs="Times New Roman"/>
          <w:b/>
          <w:szCs w:val="21"/>
        </w:rPr>
      </w:pPr>
      <w:r>
        <w:rPr>
          <w:rFonts w:hint="default" w:ascii="Times New Roman" w:hAnsi="Times New Roman" w:cs="Times New Roman"/>
          <w:b/>
          <w:szCs w:val="21"/>
        </w:rPr>
        <w:t>3.投标人资格要求</w:t>
      </w:r>
    </w:p>
    <w:p w14:paraId="20A22875">
      <w:pPr>
        <w:wordWrap w:val="0"/>
        <w:spacing w:line="440" w:lineRule="exact"/>
        <w:ind w:firstLine="424" w:firstLineChars="202"/>
        <w:rPr>
          <w:rFonts w:hint="default" w:ascii="Times New Roman" w:hAnsi="Times New Roman"/>
          <w:color w:val="000000"/>
          <w:kern w:val="0"/>
          <w:szCs w:val="21"/>
        </w:rPr>
      </w:pPr>
      <w:r>
        <w:rPr>
          <w:rFonts w:hint="default" w:ascii="Times New Roman" w:hAnsi="Times New Roman"/>
          <w:color w:val="000000"/>
          <w:kern w:val="0"/>
          <w:szCs w:val="21"/>
        </w:rPr>
        <w:t>3.1 本次招标要求投标人须具备：最低资格条件见招标公告附录。</w:t>
      </w:r>
    </w:p>
    <w:p w14:paraId="3005BEC1">
      <w:pPr>
        <w:spacing w:line="4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3.2 本次招标接受联合体投标。</w:t>
      </w:r>
    </w:p>
    <w:p w14:paraId="65C0016F">
      <w:pPr>
        <w:spacing w:line="400" w:lineRule="exact"/>
        <w:ind w:firstLine="420" w:firstLineChars="200"/>
        <w:rPr>
          <w:rFonts w:hint="default" w:ascii="Times New Roman" w:hAnsi="Times New Roman" w:cs="Times New Roman"/>
          <w:szCs w:val="21"/>
        </w:rPr>
      </w:pPr>
      <w:r>
        <w:rPr>
          <w:rFonts w:ascii="Times New Roman" w:hAnsi="Times New Roman" w:eastAsia="宋体" w:cs="Times New Roman"/>
          <w:b w:val="0"/>
          <w:bCs w:val="0"/>
          <w:i w:val="0"/>
          <w:iCs w:val="0"/>
          <w:smallCaps w:val="0"/>
          <w:color w:val="auto"/>
          <w:kern w:val="2"/>
          <w:sz w:val="21"/>
          <w:szCs w:val="21"/>
        </w:rPr>
        <w:t>联合体投标的，应满足下列要求：（1）联合体所有成员单位不超过2家，其中一家单位完成全部设计任务，另一家单位完成全部施工任务；（2）联合体各成员应按本招标文件所附格式签订联合体协议书，联合体协议书实质性格式与内容不得改变；（3）组成联合体的各方不得再单独或与其他单位组成联合体参与本项目投标；（4）联合体协议书须明确任务分工。</w:t>
      </w:r>
    </w:p>
    <w:p w14:paraId="076C0204">
      <w:pPr>
        <w:spacing w:line="4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3.3各投标人均可就本招标项目上述标段中的</w:t>
      </w:r>
      <w:r>
        <w:rPr>
          <w:rFonts w:hint="eastAsia" w:ascii="Times New Roman" w:hAnsi="Times New Roman" w:cs="Times New Roman"/>
          <w:szCs w:val="21"/>
          <w:lang w:val="en-US" w:eastAsia="zh-CN"/>
        </w:rPr>
        <w:t>1</w:t>
      </w:r>
      <w:r>
        <w:rPr>
          <w:rFonts w:hint="default" w:ascii="Times New Roman" w:hAnsi="Times New Roman" w:cs="Times New Roman"/>
          <w:szCs w:val="21"/>
        </w:rPr>
        <w:t>个标段投标且只允许中1个标段。</w:t>
      </w:r>
    </w:p>
    <w:p w14:paraId="3F9B55F0">
      <w:pPr>
        <w:spacing w:line="4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3.4本次招标本项目属于政府采购工程。</w:t>
      </w:r>
    </w:p>
    <w:p w14:paraId="4BC04E0E">
      <w:pPr>
        <w:spacing w:line="4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3.5本项目属性：</w:t>
      </w:r>
      <w:r>
        <w:rPr>
          <w:rFonts w:hint="default" w:ascii="Times New Roman" w:hAnsi="Times New Roman" w:cs="Times New Roman"/>
          <w:szCs w:val="21"/>
          <w:u w:val="single"/>
        </w:rPr>
        <w:t xml:space="preserve"> / </w:t>
      </w:r>
      <w:r>
        <w:rPr>
          <w:rFonts w:hint="default" w:ascii="Times New Roman" w:hAnsi="Times New Roman" w:cs="Times New Roman"/>
          <w:szCs w:val="21"/>
        </w:rPr>
        <w:t>。</w:t>
      </w:r>
    </w:p>
    <w:p w14:paraId="0E3FDEF3">
      <w:pPr>
        <w:tabs>
          <w:tab w:val="left" w:pos="360"/>
        </w:tabs>
        <w:spacing w:line="4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3.6 其它要求：（1）单位负责人为同一人的不同单位，不得参加同一标段投标；（2）存在控股关系的不同单位，不得参加同一标段投标；（3）存在管理关系的不同单位，不得参加同一标段投标。</w:t>
      </w:r>
    </w:p>
    <w:p w14:paraId="79E9A4F5">
      <w:pPr>
        <w:tabs>
          <w:tab w:val="left" w:pos="360"/>
        </w:tabs>
        <w:spacing w:line="400" w:lineRule="exact"/>
        <w:ind w:firstLine="420" w:firstLineChars="200"/>
        <w:rPr>
          <w:rFonts w:hint="default" w:ascii="Times New Roman" w:hAnsi="Times New Roman" w:cs="Times New Roman"/>
        </w:rPr>
      </w:pPr>
      <w:r>
        <w:rPr>
          <w:rFonts w:hint="default" w:ascii="Times New Roman" w:hAnsi="Times New Roman" w:cs="Times New Roman"/>
        </w:rPr>
        <w:t>注：前述单位负责人指营业执照上标明的法定代表人；前述管理关系是指非股权关系的不同单位之间存在的管理与被管理关系。前述控股关系主要包括以下情形：</w:t>
      </w:r>
    </w:p>
    <w:p w14:paraId="3AF5C745">
      <w:pPr>
        <w:tabs>
          <w:tab w:val="left" w:pos="360"/>
        </w:tabs>
        <w:spacing w:line="400" w:lineRule="exact"/>
        <w:ind w:firstLine="420" w:firstLineChars="200"/>
        <w:rPr>
          <w:rFonts w:hint="default" w:ascii="Times New Roman" w:hAnsi="Times New Roman" w:cs="Times New Roman"/>
        </w:rPr>
      </w:pPr>
      <w:r>
        <w:rPr>
          <w:rFonts w:hint="default" w:ascii="Times New Roman" w:hAnsi="Times New Roman" w:cs="Times New Roman"/>
        </w:rPr>
        <w:t>①根据《公司法》第两百六十五条第（二）款之规定：出资额占有限责任公司资本总额超过百分之五十或者持有的股份占股份有限公司股本总额超过百分之五十。</w:t>
      </w:r>
    </w:p>
    <w:p w14:paraId="02FB1D2A">
      <w:pPr>
        <w:tabs>
          <w:tab w:val="left" w:pos="360"/>
        </w:tabs>
        <w:spacing w:line="400" w:lineRule="exact"/>
        <w:ind w:firstLine="420" w:firstLineChars="200"/>
        <w:rPr>
          <w:rFonts w:hint="default" w:ascii="Times New Roman" w:hAnsi="Times New Roman" w:cs="Times New Roman"/>
        </w:rPr>
      </w:pPr>
      <w:r>
        <w:rPr>
          <w:rFonts w:hint="default" w:ascii="Times New Roman" w:hAnsi="Times New Roman" w:cs="Times New Roman"/>
        </w:rPr>
        <w:t>例1：A公司持有B公司股权超过50%（以50.5%为例），此时A公司和B公司不得同时参与本招标项目同一标段投标；</w:t>
      </w:r>
    </w:p>
    <w:p w14:paraId="13C0D3D2">
      <w:pPr>
        <w:tabs>
          <w:tab w:val="left" w:pos="360"/>
        </w:tabs>
        <w:spacing w:line="400" w:lineRule="exact"/>
        <w:ind w:firstLine="420" w:firstLineChars="200"/>
        <w:rPr>
          <w:rFonts w:hint="default" w:ascii="Times New Roman" w:hAnsi="Times New Roman" w:cs="Times New Roman"/>
        </w:rPr>
      </w:pPr>
      <w:r>
        <w:rPr>
          <w:rFonts w:hint="default" w:ascii="Times New Roman" w:hAnsi="Times New Roman" w:cs="Times New Roman"/>
        </w:rPr>
        <w:t>例2：A公司持有B公司股权超过50%（以50.5%为例），B公司持有C公司股权超过50%（以50.5%为例），此时A公司和C公司也不得同时参与本招标项目同一标段投标。</w:t>
      </w:r>
    </w:p>
    <w:p w14:paraId="780998FA">
      <w:pPr>
        <w:tabs>
          <w:tab w:val="left" w:pos="360"/>
        </w:tabs>
        <w:spacing w:line="400" w:lineRule="exact"/>
        <w:ind w:firstLine="420" w:firstLineChars="200"/>
        <w:rPr>
          <w:rFonts w:hint="default" w:ascii="Times New Roman" w:hAnsi="Times New Roman" w:cs="Times New Roman"/>
        </w:rPr>
      </w:pPr>
      <w:r>
        <w:rPr>
          <w:rFonts w:hint="default" w:ascii="Times New Roman" w:hAnsi="Times New Roman" w:cs="Times New Roman"/>
        </w:rPr>
        <w:t>②A公司和B公司分别持有C公司50%股份，A公司与C公司同时参与本招标项目同一标段投标时，应提供A公司不是C公司控股股东的证明材料，否则A公司不得与C公司同时参与本招标项目同一标段投标。</w:t>
      </w:r>
    </w:p>
    <w:p w14:paraId="7553D99B">
      <w:pPr>
        <w:tabs>
          <w:tab w:val="left" w:pos="360"/>
        </w:tabs>
        <w:spacing w:line="400" w:lineRule="exact"/>
        <w:ind w:firstLine="420" w:firstLineChars="200"/>
        <w:rPr>
          <w:rFonts w:hint="default" w:ascii="Times New Roman" w:hAnsi="Times New Roman" w:cs="Times New Roman"/>
        </w:rPr>
      </w:pPr>
      <w:r>
        <w:rPr>
          <w:rFonts w:hint="default" w:ascii="Times New Roman" w:hAnsi="Times New Roman" w:cs="Times New Roman"/>
        </w:rPr>
        <w:t>③根据《公司法》第两百六十五条第（二）款之规定：出资额或者持有股份的比例虽然低于百分之五十，但依其出资额或者持有的股份所享有的表决权已足以对股东会的决议产生重大影响的股东。</w:t>
      </w:r>
    </w:p>
    <w:p w14:paraId="295A938C">
      <w:pPr>
        <w:tabs>
          <w:tab w:val="left" w:pos="360"/>
        </w:tabs>
        <w:spacing w:line="400" w:lineRule="exact"/>
        <w:ind w:firstLine="420" w:firstLineChars="200"/>
        <w:rPr>
          <w:rFonts w:hint="default" w:ascii="Times New Roman" w:hAnsi="Times New Roman" w:cs="Times New Roman"/>
        </w:rPr>
      </w:pPr>
      <w:r>
        <w:rPr>
          <w:rFonts w:hint="default" w:ascii="Times New Roman" w:hAnsi="Times New Roman" w:cs="Times New Roman"/>
        </w:rPr>
        <w:t>例：A公司持有D公司49%出资额或股份，B公司持有D公司31%出资额或股份，C公司持有D公司20%出资额或股份。以A公司和B公司为例，若B公司将其持有对D公司的表决权委托或授权A公司，使得A公司和B公司的持有D公司的出资额或股份总和（49%+31%=80%）大于50%，此时A公司不得与D公司同时参与本招标项目同一标段投标。</w:t>
      </w:r>
    </w:p>
    <w:p w14:paraId="444AE272">
      <w:pPr>
        <w:spacing w:line="400" w:lineRule="exact"/>
        <w:ind w:firstLine="420" w:firstLineChars="200"/>
        <w:rPr>
          <w:rFonts w:hint="default" w:ascii="Times New Roman" w:hAnsi="Times New Roman" w:cs="Times New Roman"/>
          <w:szCs w:val="21"/>
        </w:rPr>
      </w:pPr>
      <w:r>
        <w:rPr>
          <w:rFonts w:hint="default" w:ascii="Times New Roman" w:hAnsi="Times New Roman" w:cs="Times New Roman"/>
        </w:rPr>
        <w:t>④法律法规规定的其他控股关系。</w:t>
      </w:r>
    </w:p>
    <w:p w14:paraId="255AF724">
      <w:pPr>
        <w:spacing w:before="156" w:beforeLines="50" w:after="156" w:afterLines="50" w:line="400" w:lineRule="exact"/>
        <w:rPr>
          <w:rFonts w:hint="default" w:ascii="Times New Roman" w:hAnsi="Times New Roman" w:cs="Times New Roman"/>
          <w:b/>
          <w:szCs w:val="21"/>
        </w:rPr>
      </w:pPr>
      <w:r>
        <w:rPr>
          <w:rFonts w:hint="default" w:ascii="Times New Roman" w:hAnsi="Times New Roman" w:cs="Times New Roman"/>
          <w:b/>
          <w:szCs w:val="21"/>
        </w:rPr>
        <w:t>4.招标文件的获取</w:t>
      </w:r>
    </w:p>
    <w:p w14:paraId="1D80F120">
      <w:pPr>
        <w:spacing w:line="400" w:lineRule="exact"/>
        <w:ind w:firstLine="420" w:firstLineChars="200"/>
        <w:rPr>
          <w:rFonts w:hint="default" w:ascii="Times New Roman" w:hAnsi="Times New Roman" w:eastAsia="宋体" w:cs="Times New Roman"/>
          <w:szCs w:val="21"/>
        </w:rPr>
      </w:pPr>
      <w:r>
        <w:rPr>
          <w:rFonts w:hint="default" w:ascii="Times New Roman" w:hAnsi="Times New Roman" w:eastAsia="宋体" w:cs="Times New Roman"/>
          <w:szCs w:val="21"/>
        </w:rPr>
        <w:t>4.1 凡有意参加投标者（若为联合体投标，指联合体所有成员），应当在湖北省电子招投标交易平台（以下简称“电子交易平台”，下同）（网址：www.hbbidcloud.cn）进行注册登记，并下载手机版CA（标证通）或办理CA数字证书（具体操作参见“电子交易平台”—办事指南—交易主体注册登记指南）。</w:t>
      </w:r>
    </w:p>
    <w:p w14:paraId="5B6F203E">
      <w:pPr>
        <w:spacing w:line="400" w:lineRule="exact"/>
        <w:ind w:firstLine="420" w:firstLineChars="200"/>
        <w:rPr>
          <w:rFonts w:hint="default" w:ascii="Times New Roman" w:hAnsi="Times New Roman" w:eastAsia="宋体" w:cs="Times New Roman"/>
          <w:szCs w:val="21"/>
        </w:rPr>
      </w:pPr>
      <w:r>
        <w:rPr>
          <w:rFonts w:hint="default" w:ascii="Times New Roman" w:hAnsi="Times New Roman" w:eastAsia="宋体" w:cs="Times New Roman"/>
          <w:szCs w:val="21"/>
        </w:rPr>
        <w:t>4.2 完成注册登记后，请于</w:t>
      </w:r>
      <w:r>
        <w:rPr>
          <w:rFonts w:hint="default" w:ascii="Times New Roman" w:hAnsi="Times New Roman" w:eastAsia="宋体" w:cs="Times New Roman"/>
          <w:szCs w:val="21"/>
          <w:u w:val="single"/>
        </w:rPr>
        <w:t>202</w:t>
      </w:r>
      <w:r>
        <w:rPr>
          <w:rFonts w:hint="default" w:ascii="Times New Roman" w:hAnsi="Times New Roman" w:eastAsia="宋体" w:cs="Times New Roman"/>
          <w:szCs w:val="21"/>
          <w:u w:val="single"/>
          <w:lang w:val="en-US" w:eastAsia="zh-CN"/>
        </w:rPr>
        <w:t>6</w:t>
      </w:r>
      <w:r>
        <w:rPr>
          <w:rFonts w:hint="default" w:ascii="Times New Roman" w:hAnsi="Times New Roman" w:eastAsia="宋体" w:cs="Times New Roman"/>
          <w:szCs w:val="21"/>
        </w:rPr>
        <w:t>年</w:t>
      </w:r>
      <w:r>
        <w:rPr>
          <w:rFonts w:hint="eastAsia" w:ascii="Times New Roman" w:hAnsi="Times New Roman" w:cs="Times New Roman"/>
          <w:szCs w:val="21"/>
          <w:lang w:val="en-US" w:eastAsia="zh-CN"/>
        </w:rPr>
        <w:t xml:space="preserve">  </w:t>
      </w:r>
      <w:r>
        <w:rPr>
          <w:rFonts w:hint="default" w:ascii="Times New Roman" w:hAnsi="Times New Roman" w:eastAsia="宋体" w:cs="Times New Roman"/>
          <w:szCs w:val="21"/>
        </w:rPr>
        <w:t>月</w:t>
      </w:r>
      <w:r>
        <w:rPr>
          <w:rFonts w:hint="eastAsia" w:ascii="Times New Roman" w:hAnsi="Times New Roman" w:cs="Times New Roman"/>
          <w:szCs w:val="21"/>
          <w:lang w:val="en-US" w:eastAsia="zh-CN"/>
        </w:rPr>
        <w:t xml:space="preserve">  </w:t>
      </w:r>
      <w:r>
        <w:rPr>
          <w:rFonts w:hint="default" w:ascii="Times New Roman" w:hAnsi="Times New Roman" w:eastAsia="宋体" w:cs="Times New Roman"/>
          <w:szCs w:val="21"/>
        </w:rPr>
        <w:t>日至</w:t>
      </w:r>
      <w:r>
        <w:rPr>
          <w:rFonts w:hint="default" w:ascii="Times New Roman" w:hAnsi="Times New Roman" w:eastAsia="宋体" w:cs="Times New Roman"/>
          <w:szCs w:val="21"/>
          <w:u w:val="single"/>
        </w:rPr>
        <w:t>202</w:t>
      </w:r>
      <w:r>
        <w:rPr>
          <w:rFonts w:hint="default" w:ascii="Times New Roman" w:hAnsi="Times New Roman" w:eastAsia="宋体" w:cs="Times New Roman"/>
          <w:szCs w:val="21"/>
          <w:u w:val="single"/>
          <w:lang w:val="en-US" w:eastAsia="zh-CN"/>
        </w:rPr>
        <w:t>6</w:t>
      </w:r>
      <w:r>
        <w:rPr>
          <w:rFonts w:hint="default" w:ascii="Times New Roman" w:hAnsi="Times New Roman" w:eastAsia="宋体" w:cs="Times New Roman"/>
          <w:szCs w:val="21"/>
        </w:rPr>
        <w:t>年</w:t>
      </w:r>
      <w:r>
        <w:rPr>
          <w:rFonts w:hint="eastAsia" w:ascii="Times New Roman" w:hAnsi="Times New Roman" w:cs="Times New Roman"/>
          <w:szCs w:val="21"/>
          <w:lang w:val="en-US" w:eastAsia="zh-CN"/>
        </w:rPr>
        <w:t xml:space="preserve">  </w:t>
      </w:r>
      <w:r>
        <w:rPr>
          <w:rFonts w:hint="default" w:ascii="Times New Roman" w:hAnsi="Times New Roman" w:eastAsia="宋体" w:cs="Times New Roman"/>
          <w:szCs w:val="21"/>
        </w:rPr>
        <w:t>月</w:t>
      </w:r>
      <w:r>
        <w:rPr>
          <w:rFonts w:hint="eastAsia" w:ascii="Times New Roman" w:hAnsi="Times New Roman" w:cs="Times New Roman"/>
          <w:szCs w:val="21"/>
          <w:lang w:val="en-US" w:eastAsia="zh-CN"/>
        </w:rPr>
        <w:t xml:space="preserve">  </w:t>
      </w:r>
      <w:r>
        <w:rPr>
          <w:rFonts w:hint="default" w:ascii="Times New Roman" w:hAnsi="Times New Roman" w:eastAsia="宋体" w:cs="Times New Roman"/>
          <w:szCs w:val="21"/>
        </w:rPr>
        <w:t>日24：00时止（北京时间、下同），通过互联网使用手机版CA（标证通）或办理CA数字证书登录“电子交易平台”，在所投标段免费下载招标文件。联合体投标的，由联合体牵头人下载招标文件（具体操作参见“电子交易平台”—办事指南—招标（资审）文件下载指南）。未按规定从“电子交易平台”下载招标文件的，招标人（“电子交易平台”）拒收其投标文件。</w:t>
      </w:r>
    </w:p>
    <w:p w14:paraId="509D2BD7">
      <w:pPr>
        <w:spacing w:before="156" w:beforeLines="50" w:after="156" w:afterLines="50" w:line="400" w:lineRule="exact"/>
        <w:rPr>
          <w:rFonts w:hint="default" w:ascii="Times New Roman" w:hAnsi="Times New Roman" w:cs="Times New Roman"/>
          <w:b/>
          <w:szCs w:val="21"/>
        </w:rPr>
      </w:pPr>
      <w:r>
        <w:rPr>
          <w:rFonts w:hint="default" w:ascii="Times New Roman" w:hAnsi="Times New Roman" w:cs="Times New Roman"/>
          <w:b/>
          <w:szCs w:val="21"/>
        </w:rPr>
        <w:t>5.投标文件的递交</w:t>
      </w:r>
    </w:p>
    <w:p w14:paraId="5F4D9BE6">
      <w:pPr>
        <w:spacing w:line="4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5.1 投标文件递交截止时间为</w:t>
      </w:r>
      <w:r>
        <w:rPr>
          <w:rFonts w:hint="default" w:ascii="Times New Roman" w:hAnsi="Times New Roman" w:cs="Times New Roman"/>
          <w:szCs w:val="21"/>
          <w:u w:val="none"/>
        </w:rPr>
        <w:t>202</w:t>
      </w:r>
      <w:r>
        <w:rPr>
          <w:rFonts w:hint="default" w:ascii="Times New Roman" w:hAnsi="Times New Roman" w:cs="Times New Roman"/>
          <w:szCs w:val="21"/>
          <w:u w:val="none"/>
          <w:lang w:val="en-US" w:eastAsia="zh-CN"/>
        </w:rPr>
        <w:t>6</w:t>
      </w:r>
      <w:r>
        <w:rPr>
          <w:rFonts w:hint="default" w:ascii="Times New Roman" w:hAnsi="Times New Roman" w:cs="Times New Roman"/>
          <w:szCs w:val="21"/>
        </w:rPr>
        <w:t>年</w:t>
      </w:r>
      <w:r>
        <w:rPr>
          <w:rFonts w:hint="default" w:ascii="Times New Roman" w:hAnsi="Times New Roman" w:cs="Times New Roman"/>
          <w:szCs w:val="21"/>
          <w:u w:val="none"/>
        </w:rPr>
        <w:t xml:space="preserve"> </w:t>
      </w:r>
      <w:r>
        <w:rPr>
          <w:rFonts w:hint="default" w:ascii="Times New Roman" w:hAnsi="Times New Roman" w:cs="Times New Roman"/>
          <w:szCs w:val="21"/>
          <w:u w:val="none"/>
          <w:lang w:val="en-US" w:eastAsia="zh-CN"/>
        </w:rPr>
        <w:t xml:space="preserve">  </w:t>
      </w:r>
      <w:r>
        <w:rPr>
          <w:rFonts w:hint="default" w:ascii="Times New Roman" w:hAnsi="Times New Roman" w:cs="Times New Roman"/>
          <w:szCs w:val="21"/>
        </w:rPr>
        <w:t>月</w:t>
      </w:r>
      <w:r>
        <w:rPr>
          <w:rFonts w:hint="default" w:ascii="Times New Roman" w:hAnsi="Times New Roman" w:cs="Times New Roman"/>
          <w:szCs w:val="21"/>
          <w:u w:val="none"/>
        </w:rPr>
        <w:t xml:space="preserve"> </w:t>
      </w:r>
      <w:r>
        <w:rPr>
          <w:rFonts w:hint="default" w:ascii="Times New Roman" w:hAnsi="Times New Roman" w:cs="Times New Roman"/>
          <w:szCs w:val="21"/>
          <w:u w:val="none"/>
          <w:lang w:val="en-US" w:eastAsia="zh-CN"/>
        </w:rPr>
        <w:t xml:space="preserve">  </w:t>
      </w:r>
      <w:r>
        <w:rPr>
          <w:rFonts w:hint="default" w:ascii="Times New Roman" w:hAnsi="Times New Roman" w:cs="Times New Roman"/>
          <w:szCs w:val="21"/>
          <w:u w:val="none"/>
        </w:rPr>
        <w:t xml:space="preserve"> </w:t>
      </w:r>
      <w:r>
        <w:rPr>
          <w:rFonts w:hint="default" w:ascii="Times New Roman" w:hAnsi="Times New Roman" w:cs="Times New Roman"/>
          <w:szCs w:val="21"/>
        </w:rPr>
        <w:t>日09时30分。</w:t>
      </w:r>
    </w:p>
    <w:p w14:paraId="51931DFD">
      <w:pPr>
        <w:spacing w:line="400" w:lineRule="exact"/>
        <w:ind w:firstLine="420" w:firstLineChars="200"/>
        <w:rPr>
          <w:rFonts w:hint="default" w:ascii="Times New Roman" w:hAnsi="Times New Roman"/>
          <w:szCs w:val="21"/>
        </w:rPr>
      </w:pPr>
      <w:r>
        <w:rPr>
          <w:rFonts w:hint="default" w:ascii="Times New Roman" w:hAnsi="Times New Roman"/>
          <w:szCs w:val="21"/>
        </w:rPr>
        <w:t>5.2 投标人应当在投标截止时间前，通过互联网使用移动数字证书（CA）、电子营业执照或办理实体数字证书（CA）登录“电子交易平台”，选择所投标段将加密的电子投标文件上传。投标人完成投标文件上传后，“电子交易平台”即时向投标人发出电子签收凭证，递交时间以电子签收凭证载明的传输完成时间为准。逾期未完成上传或未加密的电子投标文件，招标人（“电子交易平台”）将拒收。</w:t>
      </w:r>
    </w:p>
    <w:p w14:paraId="7C5390A7">
      <w:pPr>
        <w:spacing w:before="156" w:beforeLines="50" w:after="156" w:afterLines="50" w:line="400" w:lineRule="exact"/>
        <w:ind w:firstLine="422" w:firstLineChars="200"/>
        <w:rPr>
          <w:rFonts w:hint="default" w:ascii="Times New Roman" w:hAnsi="Times New Roman" w:cs="Times New Roman"/>
          <w:b/>
          <w:szCs w:val="21"/>
        </w:rPr>
      </w:pPr>
      <w:r>
        <w:rPr>
          <w:rFonts w:hint="default" w:ascii="Times New Roman" w:hAnsi="Times New Roman" w:cs="Times New Roman"/>
          <w:b/>
          <w:szCs w:val="21"/>
        </w:rPr>
        <w:t>6.投标相关事宜</w:t>
      </w:r>
    </w:p>
    <w:p w14:paraId="5FAEAC1A">
      <w:pPr>
        <w:spacing w:line="4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招标人不组织工程现场踏勘，不召开投标预备会。</w:t>
      </w:r>
    </w:p>
    <w:p w14:paraId="70D687AC">
      <w:pPr>
        <w:spacing w:before="156" w:beforeLines="50" w:after="156" w:afterLines="50" w:line="400" w:lineRule="exact"/>
        <w:rPr>
          <w:rFonts w:hint="default" w:ascii="Times New Roman" w:hAnsi="Times New Roman" w:cs="Times New Roman"/>
          <w:b/>
          <w:szCs w:val="21"/>
        </w:rPr>
      </w:pPr>
      <w:r>
        <w:rPr>
          <w:rFonts w:hint="default" w:ascii="Times New Roman" w:hAnsi="Times New Roman" w:cs="Times New Roman"/>
          <w:b/>
          <w:szCs w:val="21"/>
        </w:rPr>
        <w:t>7.评标办法</w:t>
      </w:r>
    </w:p>
    <w:p w14:paraId="5B4D1182">
      <w:pPr>
        <w:spacing w:line="400" w:lineRule="exact"/>
        <w:ind w:firstLine="420" w:firstLineChars="200"/>
        <w:rPr>
          <w:rFonts w:hint="eastAsia" w:ascii="Times New Roman" w:hAnsi="Times New Roman" w:eastAsia="宋体" w:cs="Times New Roman"/>
          <w:szCs w:val="21"/>
          <w:lang w:val="en-US" w:eastAsia="zh-CN"/>
        </w:rPr>
      </w:pPr>
      <w:r>
        <w:rPr>
          <w:rFonts w:hint="default" w:ascii="Times New Roman" w:hAnsi="Times New Roman" w:cs="Times New Roman"/>
          <w:szCs w:val="21"/>
        </w:rPr>
        <w:t>本次招标评标办法采用</w:t>
      </w:r>
      <w:r>
        <w:rPr>
          <w:rFonts w:hint="eastAsia" w:ascii="Times New Roman" w:hAnsi="Times New Roman" w:cs="Times New Roman"/>
          <w:szCs w:val="21"/>
          <w:lang w:val="en-US" w:eastAsia="zh-CN"/>
        </w:rPr>
        <w:t>综合评估法</w:t>
      </w:r>
    </w:p>
    <w:p w14:paraId="48B50CA4">
      <w:pPr>
        <w:spacing w:before="156" w:beforeLines="50" w:after="156" w:afterLines="50" w:line="400" w:lineRule="exact"/>
        <w:rPr>
          <w:rFonts w:hint="default" w:ascii="Times New Roman" w:hAnsi="Times New Roman" w:cs="Times New Roman"/>
          <w:b/>
          <w:szCs w:val="21"/>
        </w:rPr>
      </w:pPr>
      <w:r>
        <w:rPr>
          <w:rFonts w:hint="default" w:ascii="Times New Roman" w:hAnsi="Times New Roman" w:cs="Times New Roman"/>
          <w:b/>
          <w:szCs w:val="21"/>
        </w:rPr>
        <w:t>8.发布公告的媒介</w:t>
      </w:r>
    </w:p>
    <w:p w14:paraId="02DC0FF8">
      <w:pPr>
        <w:spacing w:line="4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本次招标公告同时在</w:t>
      </w:r>
      <w:r>
        <w:rPr>
          <w:rFonts w:hint="default" w:ascii="Times New Roman" w:hAnsi="Times New Roman" w:eastAsia="宋体" w:cs="Times New Roman"/>
          <w:szCs w:val="21"/>
        </w:rPr>
        <w:t>湖北省电子招投标交易平台（网址：www.hbbidcloud.cn）</w:t>
      </w:r>
      <w:r>
        <w:rPr>
          <w:rFonts w:hint="eastAsia" w:ascii="Times New Roman" w:hAnsi="Times New Roman" w:cs="Times New Roman"/>
          <w:szCs w:val="21"/>
          <w:lang w:eastAsia="zh-CN"/>
        </w:rPr>
        <w:t>、</w:t>
      </w:r>
      <w:r>
        <w:rPr>
          <w:rFonts w:ascii="Times New Roman" w:hAnsi="Times New Roman" w:eastAsia="宋体" w:cs="Times New Roman"/>
          <w:b w:val="0"/>
          <w:bCs w:val="0"/>
          <w:i w:val="0"/>
          <w:iCs w:val="0"/>
          <w:smallCaps w:val="0"/>
          <w:color w:val="auto"/>
          <w:kern w:val="2"/>
          <w:sz w:val="21"/>
          <w:szCs w:val="21"/>
        </w:rPr>
        <w:t>湖北省公共资源交易电子服务系统（网址：www.hbggzyfwpt.cn）</w:t>
      </w:r>
      <w:r>
        <w:rPr>
          <w:rFonts w:hint="default" w:ascii="Times New Roman" w:hAnsi="Times New Roman" w:cs="Times New Roman"/>
          <w:szCs w:val="21"/>
        </w:rPr>
        <w:t>上发布。</w:t>
      </w:r>
    </w:p>
    <w:p w14:paraId="1B7981B9">
      <w:pPr>
        <w:spacing w:before="156" w:beforeLines="50" w:after="156" w:afterLines="50" w:line="400" w:lineRule="exact"/>
        <w:rPr>
          <w:rFonts w:hint="default" w:ascii="Times New Roman" w:hAnsi="Times New Roman" w:cs="Times New Roman"/>
          <w:b/>
          <w:szCs w:val="21"/>
        </w:rPr>
      </w:pPr>
      <w:r>
        <w:rPr>
          <w:rFonts w:hint="default" w:ascii="Times New Roman" w:hAnsi="Times New Roman" w:cs="Times New Roman"/>
          <w:b/>
          <w:szCs w:val="21"/>
        </w:rPr>
        <w:t>9.联系方式</w:t>
      </w:r>
    </w:p>
    <w:p w14:paraId="73EE6478">
      <w:pPr>
        <w:spacing w:line="400" w:lineRule="exact"/>
        <w:ind w:firstLine="420" w:firstLineChars="200"/>
        <w:jc w:val="left"/>
        <w:rPr>
          <w:rFonts w:hint="default" w:ascii="Times New Roman" w:hAnsi="Times New Roman" w:cs="Times New Roman"/>
          <w:szCs w:val="21"/>
          <w:u w:val="single"/>
        </w:rPr>
      </w:pPr>
      <w:r>
        <w:rPr>
          <w:rFonts w:hint="default" w:ascii="Times New Roman" w:hAnsi="Times New Roman" w:cs="Times New Roman"/>
          <w:szCs w:val="21"/>
          <w:u w:val="single"/>
        </w:rPr>
        <w:t>招 标 人：咸宁市公路事业发展中心</w:t>
      </w:r>
    </w:p>
    <w:p w14:paraId="0BDB4465">
      <w:pPr>
        <w:spacing w:line="400" w:lineRule="exact"/>
        <w:ind w:firstLine="420" w:firstLineChars="200"/>
        <w:jc w:val="left"/>
        <w:rPr>
          <w:rFonts w:hint="default" w:ascii="Times New Roman" w:hAnsi="Times New Roman" w:cs="Times New Roman"/>
          <w:szCs w:val="21"/>
          <w:u w:val="single"/>
        </w:rPr>
      </w:pPr>
      <w:r>
        <w:rPr>
          <w:rFonts w:hint="default" w:ascii="Times New Roman" w:hAnsi="Times New Roman" w:cs="Times New Roman"/>
          <w:szCs w:val="21"/>
          <w:u w:val="single"/>
        </w:rPr>
        <w:t>地    址：</w:t>
      </w:r>
      <w:r>
        <w:rPr>
          <w:rFonts w:hint="eastAsia" w:ascii="Times New Roman" w:hAnsi="Times New Roman"/>
          <w:szCs w:val="21"/>
          <w:u w:val="single"/>
        </w:rPr>
        <w:t>咸宁市</w:t>
      </w:r>
      <w:r>
        <w:rPr>
          <w:rFonts w:hint="eastAsia" w:ascii="Times New Roman" w:hAnsi="Times New Roman"/>
          <w:szCs w:val="21"/>
          <w:u w:val="single"/>
          <w:lang w:eastAsia="zh-CN"/>
        </w:rPr>
        <w:t>咸安区</w:t>
      </w:r>
      <w:r>
        <w:rPr>
          <w:rFonts w:hint="eastAsia" w:ascii="Times New Roman" w:hAnsi="Times New Roman"/>
          <w:szCs w:val="21"/>
          <w:u w:val="single"/>
        </w:rPr>
        <w:t>银泉大道</w:t>
      </w:r>
      <w:r>
        <w:rPr>
          <w:rFonts w:hint="eastAsia" w:ascii="Times New Roman" w:hAnsi="Times New Roman"/>
          <w:szCs w:val="21"/>
          <w:u w:val="single"/>
          <w:lang w:val="en-US" w:eastAsia="zh-CN"/>
        </w:rPr>
        <w:t>552</w:t>
      </w:r>
      <w:r>
        <w:rPr>
          <w:rFonts w:hint="eastAsia" w:ascii="Times New Roman" w:hAnsi="Times New Roman"/>
          <w:szCs w:val="21"/>
          <w:u w:val="single"/>
        </w:rPr>
        <w:t>号</w:t>
      </w:r>
    </w:p>
    <w:p w14:paraId="2AE1223E">
      <w:pPr>
        <w:spacing w:line="400" w:lineRule="exact"/>
        <w:ind w:firstLine="420" w:firstLineChars="200"/>
        <w:jc w:val="left"/>
        <w:rPr>
          <w:rFonts w:hint="default" w:ascii="Times New Roman" w:hAnsi="Times New Roman" w:eastAsia="宋体" w:cs="Times New Roman"/>
          <w:szCs w:val="21"/>
          <w:u w:val="single"/>
          <w:lang w:eastAsia="zh-CN"/>
        </w:rPr>
      </w:pPr>
      <w:r>
        <w:rPr>
          <w:rFonts w:hint="default" w:ascii="Times New Roman" w:hAnsi="Times New Roman" w:cs="Times New Roman"/>
          <w:szCs w:val="21"/>
          <w:u w:val="single"/>
        </w:rPr>
        <w:t>邮政编码：</w:t>
      </w:r>
      <w:r>
        <w:rPr>
          <w:rFonts w:hint="default" w:ascii="Times New Roman" w:hAnsi="Times New Roman" w:cs="Times New Roman"/>
          <w:szCs w:val="21"/>
          <w:u w:val="single"/>
          <w:lang w:val="en-US" w:eastAsia="zh-CN"/>
        </w:rPr>
        <w:t>/</w:t>
      </w:r>
    </w:p>
    <w:p w14:paraId="4A7F4ECE">
      <w:pPr>
        <w:spacing w:line="400" w:lineRule="exact"/>
        <w:ind w:firstLine="420" w:firstLineChars="200"/>
        <w:jc w:val="left"/>
        <w:rPr>
          <w:rFonts w:hint="default" w:ascii="Times New Roman" w:hAnsi="Times New Roman" w:eastAsia="宋体" w:cs="Times New Roman"/>
          <w:szCs w:val="21"/>
          <w:u w:val="single"/>
        </w:rPr>
      </w:pPr>
      <w:r>
        <w:rPr>
          <w:rFonts w:hint="default" w:ascii="Times New Roman" w:hAnsi="Times New Roman" w:eastAsia="宋体" w:cs="Times New Roman"/>
          <w:szCs w:val="21"/>
          <w:u w:val="single"/>
        </w:rPr>
        <w:t>联 系 人：葛海涛</w:t>
      </w:r>
    </w:p>
    <w:p w14:paraId="789FF1D6">
      <w:pPr>
        <w:spacing w:line="400" w:lineRule="exact"/>
        <w:ind w:firstLine="420" w:firstLineChars="200"/>
        <w:jc w:val="left"/>
        <w:rPr>
          <w:rFonts w:hint="default" w:ascii="Times New Roman" w:hAnsi="Times New Roman" w:cs="Times New Roman"/>
          <w:szCs w:val="21"/>
          <w:u w:val="single"/>
        </w:rPr>
      </w:pPr>
      <w:r>
        <w:rPr>
          <w:rFonts w:hint="default" w:ascii="Times New Roman" w:hAnsi="Times New Roman" w:eastAsia="宋体" w:cs="Times New Roman"/>
          <w:szCs w:val="21"/>
          <w:u w:val="single"/>
        </w:rPr>
        <w:t>电    话： 13707240106</w:t>
      </w:r>
    </w:p>
    <w:p w14:paraId="62317030">
      <w:pPr>
        <w:spacing w:line="400" w:lineRule="exact"/>
        <w:ind w:firstLine="420" w:firstLineChars="200"/>
        <w:jc w:val="left"/>
        <w:rPr>
          <w:rFonts w:hint="default" w:ascii="Times New Roman" w:hAnsi="Times New Roman" w:eastAsia="宋体" w:cs="Times New Roman"/>
          <w:szCs w:val="21"/>
          <w:u w:val="single"/>
          <w:lang w:val="en-US" w:eastAsia="zh-CN"/>
        </w:rPr>
      </w:pPr>
      <w:r>
        <w:rPr>
          <w:rFonts w:hint="default" w:ascii="Times New Roman" w:hAnsi="Times New Roman" w:cs="Times New Roman"/>
          <w:szCs w:val="21"/>
          <w:u w:val="single"/>
        </w:rPr>
        <w:t>电子邮件：</w:t>
      </w:r>
      <w:r>
        <w:rPr>
          <w:rFonts w:hint="default" w:ascii="Times New Roman" w:hAnsi="Times New Roman" w:cs="Times New Roman"/>
          <w:szCs w:val="21"/>
          <w:u w:val="single"/>
          <w:lang w:val="en-US" w:eastAsia="zh-CN"/>
        </w:rPr>
        <w:t>/</w:t>
      </w:r>
    </w:p>
    <w:p w14:paraId="417C5C51">
      <w:pPr>
        <w:ind w:firstLine="5250" w:firstLineChars="2500"/>
        <w:rPr>
          <w:rFonts w:hint="default" w:ascii="Times New Roman" w:hAnsi="Times New Roman" w:cs="Times New Roman"/>
          <w:szCs w:val="21"/>
        </w:rPr>
      </w:pPr>
      <w:r>
        <w:rPr>
          <w:rFonts w:hint="default" w:ascii="Times New Roman" w:hAnsi="Times New Roman" w:cs="Times New Roman"/>
          <w:szCs w:val="21"/>
          <w:u w:val="single"/>
        </w:rPr>
        <w:t>202</w:t>
      </w:r>
      <w:r>
        <w:rPr>
          <w:rFonts w:hint="default" w:ascii="Times New Roman" w:hAnsi="Times New Roman" w:cs="Times New Roman"/>
          <w:szCs w:val="21"/>
          <w:u w:val="single"/>
          <w:lang w:val="en-US" w:eastAsia="zh-CN"/>
        </w:rPr>
        <w:t>6</w:t>
      </w:r>
      <w:r>
        <w:rPr>
          <w:rFonts w:hint="default" w:ascii="Times New Roman" w:hAnsi="Times New Roman" w:cs="Times New Roman"/>
          <w:szCs w:val="21"/>
        </w:rPr>
        <w:t>年</w:t>
      </w:r>
      <w:r>
        <w:rPr>
          <w:rFonts w:hint="eastAsia" w:ascii="Times New Roman" w:hAnsi="Times New Roman" w:cs="Times New Roman"/>
          <w:szCs w:val="21"/>
          <w:lang w:val="en-US" w:eastAsia="zh-CN"/>
        </w:rPr>
        <w:t xml:space="preserve">5 </w:t>
      </w:r>
      <w:r>
        <w:rPr>
          <w:rFonts w:hint="default" w:ascii="Times New Roman" w:hAnsi="Times New Roman" w:cs="Times New Roman"/>
          <w:szCs w:val="21"/>
        </w:rPr>
        <w:t>月</w:t>
      </w:r>
      <w:r>
        <w:rPr>
          <w:rFonts w:hint="eastAsia" w:ascii="Times New Roman" w:hAnsi="Times New Roman" w:cs="Times New Roman"/>
          <w:szCs w:val="21"/>
          <w:lang w:val="en-US" w:eastAsia="zh-CN"/>
        </w:rPr>
        <w:t xml:space="preserve">  </w:t>
      </w:r>
      <w:r>
        <w:rPr>
          <w:rFonts w:hint="default" w:ascii="Times New Roman" w:hAnsi="Times New Roman" w:cs="Times New Roman"/>
          <w:szCs w:val="21"/>
        </w:rPr>
        <w:t>日</w:t>
      </w:r>
      <w:bookmarkEnd w:id="3"/>
      <w:bookmarkEnd w:id="4"/>
    </w:p>
    <w:p w14:paraId="6E31D4E8">
      <w:pPr>
        <w:ind w:firstLine="0" w:firstLineChars="0"/>
        <w:rPr>
          <w:rFonts w:hint="default" w:ascii="Times New Roman" w:hAnsi="Times New Roman" w:cs="Times New Roman"/>
          <w:szCs w:val="21"/>
        </w:rPr>
      </w:pPr>
      <w:r>
        <w:rPr>
          <w:rFonts w:hint="default" w:ascii="Times New Roman" w:hAnsi="Times New Roman" w:cs="Times New Roman"/>
          <w:szCs w:val="21"/>
        </w:rPr>
        <w:br w:type="page"/>
      </w:r>
    </w:p>
    <w:p w14:paraId="655DE2A5">
      <w:pPr>
        <w:widowControl/>
        <w:spacing w:line="472" w:lineRule="atLeast"/>
        <w:jc w:val="left"/>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 xml:space="preserve">附录: </w:t>
      </w:r>
    </w:p>
    <w:p w14:paraId="5F8B881A">
      <w:pPr>
        <w:widowControl/>
        <w:spacing w:before="120" w:after="120" w:line="360" w:lineRule="atLeast"/>
        <w:ind w:left="0" w:right="0"/>
        <w:jc w:val="center"/>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附录1 资格审查条件（资质最低要求）</w:t>
      </w:r>
    </w:p>
    <w:tbl>
      <w:tblPr>
        <w:tblStyle w:val="17"/>
        <w:tblW w:w="5000" w:type="pct"/>
        <w:tblCellSpacing w:w="15" w:type="dxa"/>
        <w:tblInd w:w="0" w:type="dxa"/>
        <w:tblLayout w:type="fixed"/>
        <w:tblCellMar>
          <w:top w:w="15" w:type="dxa"/>
          <w:left w:w="15" w:type="dxa"/>
          <w:bottom w:w="15" w:type="dxa"/>
          <w:right w:w="15" w:type="dxa"/>
        </w:tblCellMar>
      </w:tblPr>
      <w:tblGrid>
        <w:gridCol w:w="1503"/>
        <w:gridCol w:w="7123"/>
      </w:tblGrid>
      <w:tr w14:paraId="07257050">
        <w:tblPrEx>
          <w:tblCellMar>
            <w:top w:w="15" w:type="dxa"/>
            <w:left w:w="15" w:type="dxa"/>
            <w:bottom w:w="15" w:type="dxa"/>
            <w:right w:w="15" w:type="dxa"/>
          </w:tblCellMar>
        </w:tblPrEx>
        <w:trPr>
          <w:cantSplit/>
          <w:trHeight w:val="375" w:hRule="atLeast"/>
          <w:tblCellSpacing w:w="15" w:type="dxa"/>
        </w:trPr>
        <w:tc>
          <w:tcPr>
            <w:tcW w:w="1560" w:type="dxa"/>
            <w:tcBorders>
              <w:top w:val="single" w:color="000000" w:sz="6" w:space="0"/>
              <w:left w:val="single" w:color="000000" w:sz="6" w:space="0"/>
              <w:bottom w:val="single" w:color="000000" w:sz="6" w:space="0"/>
              <w:right w:val="single" w:color="000000" w:sz="6" w:space="0"/>
            </w:tcBorders>
            <w:noWrap w:val="0"/>
            <w:tcMar>
              <w:top w:w="8" w:type="dxa"/>
              <w:left w:w="112" w:type="dxa"/>
              <w:bottom w:w="8" w:type="dxa"/>
              <w:right w:w="112" w:type="dxa"/>
            </w:tcMar>
            <w:vAlign w:val="center"/>
          </w:tcPr>
          <w:p w14:paraId="6C20EE05">
            <w:pPr>
              <w:widowControl/>
              <w:spacing w:line="360" w:lineRule="atLeast"/>
              <w:jc w:val="center"/>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标段</w:t>
            </w:r>
          </w:p>
        </w:tc>
        <w:tc>
          <w:tcPr>
            <w:tcW w:w="7598" w:type="dxa"/>
            <w:tcBorders>
              <w:top w:val="single" w:color="000000" w:sz="6" w:space="0"/>
              <w:bottom w:val="single" w:color="000000" w:sz="6" w:space="0"/>
              <w:right w:val="single" w:color="000000" w:sz="6" w:space="0"/>
            </w:tcBorders>
            <w:noWrap w:val="0"/>
            <w:tcMar>
              <w:top w:w="8" w:type="dxa"/>
              <w:left w:w="105" w:type="dxa"/>
              <w:bottom w:w="8" w:type="dxa"/>
              <w:right w:w="112" w:type="dxa"/>
            </w:tcMar>
            <w:vAlign w:val="center"/>
          </w:tcPr>
          <w:p w14:paraId="5350E5C7">
            <w:pPr>
              <w:widowControl/>
              <w:spacing w:line="360" w:lineRule="atLeast"/>
              <w:jc w:val="center"/>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highlight w:val="none"/>
              </w:rPr>
              <w:t>资质最低要求</w:t>
            </w:r>
          </w:p>
        </w:tc>
      </w:tr>
      <w:tr w14:paraId="625EB158">
        <w:tblPrEx>
          <w:tblCellMar>
            <w:top w:w="15" w:type="dxa"/>
            <w:left w:w="15" w:type="dxa"/>
            <w:bottom w:w="15" w:type="dxa"/>
            <w:right w:w="15" w:type="dxa"/>
          </w:tblCellMar>
        </w:tblPrEx>
        <w:trPr>
          <w:cantSplit/>
          <w:trHeight w:val="90" w:hRule="atLeast"/>
          <w:tblCellSpacing w:w="15" w:type="dxa"/>
        </w:trPr>
        <w:tc>
          <w:tcPr>
            <w:tcW w:w="1560" w:type="dxa"/>
            <w:tcBorders>
              <w:left w:val="single" w:color="000000" w:sz="6" w:space="0"/>
              <w:bottom w:val="single" w:color="000000" w:sz="6" w:space="0"/>
              <w:right w:val="single" w:color="000000" w:sz="6" w:space="0"/>
            </w:tcBorders>
            <w:noWrap w:val="0"/>
            <w:tcMar>
              <w:top w:w="0" w:type="dxa"/>
              <w:left w:w="112" w:type="dxa"/>
              <w:bottom w:w="8" w:type="dxa"/>
              <w:right w:w="112" w:type="dxa"/>
            </w:tcMar>
            <w:vAlign w:val="center"/>
          </w:tcPr>
          <w:p w14:paraId="3FA8A312">
            <w:pPr>
              <w:widowControl/>
              <w:spacing w:line="360" w:lineRule="atLeast"/>
              <w:jc w:val="center"/>
              <w:rPr>
                <w:rFonts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lang w:eastAsia="zh-CN"/>
              </w:rPr>
              <w:t>GTEPC</w:t>
            </w:r>
            <w:r>
              <w:rPr>
                <w:rFonts w:ascii="宋体" w:hAnsi="宋体" w:eastAsia="宋体" w:cs="宋体"/>
                <w:b w:val="0"/>
                <w:bCs w:val="0"/>
                <w:i w:val="0"/>
                <w:iCs w:val="0"/>
                <w:smallCaps w:val="0"/>
                <w:color w:val="000000"/>
                <w:kern w:val="0"/>
                <w:sz w:val="24"/>
                <w:szCs w:val="24"/>
              </w:rPr>
              <w:t>-1</w:t>
            </w:r>
          </w:p>
        </w:tc>
        <w:tc>
          <w:tcPr>
            <w:tcW w:w="7598" w:type="dxa"/>
            <w:tcBorders>
              <w:bottom w:val="single" w:color="000000" w:sz="6" w:space="0"/>
              <w:right w:val="single" w:color="000000" w:sz="6" w:space="0"/>
            </w:tcBorders>
            <w:noWrap w:val="0"/>
            <w:tcMar>
              <w:top w:w="0" w:type="dxa"/>
              <w:left w:w="105" w:type="dxa"/>
              <w:bottom w:w="8" w:type="dxa"/>
              <w:right w:w="112" w:type="dxa"/>
            </w:tcMar>
            <w:vAlign w:val="center"/>
          </w:tcPr>
          <w:p w14:paraId="528D6737">
            <w:pPr>
              <w:widowControl/>
              <w:spacing w:after="24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同时具备：</w:t>
            </w:r>
          </w:p>
          <w:p w14:paraId="54803BF4">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1、勘察设计资质</w:t>
            </w:r>
          </w:p>
          <w:p w14:paraId="69D0BA36">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（a）独立法人资格，持有有效的营业执照；</w:t>
            </w:r>
          </w:p>
          <w:p w14:paraId="5BCFD5E7">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（b）建设行政主管部门核发的有效的工程勘察综合</w:t>
            </w:r>
            <w:r>
              <w:rPr>
                <w:rFonts w:hint="eastAsia" w:ascii="宋体" w:hAnsi="宋体" w:eastAsia="宋体" w:cs="宋体"/>
                <w:b w:val="0"/>
                <w:bCs w:val="0"/>
                <w:i w:val="0"/>
                <w:iCs w:val="0"/>
                <w:smallCaps w:val="0"/>
                <w:color w:val="000000"/>
                <w:kern w:val="0"/>
                <w:sz w:val="24"/>
                <w:szCs w:val="24"/>
                <w:lang w:val="en-US" w:eastAsia="zh-CN"/>
              </w:rPr>
              <w:t>甲级</w:t>
            </w:r>
            <w:r>
              <w:rPr>
                <w:rFonts w:ascii="宋体" w:hAnsi="宋体" w:eastAsia="宋体" w:cs="宋体"/>
                <w:b w:val="0"/>
                <w:bCs w:val="0"/>
                <w:i w:val="0"/>
                <w:iCs w:val="0"/>
                <w:smallCaps w:val="0"/>
                <w:color w:val="000000"/>
                <w:kern w:val="0"/>
                <w:sz w:val="24"/>
                <w:szCs w:val="24"/>
              </w:rPr>
              <w:t>资质或工程勘察专业类（岩土工程）</w:t>
            </w:r>
            <w:r>
              <w:rPr>
                <w:rFonts w:hint="eastAsia" w:ascii="宋体" w:hAnsi="宋体" w:eastAsia="宋体" w:cs="宋体"/>
                <w:b w:val="0"/>
                <w:bCs w:val="0"/>
                <w:i w:val="0"/>
                <w:iCs w:val="0"/>
                <w:smallCaps w:val="0"/>
                <w:color w:val="000000"/>
                <w:kern w:val="0"/>
                <w:sz w:val="24"/>
                <w:szCs w:val="24"/>
                <w:lang w:val="en-US" w:eastAsia="zh-CN"/>
              </w:rPr>
              <w:t>乙</w:t>
            </w:r>
            <w:r>
              <w:rPr>
                <w:rFonts w:ascii="宋体" w:hAnsi="宋体" w:eastAsia="宋体" w:cs="宋体"/>
                <w:b w:val="0"/>
                <w:bCs w:val="0"/>
                <w:i w:val="0"/>
                <w:iCs w:val="0"/>
                <w:smallCaps w:val="0"/>
                <w:color w:val="000000"/>
                <w:kern w:val="0"/>
                <w:sz w:val="24"/>
                <w:szCs w:val="24"/>
              </w:rPr>
              <w:t>级资质；</w:t>
            </w:r>
          </w:p>
          <w:p w14:paraId="08A50F26">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（c）建设行政主管部门核发的有效的工程设计综合</w:t>
            </w:r>
            <w:r>
              <w:rPr>
                <w:rFonts w:hint="eastAsia" w:ascii="宋体" w:hAnsi="宋体" w:eastAsia="宋体" w:cs="宋体"/>
                <w:b w:val="0"/>
                <w:bCs w:val="0"/>
                <w:i w:val="0"/>
                <w:iCs w:val="0"/>
                <w:smallCaps w:val="0"/>
                <w:color w:val="000000"/>
                <w:kern w:val="0"/>
                <w:sz w:val="24"/>
                <w:szCs w:val="24"/>
                <w:lang w:val="en-US" w:eastAsia="zh-CN"/>
              </w:rPr>
              <w:t>甲</w:t>
            </w:r>
            <w:r>
              <w:rPr>
                <w:rFonts w:ascii="宋体" w:hAnsi="宋体" w:eastAsia="宋体" w:cs="宋体"/>
                <w:b w:val="0"/>
                <w:bCs w:val="0"/>
                <w:i w:val="0"/>
                <w:iCs w:val="0"/>
                <w:smallCaps w:val="0"/>
                <w:color w:val="000000"/>
                <w:kern w:val="0"/>
                <w:sz w:val="24"/>
                <w:szCs w:val="24"/>
              </w:rPr>
              <w:t>级资质或</w:t>
            </w:r>
            <w:r>
              <w:rPr>
                <w:rFonts w:ascii="宋体" w:hAnsi="宋体" w:eastAsia="宋体" w:cs="宋体"/>
                <w:color w:val="000000"/>
                <w:kern w:val="0"/>
                <w:sz w:val="24"/>
                <w:szCs w:val="24"/>
              </w:rPr>
              <w:t>公路行业专业</w:t>
            </w:r>
            <w:r>
              <w:rPr>
                <w:rFonts w:hint="eastAsia" w:ascii="宋体" w:hAnsi="宋体" w:eastAsia="宋体" w:cs="宋体"/>
                <w:color w:val="000000"/>
                <w:kern w:val="0"/>
                <w:sz w:val="24"/>
                <w:szCs w:val="24"/>
                <w:lang w:val="en-US" w:eastAsia="zh-CN"/>
              </w:rPr>
              <w:t>乙</w:t>
            </w:r>
            <w:r>
              <w:rPr>
                <w:rFonts w:ascii="宋体" w:hAnsi="宋体" w:eastAsia="宋体" w:cs="宋体"/>
                <w:color w:val="000000"/>
                <w:kern w:val="0"/>
                <w:sz w:val="24"/>
                <w:szCs w:val="24"/>
              </w:rPr>
              <w:t>级资质</w:t>
            </w:r>
            <w:r>
              <w:rPr>
                <w:rFonts w:ascii="宋体" w:hAnsi="宋体" w:eastAsia="宋体" w:cs="宋体"/>
                <w:b w:val="0"/>
                <w:bCs w:val="0"/>
                <w:i w:val="0"/>
                <w:iCs w:val="0"/>
                <w:smallCaps w:val="0"/>
                <w:color w:val="000000"/>
                <w:kern w:val="0"/>
                <w:sz w:val="24"/>
                <w:szCs w:val="24"/>
              </w:rPr>
              <w:t>。</w:t>
            </w:r>
          </w:p>
          <w:p w14:paraId="7EDAC4CA">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2、施工资质</w:t>
            </w:r>
          </w:p>
          <w:p w14:paraId="5781898E">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（a）独立法人资格，持有有效的营业执照；</w:t>
            </w:r>
          </w:p>
          <w:p w14:paraId="1251789D">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（b）建设行政主管部门核发的有效的</w:t>
            </w:r>
            <w:r>
              <w:rPr>
                <w:rFonts w:hint="eastAsia" w:ascii="宋体" w:hAnsi="宋体" w:eastAsia="宋体" w:cs="宋体"/>
                <w:b w:val="0"/>
                <w:bCs w:val="0"/>
                <w:i w:val="0"/>
                <w:iCs w:val="0"/>
                <w:smallCaps w:val="0"/>
                <w:color w:val="000000"/>
                <w:kern w:val="0"/>
                <w:sz w:val="24"/>
                <w:szCs w:val="24"/>
                <w:lang w:val="en-US" w:eastAsia="zh-CN"/>
              </w:rPr>
              <w:t>公路工程行业</w:t>
            </w:r>
            <w:r>
              <w:rPr>
                <w:rFonts w:ascii="宋体" w:hAnsi="宋体" w:eastAsia="宋体" w:cs="宋体"/>
                <w:b w:val="0"/>
                <w:bCs w:val="0"/>
                <w:i w:val="0"/>
                <w:iCs w:val="0"/>
                <w:smallCaps w:val="0"/>
                <w:color w:val="000000"/>
                <w:kern w:val="0"/>
                <w:sz w:val="24"/>
                <w:szCs w:val="24"/>
              </w:rPr>
              <w:t>施工总承包二级资质；</w:t>
            </w:r>
          </w:p>
          <w:p w14:paraId="56455267">
            <w:pPr>
              <w:widowControl/>
              <w:spacing w:before="24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（c）有效的安全生产许可证。</w:t>
            </w:r>
          </w:p>
        </w:tc>
      </w:tr>
    </w:tbl>
    <w:p w14:paraId="7D4B284C">
      <w:pPr>
        <w:widowControl/>
        <w:spacing w:before="0" w:after="0" w:line="400" w:lineRule="exact"/>
        <w:ind w:firstLine="42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rPr>
        <w:t>注：</w:t>
      </w:r>
    </w:p>
    <w:p w14:paraId="3204488C">
      <w:pPr>
        <w:widowControl/>
        <w:numPr>
          <w:ilvl w:val="0"/>
          <w:numId w:val="1"/>
        </w:numPr>
        <w:spacing w:before="0" w:after="0" w:line="360" w:lineRule="auto"/>
        <w:ind w:firstLine="480" w:firstLineChars="200"/>
        <w:jc w:val="left"/>
        <w:rPr>
          <w:rFonts w:hint="eastAsia" w:ascii="宋体" w:hAnsi="宋体" w:cs="宋体"/>
          <w:color w:val="000000"/>
          <w:kern w:val="0"/>
          <w:sz w:val="24"/>
          <w:szCs w:val="24"/>
        </w:rPr>
      </w:pPr>
      <w:r>
        <w:rPr>
          <w:rFonts w:hint="eastAsia" w:ascii="宋体" w:hAnsi="宋体" w:cs="宋体"/>
          <w:color w:val="000000"/>
          <w:kern w:val="0"/>
          <w:sz w:val="24"/>
          <w:szCs w:val="24"/>
        </w:rPr>
        <w:t>投标人应填报投标文件格式资格审查资料“投标人基本情况表”。因投标文件格式资格审查资料“投标人基本情况表”注的内容为范本的固定格式无法编辑，投标文件格式资格审查资料“投标人基本情况表”注的内容与附录1资格审查条件（资质最低要求）注的要求不一致的，以附录1资格审查条件（资质最低要求）注的要求为准。</w:t>
      </w:r>
    </w:p>
    <w:p w14:paraId="1F34AEFF">
      <w:pPr>
        <w:widowControl/>
        <w:numPr>
          <w:ilvl w:val="0"/>
          <w:numId w:val="1"/>
        </w:numPr>
        <w:tabs>
          <w:tab w:val="right" w:leader="dot" w:pos="8948"/>
        </w:tabs>
        <w:spacing w:line="360" w:lineRule="auto"/>
        <w:ind w:firstLine="480" w:firstLineChars="200"/>
        <w:rPr>
          <w:rFonts w:hint="eastAsia"/>
        </w:rPr>
      </w:pPr>
      <w:r>
        <w:rPr>
          <w:rFonts w:hint="eastAsia" w:ascii="宋体" w:hAnsi="宋体" w:eastAsia="宋体" w:cs="宋体"/>
          <w:color w:val="000000"/>
          <w:kern w:val="0"/>
          <w:sz w:val="24"/>
          <w:szCs w:val="24"/>
        </w:rPr>
        <w:t>“投标人基本情况表”后附相应证明材料。证明材料应附：企业法人营业执照、资质证书、安全生产许可证的扫描件（各项证书的扫描件应包括投标人名称、投标人其他相关信息、颁发机构名称、投标人信息变更情况等关键页在内，封面、封底、空白页可不附）。相应证明材料从“电子交易平台”的“市场主体信息管理”中选择；除从“电子交易平台”的“市场主体信息管理”中选择的证明材料外，其他相关证明材料均不予认可。</w:t>
      </w:r>
    </w:p>
    <w:p w14:paraId="690DE4F8">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独立投标人应同时满足上述全部资质要求。</w:t>
      </w:r>
    </w:p>
    <w:p w14:paraId="2BAB3F96">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lang w:val="en-US" w:eastAsia="zh-CN"/>
        </w:rPr>
        <w:t>4、</w:t>
      </w:r>
      <w:r>
        <w:rPr>
          <w:rFonts w:hint="eastAsia" w:ascii="宋体" w:hAnsi="宋体" w:eastAsia="宋体" w:cs="宋体"/>
          <w:b w:val="0"/>
          <w:bCs w:val="0"/>
          <w:i w:val="0"/>
          <w:iCs w:val="0"/>
          <w:smallCaps w:val="0"/>
          <w:color w:val="000000"/>
          <w:kern w:val="0"/>
          <w:sz w:val="24"/>
          <w:szCs w:val="24"/>
        </w:rPr>
        <w:t>联合体投标的，联合体协议书中约定承担勘察设计任务的单位应满足上表第1项的资质最低要求；联合体协议书中约定承担施工任务的单位应满足上表第2项的资质要求。</w:t>
      </w:r>
    </w:p>
    <w:p w14:paraId="75F49D2D">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lang w:val="en-US" w:eastAsia="zh-CN"/>
        </w:rPr>
        <w:t>5、</w:t>
      </w:r>
      <w:r>
        <w:rPr>
          <w:rFonts w:hint="eastAsia" w:ascii="宋体" w:hAnsi="宋体" w:eastAsia="宋体" w:cs="宋体"/>
          <w:color w:val="000000"/>
          <w:kern w:val="0"/>
          <w:sz w:val="24"/>
          <w:szCs w:val="24"/>
        </w:rPr>
        <w:t>不承担联合体协议中相关专业工程的成员，其相关的专业资质不作为该联合体该专业的资质进行资格审查；由承担同一专业分工的单位组成的联合体，按照资质等级较低的单位确定资质等级。</w:t>
      </w:r>
    </w:p>
    <w:p w14:paraId="3E98DC75">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lang w:val="en-US" w:eastAsia="zh-CN"/>
        </w:rPr>
        <w:t>6</w:t>
      </w:r>
      <w:r>
        <w:rPr>
          <w:rFonts w:hint="eastAsia" w:ascii="宋体" w:hAnsi="宋体" w:eastAsia="宋体" w:cs="宋体"/>
          <w:b w:val="0"/>
          <w:bCs w:val="0"/>
          <w:i w:val="0"/>
          <w:iCs w:val="0"/>
          <w:smallCaps w:val="0"/>
          <w:color w:val="000000"/>
          <w:kern w:val="0"/>
          <w:sz w:val="24"/>
          <w:szCs w:val="24"/>
        </w:rPr>
        <w:t>、对于法人发生重组或变更且变更内容影响本次投标的投标人，应在投标文件格式资格审查资料“投标人基本情况表”后附有法人重组或变更时相关部门的合法批件、变更时的企业法人营业执照和资质证书的变更记录扫描件。</w:t>
      </w:r>
    </w:p>
    <w:p w14:paraId="0EE15C24">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lang w:val="en-US" w:eastAsia="zh-CN"/>
        </w:rPr>
        <w:t>7</w:t>
      </w:r>
      <w:r>
        <w:rPr>
          <w:rFonts w:hint="eastAsia" w:ascii="宋体" w:hAnsi="宋体" w:eastAsia="宋体" w:cs="宋体"/>
          <w:b w:val="0"/>
          <w:bCs w:val="0"/>
          <w:i w:val="0"/>
          <w:iCs w:val="0"/>
          <w:smallCaps w:val="0"/>
          <w:color w:val="000000"/>
          <w:kern w:val="0"/>
          <w:sz w:val="24"/>
          <w:szCs w:val="24"/>
        </w:rPr>
        <w:t>、以联合体形式投标的，联合体各成员应分别填写“投标人基本情况表”并按要求提供相应的资料。</w:t>
      </w:r>
    </w:p>
    <w:p w14:paraId="7E8AF0C2">
      <w:pPr>
        <w:widowControl/>
        <w:numPr>
          <w:ilvl w:val="0"/>
          <w:numId w:val="0"/>
        </w:numPr>
        <w:spacing w:before="0" w:after="0" w:line="360" w:lineRule="auto"/>
        <w:ind w:firstLine="480" w:firstLineChars="200"/>
        <w:jc w:val="left"/>
        <w:rPr>
          <w:rFonts w:ascii="宋体" w:hAnsi="宋体" w:eastAsia="宋体" w:cs="宋体"/>
          <w:b w:val="0"/>
          <w:bCs w:val="0"/>
          <w:i w:val="0"/>
          <w:iCs w:val="0"/>
          <w:smallCaps w:val="0"/>
          <w:color w:val="000000"/>
          <w:kern w:val="0"/>
          <w:sz w:val="32"/>
          <w:szCs w:val="32"/>
        </w:rPr>
      </w:pPr>
      <w:r>
        <w:rPr>
          <w:rFonts w:hint="eastAsia" w:ascii="宋体" w:hAnsi="宋体" w:eastAsia="宋体" w:cs="宋体"/>
          <w:color w:val="000000"/>
          <w:kern w:val="0"/>
          <w:sz w:val="24"/>
          <w:szCs w:val="24"/>
          <w:lang w:val="en-US" w:eastAsia="zh-CN"/>
        </w:rPr>
        <w:t>8</w:t>
      </w:r>
      <w:r>
        <w:rPr>
          <w:rFonts w:hint="eastAsia" w:ascii="宋体" w:hAnsi="宋体" w:eastAsia="宋体" w:cs="宋体"/>
          <w:color w:val="000000"/>
          <w:kern w:val="0"/>
          <w:sz w:val="24"/>
          <w:szCs w:val="24"/>
        </w:rPr>
        <w:t>、投标人必须按照上述要求填报相应的表格，并提供相应证明材料，以证明其符合相应资格审查条件。</w:t>
      </w:r>
    </w:p>
    <w:p w14:paraId="2FF7C23A">
      <w:pPr>
        <w:ind w:firstLine="5250" w:firstLineChars="2500"/>
        <w:rPr>
          <w:rFonts w:hint="default" w:ascii="Times New Roman" w:hAnsi="Times New Roman" w:cs="Times New Roman"/>
          <w:szCs w:val="21"/>
        </w:rPr>
      </w:pPr>
    </w:p>
    <w:p w14:paraId="49F5EECB">
      <w:pPr>
        <w:widowControl/>
        <w:spacing w:before="120" w:after="120" w:line="360" w:lineRule="atLeast"/>
        <w:ind w:left="0" w:right="0"/>
        <w:jc w:val="center"/>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附录</w:t>
      </w:r>
      <w:r>
        <w:rPr>
          <w:rFonts w:hint="eastAsia" w:ascii="宋体" w:hAnsi="宋体" w:eastAsia="宋体" w:cs="宋体"/>
          <w:b w:val="0"/>
          <w:bCs w:val="0"/>
          <w:i w:val="0"/>
          <w:iCs w:val="0"/>
          <w:smallCaps w:val="0"/>
          <w:color w:val="000000"/>
          <w:kern w:val="0"/>
          <w:sz w:val="32"/>
          <w:szCs w:val="32"/>
          <w:lang w:val="en-US" w:eastAsia="zh-CN"/>
        </w:rPr>
        <w:t>2</w:t>
      </w:r>
      <w:r>
        <w:rPr>
          <w:rFonts w:ascii="宋体" w:hAnsi="宋体" w:eastAsia="宋体" w:cs="宋体"/>
          <w:b w:val="0"/>
          <w:bCs w:val="0"/>
          <w:i w:val="0"/>
          <w:iCs w:val="0"/>
          <w:smallCaps w:val="0"/>
          <w:color w:val="000000"/>
          <w:kern w:val="0"/>
          <w:sz w:val="32"/>
          <w:szCs w:val="32"/>
        </w:rPr>
        <w:t xml:space="preserve"> 资格审查条件（业绩最低要求）</w:t>
      </w:r>
    </w:p>
    <w:tbl>
      <w:tblPr>
        <w:tblStyle w:val="17"/>
        <w:tblW w:w="5000" w:type="pct"/>
        <w:tblCellSpacing w:w="15" w:type="dxa"/>
        <w:tblInd w:w="0" w:type="dxa"/>
        <w:tblLayout w:type="fixed"/>
        <w:tblCellMar>
          <w:top w:w="15" w:type="dxa"/>
          <w:left w:w="15" w:type="dxa"/>
          <w:bottom w:w="15" w:type="dxa"/>
          <w:right w:w="15" w:type="dxa"/>
        </w:tblCellMar>
      </w:tblPr>
      <w:tblGrid>
        <w:gridCol w:w="1190"/>
        <w:gridCol w:w="7436"/>
      </w:tblGrid>
      <w:tr w14:paraId="526C78EC">
        <w:trPr>
          <w:cantSplit/>
          <w:trHeight w:val="375" w:hRule="atLeast"/>
          <w:tblCellSpacing w:w="15" w:type="dxa"/>
        </w:trPr>
        <w:tc>
          <w:tcPr>
            <w:tcW w:w="1215" w:type="dxa"/>
            <w:tcBorders>
              <w:top w:val="single" w:color="000000" w:sz="6" w:space="0"/>
              <w:left w:val="single" w:color="000000" w:sz="6" w:space="0"/>
              <w:bottom w:val="single" w:color="000000" w:sz="6" w:space="0"/>
              <w:right w:val="single" w:color="000000" w:sz="6" w:space="0"/>
            </w:tcBorders>
            <w:noWrap w:val="0"/>
            <w:tcMar>
              <w:top w:w="8" w:type="dxa"/>
              <w:left w:w="112" w:type="dxa"/>
              <w:bottom w:w="8" w:type="dxa"/>
              <w:right w:w="112" w:type="dxa"/>
            </w:tcMar>
            <w:vAlign w:val="center"/>
          </w:tcPr>
          <w:p w14:paraId="49D762FA">
            <w:pPr>
              <w:widowControl/>
              <w:spacing w:line="360" w:lineRule="atLeast"/>
              <w:jc w:val="center"/>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标段</w:t>
            </w:r>
          </w:p>
        </w:tc>
        <w:tc>
          <w:tcPr>
            <w:tcW w:w="7868" w:type="dxa"/>
            <w:tcBorders>
              <w:top w:val="single" w:color="000000" w:sz="6" w:space="0"/>
              <w:bottom w:val="single" w:color="000000" w:sz="6" w:space="0"/>
              <w:right w:val="single" w:color="000000" w:sz="6" w:space="0"/>
            </w:tcBorders>
            <w:noWrap w:val="0"/>
            <w:tcMar>
              <w:top w:w="8" w:type="dxa"/>
              <w:left w:w="105" w:type="dxa"/>
              <w:bottom w:w="8" w:type="dxa"/>
              <w:right w:w="112" w:type="dxa"/>
            </w:tcMar>
            <w:vAlign w:val="center"/>
          </w:tcPr>
          <w:p w14:paraId="06FD27ED">
            <w:pPr>
              <w:widowControl/>
              <w:spacing w:line="360" w:lineRule="atLeast"/>
              <w:jc w:val="center"/>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highlight w:val="none"/>
              </w:rPr>
              <w:t>业绩最低要求</w:t>
            </w:r>
          </w:p>
        </w:tc>
      </w:tr>
      <w:tr w14:paraId="226EC00F">
        <w:tblPrEx>
          <w:tblCellMar>
            <w:top w:w="15" w:type="dxa"/>
            <w:left w:w="15" w:type="dxa"/>
            <w:bottom w:w="15" w:type="dxa"/>
            <w:right w:w="15" w:type="dxa"/>
          </w:tblCellMar>
        </w:tblPrEx>
        <w:trPr>
          <w:cantSplit/>
          <w:trHeight w:val="1260" w:hRule="atLeast"/>
          <w:tblCellSpacing w:w="15" w:type="dxa"/>
        </w:trPr>
        <w:tc>
          <w:tcPr>
            <w:tcW w:w="1215" w:type="dxa"/>
            <w:tcBorders>
              <w:left w:val="single" w:color="000000" w:sz="6" w:space="0"/>
              <w:bottom w:val="single" w:color="000000" w:sz="6" w:space="0"/>
              <w:right w:val="single" w:color="000000" w:sz="6" w:space="0"/>
            </w:tcBorders>
            <w:noWrap w:val="0"/>
            <w:tcMar>
              <w:top w:w="0" w:type="dxa"/>
              <w:left w:w="112" w:type="dxa"/>
              <w:bottom w:w="8" w:type="dxa"/>
              <w:right w:w="112" w:type="dxa"/>
            </w:tcMar>
            <w:vAlign w:val="center"/>
          </w:tcPr>
          <w:p w14:paraId="124DD352">
            <w:pPr>
              <w:widowControl/>
              <w:spacing w:line="360" w:lineRule="atLeast"/>
              <w:jc w:val="center"/>
              <w:rPr>
                <w:rFonts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lang w:val="en-US" w:eastAsia="zh-CN"/>
              </w:rPr>
              <w:t>GTEPC</w:t>
            </w:r>
            <w:r>
              <w:rPr>
                <w:rFonts w:ascii="宋体" w:hAnsi="宋体" w:eastAsia="宋体" w:cs="宋体"/>
                <w:b w:val="0"/>
                <w:bCs w:val="0"/>
                <w:i w:val="0"/>
                <w:iCs w:val="0"/>
                <w:smallCaps w:val="0"/>
                <w:color w:val="000000"/>
                <w:kern w:val="0"/>
                <w:sz w:val="24"/>
                <w:szCs w:val="24"/>
              </w:rPr>
              <w:t>-1</w:t>
            </w:r>
          </w:p>
        </w:tc>
        <w:tc>
          <w:tcPr>
            <w:tcW w:w="7868" w:type="dxa"/>
            <w:tcBorders>
              <w:bottom w:val="single" w:color="000000" w:sz="6" w:space="0"/>
              <w:right w:val="single" w:color="000000" w:sz="6" w:space="0"/>
            </w:tcBorders>
            <w:noWrap w:val="0"/>
            <w:tcMar>
              <w:top w:w="0" w:type="dxa"/>
              <w:left w:w="105" w:type="dxa"/>
              <w:bottom w:w="8" w:type="dxa"/>
              <w:right w:w="112" w:type="dxa"/>
            </w:tcMar>
            <w:vAlign w:val="center"/>
          </w:tcPr>
          <w:p w14:paraId="74E31E9B">
            <w:pPr>
              <w:widowControl/>
              <w:spacing w:before="240" w:after="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同时具备：</w:t>
            </w:r>
          </w:p>
          <w:p w14:paraId="28AC6029">
            <w:pPr>
              <w:widowControl/>
              <w:spacing w:before="240" w:after="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（1）近</w:t>
            </w:r>
            <w:r>
              <w:rPr>
                <w:rFonts w:hint="eastAsia" w:ascii="宋体" w:hAnsi="宋体" w:eastAsia="宋体" w:cs="宋体"/>
                <w:b w:val="0"/>
                <w:bCs w:val="0"/>
                <w:i w:val="0"/>
                <w:iCs w:val="0"/>
                <w:smallCaps w:val="0"/>
                <w:color w:val="000000"/>
                <w:kern w:val="0"/>
                <w:sz w:val="24"/>
                <w:szCs w:val="24"/>
                <w:lang w:val="en-US" w:eastAsia="zh-CN"/>
              </w:rPr>
              <w:t>10</w:t>
            </w:r>
            <w:r>
              <w:rPr>
                <w:rFonts w:ascii="宋体" w:hAnsi="宋体" w:eastAsia="宋体" w:cs="宋体"/>
                <w:b w:val="0"/>
                <w:bCs w:val="0"/>
                <w:i w:val="0"/>
                <w:iCs w:val="0"/>
                <w:smallCaps w:val="0"/>
                <w:color w:val="000000"/>
                <w:kern w:val="0"/>
                <w:sz w:val="24"/>
                <w:szCs w:val="24"/>
              </w:rPr>
              <w:t>年</w:t>
            </w:r>
            <w:r>
              <w:rPr>
                <w:rFonts w:hint="eastAsia" w:ascii="宋体" w:hAnsi="宋体" w:eastAsia="宋体" w:cs="宋体"/>
                <w:b w:val="0"/>
                <w:bCs w:val="0"/>
                <w:i w:val="0"/>
                <w:iCs w:val="0"/>
                <w:smallCaps w:val="0"/>
                <w:color w:val="000000"/>
                <w:kern w:val="0"/>
                <w:sz w:val="24"/>
                <w:szCs w:val="24"/>
                <w:lang w:val="en-US" w:eastAsia="zh-CN"/>
              </w:rPr>
              <w:t>内</w:t>
            </w:r>
            <w:r>
              <w:rPr>
                <w:rFonts w:ascii="宋体" w:hAnsi="宋体" w:eastAsia="宋体" w:cs="宋体"/>
                <w:b w:val="0"/>
                <w:bCs w:val="0"/>
                <w:i w:val="0"/>
                <w:iCs w:val="0"/>
                <w:smallCaps w:val="0"/>
                <w:color w:val="000000"/>
                <w:kern w:val="0"/>
                <w:sz w:val="24"/>
                <w:szCs w:val="24"/>
              </w:rPr>
              <w:t>独立完成过1项</w:t>
            </w:r>
            <w:r>
              <w:rPr>
                <w:rFonts w:hint="eastAsia" w:ascii="宋体" w:hAnsi="宋体" w:eastAsia="宋体" w:cs="宋体"/>
                <w:b w:val="0"/>
                <w:bCs w:val="0"/>
                <w:i w:val="0"/>
                <w:iCs w:val="0"/>
                <w:smallCaps w:val="0"/>
                <w:color w:val="000000"/>
                <w:kern w:val="0"/>
                <w:sz w:val="24"/>
                <w:szCs w:val="24"/>
                <w:lang w:val="en-US" w:eastAsia="zh-CN"/>
              </w:rPr>
              <w:t>新建或改扩建二级及以上等级公路的勘察</w:t>
            </w:r>
            <w:r>
              <w:rPr>
                <w:rFonts w:ascii="宋体" w:hAnsi="宋体" w:eastAsia="宋体" w:cs="宋体"/>
                <w:b w:val="0"/>
                <w:bCs w:val="0"/>
                <w:i w:val="0"/>
                <w:iCs w:val="0"/>
                <w:smallCaps w:val="0"/>
                <w:color w:val="000000"/>
                <w:kern w:val="0"/>
                <w:sz w:val="24"/>
                <w:szCs w:val="24"/>
              </w:rPr>
              <w:t>设计业绩；</w:t>
            </w:r>
          </w:p>
          <w:p w14:paraId="0207E24A">
            <w:pPr>
              <w:widowControl/>
              <w:spacing w:before="240" w:line="360" w:lineRule="atLeast"/>
              <w:jc w:val="left"/>
              <w:rPr>
                <w:rFonts w:hint="eastAsia" w:ascii="宋体" w:hAnsi="宋体" w:eastAsia="宋体" w:cs="宋体"/>
                <w:b w:val="0"/>
                <w:bCs w:val="0"/>
                <w:i w:val="0"/>
                <w:iCs w:val="0"/>
                <w:smallCaps w:val="0"/>
                <w:color w:val="000000"/>
                <w:kern w:val="0"/>
                <w:sz w:val="24"/>
                <w:szCs w:val="24"/>
                <w:lang w:val="en-US" w:eastAsia="zh-CN"/>
              </w:rPr>
            </w:pPr>
            <w:r>
              <w:rPr>
                <w:rFonts w:ascii="宋体" w:hAnsi="宋体" w:eastAsia="宋体" w:cs="宋体"/>
                <w:b w:val="0"/>
                <w:bCs w:val="0"/>
                <w:i w:val="0"/>
                <w:iCs w:val="0"/>
                <w:smallCaps w:val="0"/>
                <w:color w:val="000000"/>
                <w:kern w:val="0"/>
                <w:sz w:val="24"/>
                <w:szCs w:val="24"/>
              </w:rPr>
              <w:t>（2）近</w:t>
            </w:r>
            <w:r>
              <w:rPr>
                <w:rFonts w:hint="eastAsia" w:ascii="宋体" w:hAnsi="宋体" w:eastAsia="宋体" w:cs="宋体"/>
                <w:b w:val="0"/>
                <w:bCs w:val="0"/>
                <w:i w:val="0"/>
                <w:iCs w:val="0"/>
                <w:smallCaps w:val="0"/>
                <w:color w:val="000000"/>
                <w:kern w:val="0"/>
                <w:sz w:val="24"/>
                <w:szCs w:val="24"/>
                <w:lang w:val="en-US" w:eastAsia="zh-CN"/>
              </w:rPr>
              <w:t>10</w:t>
            </w:r>
            <w:r>
              <w:rPr>
                <w:rFonts w:ascii="宋体" w:hAnsi="宋体" w:eastAsia="宋体" w:cs="宋体"/>
                <w:b w:val="0"/>
                <w:bCs w:val="0"/>
                <w:i w:val="0"/>
                <w:iCs w:val="0"/>
                <w:smallCaps w:val="0"/>
                <w:color w:val="000000"/>
                <w:kern w:val="0"/>
                <w:sz w:val="24"/>
                <w:szCs w:val="24"/>
              </w:rPr>
              <w:t>年</w:t>
            </w:r>
            <w:r>
              <w:rPr>
                <w:rFonts w:hint="eastAsia" w:ascii="宋体" w:hAnsi="宋体" w:eastAsia="宋体" w:cs="宋体"/>
                <w:b w:val="0"/>
                <w:bCs w:val="0"/>
                <w:i w:val="0"/>
                <w:iCs w:val="0"/>
                <w:smallCaps w:val="0"/>
                <w:color w:val="000000"/>
                <w:kern w:val="0"/>
                <w:sz w:val="24"/>
                <w:szCs w:val="24"/>
                <w:lang w:val="en-US" w:eastAsia="zh-CN"/>
              </w:rPr>
              <w:t>内</w:t>
            </w:r>
            <w:r>
              <w:rPr>
                <w:rFonts w:ascii="宋体" w:hAnsi="宋体" w:eastAsia="宋体" w:cs="宋体"/>
                <w:b w:val="0"/>
                <w:bCs w:val="0"/>
                <w:i w:val="0"/>
                <w:iCs w:val="0"/>
                <w:smallCaps w:val="0"/>
                <w:color w:val="000000"/>
                <w:kern w:val="0"/>
                <w:sz w:val="24"/>
                <w:szCs w:val="24"/>
              </w:rPr>
              <w:t>独立完成过1项</w:t>
            </w:r>
            <w:r>
              <w:rPr>
                <w:rFonts w:hint="eastAsia" w:ascii="宋体" w:hAnsi="宋体" w:eastAsia="宋体" w:cs="宋体"/>
                <w:b w:val="0"/>
                <w:bCs w:val="0"/>
                <w:i w:val="0"/>
                <w:iCs w:val="0"/>
                <w:smallCaps w:val="0"/>
                <w:color w:val="000000"/>
                <w:kern w:val="0"/>
                <w:sz w:val="24"/>
                <w:szCs w:val="24"/>
                <w:lang w:val="en-US" w:eastAsia="zh-CN"/>
              </w:rPr>
              <w:t>新建或改扩建二级及以上等级公路的公路的路基施工业绩。</w:t>
            </w:r>
          </w:p>
          <w:p w14:paraId="08CCF12C">
            <w:pPr>
              <w:widowControl/>
              <w:spacing w:before="240" w:line="360" w:lineRule="atLeast"/>
              <w:jc w:val="left"/>
              <w:rPr>
                <w:rFonts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lang w:val="en-US" w:eastAsia="zh-CN"/>
              </w:rPr>
              <w:t>（3）</w:t>
            </w:r>
            <w:r>
              <w:rPr>
                <w:rFonts w:ascii="宋体" w:hAnsi="宋体" w:eastAsia="宋体" w:cs="宋体"/>
                <w:b w:val="0"/>
                <w:bCs w:val="0"/>
                <w:i w:val="0"/>
                <w:iCs w:val="0"/>
                <w:smallCaps w:val="0"/>
                <w:color w:val="000000"/>
                <w:kern w:val="0"/>
                <w:sz w:val="24"/>
                <w:szCs w:val="24"/>
              </w:rPr>
              <w:t>近</w:t>
            </w:r>
            <w:r>
              <w:rPr>
                <w:rFonts w:hint="eastAsia" w:ascii="宋体" w:hAnsi="宋体" w:eastAsia="宋体" w:cs="宋体"/>
                <w:b w:val="0"/>
                <w:bCs w:val="0"/>
                <w:i w:val="0"/>
                <w:iCs w:val="0"/>
                <w:smallCaps w:val="0"/>
                <w:color w:val="000000"/>
                <w:kern w:val="0"/>
                <w:sz w:val="24"/>
                <w:szCs w:val="24"/>
                <w:lang w:val="en-US" w:eastAsia="zh-CN"/>
              </w:rPr>
              <w:t>10</w:t>
            </w:r>
            <w:r>
              <w:rPr>
                <w:rFonts w:ascii="宋体" w:hAnsi="宋体" w:eastAsia="宋体" w:cs="宋体"/>
                <w:b w:val="0"/>
                <w:bCs w:val="0"/>
                <w:i w:val="0"/>
                <w:iCs w:val="0"/>
                <w:smallCaps w:val="0"/>
                <w:color w:val="000000"/>
                <w:kern w:val="0"/>
                <w:sz w:val="24"/>
                <w:szCs w:val="24"/>
              </w:rPr>
              <w:t>年</w:t>
            </w:r>
            <w:r>
              <w:rPr>
                <w:rFonts w:hint="eastAsia" w:ascii="宋体" w:hAnsi="宋体" w:eastAsia="宋体" w:cs="宋体"/>
                <w:b w:val="0"/>
                <w:bCs w:val="0"/>
                <w:i w:val="0"/>
                <w:iCs w:val="0"/>
                <w:smallCaps w:val="0"/>
                <w:color w:val="000000"/>
                <w:kern w:val="0"/>
                <w:sz w:val="24"/>
                <w:szCs w:val="24"/>
                <w:lang w:val="en-US" w:eastAsia="zh-CN"/>
              </w:rPr>
              <w:t>内</w:t>
            </w:r>
            <w:r>
              <w:rPr>
                <w:rFonts w:ascii="宋体" w:hAnsi="宋体" w:eastAsia="宋体" w:cs="宋体"/>
                <w:b w:val="0"/>
                <w:bCs w:val="0"/>
                <w:i w:val="0"/>
                <w:iCs w:val="0"/>
                <w:smallCaps w:val="0"/>
                <w:color w:val="000000"/>
                <w:kern w:val="0"/>
                <w:sz w:val="24"/>
                <w:szCs w:val="24"/>
              </w:rPr>
              <w:t>独立完成过1项</w:t>
            </w:r>
            <w:r>
              <w:rPr>
                <w:rFonts w:hint="eastAsia" w:ascii="宋体" w:hAnsi="宋体" w:eastAsia="宋体" w:cs="宋体"/>
                <w:b w:val="0"/>
                <w:bCs w:val="0"/>
                <w:i w:val="0"/>
                <w:iCs w:val="0"/>
                <w:smallCaps w:val="0"/>
                <w:color w:val="000000"/>
                <w:kern w:val="0"/>
                <w:sz w:val="24"/>
                <w:szCs w:val="24"/>
                <w:lang w:val="en-US" w:eastAsia="zh-CN"/>
              </w:rPr>
              <w:t>新建或改扩建二级及以上等级公路的公路的路面施工业绩。</w:t>
            </w:r>
          </w:p>
        </w:tc>
      </w:tr>
    </w:tbl>
    <w:p w14:paraId="491C528B">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rPr>
        <w:t>注：</w:t>
      </w:r>
    </w:p>
    <w:p w14:paraId="78AE32F0">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rPr>
        <w:t>1、投标人应填报投标文件格式资格审查资料“近年完成的类似项目情况表”，并在本表后附相应证明材料。</w:t>
      </w:r>
    </w:p>
    <w:p w14:paraId="78FDB5D5">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rPr>
        <w:t>2、独立投标人需同时满足附录3中第（1）、（2）</w:t>
      </w:r>
      <w:r>
        <w:rPr>
          <w:rFonts w:hint="eastAsia" w:ascii="宋体" w:hAnsi="宋体" w:eastAsia="宋体" w:cs="宋体"/>
          <w:b w:val="0"/>
          <w:bCs w:val="0"/>
          <w:i w:val="0"/>
          <w:iCs w:val="0"/>
          <w:smallCaps w:val="0"/>
          <w:color w:val="000000"/>
          <w:kern w:val="0"/>
          <w:sz w:val="24"/>
          <w:szCs w:val="24"/>
          <w:lang w:eastAsia="zh-CN"/>
        </w:rPr>
        <w:t>、（</w:t>
      </w:r>
      <w:r>
        <w:rPr>
          <w:rFonts w:hint="eastAsia" w:ascii="宋体" w:hAnsi="宋体" w:eastAsia="宋体" w:cs="宋体"/>
          <w:b w:val="0"/>
          <w:bCs w:val="0"/>
          <w:i w:val="0"/>
          <w:iCs w:val="0"/>
          <w:smallCaps w:val="0"/>
          <w:color w:val="000000"/>
          <w:kern w:val="0"/>
          <w:sz w:val="24"/>
          <w:szCs w:val="24"/>
          <w:lang w:val="en-US" w:eastAsia="zh-CN"/>
        </w:rPr>
        <w:t>3）</w:t>
      </w:r>
      <w:r>
        <w:rPr>
          <w:rFonts w:hint="eastAsia" w:ascii="宋体" w:hAnsi="宋体" w:eastAsia="宋体" w:cs="宋体"/>
          <w:b w:val="0"/>
          <w:bCs w:val="0"/>
          <w:i w:val="0"/>
          <w:iCs w:val="0"/>
          <w:smallCaps w:val="0"/>
          <w:color w:val="000000"/>
          <w:kern w:val="0"/>
          <w:sz w:val="24"/>
          <w:szCs w:val="24"/>
        </w:rPr>
        <w:t>项业绩要求。若某项业绩同时满足业绩最低要求的第（1）、（2）</w:t>
      </w:r>
      <w:r>
        <w:rPr>
          <w:rFonts w:hint="eastAsia" w:ascii="宋体" w:hAnsi="宋体" w:eastAsia="宋体" w:cs="宋体"/>
          <w:b w:val="0"/>
          <w:bCs w:val="0"/>
          <w:i w:val="0"/>
          <w:iCs w:val="0"/>
          <w:smallCaps w:val="0"/>
          <w:color w:val="000000"/>
          <w:kern w:val="0"/>
          <w:sz w:val="24"/>
          <w:szCs w:val="24"/>
          <w:lang w:eastAsia="zh-CN"/>
        </w:rPr>
        <w:t>、（</w:t>
      </w:r>
      <w:r>
        <w:rPr>
          <w:rFonts w:hint="eastAsia" w:ascii="宋体" w:hAnsi="宋体" w:eastAsia="宋体" w:cs="宋体"/>
          <w:b w:val="0"/>
          <w:bCs w:val="0"/>
          <w:i w:val="0"/>
          <w:iCs w:val="0"/>
          <w:smallCaps w:val="0"/>
          <w:color w:val="000000"/>
          <w:kern w:val="0"/>
          <w:sz w:val="24"/>
          <w:szCs w:val="24"/>
          <w:lang w:val="en-US" w:eastAsia="zh-CN"/>
        </w:rPr>
        <w:t>3）要求中的多个</w:t>
      </w:r>
      <w:r>
        <w:rPr>
          <w:rFonts w:hint="eastAsia" w:ascii="宋体" w:hAnsi="宋体" w:eastAsia="宋体" w:cs="宋体"/>
          <w:b w:val="0"/>
          <w:bCs w:val="0"/>
          <w:i w:val="0"/>
          <w:iCs w:val="0"/>
          <w:smallCaps w:val="0"/>
          <w:color w:val="000000"/>
          <w:kern w:val="0"/>
          <w:sz w:val="24"/>
          <w:szCs w:val="24"/>
        </w:rPr>
        <w:t>时，该业绩可分别予以认定。</w:t>
      </w:r>
    </w:p>
    <w:p w14:paraId="4383E930">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rPr>
        <w:t>3、联合体投标的，联合体各方应根据联合体协议书中约定的职责分工满足上表业绩最低要求。承担设计任务的联合体成员应满足上表第1条的要求，联合体中不承担设计任务的其他成员的同类设计业绩不予认定。承担施工任务的联合体成员应满足上表第2</w:t>
      </w:r>
      <w:r>
        <w:rPr>
          <w:rFonts w:hint="eastAsia" w:ascii="宋体" w:hAnsi="宋体" w:eastAsia="宋体" w:cs="宋体"/>
          <w:b w:val="0"/>
          <w:bCs w:val="0"/>
          <w:i w:val="0"/>
          <w:iCs w:val="0"/>
          <w:smallCaps w:val="0"/>
          <w:color w:val="000000"/>
          <w:kern w:val="0"/>
          <w:sz w:val="24"/>
          <w:szCs w:val="24"/>
          <w:lang w:eastAsia="zh-CN"/>
        </w:rPr>
        <w:t>、</w:t>
      </w:r>
      <w:r>
        <w:rPr>
          <w:rFonts w:hint="eastAsia" w:ascii="宋体" w:hAnsi="宋体" w:eastAsia="宋体" w:cs="宋体"/>
          <w:b w:val="0"/>
          <w:bCs w:val="0"/>
          <w:i w:val="0"/>
          <w:iCs w:val="0"/>
          <w:smallCaps w:val="0"/>
          <w:color w:val="000000"/>
          <w:kern w:val="0"/>
          <w:sz w:val="24"/>
          <w:szCs w:val="24"/>
          <w:lang w:val="en-US" w:eastAsia="zh-CN"/>
        </w:rPr>
        <w:t>3</w:t>
      </w:r>
      <w:r>
        <w:rPr>
          <w:rFonts w:hint="eastAsia" w:ascii="宋体" w:hAnsi="宋体" w:eastAsia="宋体" w:cs="宋体"/>
          <w:b w:val="0"/>
          <w:bCs w:val="0"/>
          <w:i w:val="0"/>
          <w:iCs w:val="0"/>
          <w:smallCaps w:val="0"/>
          <w:color w:val="000000"/>
          <w:kern w:val="0"/>
          <w:sz w:val="24"/>
          <w:szCs w:val="24"/>
        </w:rPr>
        <w:t>条要求，联合体中不承担施工任务其他成员的同类施工业绩不予认定。联合体协议书任务分工不能反映上述标准的，不予认定。</w:t>
      </w:r>
    </w:p>
    <w:p w14:paraId="428904A0">
      <w:pPr>
        <w:widowControl/>
        <w:numPr>
          <w:ilvl w:val="0"/>
          <w:numId w:val="0"/>
        </w:numPr>
        <w:spacing w:before="0" w:after="0" w:line="360" w:lineRule="auto"/>
        <w:ind w:firstLine="480" w:firstLineChars="200"/>
        <w:jc w:val="left"/>
        <w:rPr>
          <w:rFonts w:ascii="宋体" w:hAnsi="宋体" w:eastAsia="宋体" w:cs="宋体"/>
          <w:b w:val="0"/>
          <w:bCs w:val="0"/>
          <w:i w:val="0"/>
          <w:iCs w:val="0"/>
          <w:smallCaps w:val="0"/>
          <w:color w:val="000000"/>
          <w:kern w:val="0"/>
          <w:sz w:val="32"/>
          <w:szCs w:val="32"/>
        </w:rPr>
      </w:pPr>
      <w:r>
        <w:rPr>
          <w:rFonts w:hint="eastAsia" w:ascii="宋体" w:hAnsi="宋体" w:eastAsia="宋体" w:cs="宋体"/>
          <w:b w:val="0"/>
          <w:bCs w:val="0"/>
          <w:i w:val="0"/>
          <w:iCs w:val="0"/>
          <w:smallCaps w:val="0"/>
          <w:color w:val="000000"/>
          <w:kern w:val="0"/>
          <w:sz w:val="24"/>
          <w:szCs w:val="24"/>
        </w:rPr>
        <w:t>4、（1）独立投标人独立完成</w:t>
      </w:r>
      <w:r>
        <w:rPr>
          <w:rFonts w:hint="eastAsia" w:ascii="宋体" w:hAnsi="宋体" w:eastAsia="宋体" w:cs="宋体"/>
          <w:b w:val="0"/>
          <w:bCs w:val="0"/>
          <w:i w:val="0"/>
          <w:iCs w:val="0"/>
          <w:smallCaps w:val="0"/>
          <w:color w:val="000000"/>
          <w:kern w:val="0"/>
          <w:sz w:val="24"/>
          <w:szCs w:val="24"/>
          <w:lang w:val="en-US" w:eastAsia="zh-CN"/>
        </w:rPr>
        <w:t>公路</w:t>
      </w:r>
      <w:r>
        <w:rPr>
          <w:rFonts w:hint="eastAsia" w:ascii="宋体" w:hAnsi="宋体" w:eastAsia="宋体" w:cs="宋体"/>
          <w:b w:val="0"/>
          <w:bCs w:val="0"/>
          <w:i w:val="0"/>
          <w:iCs w:val="0"/>
          <w:smallCaps w:val="0"/>
          <w:color w:val="000000"/>
          <w:kern w:val="0"/>
          <w:sz w:val="24"/>
          <w:szCs w:val="24"/>
        </w:rPr>
        <w:t>工程设计或施工任务的，满足上述要求建设规模或技术指标的业绩可予以认定。独立投标人中标</w:t>
      </w:r>
      <w:r>
        <w:rPr>
          <w:rFonts w:hint="eastAsia" w:ascii="宋体" w:hAnsi="宋体" w:eastAsia="宋体" w:cs="宋体"/>
          <w:b w:val="0"/>
          <w:bCs w:val="0"/>
          <w:i w:val="0"/>
          <w:iCs w:val="0"/>
          <w:smallCaps w:val="0"/>
          <w:color w:val="000000"/>
          <w:kern w:val="0"/>
          <w:sz w:val="24"/>
          <w:szCs w:val="24"/>
          <w:lang w:val="en-US" w:eastAsia="zh-CN"/>
        </w:rPr>
        <w:t>公路</w:t>
      </w:r>
      <w:r>
        <w:rPr>
          <w:rFonts w:hint="eastAsia" w:ascii="宋体" w:hAnsi="宋体" w:eastAsia="宋体" w:cs="宋体"/>
          <w:b w:val="0"/>
          <w:bCs w:val="0"/>
          <w:i w:val="0"/>
          <w:iCs w:val="0"/>
          <w:smallCaps w:val="0"/>
          <w:color w:val="000000"/>
          <w:kern w:val="0"/>
          <w:sz w:val="24"/>
          <w:szCs w:val="24"/>
        </w:rPr>
        <w:t>工程设计施工总承包项目（注：设计施工总承包项目同指：EPC项目或勘察设计施工总承包项目或设计施工总承包项目，下同）并承担该项目</w:t>
      </w:r>
      <w:r>
        <w:rPr>
          <w:rFonts w:hint="eastAsia" w:ascii="宋体" w:hAnsi="宋体" w:eastAsia="宋体" w:cs="宋体"/>
          <w:b w:val="0"/>
          <w:bCs w:val="0"/>
          <w:i w:val="0"/>
          <w:iCs w:val="0"/>
          <w:smallCaps w:val="0"/>
          <w:color w:val="000000"/>
          <w:kern w:val="0"/>
          <w:sz w:val="24"/>
          <w:szCs w:val="24"/>
          <w:lang w:val="en-US" w:eastAsia="zh-CN"/>
        </w:rPr>
        <w:t>公路</w:t>
      </w:r>
      <w:r>
        <w:rPr>
          <w:rFonts w:hint="eastAsia" w:ascii="宋体" w:hAnsi="宋体" w:eastAsia="宋体" w:cs="宋体"/>
          <w:b w:val="0"/>
          <w:bCs w:val="0"/>
          <w:i w:val="0"/>
          <w:iCs w:val="0"/>
          <w:smallCaps w:val="0"/>
          <w:color w:val="000000"/>
          <w:kern w:val="0"/>
          <w:sz w:val="24"/>
          <w:szCs w:val="24"/>
        </w:rPr>
        <w:t>工程全部设计或施工任务的，满足上述要求建设规模或技术指标的业绩可予以认定。</w:t>
      </w:r>
    </w:p>
    <w:p w14:paraId="7EA8FBD3">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rPr>
        <w:t>（2）以联合体形式投标的，联合体成员独立完成</w:t>
      </w:r>
      <w:r>
        <w:rPr>
          <w:rFonts w:hint="eastAsia" w:ascii="宋体" w:hAnsi="宋体" w:eastAsia="宋体" w:cs="宋体"/>
          <w:b w:val="0"/>
          <w:bCs w:val="0"/>
          <w:i w:val="0"/>
          <w:iCs w:val="0"/>
          <w:smallCaps w:val="0"/>
          <w:color w:val="000000"/>
          <w:kern w:val="0"/>
          <w:sz w:val="24"/>
          <w:szCs w:val="24"/>
          <w:lang w:val="en-US" w:eastAsia="zh-CN"/>
        </w:rPr>
        <w:t>公路</w:t>
      </w:r>
      <w:r>
        <w:rPr>
          <w:rFonts w:hint="eastAsia" w:ascii="宋体" w:hAnsi="宋体" w:eastAsia="宋体" w:cs="宋体"/>
          <w:b w:val="0"/>
          <w:bCs w:val="0"/>
          <w:i w:val="0"/>
          <w:iCs w:val="0"/>
          <w:smallCaps w:val="0"/>
          <w:color w:val="000000"/>
          <w:kern w:val="0"/>
          <w:sz w:val="24"/>
          <w:szCs w:val="24"/>
        </w:rPr>
        <w:t>工程设计或施工任务的，满足上述要求建设规模或技术指标的业绩可予以认定。承担设计任务的联合体成员提供的</w:t>
      </w:r>
      <w:r>
        <w:rPr>
          <w:rFonts w:hint="eastAsia" w:ascii="宋体" w:hAnsi="宋体" w:eastAsia="宋体" w:cs="宋体"/>
          <w:b w:val="0"/>
          <w:bCs w:val="0"/>
          <w:i w:val="0"/>
          <w:iCs w:val="0"/>
          <w:smallCaps w:val="0"/>
          <w:color w:val="000000"/>
          <w:kern w:val="0"/>
          <w:sz w:val="24"/>
          <w:szCs w:val="24"/>
          <w:lang w:val="en-US" w:eastAsia="zh-CN"/>
        </w:rPr>
        <w:t>公路</w:t>
      </w:r>
      <w:r>
        <w:rPr>
          <w:rFonts w:hint="eastAsia" w:ascii="宋体" w:hAnsi="宋体" w:eastAsia="宋体" w:cs="宋体"/>
          <w:b w:val="0"/>
          <w:bCs w:val="0"/>
          <w:i w:val="0"/>
          <w:iCs w:val="0"/>
          <w:smallCaps w:val="0"/>
          <w:color w:val="000000"/>
          <w:kern w:val="0"/>
          <w:sz w:val="24"/>
          <w:szCs w:val="24"/>
        </w:rPr>
        <w:t>工程设计施工总承包项目业绩是以联合体形式完成的，并承担了所提供的业绩中全部设计任务的，满足上述要求建设规模或技术指标的设计业绩可予以认定。承担施工任务的联合体成员提供的设计施工总承包项目业绩是以联合体形式完成的，并承担了所提供的业绩中的全部施工任务的，满足上述要求建设规模或技术指标的施工业绩可予以认定。</w:t>
      </w:r>
    </w:p>
    <w:p w14:paraId="4A148F35">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rPr>
        <w:t>5、同一标段</w:t>
      </w:r>
      <w:r>
        <w:rPr>
          <w:rFonts w:hint="eastAsia" w:ascii="宋体" w:hAnsi="宋体" w:eastAsia="宋体" w:cs="宋体"/>
          <w:b w:val="0"/>
          <w:bCs w:val="0"/>
          <w:i w:val="0"/>
          <w:iCs w:val="0"/>
          <w:smallCaps w:val="0"/>
          <w:color w:val="000000"/>
          <w:kern w:val="0"/>
          <w:sz w:val="24"/>
          <w:szCs w:val="24"/>
          <w:lang w:val="en-US" w:eastAsia="zh-CN"/>
        </w:rPr>
        <w:t>公路</w:t>
      </w:r>
      <w:r>
        <w:rPr>
          <w:rFonts w:hint="eastAsia" w:ascii="宋体" w:hAnsi="宋体" w:eastAsia="宋体" w:cs="宋体"/>
          <w:b w:val="0"/>
          <w:bCs w:val="0"/>
          <w:i w:val="0"/>
          <w:iCs w:val="0"/>
          <w:smallCaps w:val="0"/>
          <w:color w:val="000000"/>
          <w:kern w:val="0"/>
          <w:sz w:val="24"/>
          <w:szCs w:val="24"/>
        </w:rPr>
        <w:t>工程设计项目,由两家及以上设计单位组成联合体中标实施的,该</w:t>
      </w:r>
      <w:r>
        <w:rPr>
          <w:rFonts w:hint="eastAsia" w:ascii="宋体" w:hAnsi="宋体" w:eastAsia="宋体" w:cs="宋体"/>
          <w:b w:val="0"/>
          <w:bCs w:val="0"/>
          <w:i w:val="0"/>
          <w:iCs w:val="0"/>
          <w:smallCaps w:val="0"/>
          <w:color w:val="000000"/>
          <w:kern w:val="0"/>
          <w:sz w:val="24"/>
          <w:szCs w:val="24"/>
          <w:lang w:val="en-US" w:eastAsia="zh-CN"/>
        </w:rPr>
        <w:t>公路</w:t>
      </w:r>
      <w:r>
        <w:rPr>
          <w:rFonts w:hint="eastAsia" w:ascii="宋体" w:hAnsi="宋体" w:eastAsia="宋体" w:cs="宋体"/>
          <w:b w:val="0"/>
          <w:bCs w:val="0"/>
          <w:i w:val="0"/>
          <w:iCs w:val="0"/>
          <w:smallCaps w:val="0"/>
          <w:color w:val="000000"/>
          <w:kern w:val="0"/>
          <w:sz w:val="24"/>
          <w:szCs w:val="24"/>
        </w:rPr>
        <w:t>工程设计业绩不予认可；同一标段工程施工项目,由两家及以上施工单位组成联合体中标实施的,该工程施工业绩不予认可。</w:t>
      </w:r>
    </w:p>
    <w:p w14:paraId="4130BEC0">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rPr>
        <w:t>6、投标人在中国境外完成的业绩视为不满足上述业绩最低要求。</w:t>
      </w:r>
    </w:p>
    <w:p w14:paraId="45CF6ACF">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rPr>
        <w:t>7、任何形式的工程分包业绩均不予认可。</w:t>
      </w:r>
    </w:p>
    <w:p w14:paraId="3364CF25">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rPr>
        <w:t>8、业绩证明材料要求：</w:t>
      </w:r>
    </w:p>
    <w:p w14:paraId="660452C8">
      <w:pPr>
        <w:widowControl/>
        <w:numPr>
          <w:ilvl w:val="0"/>
          <w:numId w:val="0"/>
        </w:numPr>
        <w:spacing w:line="360" w:lineRule="auto"/>
        <w:ind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第1项业绩证明材料要求：以交通运输部“全国公路建设市场监督管理系统”审核通过的为准，投标文件中直接附系统截屏资料(投标人应以非注册用户身份查询，以注册用户登录后查询的截屏资料不予认可)；截屏资料的内容必须完全反映业绩最低要求的建设规模、建设内容或技术指标，否则该条业绩视为不满足上述业绩最低要求。业绩认定时间以施工图设计批复时间为准。</w:t>
      </w:r>
    </w:p>
    <w:p w14:paraId="5FD5D4C2">
      <w:pPr>
        <w:widowControl/>
        <w:numPr>
          <w:ilvl w:val="0"/>
          <w:numId w:val="0"/>
        </w:numPr>
        <w:spacing w:line="360" w:lineRule="auto"/>
        <w:ind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第2、3项业绩证明材料要求：以在交通运输部“全国公路建设市场监督管理系统”审核通过的为准，投标文件中直接附网页截图(投标人应以非注册用户身份查询，以注册用户登录后查询的截屏资料不予认可)；截屏资料的内容必须完全反映业绩最低要求的建设规模、建设内容或技术指标，否则该条业绩视为不满足上述业绩最低要求。业绩认定时间以交工日期为准。</w:t>
      </w:r>
    </w:p>
    <w:p w14:paraId="48DB83D5">
      <w:pPr>
        <w:widowControl/>
        <w:numPr>
          <w:ilvl w:val="0"/>
          <w:numId w:val="0"/>
        </w:numPr>
        <w:spacing w:line="360" w:lineRule="auto"/>
        <w:ind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（3）业绩证明材料具体示例详见第九章 投标文件格式 投标文件（商务及技术文件） 八、资格审查资料 （四）近年完成的类似项目情况表 类似项目业绩（企业）网页截图示例。</w:t>
      </w:r>
    </w:p>
    <w:p w14:paraId="724B3071">
      <w:pPr>
        <w:widowControl/>
        <w:numPr>
          <w:ilvl w:val="0"/>
          <w:numId w:val="0"/>
        </w:numPr>
        <w:spacing w:line="360" w:lineRule="auto"/>
        <w:ind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9、投标人的施工业绩中里程的认定标准不扣除桥涵和隧道长度。</w:t>
      </w:r>
    </w:p>
    <w:p w14:paraId="20AE1B21">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lang w:val="en-US" w:eastAsia="zh-CN"/>
        </w:rPr>
        <w:t>10</w:t>
      </w:r>
      <w:r>
        <w:rPr>
          <w:rFonts w:hint="eastAsia" w:ascii="宋体" w:hAnsi="宋体" w:eastAsia="宋体" w:cs="宋体"/>
          <w:b w:val="0"/>
          <w:bCs w:val="0"/>
          <w:i w:val="0"/>
          <w:iCs w:val="0"/>
          <w:smallCaps w:val="0"/>
          <w:color w:val="000000"/>
          <w:kern w:val="0"/>
          <w:sz w:val="24"/>
          <w:szCs w:val="24"/>
        </w:rPr>
        <w:t>、如近年来，投标人法人机构发生合法变更或重组或法人名称变更时，应提供相关部门的合法批件及其他相关证明材料来证明其所附业绩的继承性。在对投标人进行业绩审查时，如果投标人是由若干直接被管理的子公司组成的母公司，其业绩仅按以其名义签署的合同计算，其直接管理的子公司业绩均不予考虑。如果投标人是某一母公司直接管理的子公司，其业绩亦不能以其母公司的名义计算。</w:t>
      </w:r>
    </w:p>
    <w:p w14:paraId="79A37FE8">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lang w:val="en-US" w:eastAsia="zh-CN"/>
        </w:rPr>
        <w:t>11</w:t>
      </w:r>
      <w:r>
        <w:rPr>
          <w:rFonts w:hint="eastAsia" w:ascii="宋体" w:hAnsi="宋体" w:eastAsia="宋体" w:cs="宋体"/>
          <w:b w:val="0"/>
          <w:bCs w:val="0"/>
          <w:i w:val="0"/>
          <w:iCs w:val="0"/>
          <w:smallCaps w:val="0"/>
          <w:color w:val="000000"/>
          <w:kern w:val="0"/>
          <w:sz w:val="24"/>
          <w:szCs w:val="24"/>
        </w:rPr>
        <w:t>、投标人填报的“近年完成的类似项目情况表” 内容与证明材料内容不一致的，以证明材料内容为准，投标人填写的表格内容与证明材料内容不一致不属于重大偏差。</w:t>
      </w:r>
    </w:p>
    <w:p w14:paraId="79F33637">
      <w:pPr>
        <w:ind w:firstLine="480" w:firstLineChars="200"/>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lang w:val="en-US" w:eastAsia="zh-CN"/>
        </w:rPr>
        <w:t>12</w:t>
      </w:r>
      <w:r>
        <w:rPr>
          <w:rFonts w:hint="eastAsia" w:ascii="宋体" w:hAnsi="宋体" w:eastAsia="宋体" w:cs="宋体"/>
          <w:b w:val="0"/>
          <w:bCs w:val="0"/>
          <w:i w:val="0"/>
          <w:iCs w:val="0"/>
          <w:smallCaps w:val="0"/>
          <w:color w:val="000000"/>
          <w:kern w:val="0"/>
          <w:sz w:val="24"/>
          <w:szCs w:val="24"/>
        </w:rPr>
        <w:t>、上述要求与投标文件格式资格审查资料“近年完成的类似项目情况表”注的内容不一致的，以上述要求为准。</w:t>
      </w:r>
    </w:p>
    <w:p w14:paraId="357E07D7">
      <w:pPr>
        <w:ind w:firstLine="480" w:firstLineChars="200"/>
        <w:rPr>
          <w:rFonts w:hint="eastAsia" w:ascii="宋体" w:hAnsi="宋体" w:eastAsia="宋体" w:cs="宋体"/>
          <w:b w:val="0"/>
          <w:bCs w:val="0"/>
          <w:i w:val="0"/>
          <w:iCs w:val="0"/>
          <w:smallCaps w:val="0"/>
          <w:color w:val="000000"/>
          <w:kern w:val="0"/>
          <w:sz w:val="24"/>
          <w:szCs w:val="24"/>
        </w:rPr>
      </w:pPr>
    </w:p>
    <w:p w14:paraId="7AFCECF0">
      <w:pPr>
        <w:widowControl/>
        <w:spacing w:before="120" w:after="120" w:line="360" w:lineRule="atLeast"/>
        <w:ind w:left="0" w:right="0"/>
        <w:jc w:val="center"/>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附录</w:t>
      </w:r>
      <w:r>
        <w:rPr>
          <w:rFonts w:hint="eastAsia" w:ascii="宋体" w:hAnsi="宋体" w:eastAsia="宋体" w:cs="宋体"/>
          <w:b w:val="0"/>
          <w:bCs w:val="0"/>
          <w:i w:val="0"/>
          <w:iCs w:val="0"/>
          <w:smallCaps w:val="0"/>
          <w:color w:val="000000"/>
          <w:kern w:val="0"/>
          <w:sz w:val="32"/>
          <w:szCs w:val="32"/>
          <w:lang w:val="en-US" w:eastAsia="zh-CN"/>
        </w:rPr>
        <w:t>3</w:t>
      </w:r>
      <w:r>
        <w:rPr>
          <w:rFonts w:ascii="宋体" w:hAnsi="宋体" w:eastAsia="宋体" w:cs="宋体"/>
          <w:b w:val="0"/>
          <w:bCs w:val="0"/>
          <w:i w:val="0"/>
          <w:iCs w:val="0"/>
          <w:smallCaps w:val="0"/>
          <w:color w:val="000000"/>
          <w:kern w:val="0"/>
          <w:sz w:val="32"/>
          <w:szCs w:val="32"/>
        </w:rPr>
        <w:t xml:space="preserve"> 资格审查条件（信誉最低要求）</w:t>
      </w:r>
    </w:p>
    <w:tbl>
      <w:tblPr>
        <w:tblStyle w:val="17"/>
        <w:tblW w:w="5000" w:type="pct"/>
        <w:tblCellSpacing w:w="15" w:type="dxa"/>
        <w:tblInd w:w="0" w:type="dxa"/>
        <w:tblLayout w:type="fixed"/>
        <w:tblCellMar>
          <w:top w:w="15" w:type="dxa"/>
          <w:left w:w="15" w:type="dxa"/>
          <w:bottom w:w="15" w:type="dxa"/>
          <w:right w:w="15" w:type="dxa"/>
        </w:tblCellMar>
      </w:tblPr>
      <w:tblGrid>
        <w:gridCol w:w="1987"/>
        <w:gridCol w:w="6639"/>
      </w:tblGrid>
      <w:tr w14:paraId="6643C236">
        <w:trPr>
          <w:cantSplit/>
          <w:trHeight w:val="375" w:hRule="atLeast"/>
          <w:tblCellSpacing w:w="15" w:type="dxa"/>
        </w:trPr>
        <w:tc>
          <w:tcPr>
            <w:tcW w:w="1500" w:type="dxa"/>
            <w:tcBorders>
              <w:top w:val="single" w:color="000000" w:sz="6" w:space="0"/>
              <w:left w:val="single" w:color="000000" w:sz="6" w:space="0"/>
              <w:bottom w:val="single" w:color="000000" w:sz="6" w:space="0"/>
              <w:right w:val="single" w:color="000000" w:sz="6" w:space="0"/>
            </w:tcBorders>
            <w:noWrap w:val="0"/>
            <w:tcMar>
              <w:top w:w="8" w:type="dxa"/>
              <w:left w:w="112" w:type="dxa"/>
              <w:bottom w:w="8" w:type="dxa"/>
              <w:right w:w="112" w:type="dxa"/>
            </w:tcMar>
            <w:vAlign w:val="center"/>
          </w:tcPr>
          <w:p w14:paraId="070FC8FF">
            <w:pPr>
              <w:widowControl/>
              <w:spacing w:line="360" w:lineRule="atLeast"/>
              <w:jc w:val="center"/>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标段</w:t>
            </w:r>
          </w:p>
        </w:tc>
        <w:tc>
          <w:tcPr>
            <w:tcW w:w="5092" w:type="dxa"/>
            <w:tcBorders>
              <w:top w:val="single" w:color="000000" w:sz="6" w:space="0"/>
              <w:bottom w:val="single" w:color="000000" w:sz="6" w:space="0"/>
              <w:right w:val="single" w:color="000000" w:sz="6" w:space="0"/>
            </w:tcBorders>
            <w:noWrap w:val="0"/>
            <w:tcMar>
              <w:top w:w="8" w:type="dxa"/>
              <w:left w:w="105" w:type="dxa"/>
              <w:bottom w:w="8" w:type="dxa"/>
              <w:right w:w="112" w:type="dxa"/>
            </w:tcMar>
            <w:vAlign w:val="center"/>
          </w:tcPr>
          <w:p w14:paraId="6579AAF8">
            <w:pPr>
              <w:widowControl/>
              <w:spacing w:line="360" w:lineRule="atLeast"/>
              <w:jc w:val="center"/>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highlight w:val="none"/>
              </w:rPr>
              <w:t>信誉最低要求</w:t>
            </w:r>
          </w:p>
        </w:tc>
      </w:tr>
      <w:tr w14:paraId="01829D4C">
        <w:tblPrEx>
          <w:tblCellMar>
            <w:top w:w="15" w:type="dxa"/>
            <w:left w:w="15" w:type="dxa"/>
            <w:bottom w:w="15" w:type="dxa"/>
            <w:right w:w="15" w:type="dxa"/>
          </w:tblCellMar>
        </w:tblPrEx>
        <w:trPr>
          <w:cantSplit/>
          <w:trHeight w:val="5340" w:hRule="atLeast"/>
          <w:tblCellSpacing w:w="15" w:type="dxa"/>
        </w:trPr>
        <w:tc>
          <w:tcPr>
            <w:tcW w:w="1500" w:type="dxa"/>
            <w:tcBorders>
              <w:left w:val="single" w:color="000000" w:sz="6" w:space="0"/>
              <w:bottom w:val="single" w:color="000000" w:sz="6" w:space="0"/>
              <w:right w:val="single" w:color="000000" w:sz="6" w:space="0"/>
            </w:tcBorders>
            <w:noWrap w:val="0"/>
            <w:tcMar>
              <w:top w:w="0" w:type="dxa"/>
              <w:left w:w="112" w:type="dxa"/>
              <w:bottom w:w="8" w:type="dxa"/>
              <w:right w:w="112" w:type="dxa"/>
            </w:tcMar>
            <w:vAlign w:val="center"/>
          </w:tcPr>
          <w:p w14:paraId="10BFFFB8">
            <w:pPr>
              <w:widowControl/>
              <w:spacing w:line="360" w:lineRule="atLeast"/>
              <w:jc w:val="center"/>
              <w:rPr>
                <w:rFonts w:ascii="宋体" w:hAnsi="宋体" w:eastAsia="宋体" w:cs="宋体"/>
                <w:b w:val="0"/>
                <w:bCs w:val="0"/>
                <w:i w:val="0"/>
                <w:iCs w:val="0"/>
                <w:smallCaps w:val="0"/>
                <w:color w:val="000000"/>
                <w:kern w:val="0"/>
                <w:sz w:val="24"/>
                <w:szCs w:val="24"/>
              </w:rPr>
            </w:pPr>
            <w:r>
              <w:rPr>
                <w:rFonts w:hint="eastAsia" w:ascii="宋体" w:hAnsi="宋体" w:cs="宋体"/>
                <w:b w:val="0"/>
                <w:bCs w:val="0"/>
                <w:i w:val="0"/>
                <w:iCs w:val="0"/>
                <w:smallCaps w:val="0"/>
                <w:color w:val="000000"/>
                <w:kern w:val="0"/>
                <w:sz w:val="24"/>
                <w:szCs w:val="24"/>
                <w:lang w:val="en-US" w:eastAsia="zh-CN"/>
              </w:rPr>
              <w:t>GTEPC</w:t>
            </w:r>
            <w:r>
              <w:rPr>
                <w:rFonts w:ascii="宋体" w:hAnsi="宋体" w:eastAsia="宋体" w:cs="宋体"/>
                <w:b w:val="0"/>
                <w:bCs w:val="0"/>
                <w:i w:val="0"/>
                <w:iCs w:val="0"/>
                <w:smallCaps w:val="0"/>
                <w:color w:val="000000"/>
                <w:kern w:val="0"/>
                <w:sz w:val="24"/>
                <w:szCs w:val="24"/>
              </w:rPr>
              <w:t>-1</w:t>
            </w:r>
          </w:p>
        </w:tc>
        <w:tc>
          <w:tcPr>
            <w:tcW w:w="5092" w:type="dxa"/>
            <w:tcBorders>
              <w:bottom w:val="single" w:color="000000" w:sz="6" w:space="0"/>
              <w:right w:val="single" w:color="000000" w:sz="6" w:space="0"/>
            </w:tcBorders>
            <w:noWrap w:val="0"/>
            <w:tcMar>
              <w:top w:w="0" w:type="dxa"/>
              <w:left w:w="105" w:type="dxa"/>
              <w:bottom w:w="8" w:type="dxa"/>
              <w:right w:w="112" w:type="dxa"/>
            </w:tcMar>
            <w:vAlign w:val="center"/>
          </w:tcPr>
          <w:p w14:paraId="2E0EF7C8">
            <w:pPr>
              <w:widowControl/>
              <w:spacing w:after="24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同时具备：</w:t>
            </w:r>
          </w:p>
          <w:p w14:paraId="7E2A9BA3">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（1）投标人没有处于被责令停业状态，暂扣或吊销营业执照，或吊销资质证书，或吊销安全生产许可证</w:t>
            </w:r>
            <w:r>
              <w:rPr>
                <w:rFonts w:hint="eastAsia" w:ascii="宋体" w:hAnsi="宋体" w:eastAsia="宋体" w:cs="宋体"/>
                <w:b w:val="0"/>
                <w:bCs w:val="0"/>
                <w:i w:val="0"/>
                <w:iCs w:val="0"/>
                <w:smallCaps w:val="0"/>
                <w:color w:val="000000"/>
                <w:kern w:val="0"/>
                <w:sz w:val="24"/>
                <w:szCs w:val="24"/>
                <w:lang w:eastAsia="zh-CN"/>
              </w:rPr>
              <w:t>；</w:t>
            </w:r>
          </w:p>
          <w:p w14:paraId="57DA366F">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（2）投标人没有处于财产被接管或进入清算程序，或被宣告破产，或其他丧失履约能力的情形</w:t>
            </w:r>
            <w:r>
              <w:rPr>
                <w:rFonts w:hint="eastAsia" w:ascii="宋体" w:hAnsi="宋体" w:eastAsia="宋体" w:cs="宋体"/>
                <w:b w:val="0"/>
                <w:bCs w:val="0"/>
                <w:i w:val="0"/>
                <w:iCs w:val="0"/>
                <w:smallCaps w:val="0"/>
                <w:color w:val="000000"/>
                <w:kern w:val="0"/>
                <w:sz w:val="24"/>
                <w:szCs w:val="24"/>
                <w:lang w:eastAsia="zh-CN"/>
              </w:rPr>
              <w:t>；</w:t>
            </w:r>
          </w:p>
          <w:p w14:paraId="14566C68">
            <w:pPr>
              <w:widowControl/>
              <w:spacing w:before="240" w:after="240" w:line="360" w:lineRule="atLeast"/>
              <w:jc w:val="left"/>
              <w:rPr>
                <w:rFonts w:ascii="宋体" w:hAnsi="宋体" w:eastAsia="宋体" w:cs="宋体"/>
                <w:color w:val="000000"/>
                <w:kern w:val="0"/>
                <w:sz w:val="24"/>
                <w:szCs w:val="24"/>
              </w:rPr>
            </w:pPr>
            <w:r>
              <w:rPr>
                <w:rFonts w:ascii="宋体" w:hAnsi="宋体" w:eastAsia="宋体" w:cs="宋体"/>
                <w:b w:val="0"/>
                <w:bCs w:val="0"/>
                <w:i w:val="0"/>
                <w:iCs w:val="0"/>
                <w:smallCaps w:val="0"/>
                <w:color w:val="000000"/>
                <w:kern w:val="0"/>
                <w:sz w:val="24"/>
                <w:szCs w:val="24"/>
              </w:rPr>
              <w:t>（3）</w:t>
            </w:r>
            <w:r>
              <w:rPr>
                <w:rFonts w:ascii="宋体" w:hAnsi="宋体" w:eastAsia="宋体" w:cs="宋体"/>
                <w:color w:val="000000"/>
                <w:kern w:val="0"/>
                <w:sz w:val="24"/>
                <w:szCs w:val="24"/>
              </w:rPr>
              <w:t>投标人没有被交通运输主管部门或其他有权作出处罚的部门作出取消在湖北省交通建设市场投标资格或禁止进入湖北公路建设市场的处罚且处于有效期内；</w:t>
            </w:r>
          </w:p>
          <w:p w14:paraId="41BA513D">
            <w:pPr>
              <w:widowControl/>
              <w:spacing w:before="240" w:after="240" w:line="360" w:lineRule="atLeast"/>
              <w:jc w:val="left"/>
              <w:rPr>
                <w:rFonts w:ascii="Times New Roman" w:hAnsi="Times New Roman"/>
                <w:sz w:val="24"/>
                <w:szCs w:val="24"/>
              </w:rPr>
            </w:pPr>
            <w:r>
              <w:rPr>
                <w:rFonts w:hint="default" w:ascii="宋体" w:hAnsi="宋体" w:eastAsia="宋体" w:cs="宋体"/>
                <w:color w:val="000000"/>
                <w:kern w:val="0"/>
                <w:sz w:val="24"/>
                <w:szCs w:val="24"/>
                <w:lang w:eastAsia="zh-CN"/>
              </w:rPr>
              <w:t>（</w:t>
            </w:r>
            <w:r>
              <w:rPr>
                <w:rFonts w:hint="default" w:ascii="宋体" w:hAnsi="宋体" w:eastAsia="宋体" w:cs="宋体"/>
                <w:color w:val="000000"/>
                <w:kern w:val="0"/>
                <w:sz w:val="24"/>
                <w:szCs w:val="24"/>
                <w:lang w:val="en-US" w:eastAsia="zh-CN"/>
              </w:rPr>
              <w:t>4）</w:t>
            </w:r>
            <w:r>
              <w:rPr>
                <w:rFonts w:ascii="Times New Roman" w:hAnsi="Times New Roman"/>
                <w:sz w:val="24"/>
                <w:szCs w:val="24"/>
              </w:rPr>
              <w:t>独立投标人或承担勘察设计工作的联合体成员在交通运输部《202</w:t>
            </w:r>
            <w:r>
              <w:rPr>
                <w:rFonts w:hint="eastAsia" w:ascii="Times New Roman" w:hAnsi="Times New Roman"/>
                <w:sz w:val="24"/>
                <w:szCs w:val="24"/>
                <w:lang w:val="en-US" w:eastAsia="zh-CN"/>
              </w:rPr>
              <w:t>4</w:t>
            </w:r>
            <w:r>
              <w:rPr>
                <w:rFonts w:ascii="Times New Roman" w:hAnsi="Times New Roman"/>
                <w:sz w:val="24"/>
                <w:szCs w:val="24"/>
              </w:rPr>
              <w:t>年度公路设计企业全国综合信用评价结果》</w:t>
            </w:r>
            <w:r>
              <w:rPr>
                <w:rFonts w:hint="eastAsia" w:ascii="Times New Roman" w:hAnsi="Times New Roman"/>
                <w:sz w:val="24"/>
                <w:szCs w:val="24"/>
              </w:rPr>
              <w:t>或</w:t>
            </w:r>
            <w:r>
              <w:rPr>
                <w:rFonts w:ascii="Times New Roman" w:hAnsi="Times New Roman"/>
                <w:sz w:val="24"/>
                <w:szCs w:val="24"/>
              </w:rPr>
              <w:t>湖北省交通运输厅</w:t>
            </w:r>
            <w:r>
              <w:rPr>
                <w:rFonts w:ascii="Times New Roman" w:hAnsi="Times New Roman"/>
                <w:sz w:val="24"/>
                <w:szCs w:val="24"/>
                <w:highlight w:val="none"/>
              </w:rPr>
              <w:t>《</w:t>
            </w:r>
            <w:r>
              <w:rPr>
                <w:rFonts w:hint="eastAsia" w:ascii="Times New Roman" w:hAnsi="Times New Roman"/>
                <w:sz w:val="24"/>
                <w:szCs w:val="24"/>
                <w:highlight w:val="none"/>
              </w:rPr>
              <w:t>202</w:t>
            </w:r>
            <w:r>
              <w:rPr>
                <w:rFonts w:hint="eastAsia" w:ascii="Times New Roman" w:hAnsi="Times New Roman"/>
                <w:sz w:val="24"/>
                <w:szCs w:val="24"/>
                <w:highlight w:val="none"/>
                <w:lang w:val="en-US" w:eastAsia="zh-CN"/>
              </w:rPr>
              <w:t>5</w:t>
            </w:r>
            <w:r>
              <w:rPr>
                <w:rFonts w:hint="eastAsia" w:ascii="Times New Roman" w:hAnsi="Times New Roman"/>
                <w:sz w:val="24"/>
                <w:szCs w:val="24"/>
                <w:highlight w:val="none"/>
              </w:rPr>
              <w:t>年度湖北省公路建设市场设计企业信用评价</w:t>
            </w:r>
            <w:r>
              <w:rPr>
                <w:rFonts w:ascii="Times New Roman" w:hAnsi="Times New Roman"/>
                <w:sz w:val="24"/>
                <w:szCs w:val="24"/>
                <w:highlight w:val="none"/>
              </w:rPr>
              <w:t>结果</w:t>
            </w:r>
            <w:r>
              <w:rPr>
                <w:rFonts w:ascii="Times New Roman" w:hAnsi="Times New Roman"/>
                <w:sz w:val="24"/>
                <w:szCs w:val="24"/>
              </w:rPr>
              <w:t>》中，信用等级未被评定为D；</w:t>
            </w:r>
          </w:p>
          <w:p w14:paraId="2E7BCAD5">
            <w:pPr>
              <w:widowControl/>
              <w:spacing w:before="240" w:after="240" w:line="360" w:lineRule="atLeast"/>
              <w:jc w:val="left"/>
              <w:rPr>
                <w:rFonts w:ascii="Times New Roman" w:hAnsi="Times New Roman"/>
                <w:sz w:val="24"/>
                <w:szCs w:val="24"/>
              </w:rPr>
            </w:pPr>
            <w:r>
              <w:rPr>
                <w:rFonts w:hint="eastAsia" w:ascii="Times New Roman" w:hAnsi="Times New Roman" w:eastAsia="宋体"/>
                <w:sz w:val="24"/>
                <w:szCs w:val="24"/>
                <w:lang w:eastAsia="zh-CN"/>
              </w:rPr>
              <w:t>（</w:t>
            </w:r>
            <w:r>
              <w:rPr>
                <w:rFonts w:hint="eastAsia" w:ascii="Times New Roman" w:hAnsi="Times New Roman" w:eastAsia="宋体"/>
                <w:sz w:val="24"/>
                <w:szCs w:val="24"/>
                <w:lang w:val="en-US" w:eastAsia="zh-CN"/>
              </w:rPr>
              <w:t>5）</w:t>
            </w:r>
            <w:r>
              <w:rPr>
                <w:rFonts w:ascii="Times New Roman" w:hAnsi="Times New Roman"/>
                <w:sz w:val="24"/>
                <w:szCs w:val="24"/>
              </w:rPr>
              <w:t>独立投标人或承担施工工作的联合体成员在交通运输部《202</w:t>
            </w:r>
            <w:r>
              <w:rPr>
                <w:rFonts w:hint="eastAsia" w:ascii="Times New Roman" w:hAnsi="Times New Roman"/>
                <w:sz w:val="24"/>
                <w:szCs w:val="24"/>
                <w:lang w:val="en-US" w:eastAsia="zh-CN"/>
              </w:rPr>
              <w:t>4</w:t>
            </w:r>
            <w:r>
              <w:rPr>
                <w:rFonts w:ascii="Times New Roman" w:hAnsi="Times New Roman"/>
                <w:sz w:val="24"/>
                <w:szCs w:val="24"/>
              </w:rPr>
              <w:t>年度公路施工企业全国综合信用评价结果》</w:t>
            </w:r>
            <w:r>
              <w:rPr>
                <w:rFonts w:hint="eastAsia" w:ascii="Times New Roman" w:hAnsi="Times New Roman"/>
                <w:sz w:val="24"/>
                <w:szCs w:val="24"/>
              </w:rPr>
              <w:t>或在</w:t>
            </w:r>
            <w:r>
              <w:rPr>
                <w:rFonts w:ascii="Times New Roman" w:hAnsi="Times New Roman"/>
                <w:sz w:val="24"/>
                <w:szCs w:val="24"/>
              </w:rPr>
              <w:t>湖北省交通运输厅《</w:t>
            </w:r>
            <w:r>
              <w:rPr>
                <w:rFonts w:hint="eastAsia" w:ascii="Times New Roman" w:hAnsi="Times New Roman"/>
                <w:sz w:val="24"/>
                <w:szCs w:val="24"/>
              </w:rPr>
              <w:t>湖北省2024年度普通公路施工企业</w:t>
            </w:r>
            <w:r>
              <w:rPr>
                <w:rFonts w:ascii="Times New Roman" w:hAnsi="Times New Roman"/>
                <w:sz w:val="24"/>
                <w:szCs w:val="24"/>
              </w:rPr>
              <w:t>信用评价结果》中，信用等级未被评定为D；</w:t>
            </w:r>
          </w:p>
          <w:p w14:paraId="31910BF9">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w:t>
            </w:r>
            <w:r>
              <w:rPr>
                <w:rFonts w:hint="eastAsia" w:ascii="宋体" w:hAnsi="宋体" w:eastAsia="宋体" w:cs="宋体"/>
                <w:b w:val="0"/>
                <w:bCs w:val="0"/>
                <w:i w:val="0"/>
                <w:iCs w:val="0"/>
                <w:smallCaps w:val="0"/>
                <w:color w:val="000000"/>
                <w:kern w:val="0"/>
                <w:sz w:val="24"/>
                <w:szCs w:val="24"/>
                <w:lang w:val="en-US" w:eastAsia="zh-CN"/>
              </w:rPr>
              <w:t>6</w:t>
            </w:r>
            <w:r>
              <w:rPr>
                <w:rFonts w:ascii="宋体" w:hAnsi="宋体" w:eastAsia="宋体" w:cs="宋体"/>
                <w:b w:val="0"/>
                <w:bCs w:val="0"/>
                <w:i w:val="0"/>
                <w:iCs w:val="0"/>
                <w:smallCaps w:val="0"/>
                <w:color w:val="000000"/>
                <w:kern w:val="0"/>
                <w:sz w:val="24"/>
                <w:szCs w:val="24"/>
              </w:rPr>
              <w:t>）投标人不得存在下列不良状况或不良信用记录：</w:t>
            </w:r>
          </w:p>
          <w:p w14:paraId="79F6F3DE">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ascii="Times New Roman" w:hAnsi="Times New Roman" w:eastAsia="Times New Roman"/>
                <w:b w:val="0"/>
                <w:bCs w:val="0"/>
                <w:i w:val="0"/>
                <w:iCs w:val="0"/>
                <w:smallCaps w:val="0"/>
                <w:color w:val="000000"/>
                <w:kern w:val="0"/>
                <w:sz w:val="24"/>
                <w:szCs w:val="24"/>
              </w:rPr>
              <w:t>①</w:t>
            </w:r>
            <w:r>
              <w:rPr>
                <w:rFonts w:ascii="宋体" w:hAnsi="宋体" w:eastAsia="宋体" w:cs="宋体"/>
                <w:b w:val="0"/>
                <w:bCs w:val="0"/>
                <w:i w:val="0"/>
                <w:iCs w:val="0"/>
                <w:smallCaps w:val="0"/>
                <w:color w:val="000000"/>
                <w:kern w:val="0"/>
                <w:sz w:val="24"/>
                <w:szCs w:val="24"/>
              </w:rPr>
              <w:t>在国家企业信用信息公示系统(http://www.gsxt.gov.cn/)中被列入严重违法失信企业名单的；</w:t>
            </w:r>
          </w:p>
          <w:p w14:paraId="291828EA">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ascii="Times New Roman" w:hAnsi="Times New Roman" w:eastAsia="Times New Roman"/>
                <w:b w:val="0"/>
                <w:bCs w:val="0"/>
                <w:i w:val="0"/>
                <w:iCs w:val="0"/>
                <w:smallCaps w:val="0"/>
                <w:color w:val="000000"/>
                <w:kern w:val="0"/>
                <w:sz w:val="24"/>
                <w:szCs w:val="24"/>
              </w:rPr>
              <w:t>②</w:t>
            </w:r>
            <w:r>
              <w:rPr>
                <w:rFonts w:ascii="宋体" w:hAnsi="宋体" w:eastAsia="宋体" w:cs="宋体"/>
                <w:b w:val="0"/>
                <w:bCs w:val="0"/>
                <w:i w:val="0"/>
                <w:iCs w:val="0"/>
                <w:smallCaps w:val="0"/>
                <w:color w:val="000000"/>
                <w:kern w:val="0"/>
                <w:sz w:val="24"/>
                <w:szCs w:val="24"/>
              </w:rPr>
              <w:t>在“中国执行信息公开网”（http://zxgk.court.gov.cn/）中被列入失信被执行人名单；</w:t>
            </w:r>
          </w:p>
          <w:p w14:paraId="65D79312">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ascii="Times New Roman" w:hAnsi="Times New Roman" w:eastAsia="Times New Roman"/>
                <w:b w:val="0"/>
                <w:bCs w:val="0"/>
                <w:i w:val="0"/>
                <w:iCs w:val="0"/>
                <w:smallCaps w:val="0"/>
                <w:color w:val="000000"/>
                <w:kern w:val="0"/>
                <w:sz w:val="24"/>
                <w:szCs w:val="24"/>
              </w:rPr>
              <w:t>③</w:t>
            </w:r>
            <w:r>
              <w:rPr>
                <w:rFonts w:ascii="宋体" w:hAnsi="宋体" w:cs="宋体"/>
                <w:color w:val="000000"/>
                <w:kern w:val="0"/>
                <w:sz w:val="24"/>
                <w:szCs w:val="24"/>
              </w:rPr>
              <w:t>在近三年内投标人或其法定代表人、拟委任的项目经理被人民法院判决为行贿罪的；</w:t>
            </w:r>
          </w:p>
          <w:p w14:paraId="6E017A8F">
            <w:pPr>
              <w:pStyle w:val="13"/>
              <w:tabs>
                <w:tab w:val="right" w:leader="dot" w:pos="8948"/>
                <w:tab w:val="clear" w:pos="8296"/>
              </w:tabs>
              <w:ind w:firstLine="0"/>
              <w:rPr>
                <w:rFonts w:hint="default" w:eastAsia="宋体"/>
                <w:lang w:val="en-US" w:eastAsia="zh-CN"/>
              </w:rPr>
            </w:pPr>
            <w:r>
              <w:rPr>
                <w:rFonts w:ascii="Times New Roman" w:hAnsi="Times New Roman" w:eastAsia="Times New Roman"/>
                <w:b w:val="0"/>
                <w:bCs w:val="0"/>
                <w:i w:val="0"/>
                <w:iCs w:val="0"/>
                <w:smallCaps w:val="0"/>
                <w:color w:val="000000"/>
                <w:kern w:val="0"/>
                <w:sz w:val="24"/>
                <w:szCs w:val="24"/>
              </w:rPr>
              <w:t>④</w:t>
            </w:r>
            <w:r>
              <w:rPr>
                <w:rFonts w:hint="eastAsia" w:ascii="Times New Roman" w:hAnsi="Times New Roman" w:eastAsia="宋体"/>
                <w:b w:val="0"/>
                <w:bCs w:val="0"/>
                <w:i w:val="0"/>
                <w:iCs w:val="0"/>
                <w:smallCaps w:val="0"/>
                <w:color w:val="000000"/>
                <w:kern w:val="0"/>
                <w:sz w:val="24"/>
                <w:szCs w:val="24"/>
                <w:lang w:val="en-US" w:eastAsia="zh-CN"/>
              </w:rPr>
              <w:t>被列入</w:t>
            </w:r>
            <w:r>
              <w:rPr>
                <w:rFonts w:hint="eastAsia" w:ascii="Times New Roman" w:hAnsi="Times New Roman" w:eastAsia="宋体"/>
                <w:b w:val="0"/>
                <w:bCs w:val="0"/>
                <w:color w:val="000000"/>
                <w:kern w:val="0"/>
                <w:sz w:val="24"/>
                <w:szCs w:val="24"/>
              </w:rPr>
              <w:t>湖北省公路水路工程建设市场黑名单且处于有效期内</w:t>
            </w:r>
          </w:p>
          <w:p w14:paraId="38B4B6AE">
            <w:pPr>
              <w:widowControl/>
              <w:spacing w:before="240" w:line="360" w:lineRule="atLeast"/>
              <w:jc w:val="left"/>
              <w:rPr>
                <w:rFonts w:ascii="宋体" w:hAnsi="宋体" w:eastAsia="宋体" w:cs="宋体"/>
                <w:b w:val="0"/>
                <w:bCs w:val="0"/>
                <w:i w:val="0"/>
                <w:iCs w:val="0"/>
                <w:smallCaps w:val="0"/>
                <w:color w:val="000000"/>
                <w:kern w:val="0"/>
                <w:sz w:val="24"/>
                <w:szCs w:val="24"/>
              </w:rPr>
            </w:pPr>
            <w:r>
              <w:rPr>
                <w:rFonts w:ascii="Times New Roman" w:hAnsi="Times New Roman" w:eastAsia="Times New Roman" w:cs="Calibri"/>
                <w:b w:val="0"/>
                <w:bCs w:val="0"/>
                <w:i w:val="0"/>
                <w:iCs w:val="0"/>
                <w:caps/>
                <w:smallCaps w:val="0"/>
                <w:color w:val="000000"/>
                <w:kern w:val="0"/>
                <w:sz w:val="24"/>
                <w:szCs w:val="24"/>
                <w:lang w:val="en-US" w:eastAsia="zh-CN" w:bidi="ar-SA"/>
              </w:rPr>
              <w:fldChar w:fldCharType="begin"/>
            </w:r>
            <w:r>
              <w:rPr>
                <w:rFonts w:ascii="Times New Roman" w:hAnsi="Times New Roman" w:eastAsia="Times New Roman" w:cs="Calibri"/>
                <w:b w:val="0"/>
                <w:bCs w:val="0"/>
                <w:i w:val="0"/>
                <w:iCs w:val="0"/>
                <w:caps/>
                <w:smallCaps w:val="0"/>
                <w:color w:val="000000"/>
                <w:kern w:val="0"/>
                <w:sz w:val="24"/>
                <w:szCs w:val="24"/>
                <w:lang w:val="en-US" w:eastAsia="zh-CN" w:bidi="ar-SA"/>
              </w:rPr>
              <w:instrText xml:space="preserve"> = 5 \* GB3 \* MERGEFORMAT </w:instrText>
            </w:r>
            <w:r>
              <w:rPr>
                <w:rFonts w:ascii="Times New Roman" w:hAnsi="Times New Roman" w:eastAsia="Times New Roman" w:cs="Calibri"/>
                <w:b w:val="0"/>
                <w:bCs w:val="0"/>
                <w:i w:val="0"/>
                <w:iCs w:val="0"/>
                <w:caps/>
                <w:smallCaps w:val="0"/>
                <w:color w:val="000000"/>
                <w:kern w:val="0"/>
                <w:sz w:val="24"/>
                <w:szCs w:val="24"/>
                <w:lang w:val="en-US" w:eastAsia="zh-CN" w:bidi="ar-SA"/>
              </w:rPr>
              <w:fldChar w:fldCharType="separate"/>
            </w:r>
            <w:r>
              <w:rPr>
                <w:rFonts w:ascii="Times New Roman" w:hAnsi="Times New Roman" w:eastAsia="Times New Roman" w:cs="Calibri"/>
                <w:caps/>
                <w:color w:val="000000"/>
                <w:kern w:val="0"/>
                <w:sz w:val="24"/>
                <w:szCs w:val="24"/>
              </w:rPr>
              <w:t>⑤</w:t>
            </w:r>
            <w:r>
              <w:rPr>
                <w:rFonts w:ascii="Times New Roman" w:hAnsi="Times New Roman" w:eastAsia="Times New Roman" w:cs="Calibri"/>
                <w:b w:val="0"/>
                <w:bCs w:val="0"/>
                <w:i w:val="0"/>
                <w:iCs w:val="0"/>
                <w:caps/>
                <w:smallCaps w:val="0"/>
                <w:color w:val="000000"/>
                <w:kern w:val="0"/>
                <w:sz w:val="24"/>
                <w:szCs w:val="24"/>
                <w:lang w:val="en-US" w:eastAsia="zh-CN" w:bidi="ar-SA"/>
              </w:rPr>
              <w:fldChar w:fldCharType="end"/>
            </w:r>
            <w:r>
              <w:rPr>
                <w:rFonts w:ascii="宋体" w:hAnsi="宋体" w:eastAsia="宋体" w:cs="宋体"/>
                <w:b w:val="0"/>
                <w:bCs w:val="0"/>
                <w:i w:val="0"/>
                <w:iCs w:val="0"/>
                <w:smallCaps w:val="0"/>
                <w:color w:val="000000"/>
                <w:kern w:val="0"/>
                <w:sz w:val="24"/>
                <w:szCs w:val="24"/>
              </w:rPr>
              <w:t>其他在“信用中国”网站(http://www.creditchina.gov.cn/)中被列为严重失信主体名单，且按联合惩戒要求禁止参与招投标的。</w:t>
            </w:r>
          </w:p>
        </w:tc>
      </w:tr>
    </w:tbl>
    <w:p w14:paraId="12BAF5E4">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rPr>
        <w:t>注：</w:t>
      </w:r>
    </w:p>
    <w:p w14:paraId="37DFAF17">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rPr>
        <w:t>1、“近三年”是指从202</w:t>
      </w:r>
      <w:r>
        <w:rPr>
          <w:rFonts w:hint="eastAsia" w:ascii="宋体" w:hAnsi="宋体" w:eastAsia="宋体" w:cs="宋体"/>
          <w:b w:val="0"/>
          <w:bCs w:val="0"/>
          <w:i w:val="0"/>
          <w:iCs w:val="0"/>
          <w:smallCaps w:val="0"/>
          <w:color w:val="000000"/>
          <w:kern w:val="0"/>
          <w:sz w:val="24"/>
          <w:szCs w:val="24"/>
          <w:lang w:val="en-US" w:eastAsia="zh-CN"/>
        </w:rPr>
        <w:t>3</w:t>
      </w:r>
      <w:r>
        <w:rPr>
          <w:rFonts w:hint="eastAsia" w:ascii="宋体" w:hAnsi="宋体" w:eastAsia="宋体" w:cs="宋体"/>
          <w:b w:val="0"/>
          <w:bCs w:val="0"/>
          <w:i w:val="0"/>
          <w:iCs w:val="0"/>
          <w:smallCaps w:val="0"/>
          <w:color w:val="000000"/>
          <w:kern w:val="0"/>
          <w:sz w:val="24"/>
          <w:szCs w:val="24"/>
        </w:rPr>
        <w:t>年1月1日起至投标截止日期前一日，以有效的判决书生效的时间为准，同一案件有多份判决书的以时间在后的为准。</w:t>
      </w:r>
    </w:p>
    <w:p w14:paraId="31C92972">
      <w:pPr>
        <w:widowControl/>
        <w:numPr>
          <w:ilvl w:val="0"/>
          <w:numId w:val="0"/>
        </w:numPr>
        <w:spacing w:before="0" w:after="0" w:line="360" w:lineRule="auto"/>
        <w:ind w:firstLine="480" w:firstLineChars="200"/>
        <w:jc w:val="left"/>
        <w:rPr>
          <w:rFonts w:hint="eastAsia" w:ascii="宋体" w:hAnsi="宋体" w:eastAsia="宋体" w:cs="宋体"/>
          <w:color w:val="000000"/>
          <w:kern w:val="0"/>
          <w:sz w:val="24"/>
          <w:szCs w:val="24"/>
          <w:highlight w:val="yellow"/>
        </w:rPr>
      </w:pPr>
      <w:r>
        <w:rPr>
          <w:rFonts w:hint="eastAsia" w:ascii="宋体" w:hAnsi="宋体" w:eastAsia="宋体" w:cs="宋体"/>
          <w:b w:val="0"/>
          <w:bCs w:val="0"/>
          <w:i w:val="0"/>
          <w:iCs w:val="0"/>
          <w:smallCaps w:val="0"/>
          <w:color w:val="000000"/>
          <w:kern w:val="0"/>
          <w:sz w:val="24"/>
          <w:szCs w:val="24"/>
        </w:rPr>
        <w:t>2、</w:t>
      </w:r>
      <w:r>
        <w:rPr>
          <w:rFonts w:hint="eastAsia" w:ascii="宋体" w:hAnsi="宋体" w:eastAsia="宋体" w:cs="宋体"/>
          <w:color w:val="000000"/>
          <w:kern w:val="0"/>
          <w:sz w:val="24"/>
          <w:szCs w:val="24"/>
          <w:highlight w:val="none"/>
        </w:rPr>
        <w:t>投标人应在投标文件格式资格审查资料“信誉情况表”按给定的内容填报并提供《信誉情况承诺函》，按上述要求提供了《信誉情况承诺函》的，视为满足信誉最低要求。</w:t>
      </w:r>
    </w:p>
    <w:p w14:paraId="3BACE5A5"/>
    <w:p w14:paraId="2A4CE4E3">
      <w:pPr>
        <w:widowControl/>
        <w:numPr>
          <w:ilvl w:val="0"/>
          <w:numId w:val="0"/>
        </w:numPr>
        <w:tabs>
          <w:tab w:val="right" w:leader="dot" w:pos="8948"/>
        </w:tabs>
        <w:spacing w:line="360" w:lineRule="auto"/>
        <w:ind w:firstLine="480" w:firstLineChars="200"/>
        <w:rPr>
          <w:rFonts w:hint="default"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rPr>
        <w:t>3、以联合体形式投标的，联合体各成员均应满足上述信誉最低要求，并分别提供《信誉情况承诺函》。</w:t>
      </w:r>
    </w:p>
    <w:p w14:paraId="19986465">
      <w:pPr>
        <w:widowControl/>
        <w:spacing w:before="315" w:after="315" w:line="360" w:lineRule="atLeast"/>
        <w:jc w:val="center"/>
        <w:rPr>
          <w:rFonts w:ascii="宋体" w:hAnsi="宋体" w:eastAsia="宋体" w:cs="宋体"/>
          <w:b w:val="0"/>
          <w:bCs w:val="0"/>
          <w:i w:val="0"/>
          <w:iCs w:val="0"/>
          <w:smallCaps w:val="0"/>
          <w:color w:val="000000"/>
          <w:kern w:val="0"/>
          <w:sz w:val="32"/>
          <w:szCs w:val="32"/>
        </w:rPr>
      </w:pPr>
      <w:r>
        <w:rPr>
          <w:rFonts w:ascii="宋体" w:hAnsi="宋体" w:eastAsia="宋体" w:cs="宋体"/>
          <w:b w:val="0"/>
          <w:bCs w:val="0"/>
          <w:i w:val="0"/>
          <w:iCs w:val="0"/>
          <w:smallCaps w:val="0"/>
          <w:color w:val="000000"/>
          <w:kern w:val="0"/>
          <w:sz w:val="32"/>
          <w:szCs w:val="32"/>
        </w:rPr>
        <w:t>附录</w:t>
      </w:r>
      <w:r>
        <w:rPr>
          <w:rFonts w:hint="eastAsia" w:ascii="宋体" w:hAnsi="宋体" w:eastAsia="宋体" w:cs="宋体"/>
          <w:b w:val="0"/>
          <w:bCs w:val="0"/>
          <w:i w:val="0"/>
          <w:iCs w:val="0"/>
          <w:smallCaps w:val="0"/>
          <w:color w:val="000000"/>
          <w:kern w:val="0"/>
          <w:sz w:val="32"/>
          <w:szCs w:val="32"/>
          <w:lang w:val="en-US" w:eastAsia="zh-CN"/>
        </w:rPr>
        <w:t>4</w:t>
      </w:r>
      <w:r>
        <w:rPr>
          <w:rFonts w:ascii="宋体" w:hAnsi="宋体" w:eastAsia="宋体" w:cs="宋体"/>
          <w:b w:val="0"/>
          <w:bCs w:val="0"/>
          <w:i w:val="0"/>
          <w:iCs w:val="0"/>
          <w:smallCaps w:val="0"/>
          <w:color w:val="000000"/>
          <w:kern w:val="0"/>
          <w:sz w:val="32"/>
          <w:szCs w:val="32"/>
        </w:rPr>
        <w:t xml:space="preserve"> 资格审查条件（主要人员最低要求）</w:t>
      </w:r>
    </w:p>
    <w:p w14:paraId="06BEBE78">
      <w:pPr>
        <w:widowControl/>
        <w:spacing w:before="315" w:after="315" w:line="360" w:lineRule="atLeast"/>
        <w:jc w:val="left"/>
        <w:rPr>
          <w:rFonts w:ascii="宋体" w:hAnsi="宋体" w:eastAsia="宋体" w:cs="宋体"/>
          <w:b w:val="0"/>
          <w:bCs w:val="0"/>
          <w:i w:val="0"/>
          <w:iCs w:val="0"/>
          <w:smallCaps w:val="0"/>
          <w:color w:val="000000"/>
          <w:kern w:val="0"/>
          <w:sz w:val="32"/>
          <w:szCs w:val="32"/>
        </w:rPr>
      </w:pPr>
      <w:r>
        <w:rPr>
          <w:rFonts w:ascii="宋体" w:hAnsi="宋体" w:eastAsia="宋体" w:cs="宋体"/>
          <w:b/>
          <w:bCs/>
          <w:i w:val="0"/>
          <w:iCs w:val="0"/>
          <w:smallCaps w:val="0"/>
          <w:color w:val="000000"/>
          <w:kern w:val="0"/>
          <w:sz w:val="32"/>
          <w:szCs w:val="32"/>
        </w:rPr>
        <w:t>标段：</w:t>
      </w:r>
      <w:r>
        <w:rPr>
          <w:rFonts w:hint="eastAsia" w:ascii="宋体" w:hAnsi="宋体" w:eastAsia="宋体" w:cs="宋体"/>
          <w:b/>
          <w:bCs/>
          <w:i w:val="0"/>
          <w:iCs w:val="0"/>
          <w:smallCaps w:val="0"/>
          <w:color w:val="000000"/>
          <w:kern w:val="0"/>
          <w:sz w:val="32"/>
          <w:szCs w:val="32"/>
          <w:lang w:eastAsia="zh-CN"/>
        </w:rPr>
        <w:t>GTEPC</w:t>
      </w:r>
      <w:r>
        <w:rPr>
          <w:rFonts w:ascii="宋体" w:hAnsi="宋体" w:eastAsia="宋体" w:cs="宋体"/>
          <w:b/>
          <w:bCs/>
          <w:i w:val="0"/>
          <w:iCs w:val="0"/>
          <w:smallCaps w:val="0"/>
          <w:color w:val="000000"/>
          <w:kern w:val="0"/>
          <w:sz w:val="32"/>
          <w:szCs w:val="32"/>
        </w:rPr>
        <w:t>-1</w:t>
      </w:r>
    </w:p>
    <w:tbl>
      <w:tblPr>
        <w:tblStyle w:val="17"/>
        <w:tblW w:w="8958" w:type="dxa"/>
        <w:tblCellSpacing w:w="15" w:type="dxa"/>
        <w:tblInd w:w="0" w:type="dxa"/>
        <w:tblLayout w:type="fixed"/>
        <w:tblCellMar>
          <w:top w:w="15" w:type="dxa"/>
          <w:left w:w="15" w:type="dxa"/>
          <w:bottom w:w="15" w:type="dxa"/>
          <w:right w:w="15" w:type="dxa"/>
        </w:tblCellMar>
      </w:tblPr>
      <w:tblGrid>
        <w:gridCol w:w="1587"/>
        <w:gridCol w:w="933"/>
        <w:gridCol w:w="6438"/>
      </w:tblGrid>
      <w:tr w14:paraId="591902D1">
        <w:tblPrEx>
          <w:tblCellMar>
            <w:top w:w="15" w:type="dxa"/>
            <w:left w:w="15" w:type="dxa"/>
            <w:bottom w:w="15" w:type="dxa"/>
            <w:right w:w="15" w:type="dxa"/>
          </w:tblCellMar>
        </w:tblPrEx>
        <w:trPr>
          <w:cantSplit/>
          <w:trHeight w:val="555" w:hRule="atLeast"/>
          <w:tblCellSpacing w:w="15" w:type="dxa"/>
        </w:trPr>
        <w:tc>
          <w:tcPr>
            <w:tcW w:w="1542" w:type="dxa"/>
            <w:tcBorders>
              <w:top w:val="single" w:color="000000" w:sz="6" w:space="0"/>
              <w:left w:val="single" w:color="000000" w:sz="6" w:space="0"/>
              <w:bottom w:val="single" w:color="000000" w:sz="6" w:space="0"/>
              <w:right w:val="single" w:color="000000" w:sz="6" w:space="0"/>
            </w:tcBorders>
            <w:noWrap w:val="0"/>
            <w:tcMar>
              <w:top w:w="8" w:type="dxa"/>
              <w:left w:w="112" w:type="dxa"/>
              <w:bottom w:w="8" w:type="dxa"/>
              <w:right w:w="112" w:type="dxa"/>
            </w:tcMar>
            <w:vAlign w:val="center"/>
          </w:tcPr>
          <w:p w14:paraId="4CFF7422">
            <w:pPr>
              <w:widowControl/>
              <w:spacing w:line="360" w:lineRule="atLeast"/>
              <w:jc w:val="center"/>
              <w:rPr>
                <w:rFonts w:ascii="宋体" w:hAnsi="宋体" w:eastAsia="宋体" w:cs="宋体"/>
                <w:b w:val="0"/>
                <w:bCs w:val="0"/>
                <w:i w:val="0"/>
                <w:iCs w:val="0"/>
                <w:smallCaps w:val="0"/>
                <w:color w:val="000000"/>
                <w:kern w:val="0"/>
                <w:sz w:val="24"/>
                <w:szCs w:val="24"/>
                <w:highlight w:val="none"/>
              </w:rPr>
            </w:pPr>
            <w:r>
              <w:rPr>
                <w:rFonts w:ascii="宋体" w:hAnsi="宋体" w:eastAsia="宋体" w:cs="宋体"/>
                <w:b w:val="0"/>
                <w:bCs w:val="0"/>
                <w:i w:val="0"/>
                <w:iCs w:val="0"/>
                <w:smallCaps w:val="0"/>
                <w:color w:val="000000"/>
                <w:kern w:val="0"/>
                <w:sz w:val="24"/>
                <w:szCs w:val="24"/>
                <w:highlight w:val="none"/>
              </w:rPr>
              <w:t>人员</w:t>
            </w:r>
          </w:p>
        </w:tc>
        <w:tc>
          <w:tcPr>
            <w:tcW w:w="903" w:type="dxa"/>
            <w:tcBorders>
              <w:top w:val="single" w:color="000000" w:sz="6" w:space="0"/>
              <w:bottom w:val="single" w:color="000000" w:sz="6" w:space="0"/>
              <w:right w:val="single" w:color="000000" w:sz="6" w:space="0"/>
            </w:tcBorders>
            <w:noWrap w:val="0"/>
            <w:tcMar>
              <w:top w:w="8" w:type="dxa"/>
              <w:left w:w="105" w:type="dxa"/>
              <w:bottom w:w="8" w:type="dxa"/>
              <w:right w:w="112" w:type="dxa"/>
            </w:tcMar>
            <w:vAlign w:val="center"/>
          </w:tcPr>
          <w:p w14:paraId="1B4B14C5">
            <w:pPr>
              <w:widowControl/>
              <w:spacing w:line="360" w:lineRule="atLeast"/>
              <w:jc w:val="center"/>
              <w:rPr>
                <w:rFonts w:ascii="宋体" w:hAnsi="宋体" w:eastAsia="宋体" w:cs="宋体"/>
                <w:b w:val="0"/>
                <w:bCs w:val="0"/>
                <w:i w:val="0"/>
                <w:iCs w:val="0"/>
                <w:smallCaps w:val="0"/>
                <w:color w:val="000000"/>
                <w:kern w:val="0"/>
                <w:sz w:val="24"/>
                <w:szCs w:val="24"/>
                <w:highlight w:val="none"/>
              </w:rPr>
            </w:pPr>
            <w:r>
              <w:rPr>
                <w:rFonts w:ascii="宋体" w:hAnsi="宋体" w:eastAsia="宋体" w:cs="宋体"/>
                <w:b w:val="0"/>
                <w:bCs w:val="0"/>
                <w:i w:val="0"/>
                <w:iCs w:val="0"/>
                <w:smallCaps w:val="0"/>
                <w:color w:val="000000"/>
                <w:kern w:val="0"/>
                <w:sz w:val="24"/>
                <w:szCs w:val="24"/>
                <w:highlight w:val="none"/>
              </w:rPr>
              <w:t>数量</w:t>
            </w:r>
          </w:p>
        </w:tc>
        <w:tc>
          <w:tcPr>
            <w:tcW w:w="6393" w:type="dxa"/>
            <w:tcBorders>
              <w:top w:val="single" w:color="000000" w:sz="6" w:space="0"/>
              <w:bottom w:val="single" w:color="000000" w:sz="6" w:space="0"/>
              <w:right w:val="single" w:color="000000" w:sz="6" w:space="0"/>
            </w:tcBorders>
            <w:noWrap w:val="0"/>
            <w:tcMar>
              <w:top w:w="8" w:type="dxa"/>
              <w:left w:w="105" w:type="dxa"/>
              <w:bottom w:w="8" w:type="dxa"/>
              <w:right w:w="112" w:type="dxa"/>
            </w:tcMar>
            <w:vAlign w:val="center"/>
          </w:tcPr>
          <w:p w14:paraId="7FF2E2DE">
            <w:pPr>
              <w:widowControl/>
              <w:spacing w:line="360" w:lineRule="atLeast"/>
              <w:jc w:val="center"/>
              <w:rPr>
                <w:rFonts w:ascii="宋体" w:hAnsi="宋体" w:eastAsia="宋体" w:cs="宋体"/>
                <w:b w:val="0"/>
                <w:bCs w:val="0"/>
                <w:i w:val="0"/>
                <w:iCs w:val="0"/>
                <w:smallCaps w:val="0"/>
                <w:color w:val="000000"/>
                <w:kern w:val="0"/>
                <w:sz w:val="24"/>
                <w:szCs w:val="24"/>
                <w:highlight w:val="none"/>
              </w:rPr>
            </w:pPr>
            <w:r>
              <w:rPr>
                <w:rFonts w:hint="default" w:ascii="宋体" w:hAnsi="宋体" w:cs="宋体"/>
                <w:b w:val="0"/>
                <w:bCs w:val="0"/>
                <w:i w:val="0"/>
                <w:iCs w:val="0"/>
                <w:smallCaps w:val="0"/>
                <w:color w:val="000000"/>
                <w:kern w:val="0"/>
                <w:sz w:val="24"/>
                <w:szCs w:val="24"/>
                <w:highlight w:val="none"/>
                <w:lang w:val="en-US" w:eastAsia="zh-CN"/>
              </w:rPr>
              <w:t>主要人员最低要求</w:t>
            </w:r>
          </w:p>
        </w:tc>
      </w:tr>
      <w:tr w14:paraId="07BA5161">
        <w:tblPrEx>
          <w:tblCellMar>
            <w:top w:w="15" w:type="dxa"/>
            <w:left w:w="15" w:type="dxa"/>
            <w:bottom w:w="15" w:type="dxa"/>
            <w:right w:w="15" w:type="dxa"/>
          </w:tblCellMar>
        </w:tblPrEx>
        <w:trPr>
          <w:cantSplit/>
          <w:trHeight w:val="570" w:hRule="atLeast"/>
          <w:tblCellSpacing w:w="15" w:type="dxa"/>
        </w:trPr>
        <w:tc>
          <w:tcPr>
            <w:tcW w:w="1542" w:type="dxa"/>
            <w:tcBorders>
              <w:left w:val="single" w:color="000000" w:sz="6" w:space="0"/>
              <w:bottom w:val="single" w:color="000000" w:sz="6" w:space="0"/>
              <w:right w:val="single" w:color="000000" w:sz="6" w:space="0"/>
            </w:tcBorders>
            <w:noWrap w:val="0"/>
            <w:tcMar>
              <w:top w:w="0" w:type="dxa"/>
              <w:left w:w="112" w:type="dxa"/>
              <w:bottom w:w="8" w:type="dxa"/>
              <w:right w:w="112" w:type="dxa"/>
            </w:tcMar>
            <w:vAlign w:val="center"/>
          </w:tcPr>
          <w:p w14:paraId="0A2B9890">
            <w:pPr>
              <w:widowControl/>
              <w:spacing w:line="360" w:lineRule="atLeast"/>
              <w:jc w:val="center"/>
              <w:rPr>
                <w:rFonts w:hint="default" w:ascii="宋体" w:hAnsi="宋体" w:eastAsia="宋体" w:cs="宋体"/>
                <w:b w:val="0"/>
                <w:bCs w:val="0"/>
                <w:i w:val="0"/>
                <w:iCs w:val="0"/>
                <w:smallCaps w:val="0"/>
                <w:color w:val="000000"/>
                <w:kern w:val="0"/>
                <w:sz w:val="24"/>
                <w:szCs w:val="24"/>
                <w:lang w:val="en-US" w:eastAsia="zh-CN"/>
              </w:rPr>
            </w:pPr>
            <w:r>
              <w:rPr>
                <w:rFonts w:ascii="宋体" w:hAnsi="宋体" w:eastAsia="宋体" w:cs="宋体"/>
                <w:b w:val="0"/>
                <w:bCs w:val="0"/>
                <w:i w:val="0"/>
                <w:iCs w:val="0"/>
                <w:smallCaps w:val="0"/>
                <w:color w:val="000000"/>
                <w:kern w:val="0"/>
                <w:sz w:val="24"/>
                <w:szCs w:val="24"/>
              </w:rPr>
              <w:t>项目负责人</w:t>
            </w:r>
            <w:r>
              <w:rPr>
                <w:rFonts w:hint="eastAsia" w:ascii="宋体" w:hAnsi="宋体" w:eastAsia="宋体" w:cs="宋体"/>
                <w:b w:val="0"/>
                <w:bCs w:val="0"/>
                <w:i w:val="0"/>
                <w:iCs w:val="0"/>
                <w:smallCaps w:val="0"/>
                <w:color w:val="000000"/>
                <w:kern w:val="0"/>
                <w:sz w:val="24"/>
                <w:szCs w:val="24"/>
                <w:lang w:eastAsia="zh-CN"/>
              </w:rPr>
              <w:t>（</w:t>
            </w:r>
            <w:r>
              <w:rPr>
                <w:rFonts w:hint="eastAsia" w:ascii="宋体" w:hAnsi="宋体" w:eastAsia="宋体" w:cs="宋体"/>
                <w:b w:val="0"/>
                <w:bCs w:val="0"/>
                <w:i w:val="0"/>
                <w:iCs w:val="0"/>
                <w:smallCaps w:val="0"/>
                <w:color w:val="000000"/>
                <w:kern w:val="0"/>
                <w:sz w:val="24"/>
                <w:szCs w:val="24"/>
                <w:lang w:val="en-US" w:eastAsia="zh-CN"/>
              </w:rPr>
              <w:t>兼施工负责人）</w:t>
            </w:r>
          </w:p>
        </w:tc>
        <w:tc>
          <w:tcPr>
            <w:tcW w:w="903" w:type="dxa"/>
            <w:tcBorders>
              <w:bottom w:val="single" w:color="000000" w:sz="6" w:space="0"/>
              <w:right w:val="single" w:color="000000" w:sz="6" w:space="0"/>
            </w:tcBorders>
            <w:noWrap w:val="0"/>
            <w:tcMar>
              <w:top w:w="0" w:type="dxa"/>
              <w:left w:w="105" w:type="dxa"/>
              <w:bottom w:w="8" w:type="dxa"/>
              <w:right w:w="112" w:type="dxa"/>
            </w:tcMar>
            <w:vAlign w:val="center"/>
          </w:tcPr>
          <w:p w14:paraId="459850FF">
            <w:pPr>
              <w:widowControl/>
              <w:spacing w:line="360" w:lineRule="atLeast"/>
              <w:jc w:val="center"/>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1</w:t>
            </w:r>
          </w:p>
        </w:tc>
        <w:tc>
          <w:tcPr>
            <w:tcW w:w="6393" w:type="dxa"/>
            <w:tcBorders>
              <w:bottom w:val="single" w:color="000000" w:sz="6" w:space="0"/>
              <w:right w:val="single" w:color="000000" w:sz="6" w:space="0"/>
            </w:tcBorders>
            <w:noWrap w:val="0"/>
            <w:tcMar>
              <w:top w:w="0" w:type="dxa"/>
              <w:left w:w="105" w:type="dxa"/>
              <w:bottom w:w="8" w:type="dxa"/>
              <w:right w:w="112" w:type="dxa"/>
            </w:tcMar>
            <w:vAlign w:val="center"/>
          </w:tcPr>
          <w:p w14:paraId="323F5AD4">
            <w:pPr>
              <w:widowControl/>
              <w:spacing w:before="240" w:after="240" w:line="360" w:lineRule="atLeast"/>
              <w:jc w:val="left"/>
              <w:rPr>
                <w:rFonts w:ascii="宋体" w:hAnsi="宋体" w:eastAsia="宋体" w:cs="宋体"/>
                <w:color w:val="000000"/>
                <w:kern w:val="0"/>
                <w:sz w:val="24"/>
                <w:szCs w:val="24"/>
              </w:rPr>
            </w:pPr>
            <w:r>
              <w:rPr>
                <w:rFonts w:ascii="宋体" w:hAnsi="宋体" w:eastAsia="宋体" w:cs="宋体"/>
                <w:color w:val="000000"/>
                <w:kern w:val="0"/>
                <w:sz w:val="24"/>
                <w:szCs w:val="24"/>
              </w:rPr>
              <w:t>同时具备：</w:t>
            </w:r>
          </w:p>
          <w:p w14:paraId="3C01E7AC">
            <w:pPr>
              <w:widowControl/>
              <w:spacing w:before="240" w:after="240" w:line="360" w:lineRule="atLeast"/>
              <w:jc w:val="left"/>
              <w:rPr>
                <w:rFonts w:ascii="宋体" w:hAnsi="宋体" w:eastAsia="宋体" w:cs="宋体"/>
                <w:color w:val="000000"/>
                <w:kern w:val="0"/>
                <w:sz w:val="24"/>
                <w:szCs w:val="24"/>
              </w:rPr>
            </w:pPr>
            <w:r>
              <w:rPr>
                <w:rFonts w:ascii="宋体" w:hAnsi="宋体" w:eastAsia="宋体" w:cs="宋体"/>
                <w:color w:val="000000"/>
                <w:kern w:val="0"/>
                <w:sz w:val="24"/>
                <w:szCs w:val="24"/>
              </w:rPr>
              <w:t>（</w:t>
            </w:r>
            <w:r>
              <w:rPr>
                <w:rFonts w:hint="default" w:ascii="宋体" w:hAnsi="宋体" w:eastAsia="宋体" w:cs="宋体"/>
                <w:color w:val="000000"/>
                <w:kern w:val="0"/>
                <w:sz w:val="24"/>
                <w:szCs w:val="24"/>
                <w:lang w:val="en-US" w:eastAsia="zh-CN"/>
              </w:rPr>
              <w:t>1</w:t>
            </w:r>
            <w:r>
              <w:rPr>
                <w:rFonts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有效的</w:t>
            </w:r>
            <w:r>
              <w:rPr>
                <w:rFonts w:hint="default" w:ascii="宋体" w:hAnsi="宋体" w:eastAsia="宋体" w:cs="宋体"/>
                <w:color w:val="000000"/>
                <w:kern w:val="0"/>
                <w:sz w:val="24"/>
                <w:szCs w:val="24"/>
                <w:lang w:val="en-US" w:eastAsia="zh-CN"/>
              </w:rPr>
              <w:t>二</w:t>
            </w:r>
            <w:r>
              <w:rPr>
                <w:rFonts w:ascii="宋体" w:hAnsi="宋体" w:eastAsia="宋体" w:cs="宋体"/>
                <w:color w:val="000000"/>
                <w:kern w:val="0"/>
                <w:sz w:val="24"/>
                <w:szCs w:val="24"/>
              </w:rPr>
              <w:t>级建造师</w:t>
            </w:r>
            <w:r>
              <w:rPr>
                <w:rFonts w:hint="eastAsia" w:ascii="宋体" w:hAnsi="宋体" w:eastAsia="宋体" w:cs="宋体"/>
                <w:color w:val="000000"/>
                <w:kern w:val="0"/>
                <w:sz w:val="24"/>
                <w:szCs w:val="24"/>
                <w:lang w:val="en-US" w:eastAsia="zh-CN"/>
              </w:rPr>
              <w:t>资格</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注册专业：公路工程专业）</w:t>
            </w:r>
            <w:r>
              <w:rPr>
                <w:rFonts w:ascii="宋体" w:hAnsi="宋体" w:eastAsia="宋体" w:cs="宋体"/>
                <w:color w:val="000000"/>
                <w:kern w:val="0"/>
                <w:sz w:val="24"/>
                <w:szCs w:val="24"/>
              </w:rPr>
              <w:t>；</w:t>
            </w:r>
          </w:p>
          <w:p w14:paraId="6813E824">
            <w:pPr>
              <w:widowControl/>
              <w:spacing w:before="240" w:after="240" w:line="360" w:lineRule="atLeast"/>
              <w:jc w:val="left"/>
              <w:rPr>
                <w:rFonts w:hint="eastAsia" w:ascii="宋体" w:hAnsi="宋体" w:eastAsia="宋体" w:cs="宋体"/>
                <w:color w:val="000000"/>
                <w:kern w:val="0"/>
                <w:sz w:val="24"/>
                <w:szCs w:val="24"/>
                <w:lang w:eastAsia="zh-CN"/>
              </w:rPr>
            </w:pPr>
            <w:r>
              <w:rPr>
                <w:rFonts w:ascii="宋体" w:hAnsi="宋体" w:eastAsia="宋体" w:cs="宋体"/>
                <w:color w:val="000000"/>
                <w:kern w:val="0"/>
                <w:sz w:val="24"/>
                <w:szCs w:val="24"/>
              </w:rPr>
              <w:t>（</w:t>
            </w:r>
            <w:r>
              <w:rPr>
                <w:rFonts w:hint="default" w:ascii="宋体" w:hAnsi="宋体" w:eastAsia="宋体" w:cs="宋体"/>
                <w:color w:val="000000"/>
                <w:kern w:val="0"/>
                <w:sz w:val="24"/>
                <w:szCs w:val="24"/>
                <w:lang w:val="en-US" w:eastAsia="zh-CN"/>
              </w:rPr>
              <w:t>2</w:t>
            </w:r>
            <w:r>
              <w:rPr>
                <w:rFonts w:ascii="宋体" w:hAnsi="宋体" w:eastAsia="宋体" w:cs="宋体"/>
                <w:color w:val="000000"/>
                <w:kern w:val="0"/>
                <w:sz w:val="24"/>
                <w:szCs w:val="24"/>
              </w:rPr>
              <w:t>）交通主管部门颁发的安全生产“三类人员”B类证书</w:t>
            </w:r>
            <w:r>
              <w:rPr>
                <w:rFonts w:hint="eastAsia" w:ascii="宋体" w:hAnsi="宋体" w:eastAsia="宋体" w:cs="宋体"/>
                <w:color w:val="000000"/>
                <w:kern w:val="0"/>
                <w:sz w:val="24"/>
                <w:szCs w:val="24"/>
                <w:lang w:eastAsia="zh-CN"/>
              </w:rPr>
              <w:t>。</w:t>
            </w:r>
          </w:p>
          <w:p w14:paraId="5E9F8C86">
            <w:pPr>
              <w:widowControl/>
              <w:spacing w:before="240" w:after="240" w:line="360" w:lineRule="atLeast"/>
              <w:jc w:val="left"/>
              <w:rPr>
                <w:rFonts w:hint="eastAsia"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eastAsia="zh-CN"/>
              </w:rPr>
              <w:t>（</w:t>
            </w:r>
            <w:r>
              <w:rPr>
                <w:rFonts w:hint="default" w:ascii="宋体" w:hAnsi="宋体" w:eastAsia="宋体" w:cs="宋体"/>
                <w:color w:val="000000"/>
                <w:kern w:val="0"/>
                <w:sz w:val="24"/>
                <w:szCs w:val="24"/>
                <w:lang w:val="en-US" w:eastAsia="zh-CN"/>
              </w:rPr>
              <w:t>3）</w:t>
            </w:r>
            <w:r>
              <w:rPr>
                <w:rFonts w:hint="default" w:ascii="宋体" w:hAnsi="宋体" w:eastAsia="宋体" w:cs="宋体"/>
                <w:color w:val="000000"/>
                <w:kern w:val="0"/>
                <w:sz w:val="24"/>
                <w:szCs w:val="24"/>
                <w:highlight w:val="none"/>
              </w:rPr>
              <w:t>近</w:t>
            </w:r>
            <w:r>
              <w:rPr>
                <w:rFonts w:hint="eastAsia" w:ascii="宋体" w:hAnsi="宋体" w:eastAsia="宋体" w:cs="宋体"/>
                <w:color w:val="000000"/>
                <w:kern w:val="0"/>
                <w:sz w:val="24"/>
                <w:szCs w:val="24"/>
                <w:highlight w:val="none"/>
                <w:lang w:val="en-US" w:eastAsia="zh-CN"/>
              </w:rPr>
              <w:t>10</w:t>
            </w:r>
            <w:r>
              <w:rPr>
                <w:rFonts w:hint="default" w:ascii="宋体" w:hAnsi="宋体" w:eastAsia="宋体" w:cs="宋体"/>
                <w:color w:val="000000"/>
                <w:kern w:val="0"/>
                <w:sz w:val="24"/>
                <w:szCs w:val="24"/>
                <w:highlight w:val="none"/>
              </w:rPr>
              <w:t>年</w:t>
            </w:r>
            <w:r>
              <w:rPr>
                <w:rFonts w:hint="eastAsia" w:ascii="宋体" w:hAnsi="宋体" w:eastAsia="宋体" w:cs="宋体"/>
                <w:color w:val="000000"/>
                <w:kern w:val="0"/>
                <w:sz w:val="24"/>
                <w:szCs w:val="24"/>
                <w:highlight w:val="none"/>
                <w:lang w:val="en-US" w:eastAsia="zh-CN"/>
              </w:rPr>
              <w:t>内</w:t>
            </w:r>
            <w:r>
              <w:rPr>
                <w:rFonts w:hint="default" w:ascii="宋体" w:hAnsi="宋体" w:eastAsia="宋体" w:cs="宋体"/>
                <w:color w:val="000000"/>
                <w:kern w:val="0"/>
                <w:sz w:val="24"/>
                <w:szCs w:val="24"/>
                <w:highlight w:val="none"/>
              </w:rPr>
              <w:t>担任过1条新建</w:t>
            </w:r>
            <w:r>
              <w:rPr>
                <w:rFonts w:hint="eastAsia" w:ascii="宋体" w:hAnsi="宋体" w:eastAsia="宋体" w:cs="宋体"/>
                <w:color w:val="000000"/>
                <w:kern w:val="0"/>
                <w:sz w:val="24"/>
                <w:szCs w:val="24"/>
                <w:highlight w:val="none"/>
                <w:lang w:val="en-US" w:eastAsia="zh-CN"/>
              </w:rPr>
              <w:t>或改扩建二级及以上等级公路的</w:t>
            </w:r>
            <w:r>
              <w:rPr>
                <w:rStyle w:val="19"/>
                <w:rFonts w:ascii="宋体" w:hAnsi="宋体" w:eastAsia="宋体" w:cs="宋体"/>
                <w:b w:val="0"/>
                <w:bCs w:val="0"/>
                <w:i w:val="0"/>
                <w:iCs w:val="0"/>
                <w:smallCaps w:val="0"/>
                <w:color w:val="000000"/>
                <w:kern w:val="0"/>
                <w:sz w:val="24"/>
                <w:szCs w:val="24"/>
                <w:highlight w:val="none"/>
              </w:rPr>
              <w:t>工程施工</w:t>
            </w:r>
            <w:r>
              <w:rPr>
                <w:rFonts w:hint="default" w:ascii="宋体" w:hAnsi="宋体" w:eastAsia="宋体" w:cs="宋体"/>
                <w:color w:val="000000"/>
                <w:kern w:val="0"/>
                <w:sz w:val="24"/>
                <w:szCs w:val="24"/>
                <w:highlight w:val="none"/>
              </w:rPr>
              <w:t>项目的项目经理</w:t>
            </w:r>
            <w:r>
              <w:rPr>
                <w:rFonts w:hint="eastAsia" w:ascii="宋体" w:hAnsi="宋体" w:eastAsia="宋体" w:cs="宋体"/>
                <w:color w:val="000000"/>
                <w:kern w:val="0"/>
                <w:sz w:val="24"/>
                <w:szCs w:val="24"/>
                <w:highlight w:val="none"/>
                <w:lang w:eastAsia="zh-CN"/>
              </w:rPr>
              <w:t>。</w:t>
            </w:r>
          </w:p>
        </w:tc>
      </w:tr>
      <w:tr w14:paraId="4F83D05A">
        <w:tblPrEx>
          <w:tblCellMar>
            <w:top w:w="15" w:type="dxa"/>
            <w:left w:w="15" w:type="dxa"/>
            <w:bottom w:w="15" w:type="dxa"/>
            <w:right w:w="15" w:type="dxa"/>
          </w:tblCellMar>
        </w:tblPrEx>
        <w:trPr>
          <w:cantSplit/>
          <w:trHeight w:val="825" w:hRule="atLeast"/>
          <w:tblCellSpacing w:w="15" w:type="dxa"/>
        </w:trPr>
        <w:tc>
          <w:tcPr>
            <w:tcW w:w="1542" w:type="dxa"/>
            <w:tcBorders>
              <w:left w:val="single" w:color="000000" w:sz="6" w:space="0"/>
              <w:bottom w:val="single" w:color="000000" w:sz="6" w:space="0"/>
              <w:right w:val="single" w:color="000000" w:sz="6" w:space="0"/>
            </w:tcBorders>
            <w:noWrap w:val="0"/>
            <w:tcMar>
              <w:top w:w="0" w:type="dxa"/>
              <w:left w:w="112" w:type="dxa"/>
              <w:bottom w:w="8" w:type="dxa"/>
              <w:right w:w="112" w:type="dxa"/>
            </w:tcMar>
            <w:vAlign w:val="center"/>
          </w:tcPr>
          <w:p w14:paraId="379687EF">
            <w:pPr>
              <w:widowControl/>
              <w:spacing w:line="360" w:lineRule="atLeast"/>
              <w:jc w:val="center"/>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设计负责人</w:t>
            </w:r>
          </w:p>
        </w:tc>
        <w:tc>
          <w:tcPr>
            <w:tcW w:w="903" w:type="dxa"/>
            <w:tcBorders>
              <w:bottom w:val="single" w:color="000000" w:sz="6" w:space="0"/>
              <w:right w:val="single" w:color="000000" w:sz="6" w:space="0"/>
            </w:tcBorders>
            <w:noWrap w:val="0"/>
            <w:tcMar>
              <w:top w:w="0" w:type="dxa"/>
              <w:left w:w="105" w:type="dxa"/>
              <w:bottom w:w="8" w:type="dxa"/>
              <w:right w:w="112" w:type="dxa"/>
            </w:tcMar>
            <w:vAlign w:val="center"/>
          </w:tcPr>
          <w:p w14:paraId="3BE42789">
            <w:pPr>
              <w:widowControl/>
              <w:spacing w:line="360" w:lineRule="atLeast"/>
              <w:jc w:val="center"/>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1</w:t>
            </w:r>
          </w:p>
        </w:tc>
        <w:tc>
          <w:tcPr>
            <w:tcW w:w="6393" w:type="dxa"/>
            <w:tcBorders>
              <w:bottom w:val="single" w:color="000000" w:sz="6" w:space="0"/>
              <w:right w:val="single" w:color="000000" w:sz="6" w:space="0"/>
            </w:tcBorders>
            <w:noWrap w:val="0"/>
            <w:tcMar>
              <w:top w:w="0" w:type="dxa"/>
              <w:left w:w="105" w:type="dxa"/>
              <w:bottom w:w="8" w:type="dxa"/>
              <w:right w:w="112" w:type="dxa"/>
            </w:tcMar>
            <w:vAlign w:val="center"/>
          </w:tcPr>
          <w:p w14:paraId="4C5B0B11">
            <w:pPr>
              <w:widowControl/>
              <w:spacing w:before="240" w:after="240" w:line="360" w:lineRule="atLeast"/>
              <w:jc w:val="left"/>
              <w:rPr>
                <w:rFonts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lang w:val="en-US" w:eastAsia="zh-CN"/>
              </w:rPr>
              <w:t>同时</w:t>
            </w:r>
            <w:r>
              <w:rPr>
                <w:rFonts w:ascii="宋体" w:hAnsi="宋体" w:eastAsia="宋体" w:cs="宋体"/>
                <w:b w:val="0"/>
                <w:bCs w:val="0"/>
                <w:i w:val="0"/>
                <w:iCs w:val="0"/>
                <w:smallCaps w:val="0"/>
                <w:color w:val="000000"/>
                <w:kern w:val="0"/>
                <w:sz w:val="24"/>
                <w:szCs w:val="24"/>
              </w:rPr>
              <w:t>具备：</w:t>
            </w:r>
          </w:p>
          <w:p w14:paraId="0637E0FE">
            <w:pPr>
              <w:widowControl/>
              <w:numPr>
                <w:ilvl w:val="0"/>
                <w:numId w:val="0"/>
              </w:numPr>
              <w:spacing w:before="240" w:after="240" w:line="360" w:lineRule="atLeast"/>
              <w:jc w:val="left"/>
            </w:pPr>
            <w:r>
              <w:rPr>
                <w:rFonts w:hint="eastAsia" w:ascii="宋体" w:hAnsi="宋体" w:eastAsia="宋体" w:cs="宋体"/>
                <w:b w:val="0"/>
                <w:bCs w:val="0"/>
                <w:i w:val="0"/>
                <w:iCs w:val="0"/>
                <w:smallCaps w:val="0"/>
                <w:color w:val="000000"/>
                <w:kern w:val="0"/>
                <w:sz w:val="24"/>
                <w:szCs w:val="24"/>
                <w:lang w:eastAsia="zh-CN"/>
              </w:rPr>
              <w:t>（</w:t>
            </w:r>
            <w:r>
              <w:rPr>
                <w:rFonts w:hint="eastAsia" w:ascii="宋体" w:hAnsi="宋体" w:eastAsia="宋体" w:cs="宋体"/>
                <w:b w:val="0"/>
                <w:bCs w:val="0"/>
                <w:i w:val="0"/>
                <w:iCs w:val="0"/>
                <w:smallCaps w:val="0"/>
                <w:color w:val="000000"/>
                <w:kern w:val="0"/>
                <w:sz w:val="24"/>
                <w:szCs w:val="24"/>
                <w:lang w:val="en-US" w:eastAsia="zh-CN"/>
              </w:rPr>
              <w:t>1）</w:t>
            </w:r>
            <w:r>
              <w:rPr>
                <w:rFonts w:ascii="宋体" w:hAnsi="宋体" w:eastAsia="宋体" w:cs="宋体"/>
                <w:b w:val="0"/>
                <w:bCs w:val="0"/>
                <w:i w:val="0"/>
                <w:iCs w:val="0"/>
                <w:smallCaps w:val="0"/>
                <w:color w:val="000000"/>
                <w:kern w:val="0"/>
                <w:sz w:val="24"/>
                <w:szCs w:val="24"/>
              </w:rPr>
              <w:t>高级工程师</w:t>
            </w:r>
            <w:r>
              <w:rPr>
                <w:rFonts w:hint="eastAsia" w:ascii="宋体" w:hAnsi="宋体" w:eastAsia="宋体" w:cs="宋体"/>
                <w:b w:val="0"/>
                <w:bCs w:val="0"/>
                <w:i w:val="0"/>
                <w:iCs w:val="0"/>
                <w:smallCaps w:val="0"/>
                <w:color w:val="000000"/>
                <w:kern w:val="0"/>
                <w:sz w:val="24"/>
                <w:szCs w:val="24"/>
                <w:lang w:val="en-US" w:eastAsia="zh-CN"/>
              </w:rPr>
              <w:t>职称（公路工程专业）；</w:t>
            </w:r>
          </w:p>
          <w:p w14:paraId="3C7C6830">
            <w:pPr>
              <w:widowControl/>
              <w:spacing w:before="240" w:after="240" w:line="360" w:lineRule="atLeast"/>
              <w:jc w:val="left"/>
            </w:pP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2）</w:t>
            </w:r>
            <w:r>
              <w:rPr>
                <w:rFonts w:hint="default" w:ascii="宋体" w:hAnsi="宋体" w:eastAsia="宋体" w:cs="宋体"/>
                <w:color w:val="000000"/>
                <w:kern w:val="0"/>
                <w:sz w:val="24"/>
                <w:szCs w:val="24"/>
              </w:rPr>
              <w:t>近</w:t>
            </w:r>
            <w:r>
              <w:rPr>
                <w:rFonts w:hint="eastAsia" w:ascii="宋体" w:hAnsi="宋体" w:eastAsia="宋体" w:cs="宋体"/>
                <w:color w:val="000000"/>
                <w:kern w:val="0"/>
                <w:sz w:val="24"/>
                <w:szCs w:val="24"/>
                <w:lang w:val="en-US" w:eastAsia="zh-CN"/>
              </w:rPr>
              <w:t>10</w:t>
            </w:r>
            <w:r>
              <w:rPr>
                <w:rFonts w:hint="default" w:ascii="宋体" w:hAnsi="宋体" w:eastAsia="宋体" w:cs="宋体"/>
                <w:color w:val="000000"/>
                <w:kern w:val="0"/>
                <w:sz w:val="24"/>
                <w:szCs w:val="24"/>
              </w:rPr>
              <w:t>年</w:t>
            </w:r>
            <w:r>
              <w:rPr>
                <w:rFonts w:hint="eastAsia" w:ascii="宋体" w:hAnsi="宋体" w:eastAsia="宋体" w:cs="宋体"/>
                <w:color w:val="000000"/>
                <w:kern w:val="0"/>
                <w:sz w:val="24"/>
                <w:szCs w:val="24"/>
                <w:lang w:val="en-US" w:eastAsia="zh-CN"/>
              </w:rPr>
              <w:t>内作为项目负责人主持</w:t>
            </w:r>
            <w:r>
              <w:rPr>
                <w:rFonts w:hint="default" w:ascii="宋体" w:hAnsi="宋体" w:eastAsia="宋体" w:cs="宋体"/>
                <w:color w:val="000000"/>
                <w:kern w:val="0"/>
                <w:sz w:val="24"/>
                <w:szCs w:val="24"/>
              </w:rPr>
              <w:t>过1条新建</w:t>
            </w:r>
            <w:r>
              <w:rPr>
                <w:rFonts w:hint="eastAsia" w:ascii="宋体" w:hAnsi="宋体" w:eastAsia="宋体" w:cs="宋体"/>
                <w:color w:val="000000"/>
                <w:kern w:val="0"/>
                <w:sz w:val="24"/>
                <w:szCs w:val="24"/>
                <w:lang w:val="en-US" w:eastAsia="zh-CN"/>
              </w:rPr>
              <w:t>或改扩建二级及以上等级公路的勘察设计工作。</w:t>
            </w:r>
          </w:p>
        </w:tc>
      </w:tr>
      <w:tr w14:paraId="1BAE2DF2">
        <w:tblPrEx>
          <w:tblCellMar>
            <w:top w:w="15" w:type="dxa"/>
            <w:left w:w="15" w:type="dxa"/>
            <w:bottom w:w="15" w:type="dxa"/>
            <w:right w:w="15" w:type="dxa"/>
          </w:tblCellMar>
        </w:tblPrEx>
        <w:trPr>
          <w:cantSplit/>
          <w:trHeight w:val="825" w:hRule="atLeast"/>
          <w:tblCellSpacing w:w="15" w:type="dxa"/>
        </w:trPr>
        <w:tc>
          <w:tcPr>
            <w:tcW w:w="1542" w:type="dxa"/>
            <w:tcBorders>
              <w:left w:val="single" w:color="000000" w:sz="6" w:space="0"/>
              <w:bottom w:val="single" w:color="000000" w:sz="6" w:space="0"/>
              <w:right w:val="single" w:color="000000" w:sz="6" w:space="0"/>
            </w:tcBorders>
            <w:noWrap w:val="0"/>
            <w:tcMar>
              <w:top w:w="0" w:type="dxa"/>
              <w:left w:w="112" w:type="dxa"/>
              <w:bottom w:w="8" w:type="dxa"/>
              <w:right w:w="112" w:type="dxa"/>
            </w:tcMar>
            <w:vAlign w:val="center"/>
          </w:tcPr>
          <w:p w14:paraId="2DDCF2EE">
            <w:pPr>
              <w:widowControl/>
              <w:spacing w:line="360" w:lineRule="atLeast"/>
              <w:jc w:val="center"/>
              <w:rPr>
                <w:rFonts w:ascii="宋体" w:hAnsi="宋体" w:eastAsia="宋体" w:cs="宋体"/>
                <w:b w:val="0"/>
                <w:bCs w:val="0"/>
                <w:i w:val="0"/>
                <w:iCs w:val="0"/>
                <w:smallCaps w:val="0"/>
                <w:color w:val="000000"/>
                <w:kern w:val="0"/>
                <w:sz w:val="24"/>
                <w:szCs w:val="24"/>
              </w:rPr>
            </w:pPr>
            <w:r>
              <w:rPr>
                <w:rFonts w:hint="eastAsia" w:ascii="宋体" w:hAnsi="宋体" w:eastAsia="宋体" w:cs="宋体"/>
                <w:b w:val="0"/>
                <w:bCs w:val="0"/>
                <w:i w:val="0"/>
                <w:iCs w:val="0"/>
                <w:smallCaps w:val="0"/>
                <w:color w:val="000000"/>
                <w:kern w:val="0"/>
                <w:sz w:val="24"/>
                <w:szCs w:val="24"/>
                <w:lang w:val="en-US" w:eastAsia="zh-CN"/>
              </w:rPr>
              <w:t>专职</w:t>
            </w:r>
            <w:r>
              <w:rPr>
                <w:rFonts w:ascii="宋体" w:hAnsi="宋体" w:eastAsia="宋体" w:cs="宋体"/>
                <w:b w:val="0"/>
                <w:bCs w:val="0"/>
                <w:i w:val="0"/>
                <w:iCs w:val="0"/>
                <w:smallCaps w:val="0"/>
                <w:color w:val="000000"/>
                <w:kern w:val="0"/>
                <w:sz w:val="24"/>
                <w:szCs w:val="24"/>
              </w:rPr>
              <w:t>安全</w:t>
            </w:r>
            <w:r>
              <w:rPr>
                <w:rFonts w:hint="eastAsia" w:ascii="宋体" w:hAnsi="宋体" w:eastAsia="宋体" w:cs="宋体"/>
                <w:b w:val="0"/>
                <w:bCs w:val="0"/>
                <w:i w:val="0"/>
                <w:iCs w:val="0"/>
                <w:smallCaps w:val="0"/>
                <w:color w:val="000000"/>
                <w:kern w:val="0"/>
                <w:sz w:val="24"/>
                <w:szCs w:val="24"/>
                <w:lang w:val="en-US" w:eastAsia="zh-CN"/>
              </w:rPr>
              <w:t>生产</w:t>
            </w:r>
            <w:r>
              <w:rPr>
                <w:rFonts w:ascii="宋体" w:hAnsi="宋体" w:eastAsia="宋体" w:cs="宋体"/>
                <w:b w:val="0"/>
                <w:bCs w:val="0"/>
                <w:i w:val="0"/>
                <w:iCs w:val="0"/>
                <w:smallCaps w:val="0"/>
                <w:color w:val="000000"/>
                <w:kern w:val="0"/>
                <w:sz w:val="24"/>
                <w:szCs w:val="24"/>
              </w:rPr>
              <w:t>管理</w:t>
            </w:r>
            <w:r>
              <w:rPr>
                <w:rFonts w:hint="eastAsia" w:ascii="宋体" w:hAnsi="宋体" w:eastAsia="宋体" w:cs="宋体"/>
                <w:b w:val="0"/>
                <w:bCs w:val="0"/>
                <w:i w:val="0"/>
                <w:iCs w:val="0"/>
                <w:smallCaps w:val="0"/>
                <w:color w:val="000000"/>
                <w:kern w:val="0"/>
                <w:sz w:val="24"/>
                <w:szCs w:val="24"/>
                <w:lang w:val="en-US" w:eastAsia="zh-CN"/>
              </w:rPr>
              <w:t>负责人</w:t>
            </w:r>
          </w:p>
        </w:tc>
        <w:tc>
          <w:tcPr>
            <w:tcW w:w="903" w:type="dxa"/>
            <w:tcBorders>
              <w:bottom w:val="single" w:color="000000" w:sz="6" w:space="0"/>
              <w:right w:val="single" w:color="000000" w:sz="6" w:space="0"/>
            </w:tcBorders>
            <w:noWrap w:val="0"/>
            <w:tcMar>
              <w:top w:w="0" w:type="dxa"/>
              <w:left w:w="105" w:type="dxa"/>
              <w:bottom w:w="8" w:type="dxa"/>
              <w:right w:w="112" w:type="dxa"/>
            </w:tcMar>
            <w:vAlign w:val="center"/>
          </w:tcPr>
          <w:p w14:paraId="77E67356">
            <w:pPr>
              <w:widowControl/>
              <w:spacing w:line="360" w:lineRule="atLeast"/>
              <w:jc w:val="center"/>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1</w:t>
            </w:r>
          </w:p>
        </w:tc>
        <w:tc>
          <w:tcPr>
            <w:tcW w:w="6393" w:type="dxa"/>
            <w:tcBorders>
              <w:bottom w:val="single" w:color="000000" w:sz="6" w:space="0"/>
              <w:right w:val="single" w:color="000000" w:sz="6" w:space="0"/>
            </w:tcBorders>
            <w:noWrap w:val="0"/>
            <w:tcMar>
              <w:top w:w="0" w:type="dxa"/>
              <w:left w:w="105" w:type="dxa"/>
              <w:bottom w:w="8" w:type="dxa"/>
              <w:right w:w="112" w:type="dxa"/>
            </w:tcMar>
            <w:vAlign w:val="center"/>
          </w:tcPr>
          <w:p w14:paraId="1A16D331">
            <w:pPr>
              <w:widowControl/>
              <w:spacing w:line="360" w:lineRule="atLeast"/>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持有</w:t>
            </w:r>
            <w:r>
              <w:rPr>
                <w:rFonts w:hint="eastAsia" w:ascii="宋体" w:hAnsi="宋体" w:eastAsia="宋体" w:cs="宋体"/>
                <w:b w:val="0"/>
                <w:bCs w:val="0"/>
                <w:i w:val="0"/>
                <w:iCs w:val="0"/>
                <w:smallCaps w:val="0"/>
                <w:color w:val="000000"/>
                <w:kern w:val="0"/>
                <w:sz w:val="24"/>
                <w:szCs w:val="24"/>
                <w:lang w:val="en-US" w:eastAsia="zh-CN"/>
              </w:rPr>
              <w:t>交通主管部门</w:t>
            </w:r>
            <w:r>
              <w:rPr>
                <w:rFonts w:ascii="宋体" w:hAnsi="宋体" w:eastAsia="宋体" w:cs="宋体"/>
                <w:b w:val="0"/>
                <w:bCs w:val="0"/>
                <w:i w:val="0"/>
                <w:iCs w:val="0"/>
                <w:smallCaps w:val="0"/>
                <w:color w:val="000000"/>
                <w:kern w:val="0"/>
                <w:sz w:val="24"/>
                <w:szCs w:val="24"/>
              </w:rPr>
              <w:t>颁发的安全生产“三类人员”C类证书。</w:t>
            </w:r>
          </w:p>
        </w:tc>
      </w:tr>
    </w:tbl>
    <w:p w14:paraId="112AF7F9">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lang w:val="en-US" w:eastAsia="zh-CN" w:bidi="ar-SA"/>
        </w:rPr>
      </w:pPr>
      <w:r>
        <w:rPr>
          <w:rFonts w:hint="eastAsia" w:ascii="宋体" w:hAnsi="宋体" w:eastAsia="宋体" w:cs="宋体"/>
          <w:b w:val="0"/>
          <w:bCs w:val="0"/>
          <w:i w:val="0"/>
          <w:iCs w:val="0"/>
          <w:smallCaps w:val="0"/>
          <w:color w:val="000000"/>
          <w:kern w:val="0"/>
          <w:sz w:val="24"/>
          <w:szCs w:val="24"/>
          <w:lang w:val="en-US" w:eastAsia="zh-CN" w:bidi="ar-SA"/>
        </w:rPr>
        <w:t>注：</w:t>
      </w:r>
    </w:p>
    <w:p w14:paraId="6E6B7408">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lang w:val="en-US" w:eastAsia="zh-CN" w:bidi="ar-SA"/>
        </w:rPr>
      </w:pPr>
      <w:r>
        <w:rPr>
          <w:rFonts w:hint="eastAsia" w:ascii="宋体" w:hAnsi="宋体" w:eastAsia="宋体" w:cs="宋体"/>
          <w:b w:val="0"/>
          <w:bCs w:val="0"/>
          <w:i w:val="0"/>
          <w:iCs w:val="0"/>
          <w:smallCaps w:val="0"/>
          <w:color w:val="000000"/>
          <w:kern w:val="0"/>
          <w:sz w:val="24"/>
          <w:szCs w:val="24"/>
          <w:lang w:val="en-US" w:eastAsia="zh-CN" w:bidi="ar-SA"/>
        </w:rPr>
        <w:t>1、投标人应填报投标文件格式资格审查资料“拟委任的项目负责人</w:t>
      </w:r>
      <w:r>
        <w:rPr>
          <w:rFonts w:hint="default" w:ascii="宋体" w:hAnsi="宋体" w:eastAsia="宋体" w:cs="宋体"/>
          <w:b w:val="0"/>
          <w:bCs w:val="0"/>
          <w:i w:val="0"/>
          <w:iCs w:val="0"/>
          <w:smallCaps w:val="0"/>
          <w:color w:val="000000"/>
          <w:kern w:val="0"/>
          <w:sz w:val="24"/>
          <w:szCs w:val="24"/>
          <w:lang w:val="en-US" w:eastAsia="zh-CN" w:bidi="ar-SA"/>
        </w:rPr>
        <w:t>（兼施工负责人）</w:t>
      </w:r>
      <w:r>
        <w:rPr>
          <w:rFonts w:hint="eastAsia" w:ascii="宋体" w:hAnsi="宋体" w:eastAsia="宋体" w:cs="宋体"/>
          <w:b w:val="0"/>
          <w:bCs w:val="0"/>
          <w:i w:val="0"/>
          <w:iCs w:val="0"/>
          <w:smallCaps w:val="0"/>
          <w:color w:val="000000"/>
          <w:kern w:val="0"/>
          <w:sz w:val="24"/>
          <w:szCs w:val="24"/>
          <w:lang w:val="en-US" w:eastAsia="zh-CN" w:bidi="ar-SA"/>
        </w:rPr>
        <w:t>资历表”、“拟委任的设计负责人资历表” 、“拟委任的安全生产管理人员资历表”，并在相应表后附相应证明材料。</w:t>
      </w:r>
    </w:p>
    <w:p w14:paraId="39E94F5C">
      <w:pPr>
        <w:widowControl/>
        <w:numPr>
          <w:ilvl w:val="0"/>
          <w:numId w:val="0"/>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lang w:val="en-US" w:eastAsia="zh-CN" w:bidi="ar-SA"/>
        </w:rPr>
      </w:pPr>
      <w:r>
        <w:rPr>
          <w:rFonts w:hint="eastAsia" w:ascii="宋体" w:hAnsi="宋体" w:eastAsia="宋体" w:cs="宋体"/>
          <w:b w:val="0"/>
          <w:bCs w:val="0"/>
          <w:i w:val="0"/>
          <w:iCs w:val="0"/>
          <w:smallCaps w:val="0"/>
          <w:color w:val="000000"/>
          <w:kern w:val="0"/>
          <w:sz w:val="24"/>
          <w:szCs w:val="24"/>
          <w:lang w:val="en-US" w:eastAsia="zh-CN" w:bidi="ar-SA"/>
        </w:rPr>
        <w:t>2、证书证明材料应附：（1）有效的职称证（仅设计负责人提供）的扫描件；（2）项目负责人（兼施工负责人)、</w:t>
      </w:r>
      <w:r>
        <w:rPr>
          <w:rFonts w:hint="eastAsia" w:ascii="宋体" w:hAnsi="宋体" w:eastAsia="宋体" w:cs="宋体"/>
          <w:b w:val="0"/>
          <w:bCs w:val="0"/>
          <w:i w:val="0"/>
          <w:iCs w:val="0"/>
          <w:smallCaps w:val="0"/>
          <w:color w:val="000000"/>
          <w:kern w:val="0"/>
          <w:sz w:val="24"/>
          <w:szCs w:val="24"/>
          <w:lang w:val="en-US" w:eastAsia="zh-CN"/>
        </w:rPr>
        <w:t>专职</w:t>
      </w:r>
      <w:r>
        <w:rPr>
          <w:rFonts w:ascii="宋体" w:hAnsi="宋体" w:eastAsia="宋体" w:cs="宋体"/>
          <w:b w:val="0"/>
          <w:bCs w:val="0"/>
          <w:i w:val="0"/>
          <w:iCs w:val="0"/>
          <w:smallCaps w:val="0"/>
          <w:color w:val="000000"/>
          <w:kern w:val="0"/>
          <w:sz w:val="24"/>
          <w:szCs w:val="24"/>
        </w:rPr>
        <w:t>安全</w:t>
      </w:r>
      <w:r>
        <w:rPr>
          <w:rFonts w:hint="eastAsia" w:ascii="宋体" w:hAnsi="宋体" w:eastAsia="宋体" w:cs="宋体"/>
          <w:b w:val="0"/>
          <w:bCs w:val="0"/>
          <w:i w:val="0"/>
          <w:iCs w:val="0"/>
          <w:smallCaps w:val="0"/>
          <w:color w:val="000000"/>
          <w:kern w:val="0"/>
          <w:sz w:val="24"/>
          <w:szCs w:val="24"/>
          <w:lang w:val="en-US" w:eastAsia="zh-CN"/>
        </w:rPr>
        <w:t>生产</w:t>
      </w:r>
      <w:r>
        <w:rPr>
          <w:rFonts w:ascii="宋体" w:hAnsi="宋体" w:eastAsia="宋体" w:cs="宋体"/>
          <w:b w:val="0"/>
          <w:bCs w:val="0"/>
          <w:i w:val="0"/>
          <w:iCs w:val="0"/>
          <w:smallCaps w:val="0"/>
          <w:color w:val="000000"/>
          <w:kern w:val="0"/>
          <w:sz w:val="24"/>
          <w:szCs w:val="24"/>
        </w:rPr>
        <w:t>管理</w:t>
      </w:r>
      <w:r>
        <w:rPr>
          <w:rFonts w:hint="eastAsia" w:ascii="宋体" w:hAnsi="宋体" w:eastAsia="宋体" w:cs="宋体"/>
          <w:b w:val="0"/>
          <w:bCs w:val="0"/>
          <w:i w:val="0"/>
          <w:iCs w:val="0"/>
          <w:smallCaps w:val="0"/>
          <w:color w:val="000000"/>
          <w:kern w:val="0"/>
          <w:sz w:val="24"/>
          <w:szCs w:val="24"/>
          <w:lang w:val="en-US" w:eastAsia="zh-CN"/>
        </w:rPr>
        <w:t>负责人</w:t>
      </w:r>
      <w:r>
        <w:rPr>
          <w:rFonts w:hint="eastAsia" w:ascii="宋体" w:hAnsi="宋体" w:eastAsia="宋体" w:cs="宋体"/>
          <w:b w:val="0"/>
          <w:bCs w:val="0"/>
          <w:i w:val="0"/>
          <w:iCs w:val="0"/>
          <w:smallCaps w:val="0"/>
          <w:color w:val="000000"/>
          <w:kern w:val="0"/>
          <w:sz w:val="24"/>
          <w:szCs w:val="24"/>
          <w:lang w:val="en-US" w:eastAsia="zh-CN" w:bidi="ar-SA"/>
        </w:rPr>
        <w:t>有效的安全生产考核合格证书的扫描件；（3</w:t>
      </w:r>
      <w:r>
        <w:rPr>
          <w:rFonts w:hint="eastAsia" w:ascii="宋体" w:hAnsi="宋体" w:eastAsia="宋体" w:cs="宋体"/>
          <w:b w:val="0"/>
          <w:bCs w:val="0"/>
          <w:i w:val="0"/>
          <w:iCs w:val="0"/>
          <w:smallCaps w:val="0"/>
          <w:color w:val="000000"/>
          <w:kern w:val="0"/>
          <w:sz w:val="24"/>
          <w:szCs w:val="24"/>
          <w:highlight w:val="none"/>
          <w:lang w:val="en-US" w:eastAsia="zh-CN" w:bidi="ar-SA"/>
        </w:rPr>
        <w:t>）项目负责人（兼施工负责人)</w:t>
      </w:r>
      <w:r>
        <w:rPr>
          <w:rFonts w:hint="eastAsia" w:ascii="宋体" w:hAnsi="宋体" w:eastAsia="宋体" w:cs="宋体"/>
          <w:color w:val="000000"/>
          <w:kern w:val="0"/>
          <w:sz w:val="24"/>
          <w:szCs w:val="24"/>
          <w:highlight w:val="none"/>
        </w:rPr>
        <w:t>建造师资格仅以“全国建筑市场监管公共服务平台”（网址：http://jzsc.mohurd.gov.cn/home）的网页截图为依据，截图信息应至少包括姓名、注册单位、注册编号、本次招标要求的注册专业、有效期，如截图信息不完整或截图载明的有效期已失效，视为建造师资格无效。投标人提供了满足要求的“全国建筑市场监管公共服务平台”注册建造师网页截图的，视为项目经理具备有效的建造师资格</w:t>
      </w:r>
      <w:r>
        <w:rPr>
          <w:rFonts w:hint="eastAsia" w:ascii="宋体" w:hAnsi="宋体" w:eastAsia="宋体" w:cs="宋体"/>
          <w:color w:val="000000"/>
          <w:kern w:val="0"/>
          <w:sz w:val="24"/>
          <w:szCs w:val="24"/>
          <w:highlight w:val="none"/>
          <w:lang w:eastAsia="zh-CN"/>
        </w:rPr>
        <w:t>；（</w:t>
      </w:r>
      <w:r>
        <w:rPr>
          <w:rFonts w:hint="eastAsia" w:ascii="宋体" w:hAnsi="宋体" w:eastAsia="宋体" w:cs="宋体"/>
          <w:b w:val="0"/>
          <w:bCs w:val="0"/>
          <w:i w:val="0"/>
          <w:iCs w:val="0"/>
          <w:smallCaps w:val="0"/>
          <w:color w:val="000000"/>
          <w:kern w:val="0"/>
          <w:sz w:val="24"/>
          <w:szCs w:val="24"/>
          <w:highlight w:val="none"/>
          <w:lang w:val="en-US" w:eastAsia="zh-CN" w:bidi="ar-SA"/>
        </w:rPr>
        <w:t>4）</w:t>
      </w:r>
      <w:r>
        <w:rPr>
          <w:rFonts w:hint="eastAsia" w:ascii="宋体" w:hAnsi="宋体" w:eastAsia="宋体" w:cs="宋体"/>
          <w:color w:val="000000"/>
          <w:kern w:val="0"/>
          <w:sz w:val="24"/>
          <w:szCs w:val="24"/>
        </w:rPr>
        <w:t>投标人所属社保机构出具的拟委任的上述主要人员2025年9月份（含2025年9月份）以来任意连续3个月社保缴费证明或其他能够证明主要人员参加社保的有效证明材料扫描件。</w:t>
      </w:r>
    </w:p>
    <w:p w14:paraId="587AE6E8">
      <w:pPr>
        <w:widowControl/>
        <w:numPr>
          <w:ilvl w:val="0"/>
          <w:numId w:val="2"/>
        </w:numPr>
        <w:spacing w:before="0" w:after="0" w:line="360" w:lineRule="auto"/>
        <w:ind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投标人应按第九章投标文件格式“第一信封其他材料”中的格式要求提供“主要人员到岗承诺函”，无论主要人员是否正在其他项目任职，提供了有效的“主要人员到岗承诺函”视为该人员可以到岗履约。</w:t>
      </w:r>
    </w:p>
    <w:p w14:paraId="4F52ECFB">
      <w:pPr>
        <w:widowControl/>
        <w:numPr>
          <w:ilvl w:val="0"/>
          <w:numId w:val="2"/>
        </w:numPr>
        <w:spacing w:before="0" w:after="0" w:line="360" w:lineRule="auto"/>
        <w:ind w:firstLine="480" w:firstLineChars="200"/>
        <w:jc w:val="left"/>
        <w:rPr>
          <w:rFonts w:hint="eastAsia" w:ascii="宋体" w:hAnsi="宋体" w:eastAsia="宋体" w:cs="宋体"/>
          <w:b w:val="0"/>
          <w:bCs w:val="0"/>
          <w:i w:val="0"/>
          <w:iCs w:val="0"/>
          <w:smallCaps w:val="0"/>
          <w:color w:val="000000"/>
          <w:kern w:val="0"/>
          <w:sz w:val="24"/>
          <w:szCs w:val="24"/>
          <w:lang w:val="en-US" w:eastAsia="zh-CN" w:bidi="ar-SA"/>
        </w:rPr>
      </w:pPr>
      <w:r>
        <w:rPr>
          <w:rFonts w:hint="eastAsia" w:ascii="宋体" w:hAnsi="宋体" w:eastAsia="宋体" w:cs="宋体"/>
          <w:color w:val="000000"/>
          <w:kern w:val="0"/>
          <w:sz w:val="24"/>
          <w:szCs w:val="24"/>
        </w:rPr>
        <w:t>上述要求与投标文件格式资格审查资料</w:t>
      </w:r>
      <w:r>
        <w:rPr>
          <w:rFonts w:hint="eastAsia" w:ascii="宋体" w:hAnsi="宋体" w:eastAsia="宋体" w:cs="宋体"/>
          <w:b w:val="0"/>
          <w:bCs w:val="0"/>
          <w:i w:val="0"/>
          <w:iCs w:val="0"/>
          <w:smallCaps w:val="0"/>
          <w:color w:val="000000"/>
          <w:kern w:val="0"/>
          <w:sz w:val="24"/>
          <w:szCs w:val="24"/>
          <w:lang w:val="en-US" w:eastAsia="zh-CN" w:bidi="ar-SA"/>
        </w:rPr>
        <w:t>“拟委任的项目负责人</w:t>
      </w:r>
      <w:r>
        <w:rPr>
          <w:rFonts w:hint="default" w:ascii="宋体" w:hAnsi="宋体" w:eastAsia="宋体" w:cs="宋体"/>
          <w:b w:val="0"/>
          <w:bCs w:val="0"/>
          <w:i w:val="0"/>
          <w:iCs w:val="0"/>
          <w:smallCaps w:val="0"/>
          <w:color w:val="000000"/>
          <w:kern w:val="0"/>
          <w:sz w:val="24"/>
          <w:szCs w:val="24"/>
          <w:lang w:val="en-US" w:eastAsia="zh-CN" w:bidi="ar-SA"/>
        </w:rPr>
        <w:t>（兼施工负责人）</w:t>
      </w:r>
      <w:r>
        <w:rPr>
          <w:rFonts w:hint="eastAsia" w:ascii="宋体" w:hAnsi="宋体" w:eastAsia="宋体" w:cs="宋体"/>
          <w:b w:val="0"/>
          <w:bCs w:val="0"/>
          <w:i w:val="0"/>
          <w:iCs w:val="0"/>
          <w:smallCaps w:val="0"/>
          <w:color w:val="000000"/>
          <w:kern w:val="0"/>
          <w:sz w:val="24"/>
          <w:szCs w:val="24"/>
          <w:lang w:val="en-US" w:eastAsia="zh-CN" w:bidi="ar-SA"/>
        </w:rPr>
        <w:t>资历表”、“拟委任的设计负责人资历表” 、“拟委任的安全</w:t>
      </w:r>
      <w:r>
        <w:rPr>
          <w:rFonts w:hint="eastAsia" w:ascii="宋体" w:hAnsi="宋体" w:eastAsia="宋体" w:cs="宋体"/>
          <w:b w:val="0"/>
          <w:bCs w:val="0"/>
          <w:i w:val="0"/>
          <w:iCs w:val="0"/>
          <w:smallCaps w:val="0"/>
          <w:color w:val="000000"/>
          <w:kern w:val="0"/>
          <w:sz w:val="24"/>
          <w:szCs w:val="24"/>
          <w:lang w:val="en-US" w:eastAsia="zh-CN"/>
        </w:rPr>
        <w:t>生产</w:t>
      </w:r>
      <w:r>
        <w:rPr>
          <w:rFonts w:ascii="宋体" w:hAnsi="宋体" w:eastAsia="宋体" w:cs="宋体"/>
          <w:b w:val="0"/>
          <w:bCs w:val="0"/>
          <w:i w:val="0"/>
          <w:iCs w:val="0"/>
          <w:smallCaps w:val="0"/>
          <w:color w:val="000000"/>
          <w:kern w:val="0"/>
          <w:sz w:val="24"/>
          <w:szCs w:val="24"/>
        </w:rPr>
        <w:t>管理</w:t>
      </w:r>
      <w:r>
        <w:rPr>
          <w:rFonts w:hint="eastAsia" w:ascii="宋体" w:hAnsi="宋体" w:eastAsia="宋体" w:cs="宋体"/>
          <w:b w:val="0"/>
          <w:bCs w:val="0"/>
          <w:i w:val="0"/>
          <w:iCs w:val="0"/>
          <w:smallCaps w:val="0"/>
          <w:color w:val="000000"/>
          <w:kern w:val="0"/>
          <w:sz w:val="24"/>
          <w:szCs w:val="24"/>
          <w:lang w:val="en-US" w:eastAsia="zh-CN"/>
        </w:rPr>
        <w:t>负责人</w:t>
      </w:r>
      <w:r>
        <w:rPr>
          <w:rFonts w:hint="eastAsia" w:ascii="宋体" w:hAnsi="宋体" w:eastAsia="宋体" w:cs="宋体"/>
          <w:b w:val="0"/>
          <w:bCs w:val="0"/>
          <w:i w:val="0"/>
          <w:iCs w:val="0"/>
          <w:smallCaps w:val="0"/>
          <w:color w:val="000000"/>
          <w:kern w:val="0"/>
          <w:sz w:val="24"/>
          <w:szCs w:val="24"/>
          <w:lang w:val="en-US" w:eastAsia="zh-CN" w:bidi="ar-SA"/>
        </w:rPr>
        <w:t>资历表”</w:t>
      </w:r>
      <w:r>
        <w:rPr>
          <w:rFonts w:hint="eastAsia" w:ascii="宋体" w:hAnsi="宋体" w:eastAsia="宋体" w:cs="宋体"/>
          <w:color w:val="000000"/>
          <w:kern w:val="0"/>
          <w:sz w:val="24"/>
          <w:szCs w:val="24"/>
        </w:rPr>
        <w:t>备注的内容不一致的，以上述要求为准。</w:t>
      </w:r>
    </w:p>
    <w:p w14:paraId="43721E65">
      <w:pPr>
        <w:widowControl/>
        <w:numPr>
          <w:ilvl w:val="0"/>
          <w:numId w:val="0"/>
        </w:numPr>
        <w:spacing w:line="360" w:lineRule="auto"/>
        <w:ind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5、投标人应按照上述要求填报相应的表格，并提供相应证明材料。</w:t>
      </w:r>
    </w:p>
    <w:p w14:paraId="464CD54F">
      <w:pPr>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6、投标人填写的表格内容与证明材料内容不一致时，以证明材料内容为准，投标人填写的表格内容与证明材料内容不一致的，不属于重大偏差。</w:t>
      </w:r>
    </w:p>
    <w:p w14:paraId="6B7EA6FB">
      <w:pPr>
        <w:ind w:firstLine="480" w:firstLineChars="200"/>
        <w:rPr>
          <w:rFonts w:hint="eastAsia" w:ascii="宋体" w:hAnsi="宋体" w:eastAsia="宋体" w:cs="宋体"/>
          <w:color w:val="000000"/>
          <w:kern w:val="0"/>
          <w:sz w:val="24"/>
          <w:szCs w:val="24"/>
        </w:rPr>
      </w:pPr>
    </w:p>
    <w:p w14:paraId="2F8E595E">
      <w:pPr>
        <w:widowControl/>
        <w:adjustRightInd/>
        <w:snapToGrid/>
        <w:spacing w:before="315" w:after="315" w:line="360" w:lineRule="atLeast"/>
        <w:jc w:val="center"/>
        <w:rPr>
          <w:rFonts w:ascii="宋体" w:hAnsi="宋体" w:eastAsia="宋体" w:cs="宋体"/>
          <w:color w:val="000000"/>
          <w:kern w:val="0"/>
          <w:sz w:val="32"/>
          <w:szCs w:val="32"/>
        </w:rPr>
      </w:pPr>
      <w:r>
        <w:rPr>
          <w:rFonts w:hint="default" w:ascii="宋体" w:hAnsi="宋体" w:eastAsia="宋体" w:cs="宋体"/>
          <w:color w:val="000000"/>
          <w:kern w:val="0"/>
          <w:sz w:val="32"/>
          <w:szCs w:val="32"/>
        </w:rPr>
        <w:t>附录</w:t>
      </w:r>
      <w:r>
        <w:rPr>
          <w:rFonts w:hint="eastAsia" w:ascii="宋体" w:hAnsi="宋体" w:eastAsia="宋体" w:cs="宋体"/>
          <w:color w:val="000000"/>
          <w:kern w:val="0"/>
          <w:sz w:val="32"/>
          <w:szCs w:val="32"/>
          <w:lang w:val="en-US" w:eastAsia="zh-CN"/>
        </w:rPr>
        <w:t>5</w:t>
      </w:r>
      <w:r>
        <w:rPr>
          <w:rFonts w:hint="default" w:ascii="宋体" w:hAnsi="宋体" w:eastAsia="宋体" w:cs="宋体"/>
          <w:color w:val="000000"/>
          <w:kern w:val="0"/>
          <w:sz w:val="32"/>
          <w:szCs w:val="32"/>
        </w:rPr>
        <w:t xml:space="preserve">  资格审查条件(政府采购特别资格要求)（如有）</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3"/>
      </w:tblGrid>
      <w:tr w14:paraId="241F6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3" w:hRule="atLeast"/>
          <w:jc w:val="center"/>
        </w:trPr>
        <w:tc>
          <w:tcPr>
            <w:tcW w:w="8363" w:type="dxa"/>
            <w:tcBorders>
              <w:top w:val="single" w:color="auto" w:sz="4" w:space="0"/>
              <w:left w:val="single" w:color="auto" w:sz="4" w:space="0"/>
              <w:bottom w:val="single" w:color="auto" w:sz="4" w:space="0"/>
              <w:right w:val="single" w:color="auto" w:sz="4" w:space="0"/>
            </w:tcBorders>
            <w:noWrap w:val="0"/>
            <w:vAlign w:val="center"/>
          </w:tcPr>
          <w:p w14:paraId="4CB0AFE8">
            <w:pPr>
              <w:widowControl/>
              <w:adjustRightInd/>
              <w:snapToGrid/>
              <w:spacing w:before="240" w:after="240" w:line="360" w:lineRule="atLeast"/>
              <w:jc w:val="center"/>
              <w:rPr>
                <w:rFonts w:ascii="宋体" w:hAnsi="宋体" w:eastAsia="宋体" w:cs="宋体"/>
                <w:color w:val="000000"/>
                <w:kern w:val="0"/>
                <w:sz w:val="24"/>
                <w:szCs w:val="24"/>
              </w:rPr>
            </w:pPr>
            <w:r>
              <w:rPr>
                <w:rFonts w:hint="default" w:ascii="宋体" w:hAnsi="宋体" w:eastAsia="宋体" w:cs="宋体"/>
                <w:color w:val="000000"/>
                <w:kern w:val="0"/>
                <w:sz w:val="24"/>
                <w:szCs w:val="24"/>
              </w:rPr>
              <w:t>政府采购特别资格要求</w:t>
            </w:r>
          </w:p>
        </w:tc>
      </w:tr>
      <w:tr w14:paraId="331C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1" w:hRule="atLeast"/>
          <w:jc w:val="center"/>
        </w:trPr>
        <w:tc>
          <w:tcPr>
            <w:tcW w:w="8363" w:type="dxa"/>
            <w:tcBorders>
              <w:top w:val="single" w:color="auto" w:sz="4" w:space="0"/>
              <w:left w:val="single" w:color="auto" w:sz="4" w:space="0"/>
              <w:bottom w:val="single" w:color="auto" w:sz="4" w:space="0"/>
              <w:right w:val="single" w:color="auto" w:sz="4" w:space="0"/>
            </w:tcBorders>
            <w:noWrap w:val="0"/>
            <w:vAlign w:val="top"/>
          </w:tcPr>
          <w:p w14:paraId="58C7B903">
            <w:pPr>
              <w:widowControl/>
              <w:autoSpaceDE/>
              <w:autoSpaceDN/>
              <w:spacing w:before="240" w:after="240" w:line="360" w:lineRule="atLeast"/>
              <w:jc w:val="left"/>
              <w:rPr>
                <w:rFonts w:ascii="宋体" w:hAnsi="宋体" w:eastAsia="宋体" w:cs="宋体"/>
                <w:color w:val="000000"/>
                <w:kern w:val="0"/>
                <w:sz w:val="24"/>
                <w:szCs w:val="24"/>
                <w:u w:val="none"/>
              </w:rPr>
            </w:pPr>
            <w:r>
              <w:rPr>
                <w:rFonts w:hint="default" w:ascii="宋体" w:hAnsi="宋体" w:eastAsia="宋体" w:cs="宋体"/>
                <w:color w:val="000000"/>
                <w:kern w:val="0"/>
                <w:sz w:val="24"/>
                <w:szCs w:val="24"/>
                <w:u w:val="none"/>
              </w:rPr>
              <w:t>□采购项目整体预留专门面向中小企业采购。</w:t>
            </w:r>
          </w:p>
          <w:p w14:paraId="1E33DAC5">
            <w:pPr>
              <w:widowControl/>
              <w:autoSpaceDE/>
              <w:autoSpaceDN/>
              <w:spacing w:before="240" w:after="240" w:line="360" w:lineRule="atLeast"/>
              <w:jc w:val="left"/>
              <w:rPr>
                <w:rFonts w:ascii="宋体" w:hAnsi="宋体" w:eastAsia="宋体" w:cs="宋体"/>
                <w:color w:val="000000"/>
                <w:kern w:val="0"/>
                <w:sz w:val="24"/>
                <w:szCs w:val="24"/>
                <w:u w:val="none"/>
              </w:rPr>
            </w:pPr>
            <w:r>
              <w:rPr>
                <w:rFonts w:hint="default" w:ascii="宋体" w:hAnsi="宋体" w:eastAsia="宋体" w:cs="宋体"/>
                <w:color w:val="000000"/>
                <w:kern w:val="0"/>
                <w:sz w:val="24"/>
                <w:szCs w:val="24"/>
                <w:u w:val="none"/>
              </w:rPr>
              <w:t>□采购项目整体预留专门面向小微企业采购。</w:t>
            </w:r>
          </w:p>
          <w:p w14:paraId="4A6688BD">
            <w:pPr>
              <w:widowControl/>
              <w:autoSpaceDE/>
              <w:autoSpaceDN/>
              <w:spacing w:before="240" w:after="240" w:line="360" w:lineRule="atLeast"/>
              <w:jc w:val="left"/>
              <w:rPr>
                <w:rFonts w:ascii="宋体" w:hAnsi="宋体" w:eastAsia="宋体" w:cs="宋体"/>
                <w:color w:val="000000"/>
                <w:kern w:val="0"/>
                <w:sz w:val="24"/>
                <w:szCs w:val="24"/>
                <w:u w:val="none"/>
              </w:rPr>
            </w:pPr>
            <w:r>
              <w:rPr>
                <w:rFonts w:hint="default" w:ascii="宋体" w:hAnsi="宋体" w:eastAsia="宋体" w:cs="宋体"/>
                <w:color w:val="000000"/>
                <w:kern w:val="0"/>
                <w:sz w:val="24"/>
                <w:szCs w:val="24"/>
                <w:u w:val="none"/>
              </w:rPr>
              <w:t>□采购项目部分预留专门面向中小企业采购。</w:t>
            </w:r>
          </w:p>
          <w:p w14:paraId="439507A0">
            <w:pPr>
              <w:widowControl/>
              <w:autoSpaceDE/>
              <w:autoSpaceDN/>
              <w:spacing w:before="240" w:after="240" w:line="360" w:lineRule="atLeast"/>
              <w:jc w:val="left"/>
              <w:rPr>
                <w:rFonts w:ascii="宋体" w:hAnsi="宋体" w:eastAsia="宋体" w:cs="宋体"/>
                <w:color w:val="000000"/>
                <w:kern w:val="0"/>
                <w:sz w:val="24"/>
                <w:szCs w:val="24"/>
                <w:u w:val="none"/>
              </w:rPr>
            </w:pPr>
            <w:r>
              <w:rPr>
                <w:rFonts w:hint="default" w:ascii="宋体" w:hAnsi="宋体" w:eastAsia="宋体" w:cs="宋体"/>
                <w:color w:val="000000"/>
                <w:kern w:val="0"/>
                <w:sz w:val="24"/>
                <w:szCs w:val="24"/>
                <w:u w:val="none"/>
              </w:rPr>
              <w:t xml:space="preserve">要求大企业与中小企业组成联合体的形式参加投标，且联合体中中小企业承担的部分达到项目合同总金额的  </w:t>
            </w:r>
            <w:r>
              <w:rPr>
                <w:rFonts w:ascii="宋体" w:hAnsi="宋体" w:eastAsia="宋体" w:cs="宋体"/>
                <w:color w:val="000000"/>
                <w:kern w:val="0"/>
                <w:sz w:val="24"/>
                <w:szCs w:val="24"/>
                <w:u w:val="none"/>
              </w:rPr>
              <w:t>%</w:t>
            </w:r>
            <w:r>
              <w:rPr>
                <w:rFonts w:hint="default" w:ascii="宋体" w:hAnsi="宋体" w:eastAsia="宋体" w:cs="宋体"/>
                <w:color w:val="000000"/>
                <w:kern w:val="0"/>
                <w:sz w:val="24"/>
                <w:szCs w:val="24"/>
                <w:u w:val="none"/>
              </w:rPr>
              <w:t xml:space="preserve">以上，其中小微企业承担的比例不低于  </w:t>
            </w:r>
            <w:r>
              <w:rPr>
                <w:rFonts w:ascii="宋体" w:hAnsi="宋体" w:eastAsia="宋体" w:cs="宋体"/>
                <w:color w:val="000000"/>
                <w:kern w:val="0"/>
                <w:sz w:val="24"/>
                <w:szCs w:val="24"/>
                <w:u w:val="none"/>
              </w:rPr>
              <w:t>%</w:t>
            </w:r>
            <w:r>
              <w:rPr>
                <w:rFonts w:hint="default" w:ascii="宋体" w:hAnsi="宋体" w:eastAsia="宋体" w:cs="宋体"/>
                <w:color w:val="000000"/>
                <w:kern w:val="0"/>
                <w:sz w:val="24"/>
                <w:szCs w:val="24"/>
                <w:u w:val="none"/>
              </w:rPr>
              <w:t>。组成联合体的中小企业与联合体内其他企业之间不得存在直接控股、管理关系。（前述比例由招标人根据项目的具体情况约定）</w:t>
            </w:r>
          </w:p>
          <w:p w14:paraId="7210B293">
            <w:pPr>
              <w:widowControl/>
              <w:autoSpaceDE/>
              <w:autoSpaceDN/>
              <w:spacing w:before="240" w:after="240" w:line="360" w:lineRule="atLeast"/>
              <w:jc w:val="left"/>
              <w:rPr>
                <w:rFonts w:ascii="宋体" w:hAnsi="宋体" w:eastAsia="宋体" w:cs="宋体"/>
                <w:color w:val="000000"/>
                <w:kern w:val="0"/>
                <w:sz w:val="24"/>
                <w:szCs w:val="24"/>
                <w:u w:val="none"/>
              </w:rPr>
            </w:pPr>
            <w:r>
              <w:rPr>
                <w:rFonts w:hint="default" w:ascii="宋体" w:hAnsi="宋体" w:eastAsia="宋体" w:cs="宋体"/>
                <w:color w:val="000000"/>
                <w:kern w:val="0"/>
                <w:sz w:val="24"/>
                <w:szCs w:val="24"/>
                <w:u w:val="none"/>
              </w:rPr>
              <w:t>□采购项目部分预留专门面向中小企业采购。</w:t>
            </w:r>
          </w:p>
          <w:p w14:paraId="602D9898">
            <w:pPr>
              <w:widowControl/>
              <w:autoSpaceDE/>
              <w:autoSpaceDN/>
              <w:spacing w:before="240" w:after="240" w:line="360" w:lineRule="atLeast"/>
              <w:jc w:val="left"/>
              <w:rPr>
                <w:rFonts w:ascii="宋体" w:hAnsi="宋体" w:eastAsia="宋体" w:cs="宋体"/>
                <w:color w:val="000000"/>
                <w:kern w:val="0"/>
                <w:sz w:val="24"/>
                <w:szCs w:val="24"/>
                <w:u w:val="none"/>
              </w:rPr>
            </w:pPr>
            <w:r>
              <w:rPr>
                <w:rFonts w:hint="default" w:ascii="宋体" w:hAnsi="宋体" w:eastAsia="宋体" w:cs="宋体"/>
                <w:color w:val="000000"/>
                <w:kern w:val="0"/>
                <w:sz w:val="24"/>
                <w:szCs w:val="24"/>
                <w:u w:val="none"/>
              </w:rPr>
              <w:t xml:space="preserve">要求大企业向中小企业分包的形式参加投标，且接受分包的中小企业承担的部分达到项目合同总金额的  </w:t>
            </w:r>
            <w:r>
              <w:rPr>
                <w:rFonts w:ascii="宋体" w:hAnsi="宋体" w:eastAsia="宋体" w:cs="宋体"/>
                <w:color w:val="000000"/>
                <w:kern w:val="0"/>
                <w:sz w:val="24"/>
                <w:szCs w:val="24"/>
                <w:u w:val="none"/>
              </w:rPr>
              <w:t>%</w:t>
            </w:r>
            <w:r>
              <w:rPr>
                <w:rFonts w:hint="default" w:ascii="宋体" w:hAnsi="宋体" w:eastAsia="宋体" w:cs="宋体"/>
                <w:color w:val="000000"/>
                <w:kern w:val="0"/>
                <w:sz w:val="24"/>
                <w:szCs w:val="24"/>
                <w:u w:val="none"/>
              </w:rPr>
              <w:t xml:space="preserve">以上，其中接受分包的小微企业承担的比例不低于  </w:t>
            </w:r>
            <w:r>
              <w:rPr>
                <w:rFonts w:ascii="宋体" w:hAnsi="宋体" w:eastAsia="宋体" w:cs="宋体"/>
                <w:color w:val="000000"/>
                <w:kern w:val="0"/>
                <w:sz w:val="24"/>
                <w:szCs w:val="24"/>
                <w:u w:val="none"/>
              </w:rPr>
              <w:t>%</w:t>
            </w:r>
            <w:r>
              <w:rPr>
                <w:rFonts w:hint="default" w:ascii="宋体" w:hAnsi="宋体" w:eastAsia="宋体" w:cs="宋体"/>
                <w:color w:val="000000"/>
                <w:kern w:val="0"/>
                <w:sz w:val="24"/>
                <w:szCs w:val="24"/>
                <w:u w:val="none"/>
              </w:rPr>
              <w:t>。接受分包合同的中小企业与分包企业之间不得存在直接控股、管理关系。（前述比例由招标人根据项目的具体情况约定）</w:t>
            </w:r>
          </w:p>
          <w:p w14:paraId="4DC775F8">
            <w:pPr>
              <w:widowControl/>
              <w:autoSpaceDE/>
              <w:autoSpaceDN/>
              <w:spacing w:before="240" w:after="240" w:line="360" w:lineRule="atLeast"/>
              <w:jc w:val="left"/>
              <w:rPr>
                <w:rFonts w:ascii="宋体" w:hAnsi="宋体" w:eastAsia="宋体" w:cs="宋体"/>
                <w:color w:val="000000"/>
                <w:kern w:val="0"/>
                <w:sz w:val="24"/>
                <w:szCs w:val="24"/>
                <w:u w:val="none"/>
              </w:rPr>
            </w:pPr>
            <w:r>
              <w:rPr>
                <w:rFonts w:hint="eastAsia" w:ascii="宋体" w:hAnsi="宋体" w:eastAsia="宋体" w:cs="宋体"/>
                <w:color w:val="000000"/>
                <w:kern w:val="0"/>
                <w:sz w:val="24"/>
                <w:szCs w:val="24"/>
                <w:u w:val="none"/>
                <w:lang w:eastAsia="zh-CN"/>
              </w:rPr>
              <w:t>☑</w:t>
            </w:r>
            <w:r>
              <w:rPr>
                <w:rFonts w:hint="default" w:ascii="宋体" w:hAnsi="宋体" w:eastAsia="宋体" w:cs="宋体"/>
                <w:color w:val="000000"/>
                <w:kern w:val="0"/>
                <w:sz w:val="24"/>
                <w:szCs w:val="24"/>
                <w:u w:val="none"/>
              </w:rPr>
              <w:t>采购项目未预留份额专门面向中小企业采购。</w:t>
            </w:r>
          </w:p>
          <w:p w14:paraId="5B9B1213">
            <w:pPr>
              <w:widowControl/>
              <w:autoSpaceDE/>
              <w:autoSpaceDN/>
              <w:spacing w:before="240" w:after="240" w:line="360" w:lineRule="atLeast"/>
              <w:jc w:val="left"/>
              <w:rPr>
                <w:rFonts w:ascii="宋体" w:hAnsi="宋体" w:eastAsia="宋体" w:cs="宋体"/>
                <w:color w:val="000000"/>
                <w:kern w:val="0"/>
                <w:sz w:val="24"/>
                <w:szCs w:val="24"/>
                <w:u w:val="none"/>
              </w:rPr>
            </w:pPr>
            <w:r>
              <w:rPr>
                <w:rFonts w:hint="default" w:ascii="宋体" w:hAnsi="宋体" w:eastAsia="宋体" w:cs="宋体"/>
                <w:color w:val="000000"/>
                <w:kern w:val="0"/>
                <w:sz w:val="24"/>
                <w:szCs w:val="24"/>
                <w:u w:val="none"/>
              </w:rPr>
              <w:t>不接受/接受大中型企业与小微企业组成联合体。</w:t>
            </w:r>
          </w:p>
          <w:p w14:paraId="0BC8E920">
            <w:pPr>
              <w:widowControl/>
              <w:autoSpaceDE/>
              <w:autoSpaceDN/>
              <w:spacing w:before="240" w:after="240" w:line="360" w:lineRule="atLeast"/>
              <w:jc w:val="left"/>
              <w:rPr>
                <w:rFonts w:ascii="宋体" w:hAnsi="宋体" w:eastAsia="宋体" w:cs="宋体"/>
                <w:color w:val="000000"/>
                <w:kern w:val="0"/>
                <w:sz w:val="24"/>
                <w:szCs w:val="24"/>
              </w:rPr>
            </w:pPr>
            <w:r>
              <w:rPr>
                <w:rFonts w:hint="default" w:ascii="宋体" w:hAnsi="宋体" w:eastAsia="宋体" w:cs="宋体"/>
                <w:color w:val="000000"/>
                <w:kern w:val="0"/>
                <w:sz w:val="24"/>
                <w:szCs w:val="24"/>
                <w:u w:val="none"/>
              </w:rPr>
              <w:t>不允许/允许大中型企业向一家或者多家小微企业分包。</w:t>
            </w:r>
          </w:p>
        </w:tc>
      </w:tr>
    </w:tbl>
    <w:p w14:paraId="29BB83ED">
      <w:pPr>
        <w:ind w:firstLine="480" w:firstLineChars="200"/>
        <w:rPr>
          <w:rFonts w:hint="default" w:ascii="宋体" w:hAnsi="宋体" w:eastAsia="宋体" w:cs="宋体"/>
          <w:color w:val="000000"/>
          <w:kern w:val="0"/>
          <w:sz w:val="24"/>
          <w:szCs w:val="24"/>
        </w:rPr>
      </w:pPr>
    </w:p>
    <w:p w14:paraId="7723664F">
      <w:pPr>
        <w:widowControl/>
        <w:spacing w:before="315" w:after="315" w:line="360" w:lineRule="atLeast"/>
        <w:jc w:val="center"/>
        <w:rPr>
          <w:rFonts w:hint="default" w:ascii="宋体" w:hAnsi="宋体" w:cs="宋体"/>
          <w:color w:val="000000"/>
          <w:kern w:val="0"/>
          <w:sz w:val="32"/>
          <w:szCs w:val="32"/>
          <w:highlight w:val="none"/>
        </w:rPr>
      </w:pPr>
      <w:r>
        <w:rPr>
          <w:rFonts w:hint="default" w:ascii="宋体" w:hAnsi="宋体" w:eastAsia="宋体" w:cs="宋体"/>
          <w:b w:val="0"/>
          <w:color w:val="000000"/>
          <w:kern w:val="0"/>
          <w:sz w:val="32"/>
          <w:szCs w:val="32"/>
          <w:highlight w:val="none"/>
        </w:rPr>
        <w:t>附录6 重大偏差一览表</w:t>
      </w:r>
    </w:p>
    <w:tbl>
      <w:tblPr>
        <w:tblStyle w:val="17"/>
        <w:tblW w:w="8336" w:type="dxa"/>
        <w:jc w:val="center"/>
        <w:tblLayout w:type="fixed"/>
        <w:tblCellMar>
          <w:top w:w="0" w:type="dxa"/>
          <w:left w:w="0" w:type="dxa"/>
          <w:bottom w:w="0" w:type="dxa"/>
          <w:right w:w="0" w:type="dxa"/>
        </w:tblCellMar>
      </w:tblPr>
      <w:tblGrid>
        <w:gridCol w:w="747"/>
        <w:gridCol w:w="1633"/>
        <w:gridCol w:w="5956"/>
      </w:tblGrid>
      <w:tr w14:paraId="3338FE51">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C0A3F8">
            <w:pPr>
              <w:widowControl/>
              <w:spacing w:before="240" w:after="240" w:line="360" w:lineRule="atLeast"/>
              <w:jc w:val="center"/>
              <w:textAlignment w:val="auto"/>
              <w:rPr>
                <w:rFonts w:hint="default" w:ascii="宋体" w:hAnsi="宋体" w:cs="宋体"/>
                <w:b w:val="0"/>
                <w:color w:val="000000"/>
                <w:kern w:val="0"/>
                <w:sz w:val="24"/>
                <w:szCs w:val="24"/>
                <w:highlight w:val="none"/>
                <w:u w:val="none"/>
              </w:rPr>
            </w:pPr>
            <w:r>
              <w:rPr>
                <w:rFonts w:hint="default" w:ascii="宋体" w:hAnsi="宋体" w:cs="宋体"/>
                <w:b w:val="0"/>
                <w:color w:val="000000"/>
                <w:kern w:val="0"/>
                <w:sz w:val="24"/>
                <w:szCs w:val="24"/>
                <w:highlight w:val="none"/>
                <w:u w:val="none"/>
                <w:lang w:bidi="ar"/>
              </w:rPr>
              <w:t>序号</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336E20">
            <w:pPr>
              <w:widowControl/>
              <w:spacing w:before="240" w:after="240" w:line="360" w:lineRule="atLeast"/>
              <w:jc w:val="center"/>
              <w:textAlignment w:val="auto"/>
              <w:rPr>
                <w:rFonts w:hint="default" w:ascii="宋体" w:hAnsi="宋体" w:cs="宋体"/>
                <w:b w:val="0"/>
                <w:color w:val="000000"/>
                <w:kern w:val="0"/>
                <w:sz w:val="24"/>
                <w:szCs w:val="24"/>
                <w:highlight w:val="none"/>
                <w:u w:val="none"/>
              </w:rPr>
            </w:pPr>
            <w:r>
              <w:rPr>
                <w:rFonts w:hint="default" w:ascii="宋体" w:hAnsi="宋体" w:cs="宋体"/>
                <w:b w:val="0"/>
                <w:color w:val="000000"/>
                <w:kern w:val="0"/>
                <w:sz w:val="24"/>
                <w:szCs w:val="24"/>
                <w:highlight w:val="none"/>
                <w:u w:val="none"/>
                <w:lang w:bidi="ar"/>
              </w:rPr>
              <w:t>评审因素</w:t>
            </w:r>
          </w:p>
        </w:tc>
        <w:tc>
          <w:tcPr>
            <w:tcW w:w="59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2C3629">
            <w:pPr>
              <w:widowControl/>
              <w:spacing w:before="240" w:after="240" w:line="360" w:lineRule="atLeast"/>
              <w:jc w:val="left"/>
              <w:textAlignment w:val="auto"/>
              <w:rPr>
                <w:rFonts w:hint="default" w:ascii="宋体" w:hAnsi="宋体" w:cs="宋体"/>
                <w:b w:val="0"/>
                <w:color w:val="000000"/>
                <w:kern w:val="0"/>
                <w:sz w:val="24"/>
                <w:szCs w:val="24"/>
                <w:highlight w:val="none"/>
                <w:u w:val="none"/>
              </w:rPr>
            </w:pPr>
            <w:r>
              <w:rPr>
                <w:rFonts w:hint="default" w:ascii="宋体" w:hAnsi="宋体" w:cs="宋体"/>
                <w:b w:val="0"/>
                <w:color w:val="000000"/>
                <w:kern w:val="0"/>
                <w:sz w:val="24"/>
                <w:szCs w:val="24"/>
                <w:highlight w:val="none"/>
                <w:u w:val="none"/>
                <w:lang w:bidi="ar"/>
              </w:rPr>
              <w:t>重大偏差认定标准</w:t>
            </w:r>
          </w:p>
        </w:tc>
      </w:tr>
      <w:tr w14:paraId="4F3CE8A9">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3A3186">
            <w:pPr>
              <w:widowControl/>
              <w:numPr>
                <w:ilvl w:val="-1"/>
                <w:numId w:val="0"/>
              </w:numPr>
              <w:spacing w:before="240" w:after="240" w:line="360" w:lineRule="atLeast"/>
              <w:ind w:left="0" w:firstLine="0"/>
              <w:jc w:val="center"/>
              <w:textAlignment w:val="auto"/>
              <w:rPr>
                <w:rFonts w:hint="eastAsia" w:ascii="宋体" w:hAnsi="宋体" w:cs="宋体"/>
                <w:color w:val="000000"/>
                <w:kern w:val="0"/>
                <w:sz w:val="24"/>
                <w:szCs w:val="24"/>
                <w:highlight w:val="none"/>
                <w:u w:val="none"/>
              </w:rPr>
            </w:pPr>
            <w:r>
              <w:rPr>
                <w:rFonts w:hint="eastAsia" w:ascii="宋体" w:hAnsi="宋体" w:eastAsia="宋体" w:cs="宋体"/>
                <w:color w:val="000000"/>
                <w:kern w:val="0"/>
                <w:sz w:val="24"/>
                <w:szCs w:val="24"/>
                <w:u w:val="none"/>
                <w:lang w:val="en-US" w:eastAsia="zh-CN"/>
              </w:rPr>
              <w:t>1</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E4B064">
            <w:pPr>
              <w:widowControl/>
              <w:spacing w:before="240" w:after="240" w:line="360" w:lineRule="atLeast"/>
              <w:jc w:val="center"/>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投标文件</w:t>
            </w:r>
          </w:p>
        </w:tc>
        <w:tc>
          <w:tcPr>
            <w:tcW w:w="59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2F8823">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在评标过程中，投标文件不能正常打开</w:t>
            </w:r>
          </w:p>
        </w:tc>
      </w:tr>
      <w:tr w14:paraId="53068C4D">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112BAA">
            <w:pPr>
              <w:widowControl/>
              <w:numPr>
                <w:ilvl w:val="-1"/>
                <w:numId w:val="0"/>
              </w:numPr>
              <w:spacing w:before="240" w:after="240" w:line="360" w:lineRule="atLeast"/>
              <w:ind w:left="0" w:firstLine="0"/>
              <w:jc w:val="center"/>
              <w:textAlignment w:val="auto"/>
              <w:rPr>
                <w:rFonts w:hint="eastAsia" w:ascii="宋体" w:hAnsi="宋体" w:cs="宋体"/>
                <w:color w:val="000000"/>
                <w:kern w:val="0"/>
                <w:sz w:val="24"/>
                <w:szCs w:val="24"/>
                <w:highlight w:val="none"/>
                <w:u w:val="none"/>
              </w:rPr>
            </w:pPr>
            <w:r>
              <w:rPr>
                <w:rFonts w:hint="eastAsia" w:ascii="宋体" w:hAnsi="宋体" w:eastAsia="宋体" w:cs="宋体"/>
                <w:color w:val="000000"/>
                <w:kern w:val="0"/>
                <w:sz w:val="24"/>
                <w:szCs w:val="24"/>
                <w:u w:val="none"/>
                <w:lang w:val="en-US" w:eastAsia="zh-CN"/>
              </w:rPr>
              <w:t>2</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C57BF7">
            <w:pPr>
              <w:widowControl/>
              <w:spacing w:before="240" w:after="240" w:line="360" w:lineRule="atLeast"/>
              <w:jc w:val="center"/>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投标人名称</w:t>
            </w:r>
          </w:p>
        </w:tc>
        <w:tc>
          <w:tcPr>
            <w:tcW w:w="59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AEED55">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投标人不满足以下情形均属于重大偏差：</w:t>
            </w:r>
          </w:p>
          <w:p w14:paraId="0041414A">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投标文件的封面、投标函（不含投标函附录）中投标人名称、营业执照投标人名称、资质证书投标人名称、安全生产许可证投标人名称须一致，不一致时需</w:t>
            </w:r>
            <w:r>
              <w:rPr>
                <w:rFonts w:hint="default" w:ascii="宋体" w:hAnsi="宋体" w:cs="宋体"/>
                <w:b w:val="0"/>
                <w:color w:val="000000"/>
                <w:kern w:val="0"/>
                <w:sz w:val="24"/>
                <w:szCs w:val="24"/>
                <w:highlight w:val="none"/>
                <w:u w:val="none"/>
                <w:lang w:bidi="ar"/>
              </w:rPr>
              <w:t>提供相关部门的合法批件</w:t>
            </w:r>
          </w:p>
        </w:tc>
      </w:tr>
      <w:tr w14:paraId="2643CE96">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F781C57">
            <w:pPr>
              <w:widowControl/>
              <w:numPr>
                <w:ilvl w:val="-1"/>
                <w:numId w:val="0"/>
              </w:numPr>
              <w:spacing w:before="240" w:after="240" w:line="360" w:lineRule="atLeast"/>
              <w:ind w:left="0" w:firstLine="0"/>
              <w:jc w:val="center"/>
              <w:textAlignment w:val="auto"/>
              <w:rPr>
                <w:rFonts w:hint="eastAsia" w:ascii="宋体" w:hAnsi="宋体" w:cs="宋体"/>
                <w:color w:val="000000"/>
                <w:kern w:val="0"/>
                <w:sz w:val="24"/>
                <w:szCs w:val="24"/>
                <w:highlight w:val="none"/>
                <w:u w:val="none"/>
              </w:rPr>
            </w:pPr>
            <w:r>
              <w:rPr>
                <w:rFonts w:hint="eastAsia" w:ascii="宋体" w:hAnsi="宋体" w:eastAsia="宋体" w:cs="宋体"/>
                <w:color w:val="000000"/>
                <w:kern w:val="0"/>
                <w:sz w:val="24"/>
                <w:szCs w:val="24"/>
                <w:u w:val="none"/>
                <w:lang w:val="en-US" w:eastAsia="zh-CN"/>
              </w:rPr>
              <w:t>3</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D052F8">
            <w:pPr>
              <w:widowControl/>
              <w:spacing w:before="240" w:after="240" w:line="360" w:lineRule="atLeast"/>
              <w:jc w:val="center"/>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投标文件的签署</w:t>
            </w:r>
          </w:p>
        </w:tc>
        <w:tc>
          <w:tcPr>
            <w:tcW w:w="59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94C1CF">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投标人不满足以下任一情形均属于重大偏差：</w:t>
            </w:r>
          </w:p>
          <w:p w14:paraId="05BFC1E5">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（1）投标文件（商务及技术文件）封面使用CA数字证书加盖了单位电子印章；</w:t>
            </w:r>
          </w:p>
          <w:p w14:paraId="36BB5E1B">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（2）投标函使用CA数字证书加盖了单位电子印章；</w:t>
            </w:r>
          </w:p>
          <w:p w14:paraId="59FF54B4">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（3）投标函使用CA数字证书加盖了法定代表人的个人电子印章或电子签名章；</w:t>
            </w:r>
          </w:p>
          <w:p w14:paraId="4A4FDE32">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（4）联合体投标的，联合体协议书加盖了联合体各成员的单位章。</w:t>
            </w:r>
          </w:p>
          <w:p w14:paraId="281F4226">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注：（1）以联合体形式投标的，投标文件（商务及技术文件）封面、投标函由联合体牵头人使用联合体牵头人的 CA 数字证书加盖单位电子印章或法定代表人的个人电子印章或电子签名章。（2）投标函附录可不签字,可不盖单位章。</w:t>
            </w:r>
          </w:p>
        </w:tc>
      </w:tr>
      <w:tr w14:paraId="1A5A535D">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98BD75">
            <w:pPr>
              <w:widowControl/>
              <w:numPr>
                <w:ilvl w:val="-1"/>
                <w:numId w:val="0"/>
              </w:numPr>
              <w:spacing w:before="240" w:after="240" w:line="360" w:lineRule="atLeast"/>
              <w:ind w:left="0" w:firstLine="0"/>
              <w:jc w:val="center"/>
              <w:textAlignment w:val="auto"/>
              <w:rPr>
                <w:rFonts w:hint="eastAsia" w:ascii="宋体" w:hAnsi="宋体" w:cs="宋体"/>
                <w:color w:val="000000"/>
                <w:kern w:val="0"/>
                <w:sz w:val="24"/>
                <w:szCs w:val="24"/>
                <w:highlight w:val="none"/>
                <w:u w:val="none"/>
              </w:rPr>
            </w:pPr>
            <w:r>
              <w:rPr>
                <w:rFonts w:hint="eastAsia" w:ascii="宋体" w:hAnsi="宋体" w:eastAsia="宋体" w:cs="宋体"/>
                <w:color w:val="000000"/>
                <w:kern w:val="0"/>
                <w:sz w:val="24"/>
                <w:szCs w:val="24"/>
                <w:u w:val="none"/>
                <w:lang w:val="en-US" w:eastAsia="zh-CN"/>
              </w:rPr>
              <w:t>4</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D38254">
            <w:pPr>
              <w:widowControl/>
              <w:spacing w:before="240" w:after="240" w:line="360" w:lineRule="atLeast"/>
              <w:jc w:val="center"/>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投标文件的内容</w:t>
            </w:r>
          </w:p>
        </w:tc>
        <w:tc>
          <w:tcPr>
            <w:tcW w:w="59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09F2DFC">
            <w:pPr>
              <w:widowControl/>
              <w:spacing w:before="240" w:after="240" w:line="360" w:lineRule="atLeast"/>
              <w:jc w:val="left"/>
              <w:textAlignment w:val="auto"/>
              <w:rPr>
                <w:rFonts w:hint="default" w:ascii="宋体" w:hAnsi="宋体" w:eastAsia="宋体" w:cs="宋体"/>
                <w:color w:val="000000"/>
                <w:kern w:val="0"/>
                <w:sz w:val="24"/>
                <w:szCs w:val="24"/>
                <w:u w:val="none"/>
                <w:lang w:bidi="ar"/>
              </w:rPr>
            </w:pPr>
            <w:r>
              <w:rPr>
                <w:rFonts w:hint="default" w:ascii="宋体" w:hAnsi="宋体" w:cs="宋体"/>
                <w:color w:val="000000"/>
                <w:kern w:val="0"/>
                <w:sz w:val="24"/>
                <w:szCs w:val="24"/>
                <w:highlight w:val="none"/>
                <w:u w:val="none"/>
                <w:lang w:bidi="ar"/>
              </w:rPr>
              <w:t>投标文件缺少以下任一项内容均属于重大偏差：</w:t>
            </w:r>
            <w:r>
              <w:rPr>
                <w:rFonts w:hint="eastAsia" w:ascii="宋体" w:hAnsi="宋体" w:eastAsia="宋体" w:cs="宋体"/>
                <w:color w:val="000000"/>
                <w:kern w:val="0"/>
                <w:sz w:val="24"/>
                <w:szCs w:val="24"/>
                <w:u w:val="none"/>
                <w:lang w:val="en-US" w:eastAsia="zh-CN" w:bidi="ar"/>
              </w:rPr>
              <w:t>投标一览表、</w:t>
            </w:r>
            <w:r>
              <w:rPr>
                <w:rFonts w:hint="default" w:ascii="宋体" w:hAnsi="宋体" w:cs="宋体"/>
                <w:color w:val="000000"/>
                <w:kern w:val="0"/>
                <w:sz w:val="24"/>
                <w:szCs w:val="24"/>
                <w:highlight w:val="none"/>
                <w:u w:val="none"/>
                <w:lang w:bidi="ar"/>
              </w:rPr>
              <w:t>投标函、法定代表人身份证明(以联合体形式投标的，联合体成员均需提供)、联合体协议书（以联合体形式投标的）、投标人基本情况表、</w:t>
            </w:r>
            <w:r>
              <w:rPr>
                <w:rFonts w:hint="default" w:ascii="宋体" w:hAnsi="宋体" w:cs="宋体"/>
                <w:color w:val="000000"/>
                <w:kern w:val="0"/>
                <w:sz w:val="24"/>
                <w:szCs w:val="24"/>
                <w:u w:val="none"/>
                <w:lang w:bidi="ar"/>
              </w:rPr>
              <w:t>关联单位情况说明</w:t>
            </w:r>
            <w:r>
              <w:rPr>
                <w:rFonts w:hint="eastAsia" w:ascii="宋体" w:hAnsi="宋体" w:eastAsia="宋体" w:cs="宋体"/>
                <w:color w:val="000000"/>
                <w:kern w:val="0"/>
                <w:sz w:val="24"/>
                <w:szCs w:val="24"/>
                <w:u w:val="none"/>
                <w:lang w:eastAsia="zh-CN" w:bidi="ar"/>
              </w:rPr>
              <w:t>、</w:t>
            </w:r>
            <w:r>
              <w:rPr>
                <w:rFonts w:hint="default" w:ascii="宋体" w:hAnsi="宋体" w:cs="宋体"/>
                <w:color w:val="000000"/>
                <w:kern w:val="0"/>
                <w:sz w:val="24"/>
                <w:szCs w:val="24"/>
                <w:highlight w:val="none"/>
                <w:u w:val="none"/>
                <w:lang w:bidi="ar"/>
              </w:rPr>
              <w:t>近年完成的类似项目情况表、</w:t>
            </w:r>
            <w:r>
              <w:rPr>
                <w:rFonts w:hint="eastAsia" w:ascii="宋体" w:hAnsi="宋体" w:eastAsia="宋体" w:cs="宋体"/>
                <w:color w:val="000000"/>
                <w:kern w:val="0"/>
                <w:sz w:val="24"/>
                <w:szCs w:val="24"/>
                <w:u w:val="none"/>
                <w:lang w:val="en-US" w:eastAsia="zh-CN" w:bidi="ar"/>
              </w:rPr>
              <w:t>投标人信誉声明（</w:t>
            </w:r>
            <w:r>
              <w:rPr>
                <w:rFonts w:hint="default" w:ascii="宋体" w:hAnsi="宋体" w:cs="宋体"/>
                <w:color w:val="000000"/>
                <w:kern w:val="0"/>
                <w:sz w:val="24"/>
                <w:szCs w:val="24"/>
                <w:highlight w:val="none"/>
                <w:u w:val="none"/>
                <w:lang w:bidi="ar"/>
              </w:rPr>
              <w:t>信誉</w:t>
            </w:r>
            <w:r>
              <w:rPr>
                <w:rFonts w:hint="eastAsia" w:ascii="宋体" w:hAnsi="宋体" w:eastAsia="宋体" w:cs="宋体"/>
                <w:color w:val="000000"/>
                <w:kern w:val="0"/>
                <w:sz w:val="24"/>
                <w:szCs w:val="24"/>
                <w:u w:val="none"/>
                <w:lang w:val="en-US" w:eastAsia="zh-CN" w:bidi="ar"/>
              </w:rPr>
              <w:t>声明</w:t>
            </w:r>
            <w:r>
              <w:rPr>
                <w:rFonts w:hint="default" w:ascii="宋体" w:hAnsi="宋体" w:cs="宋体"/>
                <w:color w:val="000000"/>
                <w:kern w:val="0"/>
                <w:sz w:val="24"/>
                <w:szCs w:val="24"/>
                <w:highlight w:val="none"/>
                <w:u w:val="none"/>
                <w:lang w:bidi="ar"/>
              </w:rPr>
              <w:t>承诺函</w:t>
            </w:r>
            <w:r>
              <w:rPr>
                <w:rFonts w:hint="eastAsia" w:ascii="宋体" w:hAnsi="宋体" w:eastAsia="宋体" w:cs="宋体"/>
                <w:color w:val="000000"/>
                <w:kern w:val="0"/>
                <w:sz w:val="24"/>
                <w:szCs w:val="24"/>
                <w:u w:val="none"/>
                <w:lang w:eastAsia="zh-CN" w:bidi="ar"/>
              </w:rPr>
              <w:t>）</w:t>
            </w:r>
            <w:r>
              <w:rPr>
                <w:rFonts w:hint="default" w:ascii="宋体" w:hAnsi="宋体" w:cs="宋体"/>
                <w:color w:val="000000"/>
                <w:kern w:val="0"/>
                <w:sz w:val="24"/>
                <w:szCs w:val="24"/>
                <w:highlight w:val="none"/>
                <w:u w:val="none"/>
                <w:lang w:bidi="ar"/>
              </w:rPr>
              <w:t>、</w:t>
            </w:r>
            <w:r>
              <w:rPr>
                <w:rFonts w:hint="eastAsia" w:ascii="宋体" w:hAnsi="宋体" w:eastAsia="宋体" w:cs="宋体"/>
                <w:color w:val="000000"/>
                <w:kern w:val="0"/>
                <w:sz w:val="24"/>
                <w:szCs w:val="24"/>
                <w:u w:val="none"/>
                <w:lang w:val="en-US" w:eastAsia="zh-CN" w:bidi="ar"/>
              </w:rPr>
              <w:t>主要人员简历表</w:t>
            </w:r>
            <w:r>
              <w:rPr>
                <w:rFonts w:hint="default" w:ascii="宋体" w:hAnsi="宋体" w:cs="宋体"/>
                <w:color w:val="000000"/>
                <w:kern w:val="0"/>
                <w:sz w:val="24"/>
                <w:szCs w:val="24"/>
                <w:highlight w:val="none"/>
                <w:u w:val="none"/>
                <w:lang w:bidi="ar"/>
              </w:rPr>
              <w:t>、主要人员到岗承诺函、财务会计报表</w:t>
            </w:r>
            <w:r>
              <w:rPr>
                <w:rFonts w:hint="eastAsia" w:ascii="宋体" w:hAnsi="宋体" w:eastAsia="宋体" w:cs="宋体"/>
                <w:color w:val="000000"/>
                <w:kern w:val="0"/>
                <w:sz w:val="24"/>
                <w:szCs w:val="24"/>
                <w:u w:val="none"/>
                <w:lang w:eastAsia="zh-CN" w:bidi="ar"/>
              </w:rPr>
              <w:t>、</w:t>
            </w:r>
            <w:r>
              <w:rPr>
                <w:rFonts w:hint="eastAsia" w:ascii="宋体" w:hAnsi="宋体" w:eastAsia="宋体" w:cs="宋体"/>
                <w:color w:val="000000"/>
                <w:kern w:val="0"/>
                <w:sz w:val="24"/>
                <w:szCs w:val="24"/>
                <w:u w:val="none"/>
                <w:lang w:val="en-US" w:eastAsia="zh-CN" w:bidi="ar"/>
              </w:rPr>
              <w:t>投标报价表、技术文件、主要人员到岗承诺函</w:t>
            </w:r>
            <w:r>
              <w:rPr>
                <w:rFonts w:hint="default" w:ascii="宋体" w:hAnsi="宋体" w:cs="宋体"/>
                <w:color w:val="000000"/>
                <w:kern w:val="0"/>
                <w:sz w:val="24"/>
                <w:szCs w:val="24"/>
                <w:highlight w:val="none"/>
                <w:u w:val="none"/>
                <w:lang w:bidi="ar"/>
              </w:rPr>
              <w:t>。</w:t>
            </w:r>
          </w:p>
          <w:p w14:paraId="14CBF04E">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u w:val="none"/>
                <w:lang w:bidi="ar"/>
              </w:rPr>
              <w:t>注：①招标文件要求相关表格附相应证明材料的，投标人未按要求提供证明材料属于重大偏差；②投标人填写的表格内容与证明材料内容不一致时，以证明材料内容为准，投标人填写的表格内容与证明材料内容不一致的情形不属于重大偏差。</w:t>
            </w:r>
          </w:p>
        </w:tc>
      </w:tr>
      <w:tr w14:paraId="138A65DD">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97BE90">
            <w:pPr>
              <w:widowControl/>
              <w:numPr>
                <w:ilvl w:val="-1"/>
                <w:numId w:val="0"/>
              </w:numPr>
              <w:spacing w:before="240" w:after="240" w:line="360" w:lineRule="atLeast"/>
              <w:ind w:left="0" w:firstLine="0"/>
              <w:jc w:val="center"/>
              <w:textAlignment w:val="auto"/>
              <w:rPr>
                <w:rFonts w:hint="eastAsia" w:ascii="宋体" w:hAnsi="宋体" w:cs="宋体"/>
                <w:color w:val="000000"/>
                <w:kern w:val="0"/>
                <w:sz w:val="24"/>
                <w:szCs w:val="24"/>
                <w:highlight w:val="none"/>
                <w:u w:val="none"/>
              </w:rPr>
            </w:pPr>
            <w:r>
              <w:rPr>
                <w:rFonts w:hint="eastAsia" w:ascii="宋体" w:hAnsi="宋体" w:eastAsia="宋体" w:cs="宋体"/>
                <w:color w:val="000000"/>
                <w:kern w:val="0"/>
                <w:sz w:val="24"/>
                <w:szCs w:val="24"/>
                <w:u w:val="none"/>
                <w:lang w:val="en-US" w:eastAsia="zh-CN"/>
              </w:rPr>
              <w:t>5</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9BE2BA">
            <w:pPr>
              <w:widowControl/>
              <w:spacing w:before="240" w:after="240" w:line="360" w:lineRule="atLeast"/>
              <w:jc w:val="center"/>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联合体投标人（如有）</w:t>
            </w:r>
          </w:p>
        </w:tc>
        <w:tc>
          <w:tcPr>
            <w:tcW w:w="59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E9B2A3">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以联合体形式投标的，不满足以下任一情形均属于重大偏差：</w:t>
            </w:r>
          </w:p>
          <w:p w14:paraId="7DF42FC9">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（1）联合体所有成员单位不超过2家，其中一家单位完成全部设计任务，另一家单位完成全部施工任务；</w:t>
            </w:r>
          </w:p>
          <w:p w14:paraId="35B70D32">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（2）联合体各成员应按本招标文件所附格式签订联合体协议书，联合体协议书实质性格式与内容不得改变；</w:t>
            </w:r>
          </w:p>
          <w:p w14:paraId="63C02DC2">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（3）组成联合体的各方不得再单独或与其他单位组成联合体参与本项目投标。</w:t>
            </w:r>
          </w:p>
          <w:p w14:paraId="4DCFED3C">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（4）联合体协议书须明确任务分工。</w:t>
            </w:r>
          </w:p>
        </w:tc>
      </w:tr>
      <w:tr w14:paraId="75C99AF1">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3F7920">
            <w:pPr>
              <w:widowControl/>
              <w:numPr>
                <w:ilvl w:val="-1"/>
                <w:numId w:val="0"/>
              </w:numPr>
              <w:spacing w:before="240" w:after="240" w:line="360" w:lineRule="atLeast"/>
              <w:ind w:left="0" w:firstLine="0"/>
              <w:jc w:val="center"/>
              <w:textAlignment w:val="auto"/>
              <w:rPr>
                <w:rFonts w:hint="eastAsia" w:ascii="宋体" w:hAnsi="宋体" w:cs="宋体"/>
                <w:color w:val="000000"/>
                <w:kern w:val="0"/>
                <w:sz w:val="24"/>
                <w:szCs w:val="24"/>
                <w:highlight w:val="none"/>
                <w:u w:val="none"/>
              </w:rPr>
            </w:pPr>
            <w:r>
              <w:rPr>
                <w:rFonts w:hint="eastAsia" w:ascii="宋体" w:hAnsi="宋体" w:eastAsia="宋体" w:cs="宋体"/>
                <w:color w:val="000000"/>
                <w:kern w:val="0"/>
                <w:sz w:val="24"/>
                <w:szCs w:val="24"/>
                <w:u w:val="none"/>
                <w:lang w:val="en-US" w:eastAsia="zh-CN"/>
              </w:rPr>
              <w:t>6</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8397B3">
            <w:pPr>
              <w:widowControl/>
              <w:spacing w:before="240" w:after="240" w:line="360" w:lineRule="atLeast"/>
              <w:jc w:val="center"/>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投标报价</w:t>
            </w:r>
          </w:p>
        </w:tc>
        <w:tc>
          <w:tcPr>
            <w:tcW w:w="59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8D0086">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有两个及以上的报价(指投标一览表中的报价)，或投标一览表中的投标报价与投标文件格式中投标报价表中的投标总报价不一致</w:t>
            </w:r>
          </w:p>
        </w:tc>
      </w:tr>
      <w:tr w14:paraId="24DFA7A9">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A238E5">
            <w:pPr>
              <w:widowControl/>
              <w:numPr>
                <w:ilvl w:val="-1"/>
                <w:numId w:val="0"/>
              </w:numPr>
              <w:spacing w:before="240" w:after="240" w:line="360" w:lineRule="atLeast"/>
              <w:ind w:left="0" w:firstLine="0"/>
              <w:jc w:val="center"/>
              <w:textAlignment w:val="auto"/>
              <w:rPr>
                <w:rFonts w:hint="eastAsia" w:ascii="宋体" w:hAnsi="宋体" w:cs="宋体"/>
                <w:color w:val="000000"/>
                <w:kern w:val="0"/>
                <w:sz w:val="24"/>
                <w:szCs w:val="24"/>
                <w:highlight w:val="none"/>
                <w:u w:val="none"/>
                <w:lang w:bidi="ar"/>
              </w:rPr>
            </w:pPr>
            <w:r>
              <w:rPr>
                <w:rFonts w:hint="eastAsia" w:ascii="宋体" w:hAnsi="宋体" w:eastAsia="宋体" w:cs="宋体"/>
                <w:color w:val="000000"/>
                <w:kern w:val="0"/>
                <w:sz w:val="24"/>
                <w:szCs w:val="24"/>
                <w:u w:val="none"/>
                <w:lang w:val="en-US" w:eastAsia="zh-CN" w:bidi="ar"/>
              </w:rPr>
              <w:t>7</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74A3BE">
            <w:pPr>
              <w:widowControl/>
              <w:spacing w:before="240" w:after="240" w:line="360" w:lineRule="atLeast"/>
              <w:jc w:val="center"/>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招标文件的获取</w:t>
            </w:r>
          </w:p>
        </w:tc>
        <w:tc>
          <w:tcPr>
            <w:tcW w:w="59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7FA699">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未从“电子交易平台”下载</w:t>
            </w:r>
          </w:p>
        </w:tc>
      </w:tr>
      <w:tr w14:paraId="1A64BC94">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F0C01C">
            <w:pPr>
              <w:widowControl/>
              <w:numPr>
                <w:ilvl w:val="-1"/>
                <w:numId w:val="0"/>
              </w:numPr>
              <w:spacing w:before="240" w:after="240" w:line="360" w:lineRule="atLeast"/>
              <w:ind w:left="0" w:firstLine="0"/>
              <w:jc w:val="center"/>
              <w:textAlignment w:val="auto"/>
              <w:rPr>
                <w:rFonts w:hint="eastAsia" w:ascii="宋体" w:hAnsi="宋体" w:cs="宋体"/>
                <w:color w:val="000000"/>
                <w:kern w:val="0"/>
                <w:sz w:val="24"/>
                <w:szCs w:val="24"/>
                <w:highlight w:val="none"/>
                <w:u w:val="none"/>
              </w:rPr>
            </w:pPr>
            <w:r>
              <w:rPr>
                <w:rFonts w:hint="eastAsia" w:ascii="宋体" w:hAnsi="宋体" w:cs="宋体"/>
                <w:color w:val="000000"/>
                <w:kern w:val="0"/>
                <w:sz w:val="24"/>
                <w:szCs w:val="24"/>
                <w:highlight w:val="none"/>
                <w:u w:val="none"/>
                <w:lang w:val="en-US" w:eastAsia="zh-CN"/>
              </w:rPr>
              <w:t>8</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023C98">
            <w:pPr>
              <w:widowControl/>
              <w:spacing w:before="240" w:after="240" w:line="360" w:lineRule="atLeast"/>
              <w:jc w:val="center"/>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营业执照</w:t>
            </w:r>
          </w:p>
        </w:tc>
        <w:tc>
          <w:tcPr>
            <w:tcW w:w="595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517F03">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营业执照无效</w:t>
            </w:r>
          </w:p>
        </w:tc>
      </w:tr>
      <w:tr w14:paraId="1DF67A29">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A58C59">
            <w:pPr>
              <w:widowControl/>
              <w:numPr>
                <w:ilvl w:val="-1"/>
                <w:numId w:val="0"/>
              </w:numPr>
              <w:spacing w:before="240" w:after="240" w:line="360" w:lineRule="atLeast"/>
              <w:ind w:left="0" w:firstLine="0"/>
              <w:jc w:val="center"/>
              <w:textAlignment w:val="auto"/>
              <w:rPr>
                <w:rFonts w:hint="eastAsia" w:ascii="宋体" w:hAnsi="宋体" w:cs="宋体"/>
                <w:color w:val="000000"/>
                <w:kern w:val="0"/>
                <w:sz w:val="24"/>
                <w:szCs w:val="24"/>
                <w:highlight w:val="none"/>
                <w:u w:val="none"/>
              </w:rPr>
            </w:pPr>
            <w:r>
              <w:rPr>
                <w:rFonts w:hint="eastAsia" w:ascii="宋体" w:hAnsi="宋体" w:cs="宋体"/>
                <w:color w:val="000000"/>
                <w:kern w:val="0"/>
                <w:sz w:val="24"/>
                <w:szCs w:val="24"/>
                <w:u w:val="none"/>
                <w:lang w:val="en-US" w:eastAsia="zh-CN"/>
              </w:rPr>
              <w:t>9</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B54D3DB">
            <w:pPr>
              <w:widowControl/>
              <w:spacing w:before="240" w:after="240" w:line="360" w:lineRule="atLeast"/>
              <w:jc w:val="center"/>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资质</w:t>
            </w:r>
          </w:p>
        </w:tc>
        <w:tc>
          <w:tcPr>
            <w:tcW w:w="59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48B0CD">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投标人不满足以下任一情形均属于重大偏差：</w:t>
            </w:r>
          </w:p>
          <w:p w14:paraId="6D5B96A6">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1、同时具备：</w:t>
            </w:r>
          </w:p>
          <w:p w14:paraId="5E926D4A">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（1）勘察设计资质</w:t>
            </w:r>
          </w:p>
          <w:p w14:paraId="5773C983">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（a）独立法人资格，持有有效的营业执照；</w:t>
            </w:r>
          </w:p>
          <w:p w14:paraId="4875970C">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（b）建设行政主管部门核发的有效的工程勘察综合甲级资质或工程勘察专业类（岩土工程）乙级资质；</w:t>
            </w:r>
          </w:p>
          <w:p w14:paraId="7F7491D2">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（c）建设行政主管部门核发的有效的工程设计综合甲级资质或公路行业专业设乙级资质。</w:t>
            </w:r>
          </w:p>
          <w:p w14:paraId="57406A2C">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（2）施工资质</w:t>
            </w:r>
          </w:p>
          <w:p w14:paraId="7C26AF76">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（a）独立法人资格，持有有效的营业执照；</w:t>
            </w:r>
          </w:p>
          <w:p w14:paraId="3C2F0B9A">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（b）建设行政主管部门核发的有效的公路工程行业施工总承包二级及以上资质；</w:t>
            </w:r>
          </w:p>
          <w:p w14:paraId="106D2B1E">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（c）有效的安全生产许可证。</w:t>
            </w:r>
          </w:p>
          <w:p w14:paraId="2859AFA8">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2、投标人应填报投标文件格式资格审查资料“投标人基本情况表”。因投标文件格式资格审查资料“投标人基本情况表”注的内容为范本的固定格式无法编辑，投标文件格式资格审查资料“投标人基本情况表”注的内容与附录1资格审查条件（资质最低要求）注的要求不一致的，以附录1资格审查条件（资质最低要求）注的要求为准。</w:t>
            </w:r>
          </w:p>
          <w:p w14:paraId="0B38AC18">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3、“投标人基本情况表”后附相应证明材料。证明材料应附：企业法人营业执照、资质证书、安全生产许可证的扫描件（各项证书的扫描件应包括投标人名称、投标人其他相关信息、颁发机构名称、投标人信息变更情况等关键页在内，封面、封底、空白页可不附）。相应证明材料从“电子交易平台”的“市场主体信息管理”中选择；除从“电子交易平台”的“市场主体信息管理”中选择的证明材料外，其他相关证明材料均不予认可。</w:t>
            </w:r>
          </w:p>
          <w:p w14:paraId="6620EE4D">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4、独立投标人应同时满足上述全部资质要求。</w:t>
            </w:r>
          </w:p>
          <w:p w14:paraId="65AF3EEC">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5、联合体投标的，联合体协议书中约定承担勘察设计任务的单位应满足上表第1项的资质最低要求；联合体协议书中约定承担施工任务的单位应满足上表第2项的资质要求。</w:t>
            </w:r>
          </w:p>
          <w:p w14:paraId="1AA4148E">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6、不承担联合体协议中相关专业工程的成员，其相关的专业资质不作为该联合体该专业的资质进行资格审查；由承担同一专业分工的单位组成的联合体，按照资质等级较低的单位确定资质等级。</w:t>
            </w:r>
          </w:p>
          <w:p w14:paraId="43A6C802">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7、对于法人发生重组或变更且变更内容影响本次投标的投标人，应在投标文件格式资格审查资料“投标人基本情况表” 后附有法人重组或变更时相关部门的合法批件、变更时的企业法人营业执照和资质证书的变更记录扫描件。</w:t>
            </w:r>
          </w:p>
          <w:p w14:paraId="4266647E">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8、以联合体形式投标的，联合体各成员应分别填写“投标人基本情况表”并按要求提供相应的资料。</w:t>
            </w:r>
          </w:p>
          <w:p w14:paraId="43196FA4">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9、投标人必须按照上述要求填报相应的表格，并提供相应证明材料，以证明其符合相应资格审查条件。</w:t>
            </w:r>
          </w:p>
          <w:p w14:paraId="1500DCC4">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注：①相应证明材料从“电子交易平台”的“市场主体信息管理”中选择；除从“电子交易平台”的“市场主体信息管理”中选择的证明材料外，其他相关证明材料均不予认可；②投标人填写的表格内容与证明材料内容不一致时，以证明材料内容为准，投标人填写的表格内容与证明材料内容不一致的，不属于重大偏差。</w:t>
            </w:r>
          </w:p>
        </w:tc>
      </w:tr>
      <w:tr w14:paraId="0D5DA322">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611E8B">
            <w:pPr>
              <w:widowControl/>
              <w:numPr>
                <w:ilvl w:val="-1"/>
                <w:numId w:val="0"/>
              </w:numPr>
              <w:spacing w:before="240" w:after="240" w:line="360" w:lineRule="atLeast"/>
              <w:ind w:left="0" w:firstLine="0"/>
              <w:jc w:val="center"/>
              <w:textAlignment w:val="auto"/>
              <w:rPr>
                <w:rFonts w:hint="default" w:ascii="宋体" w:hAnsi="宋体" w:cs="宋体"/>
                <w:color w:val="000000"/>
                <w:kern w:val="0"/>
                <w:sz w:val="24"/>
                <w:szCs w:val="24"/>
                <w:highlight w:val="none"/>
                <w:u w:val="none"/>
              </w:rPr>
            </w:pPr>
            <w:r>
              <w:rPr>
                <w:rFonts w:hint="eastAsia" w:ascii="宋体" w:hAnsi="宋体" w:cs="宋体"/>
                <w:color w:val="000000"/>
                <w:kern w:val="0"/>
                <w:sz w:val="24"/>
                <w:szCs w:val="24"/>
                <w:u w:val="none"/>
                <w:lang w:val="en-US" w:eastAsia="zh-CN"/>
              </w:rPr>
              <w:t>10</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7B32C2">
            <w:pPr>
              <w:widowControl/>
              <w:spacing w:before="240" w:after="240" w:line="360" w:lineRule="atLeast"/>
              <w:jc w:val="center"/>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业绩</w:t>
            </w:r>
          </w:p>
        </w:tc>
        <w:tc>
          <w:tcPr>
            <w:tcW w:w="595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E70342">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投标人不满足以下任一情形均属于重大偏差：</w:t>
            </w:r>
          </w:p>
          <w:p w14:paraId="77842DE9">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1、同时具备：</w:t>
            </w:r>
          </w:p>
          <w:p w14:paraId="14B535C8">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（1）近10年内独立完成过1项新建或改扩建二级及以上等级公路的勘察设计业绩；</w:t>
            </w:r>
          </w:p>
          <w:p w14:paraId="5EB0E10C">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（2）近10年内独立完成过1项新建或改扩建二级及以上等级公路的路基施工业绩；</w:t>
            </w:r>
          </w:p>
          <w:p w14:paraId="486FF70D">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（3）近10年内独立完成过1项新建或改扩建二级及以上等级公路的路面施工业绩。</w:t>
            </w:r>
          </w:p>
          <w:p w14:paraId="4A40071C">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2、投标人应填报投标文件格式资格审查资料“近年完成的类似项目情况表”，并在本表后附相应证明材料。</w:t>
            </w:r>
          </w:p>
          <w:p w14:paraId="2E87EB5C">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3、独立投标人需同时满足附录3中第（1）、（2）、（3）项业绩要求。若某项业绩同时满足业绩最低要求的第（1）、（2）、（3）要求中的多个时，该业绩可分别予以认定。</w:t>
            </w:r>
          </w:p>
          <w:p w14:paraId="0721C2AD">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4、联合体投标的，联合体各方应根据联合体协议书中约定的职责分工满足上表业绩最低要求。承担设计任务的联合体成员应满足上表第1条的要求，联合体中不承担设计任务的其他成员的同类设计业绩不予认定。承担施工任务的联合体成员应满足上表第2、3条要求，联合体中不承担施工任务其他成员的同类施工业绩不予认定。联合体协议书任务分工不能反映上述标准的，不予认定。</w:t>
            </w:r>
          </w:p>
          <w:p w14:paraId="76081E34">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5、（1）独立投标人独立完成公路工程设计或施工任务的，满足上述要求建设规模或技术指标的业绩可予以认定。独立投标人中标公路工程设计施工总承包项目并承担该项目公路工程全部设计或施工任务的，满足上述要求建设规模或技术指标的业绩可予以认定。</w:t>
            </w:r>
          </w:p>
          <w:p w14:paraId="6BEE83B3">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2）以联合体形式投标的，联合体成员独立完成公路工程设计或施工任务的，满足上述要求建设规模或技术指标的业绩可予以认定。承担设计任务的联合体成员提供的公路工程设计施工总承包项目业绩是以联合体形式完成的，并承担了所提供的业绩中全部设计任务的，满足上述要求建设规模或技术指标的设计业绩可予以认定。承担施工任务的联合体成员提供的设计施工总承包项目业绩是以联合体形式完成的，并承担了所提供的业绩中的全部施工任务的，满足上述要求建设规模或技术指标的施工业绩可予以认定。</w:t>
            </w:r>
          </w:p>
          <w:p w14:paraId="123212B8">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6、同一标段公路工程设计项目,由两家及以上设计单位组成联合体中标实施的,该公路工程设计业绩不予认可；同一标段施工项目,由两家及以上施工单位组成联合体中标实施的,该工程施工业绩不予认可。</w:t>
            </w:r>
          </w:p>
          <w:p w14:paraId="7170DDE5">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7、投标人在中国境外完成的业绩视为不满足上述业绩最低要求。</w:t>
            </w:r>
          </w:p>
          <w:p w14:paraId="5D33A503">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8、任何形式的工程分包业绩均不予认可。</w:t>
            </w:r>
          </w:p>
          <w:p w14:paraId="56EB05E4">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9、业绩证明材料要求：</w:t>
            </w:r>
          </w:p>
          <w:p w14:paraId="72865EA3">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1）第1项业绩证明材料要求：以交通运输部“全国公路建设市场监督管理系统”审核通过的为准，投标文件中直接附系统截屏资料(投标人应以非注册用户身份查询，以注册用户登录后查询的截屏资料不予认可)；截屏资料的内容必须完全反映业绩最低要求的建设规模、建设内容或技术指标，否则该条业绩视为不满足上述业绩最低要求。业绩认定时间以施工图设计批复时间为准。</w:t>
            </w:r>
          </w:p>
          <w:p w14:paraId="6E3A96AA">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2）第2、3项业绩证明材料要求：以在交通运输部“全国公路建设市场监督管理系统”审核通过的为准，投标文件中直接附网页截图(投标人应以非注册用户身份查询，以注册用户登录后查询的截屏资料不予认可)；截屏资料的内容必须完全反映业绩最低要求的建设规模、建设内容或技术指标，否则该条业绩视为不满足上述业绩最低要求。业绩认定时间以交工日期为准。</w:t>
            </w:r>
          </w:p>
          <w:p w14:paraId="273BE89C">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（3）业绩证明材料具体示例详见第九章 投标文件格式 投标文件（商务及技术文件） 八、资格审查资料 （四）近年完成的类似项目情况表 类似项目业绩（企业）网页截图示例。</w:t>
            </w:r>
          </w:p>
          <w:p w14:paraId="59FBE23D">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如果投标人提供的上述业绩证明材料的内容无法完全反映业绩要求的建设规模、建设内容和技术指标，则还应由该业绩项目的业主出具证明材料，否则业绩不予认可。投标人以联合体形式完成的业绩还应提供该业绩联合体协议书扫描件。</w:t>
            </w:r>
          </w:p>
          <w:p w14:paraId="07414114">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10、投标人的施工业绩中里程的认定标准不扣除桥涵和隧道长度。</w:t>
            </w:r>
          </w:p>
          <w:p w14:paraId="0707D5E9">
            <w:pPr>
              <w:widowControl/>
              <w:spacing w:before="240" w:after="240" w:line="360" w:lineRule="atLeast"/>
              <w:jc w:val="left"/>
              <w:textAlignment w:val="auto"/>
              <w:rPr>
                <w:rFonts w:hint="default" w:ascii="宋体" w:hAnsi="宋体" w:cs="宋体"/>
                <w:color w:val="000000"/>
                <w:kern w:val="0"/>
                <w:sz w:val="24"/>
                <w:szCs w:val="24"/>
                <w:u w:val="none"/>
              </w:rPr>
            </w:pPr>
            <w:r>
              <w:rPr>
                <w:rFonts w:hint="default" w:ascii="宋体" w:hAnsi="宋体" w:cs="宋体"/>
                <w:color w:val="000000"/>
                <w:kern w:val="0"/>
                <w:sz w:val="24"/>
                <w:szCs w:val="24"/>
                <w:u w:val="none"/>
              </w:rPr>
              <w:t>11、如近年来，投标人法人机构发生合法变更或重组或法人名称变更时，应提供相关部门的合法批件及其他相关证明材料来证明其所附业绩的继承性。在对投标人进行业绩审查时，如果投标人是由若干直接被管理的子公司组成的母公司，其业绩仅按以其名义签署的合同计算，其直接管理的子公司业绩均不予考虑。如果投标人是某一母公司直接管理的子公司，其业绩亦不能以其母公司的名义计算。</w:t>
            </w:r>
          </w:p>
          <w:p w14:paraId="4142D07A">
            <w:pPr>
              <w:widowControl/>
              <w:spacing w:before="240" w:after="240" w:line="360" w:lineRule="atLeast"/>
              <w:ind w:left="0"/>
              <w:jc w:val="left"/>
              <w:rPr>
                <w:rFonts w:hint="eastAsia" w:ascii="宋体" w:hAnsi="宋体" w:cs="宋体"/>
                <w:color w:val="000000"/>
                <w:kern w:val="0"/>
                <w:sz w:val="24"/>
                <w:szCs w:val="24"/>
                <w:u w:val="none"/>
              </w:rPr>
            </w:pPr>
            <w:r>
              <w:rPr>
                <w:rFonts w:hint="default" w:ascii="宋体" w:hAnsi="宋体" w:cs="宋体"/>
                <w:color w:val="000000"/>
                <w:kern w:val="0"/>
                <w:sz w:val="24"/>
                <w:szCs w:val="24"/>
                <w:u w:val="none"/>
              </w:rPr>
              <w:t>注：投标人填报的“近年完成的类似项目情况表” 内容与证明材料内容不一致的，以证明材料内容为准，投标人填写的表格内容与证明材料内容不一致不属于重大偏差。</w:t>
            </w:r>
          </w:p>
        </w:tc>
      </w:tr>
      <w:tr w14:paraId="480E144D">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7A9F06">
            <w:pPr>
              <w:widowControl/>
              <w:numPr>
                <w:ilvl w:val="-1"/>
                <w:numId w:val="0"/>
              </w:numPr>
              <w:spacing w:before="240" w:after="240" w:line="360" w:lineRule="atLeast"/>
              <w:ind w:left="0" w:firstLine="0"/>
              <w:jc w:val="center"/>
              <w:textAlignment w:val="auto"/>
              <w:rPr>
                <w:rFonts w:hint="default" w:ascii="宋体" w:hAnsi="宋体" w:cs="宋体"/>
                <w:color w:val="000000"/>
                <w:kern w:val="0"/>
                <w:sz w:val="24"/>
                <w:szCs w:val="24"/>
                <w:highlight w:val="none"/>
                <w:u w:val="none"/>
              </w:rPr>
            </w:pPr>
            <w:r>
              <w:rPr>
                <w:rFonts w:hint="eastAsia" w:ascii="宋体" w:hAnsi="宋体" w:eastAsia="宋体" w:cs="宋体"/>
                <w:color w:val="000000"/>
                <w:kern w:val="0"/>
                <w:sz w:val="24"/>
                <w:szCs w:val="24"/>
                <w:u w:val="none"/>
                <w:lang w:val="en-US" w:eastAsia="zh-CN"/>
              </w:rPr>
              <w:t>1</w:t>
            </w:r>
            <w:r>
              <w:rPr>
                <w:rFonts w:hint="eastAsia" w:ascii="宋体" w:hAnsi="宋体" w:cs="宋体"/>
                <w:color w:val="000000"/>
                <w:kern w:val="0"/>
                <w:sz w:val="24"/>
                <w:szCs w:val="24"/>
                <w:u w:val="none"/>
                <w:lang w:val="en-US" w:eastAsia="zh-CN"/>
              </w:rPr>
              <w:t>1</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FB7C39D">
            <w:pPr>
              <w:widowControl/>
              <w:spacing w:before="240" w:after="240" w:line="360" w:lineRule="atLeast"/>
              <w:jc w:val="center"/>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信誉</w:t>
            </w:r>
          </w:p>
        </w:tc>
        <w:tc>
          <w:tcPr>
            <w:tcW w:w="595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E70AAE">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 xml:space="preserve">投标人不满足以下任一情形均属于重大偏差：   </w:t>
            </w:r>
          </w:p>
          <w:p w14:paraId="4B4B50EC">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1、同时具备：</w:t>
            </w:r>
          </w:p>
          <w:p w14:paraId="6F692785">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（1）投标人没有处于被责令停业状态，暂扣或吊销营业执照，或吊销资质证书，或吊销安全生产许可证。</w:t>
            </w:r>
          </w:p>
          <w:p w14:paraId="25D2CBD6">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（2）投标人没有处于财产被接管或进入清算程序，或被宣告破产，或其他丧失履约能力的情形。</w:t>
            </w:r>
          </w:p>
          <w:p w14:paraId="620DC014">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（3）投标人没有被交通运输主管部门或其他有权作出处罚的部门作出取消在湖北省交通建设市场投标资格或禁止进入湖北公路建设市场的处罚且处于有效期内。</w:t>
            </w:r>
          </w:p>
          <w:p w14:paraId="58F7A852">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4）独立投标人或承担勘察设计工作的联合体成员在交通运输部《2024年度公路设计企业全国综合信用评价结果》或湖北省交通运输厅《2025年度湖北省公路建设市场设计企业信用评价结果》中，信用等级未被评定为D。</w:t>
            </w:r>
          </w:p>
          <w:p w14:paraId="71B201C3">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（5）独立投标人或承担施工工作的联合体成员在交通运输部《2024年度公路施工企业全国综合信用评价结果》或在湖北省交通运输厅《湖北省2024年度普通公路施工企业信用</w:t>
            </w:r>
            <w:r>
              <w:rPr>
                <w:rFonts w:ascii="Times New Roman" w:hAnsi="Times New Roman"/>
                <w:sz w:val="24"/>
                <w:szCs w:val="24"/>
              </w:rPr>
              <w:t>评价结果</w:t>
            </w:r>
            <w:r>
              <w:rPr>
                <w:rFonts w:hint="default" w:ascii="宋体" w:hAnsi="宋体" w:cs="宋体"/>
                <w:color w:val="000000"/>
                <w:kern w:val="0"/>
                <w:sz w:val="24"/>
                <w:szCs w:val="24"/>
                <w:highlight w:val="none"/>
                <w:u w:val="none"/>
                <w:lang w:bidi="ar"/>
              </w:rPr>
              <w:t>》中，信用等级未被评定为D。</w:t>
            </w:r>
          </w:p>
          <w:p w14:paraId="10776283">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（6）投标人不得存在下列不良状况或不良信用记录：</w:t>
            </w:r>
          </w:p>
          <w:p w14:paraId="74E4BB94">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①在国家企业信用信息公示系统(http://www.gsxt.gov.cn/)中被列入严重违法失信企业名单的；</w:t>
            </w:r>
          </w:p>
          <w:p w14:paraId="447D01F5">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②在“中国执行信息公开网”（http://zxgk.court.gov.cn/）中被列入失信被执行人名单；</w:t>
            </w:r>
          </w:p>
          <w:p w14:paraId="36720A28">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③在近三年内投标人或其法定代表人、拟委任的项目经理被人民法院判决为行贿罪的；</w:t>
            </w:r>
          </w:p>
          <w:p w14:paraId="198C8C79">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④被列入湖北省公路水路工程建设市场黑名单且处于有效期内</w:t>
            </w:r>
          </w:p>
          <w:p w14:paraId="5E7F3D25">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⑤其他在“信用中国”网站(http://www.creditchina.gov.cn/)中被列为严重失信主体名单，且按联合惩戒要求禁止参与招投标的。</w:t>
            </w:r>
          </w:p>
          <w:p w14:paraId="0FA2778A">
            <w:pPr>
              <w:widowControl/>
              <w:spacing w:before="240" w:after="240" w:line="360" w:lineRule="atLeast"/>
              <w:jc w:val="left"/>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2、投标人应在投标文件格式资格审查资料“信誉情况表”按给定的内容填写并提供《信誉情况承诺函》，按上述要求提供了《信誉情况承诺函》的，视为满足信誉最低要求。</w:t>
            </w:r>
          </w:p>
          <w:p w14:paraId="5F5D6786">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3、以联合体形式投标的，联合体各成员均应满足上述信誉最低要求，并分别提供《信誉情况承诺函》。</w:t>
            </w:r>
          </w:p>
        </w:tc>
      </w:tr>
      <w:tr w14:paraId="359821F1">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CC4ADC">
            <w:pPr>
              <w:widowControl/>
              <w:numPr>
                <w:ilvl w:val="-1"/>
                <w:numId w:val="0"/>
              </w:numPr>
              <w:spacing w:before="240" w:after="240" w:line="360" w:lineRule="atLeast"/>
              <w:ind w:left="0" w:firstLine="0"/>
              <w:jc w:val="center"/>
              <w:textAlignment w:val="auto"/>
              <w:rPr>
                <w:rFonts w:hint="default" w:ascii="宋体" w:hAnsi="宋体" w:cs="宋体"/>
                <w:color w:val="000000"/>
                <w:kern w:val="0"/>
                <w:sz w:val="24"/>
                <w:szCs w:val="24"/>
                <w:highlight w:val="none"/>
                <w:u w:val="none"/>
              </w:rPr>
            </w:pPr>
            <w:r>
              <w:rPr>
                <w:rFonts w:hint="eastAsia" w:ascii="宋体" w:hAnsi="宋体" w:eastAsia="宋体" w:cs="宋体"/>
                <w:color w:val="000000"/>
                <w:kern w:val="0"/>
                <w:sz w:val="24"/>
                <w:szCs w:val="24"/>
                <w:u w:val="none"/>
                <w:lang w:val="en-US" w:eastAsia="zh-CN"/>
              </w:rPr>
              <w:t>1</w:t>
            </w:r>
            <w:r>
              <w:rPr>
                <w:rFonts w:hint="eastAsia" w:ascii="宋体" w:hAnsi="宋体" w:cs="宋体"/>
                <w:color w:val="000000"/>
                <w:kern w:val="0"/>
                <w:sz w:val="24"/>
                <w:szCs w:val="24"/>
                <w:u w:val="none"/>
                <w:lang w:val="en-US" w:eastAsia="zh-CN"/>
              </w:rPr>
              <w:t>2</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0779BF">
            <w:pPr>
              <w:widowControl/>
              <w:spacing w:before="240" w:after="240" w:line="360" w:lineRule="atLeast"/>
              <w:jc w:val="center"/>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主要人员</w:t>
            </w:r>
          </w:p>
        </w:tc>
        <w:tc>
          <w:tcPr>
            <w:tcW w:w="595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874A94">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 xml:space="preserve">投标人不满足以下任一情形均属于重大偏差：   </w:t>
            </w:r>
          </w:p>
          <w:p w14:paraId="0A2D4356">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1、项目负责人（兼施工负责人）同时具备</w:t>
            </w:r>
          </w:p>
          <w:p w14:paraId="4A3AF8C2">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（1）有效的二级建造师资格（注册专业：公路工程专业）；</w:t>
            </w:r>
          </w:p>
          <w:p w14:paraId="43186FF8">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（2）交通主管部门颁发的安全生产“三类人员”B类证书。</w:t>
            </w:r>
          </w:p>
          <w:p w14:paraId="47F12B14">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（3）近10年内担任过1条新建或改扩建二级及以上等级公路的工程施工项目的项目经理。</w:t>
            </w:r>
          </w:p>
          <w:p w14:paraId="7DFE5E68">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2、设计负责人</w:t>
            </w:r>
          </w:p>
          <w:p w14:paraId="2338E26E">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同时具备：</w:t>
            </w:r>
          </w:p>
          <w:p w14:paraId="1B92EC06">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（1）高级工程师职称（公路工程专业）；</w:t>
            </w:r>
          </w:p>
          <w:p w14:paraId="49074056">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（2）近10年内作为项目负责人主持过1条新建或改扩建二级及以上等级公路的勘察设计工作。</w:t>
            </w:r>
          </w:p>
          <w:p w14:paraId="12B25CDB">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3、专职安全生产管理负责人具备：持有交通主管部门颁发的安全生产“三类人员”C类证书。</w:t>
            </w:r>
          </w:p>
          <w:p w14:paraId="3A64F85D">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4、投标人应填报投标文件格式资格审查资料“拟委任的项目负责人（兼施工负责人）资历表”、“拟委任的设计负责人资历表” 、“拟委任的安全生产管理人员资历表”，并在相应表后附相应证明材料。</w:t>
            </w:r>
          </w:p>
          <w:p w14:paraId="3648A74E">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6、证书证明材料应附：（1）有效的职称证（仅设计负责人提供）的扫描件；（2）项目负责人（兼施工负责人）、专职安全生产管理负责人有效的安全生产考核合格证书的扫描件；（3）项目负责人（兼施工负责人)建造师资格仅以“全国建筑市场监管公共服务平台”（网址：http://jzsc.mohurd.gov.cn/home）的网页截图为依据，截图信息应至少包括姓名、注册单位、注册编号、本次招标要求的注册专业、有效期，如截图信息不完整或截图载明的有效期已失效，视为建造师资格无效。投标人提供了满足要求的“全国建筑市场监管公共服务平台”注册建造师网页截图的，视为项目经理具备有效的建造师资格。；（4）投标人所属社保机构出具的拟委任的上述主要人员2025年9月份（含2025年9月份）以来任意连续3个月社保缴费证明或其他能够证明主要人员参加社保的有效证明材料扫描件。</w:t>
            </w:r>
          </w:p>
          <w:p w14:paraId="27A2FB43">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7、投标人应按第九章投标文件格式“第一信封其他材料”中的格式要求提供“主要人员到岗承诺函”，无论主要人员是否正在其他项目任职，提供了有效的“主要人员到岗承诺函”视为该人员可以到岗履约。</w:t>
            </w:r>
          </w:p>
          <w:p w14:paraId="664A24E4">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8、上述要求与投标文件格式资格审查资料“拟委任的项目负责人（兼施工负责人）资历表”、“拟委任的设计负责人资历表” 、“拟委任的安全生产管理负责人资历表”备注的内容不一致的，以上述要求为准。</w:t>
            </w:r>
          </w:p>
          <w:p w14:paraId="73DF52CB">
            <w:pPr>
              <w:widowControl/>
              <w:spacing w:before="240" w:after="240" w:line="360" w:lineRule="atLeast"/>
              <w:jc w:val="left"/>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注：投标人填报的表格内容与证明材料内容不一致的，以证明材料内容为准，投标人填写的表格内容与证明材料内容不一致不属于重大偏差。</w:t>
            </w:r>
          </w:p>
        </w:tc>
      </w:tr>
      <w:tr w14:paraId="405AD674">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42F658">
            <w:pPr>
              <w:widowControl/>
              <w:numPr>
                <w:ilvl w:val="-1"/>
                <w:numId w:val="0"/>
              </w:numPr>
              <w:spacing w:before="240" w:after="240" w:line="360" w:lineRule="atLeast"/>
              <w:ind w:left="0" w:firstLine="0"/>
              <w:jc w:val="center"/>
              <w:textAlignment w:val="auto"/>
              <w:rPr>
                <w:rFonts w:hint="default" w:ascii="宋体" w:hAnsi="宋体" w:cs="宋体"/>
                <w:color w:val="000000"/>
                <w:kern w:val="0"/>
                <w:sz w:val="24"/>
                <w:szCs w:val="24"/>
                <w:highlight w:val="none"/>
                <w:u w:val="none"/>
              </w:rPr>
            </w:pPr>
            <w:r>
              <w:rPr>
                <w:rFonts w:hint="eastAsia" w:ascii="宋体" w:hAnsi="宋体" w:eastAsia="宋体" w:cs="宋体"/>
                <w:color w:val="000000"/>
                <w:kern w:val="0"/>
                <w:sz w:val="24"/>
                <w:szCs w:val="24"/>
                <w:u w:val="none"/>
                <w:lang w:val="en-US" w:eastAsia="zh-CN"/>
              </w:rPr>
              <w:t>1</w:t>
            </w:r>
            <w:r>
              <w:rPr>
                <w:rFonts w:hint="eastAsia" w:ascii="宋体" w:hAnsi="宋体" w:cs="宋体"/>
                <w:color w:val="000000"/>
                <w:kern w:val="0"/>
                <w:sz w:val="24"/>
                <w:szCs w:val="24"/>
                <w:u w:val="none"/>
                <w:lang w:val="en-US" w:eastAsia="zh-CN"/>
              </w:rPr>
              <w:t>3</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A3B5C4">
            <w:pPr>
              <w:widowControl/>
              <w:spacing w:before="240" w:after="240" w:line="360" w:lineRule="atLeast"/>
              <w:jc w:val="center"/>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存在的其他情形（一）</w:t>
            </w:r>
          </w:p>
        </w:tc>
        <w:tc>
          <w:tcPr>
            <w:tcW w:w="59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2A8BDB">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投标人（若为联合体投标，指联合体所有成员）存在以下任一情形均属于重大偏差：</w:t>
            </w:r>
          </w:p>
          <w:p w14:paraId="7DA74EC2">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（1）为招标人不具有独立法人资格的附属机构（单位）；</w:t>
            </w:r>
          </w:p>
          <w:p w14:paraId="4BB51876">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（2）与招标人存在利害关系且可能影响招标公正性；</w:t>
            </w:r>
          </w:p>
          <w:p w14:paraId="4B7833FC">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（3）与本标段的其他投标人同为一个单位负责人（即法定代表人）；</w:t>
            </w:r>
          </w:p>
          <w:p w14:paraId="373A34A3">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（4）与本标段的其他投标人存在控股、管理关系；</w:t>
            </w:r>
          </w:p>
          <w:p w14:paraId="7DB10F2F">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 xml:space="preserve">（5）为本标段相关配套设施前期准备提供设计或咨询服务的法人或其任何附属机构(单位)； </w:t>
            </w:r>
          </w:p>
          <w:p w14:paraId="0440D5A5">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（6）为本标段的监理人；</w:t>
            </w:r>
          </w:p>
          <w:p w14:paraId="2F8024FF">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（7）为本标段的代建人；</w:t>
            </w:r>
          </w:p>
          <w:p w14:paraId="5EDB53E0">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（8）为本标段的招标代理机构；</w:t>
            </w:r>
          </w:p>
          <w:p w14:paraId="268F5740">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（9）与本标段的监理人或代建人或招标代理机构同为一个法定代表人；</w:t>
            </w:r>
          </w:p>
          <w:p w14:paraId="1B0A2889">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（10）与本标段的监理人或代建人或招标代理机构存在控股或参股关系；</w:t>
            </w:r>
          </w:p>
          <w:p w14:paraId="23E4B242">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（11）单位负责人为同一人或者存在控股、管理关系的不同单位，参加同一标段（包）投标的，共同组成联合体投标的除外。</w:t>
            </w:r>
          </w:p>
          <w:p w14:paraId="6542FD42">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（12）为本标段的初步设计单位及其附属单位。</w:t>
            </w:r>
          </w:p>
        </w:tc>
      </w:tr>
      <w:tr w14:paraId="420F9D0B">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82E049">
            <w:pPr>
              <w:widowControl/>
              <w:numPr>
                <w:ilvl w:val="-1"/>
                <w:numId w:val="0"/>
              </w:numPr>
              <w:spacing w:before="240" w:after="240" w:line="360" w:lineRule="atLeast"/>
              <w:ind w:left="0" w:firstLine="0"/>
              <w:jc w:val="center"/>
              <w:textAlignment w:val="auto"/>
              <w:rPr>
                <w:rFonts w:hint="default" w:ascii="宋体" w:hAnsi="宋体" w:cs="宋体"/>
                <w:color w:val="000000"/>
                <w:kern w:val="0"/>
                <w:sz w:val="24"/>
                <w:szCs w:val="24"/>
                <w:highlight w:val="none"/>
                <w:u w:val="none"/>
                <w:lang w:bidi="ar"/>
              </w:rPr>
            </w:pPr>
            <w:r>
              <w:rPr>
                <w:rFonts w:hint="eastAsia" w:ascii="宋体" w:hAnsi="宋体" w:eastAsia="宋体" w:cs="宋体"/>
                <w:color w:val="000000"/>
                <w:kern w:val="0"/>
                <w:sz w:val="24"/>
                <w:szCs w:val="24"/>
                <w:u w:val="none"/>
                <w:lang w:val="en-US" w:eastAsia="zh-CN" w:bidi="ar"/>
              </w:rPr>
              <w:t>1</w:t>
            </w:r>
            <w:r>
              <w:rPr>
                <w:rFonts w:hint="eastAsia" w:ascii="宋体" w:hAnsi="宋体" w:cs="宋体"/>
                <w:color w:val="000000"/>
                <w:kern w:val="0"/>
                <w:sz w:val="24"/>
                <w:szCs w:val="24"/>
                <w:u w:val="none"/>
                <w:lang w:val="en-US" w:eastAsia="zh-CN" w:bidi="ar"/>
              </w:rPr>
              <w:t>4</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2FCB2F">
            <w:pPr>
              <w:widowControl/>
              <w:spacing w:before="240" w:after="240" w:line="360" w:lineRule="atLeast"/>
              <w:jc w:val="center"/>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投标价格</w:t>
            </w:r>
          </w:p>
        </w:tc>
        <w:tc>
          <w:tcPr>
            <w:tcW w:w="59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52AB04">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投标人不满足以下任一情形均属于重大偏差：</w:t>
            </w:r>
          </w:p>
          <w:p w14:paraId="240B0692">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（1）投标函填写了投标总报价，且一份投标文件应只有一个投标总报价，未提交选择性报价；</w:t>
            </w:r>
          </w:p>
          <w:p w14:paraId="0A09ABBD">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（2）投标函中投标总报价与投标报价表中的投标总报价保持一致；</w:t>
            </w:r>
          </w:p>
          <w:p w14:paraId="1AB9015A">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（3）投标人未提交调价函；</w:t>
            </w:r>
          </w:p>
          <w:p w14:paraId="28B01FA7">
            <w:pPr>
              <w:widowControl/>
              <w:spacing w:before="240" w:after="240" w:line="360" w:lineRule="atLeast"/>
              <w:jc w:val="left"/>
              <w:textAlignment w:val="auto"/>
              <w:rPr>
                <w:rFonts w:hint="default" w:ascii="宋体" w:hAnsi="宋体" w:eastAsia="宋体" w:cs="宋体"/>
                <w:color w:val="000000"/>
                <w:kern w:val="0"/>
                <w:sz w:val="24"/>
                <w:szCs w:val="24"/>
                <w:u w:val="none"/>
                <w:lang w:bidi="ar"/>
              </w:rPr>
            </w:pPr>
            <w:r>
              <w:rPr>
                <w:rFonts w:hint="default" w:ascii="宋体" w:hAnsi="宋体" w:cs="宋体"/>
                <w:color w:val="000000"/>
                <w:kern w:val="0"/>
                <w:sz w:val="24"/>
                <w:szCs w:val="24"/>
                <w:highlight w:val="none"/>
                <w:u w:val="none"/>
                <w:lang w:bidi="ar"/>
              </w:rPr>
              <w:t>（4）投标函的投标总报价未超过本标段（包）最高投标限价，</w:t>
            </w:r>
            <w:r>
              <w:rPr>
                <w:rFonts w:hint="eastAsia" w:ascii="宋体" w:hAnsi="宋体" w:eastAsia="宋体" w:cs="宋体"/>
                <w:color w:val="000000"/>
                <w:kern w:val="0"/>
                <w:sz w:val="24"/>
                <w:szCs w:val="24"/>
                <w:u w:val="none"/>
                <w:lang w:val="en-US" w:eastAsia="zh-CN" w:bidi="ar"/>
              </w:rPr>
              <w:t>且</w:t>
            </w:r>
            <w:r>
              <w:rPr>
                <w:rFonts w:hint="default" w:ascii="宋体" w:hAnsi="宋体" w:cs="宋体"/>
                <w:color w:val="000000"/>
                <w:kern w:val="0"/>
                <w:sz w:val="24"/>
                <w:szCs w:val="24"/>
                <w:highlight w:val="none"/>
                <w:u w:val="none"/>
                <w:lang w:bidi="ar"/>
              </w:rPr>
              <w:t>建筑安装工程费报价未超过建筑安装工程费最高投标限价，</w:t>
            </w:r>
            <w:r>
              <w:rPr>
                <w:rFonts w:hint="eastAsia" w:ascii="宋体" w:hAnsi="宋体" w:eastAsia="宋体" w:cs="宋体"/>
                <w:color w:val="000000"/>
                <w:kern w:val="0"/>
                <w:sz w:val="24"/>
                <w:szCs w:val="24"/>
                <w:u w:val="none"/>
                <w:lang w:val="en-US" w:eastAsia="zh-CN" w:bidi="ar"/>
              </w:rPr>
              <w:t>施工图设计费未超过施工图设计费最高投标限价</w:t>
            </w:r>
            <w:r>
              <w:rPr>
                <w:rFonts w:hint="default" w:ascii="宋体" w:hAnsi="宋体" w:cs="宋体"/>
                <w:color w:val="000000"/>
                <w:kern w:val="0"/>
                <w:sz w:val="24"/>
                <w:szCs w:val="24"/>
                <w:highlight w:val="none"/>
                <w:u w:val="none"/>
                <w:lang w:bidi="ar"/>
              </w:rPr>
              <w:t>；</w:t>
            </w:r>
          </w:p>
          <w:p w14:paraId="216EA9DF">
            <w:pPr>
              <w:widowControl/>
              <w:spacing w:before="240" w:after="240" w:line="360" w:lineRule="atLeast"/>
              <w:jc w:val="left"/>
              <w:textAlignment w:val="auto"/>
              <w:rPr>
                <w:rFonts w:hint="default" w:ascii="宋体" w:hAnsi="宋体" w:cs="宋体"/>
                <w:color w:val="000000"/>
                <w:kern w:val="0"/>
                <w:sz w:val="24"/>
                <w:szCs w:val="24"/>
                <w:highlight w:val="none"/>
                <w:u w:val="none"/>
                <w:lang w:bidi="ar"/>
              </w:rPr>
            </w:pPr>
            <w:r>
              <w:rPr>
                <w:rFonts w:hint="default" w:ascii="宋体" w:hAnsi="宋体" w:cs="宋体"/>
                <w:color w:val="000000"/>
                <w:kern w:val="0"/>
                <w:sz w:val="24"/>
                <w:szCs w:val="24"/>
                <w:highlight w:val="none"/>
                <w:u w:val="none"/>
                <w:lang w:bidi="ar"/>
              </w:rPr>
              <w:t>（5）投标报价低于最高投标限价的65％且未按评标委员会要求说明并证明的。</w:t>
            </w:r>
          </w:p>
        </w:tc>
      </w:tr>
      <w:tr w14:paraId="14F32299">
        <w:tblPrEx>
          <w:tblCellMar>
            <w:top w:w="0" w:type="dxa"/>
            <w:left w:w="0" w:type="dxa"/>
            <w:bottom w:w="0" w:type="dxa"/>
            <w:right w:w="0" w:type="dxa"/>
          </w:tblCellMar>
        </w:tblPrEx>
        <w:trPr>
          <w:trHeight w:val="454" w:hRule="atLeast"/>
          <w:jc w:val="center"/>
        </w:trPr>
        <w:tc>
          <w:tcPr>
            <w:tcW w:w="7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B27315">
            <w:pPr>
              <w:widowControl/>
              <w:numPr>
                <w:ilvl w:val="-1"/>
                <w:numId w:val="0"/>
              </w:numPr>
              <w:spacing w:before="240" w:after="240" w:line="360" w:lineRule="atLeast"/>
              <w:ind w:left="0" w:firstLine="0"/>
              <w:jc w:val="center"/>
              <w:textAlignment w:val="auto"/>
              <w:rPr>
                <w:rFonts w:hint="default" w:ascii="宋体" w:hAnsi="宋体" w:cs="宋体"/>
                <w:color w:val="000000"/>
                <w:kern w:val="0"/>
                <w:sz w:val="24"/>
                <w:szCs w:val="24"/>
                <w:highlight w:val="none"/>
                <w:u w:val="none"/>
              </w:rPr>
            </w:pPr>
            <w:r>
              <w:rPr>
                <w:rFonts w:hint="eastAsia" w:ascii="宋体" w:hAnsi="宋体" w:eastAsia="宋体" w:cs="宋体"/>
                <w:color w:val="000000"/>
                <w:kern w:val="0"/>
                <w:sz w:val="24"/>
                <w:szCs w:val="24"/>
                <w:u w:val="none"/>
                <w:lang w:val="en-US" w:eastAsia="zh-CN"/>
              </w:rPr>
              <w:t>1</w:t>
            </w:r>
            <w:r>
              <w:rPr>
                <w:rFonts w:hint="eastAsia" w:ascii="宋体" w:hAnsi="宋体" w:cs="宋体"/>
                <w:color w:val="000000"/>
                <w:kern w:val="0"/>
                <w:sz w:val="24"/>
                <w:szCs w:val="24"/>
                <w:u w:val="none"/>
                <w:lang w:val="en-US" w:eastAsia="zh-CN"/>
              </w:rPr>
              <w:t>5</w:t>
            </w:r>
          </w:p>
        </w:tc>
        <w:tc>
          <w:tcPr>
            <w:tcW w:w="16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3617B1">
            <w:pPr>
              <w:widowControl/>
              <w:spacing w:before="240" w:after="240" w:line="360" w:lineRule="atLeast"/>
              <w:jc w:val="center"/>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lang w:bidi="ar"/>
              </w:rPr>
              <w:t>存在的其他情形（二）</w:t>
            </w:r>
          </w:p>
        </w:tc>
        <w:tc>
          <w:tcPr>
            <w:tcW w:w="59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7B3BFC">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投标人存在以下任一情形：</w:t>
            </w:r>
          </w:p>
          <w:p w14:paraId="189DA464">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（1）在本次招标活动中，串通投标、弄虚作假、行贿或有其他违法行为的；</w:t>
            </w:r>
          </w:p>
          <w:p w14:paraId="691B725B">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（2）在本次招标活动中，不按评标委员会要求澄清、说明或补正的；</w:t>
            </w:r>
          </w:p>
          <w:p w14:paraId="7DD2F34F">
            <w:pPr>
              <w:widowControl/>
              <w:spacing w:before="240" w:after="240" w:line="360" w:lineRule="atLeast"/>
              <w:jc w:val="left"/>
              <w:textAlignment w:val="auto"/>
              <w:rPr>
                <w:rFonts w:hint="default" w:ascii="宋体" w:hAnsi="宋体" w:cs="宋体"/>
                <w:color w:val="000000"/>
                <w:kern w:val="0"/>
                <w:sz w:val="24"/>
                <w:szCs w:val="24"/>
                <w:highlight w:val="none"/>
                <w:u w:val="none"/>
              </w:rPr>
            </w:pPr>
            <w:r>
              <w:rPr>
                <w:rFonts w:hint="default" w:ascii="宋体" w:hAnsi="宋体" w:cs="宋体"/>
                <w:color w:val="000000"/>
                <w:kern w:val="0"/>
                <w:sz w:val="24"/>
                <w:szCs w:val="24"/>
                <w:highlight w:val="none"/>
                <w:u w:val="none"/>
              </w:rPr>
              <w:t>（3）在本次招标活动中，经湖北省公共资源交易平台评标系统检测出与其他投标人制作投标文件的电脑机器码一致的。</w:t>
            </w:r>
          </w:p>
        </w:tc>
      </w:tr>
      <w:tr w14:paraId="5B86B1C2">
        <w:tblPrEx>
          <w:tblCellMar>
            <w:top w:w="0" w:type="dxa"/>
            <w:left w:w="0" w:type="dxa"/>
            <w:bottom w:w="0" w:type="dxa"/>
            <w:right w:w="0" w:type="dxa"/>
          </w:tblCellMar>
        </w:tblPrEx>
        <w:trPr>
          <w:trHeight w:val="454" w:hRule="atLeast"/>
          <w:jc w:val="center"/>
        </w:trPr>
        <w:tc>
          <w:tcPr>
            <w:tcW w:w="8336"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5609D2">
            <w:pPr>
              <w:widowControl/>
              <w:spacing w:before="240" w:after="240" w:line="360" w:lineRule="atLeast"/>
              <w:jc w:val="left"/>
              <w:textAlignment w:val="auto"/>
              <w:rPr>
                <w:rFonts w:hint="default" w:ascii="宋体" w:hAnsi="宋体" w:cs="宋体"/>
                <w:b w:val="0"/>
                <w:color w:val="000000"/>
                <w:kern w:val="0"/>
                <w:sz w:val="24"/>
                <w:szCs w:val="24"/>
                <w:highlight w:val="none"/>
                <w:u w:val="none"/>
              </w:rPr>
            </w:pPr>
            <w:r>
              <w:rPr>
                <w:rFonts w:hint="default" w:ascii="宋体" w:hAnsi="宋体" w:cs="宋体"/>
                <w:b w:val="0"/>
                <w:color w:val="000000"/>
                <w:kern w:val="0"/>
                <w:sz w:val="24"/>
                <w:szCs w:val="24"/>
                <w:u w:val="none"/>
                <w:lang w:bidi="ar"/>
              </w:rPr>
              <w:t>1、投标人存在本表中被列入重大偏差认定的情况，其投标应当被否决；2、投标人出现未在本表中被列入重大偏差认定情况的偏差情形，不属于重大偏差，按细微偏差处理；3、评标委员会不得因细微偏差否决投标。</w:t>
            </w:r>
          </w:p>
        </w:tc>
      </w:tr>
    </w:tbl>
    <w:p w14:paraId="392C7DF7">
      <w:pPr>
        <w:spacing w:line="360" w:lineRule="auto"/>
        <w:rPr>
          <w:rFonts w:hint="default" w:ascii="Times New Roman" w:hAnsi="Times New Roman" w:cs="Times New Roman"/>
          <w:color w:val="auto"/>
          <w:szCs w:val="21"/>
          <w:highlight w:val="none"/>
        </w:rPr>
      </w:pPr>
    </w:p>
    <w:p w14:paraId="1D5052ED">
      <w:pPr>
        <w:ind w:firstLine="480" w:firstLineChars="200"/>
        <w:rPr>
          <w:rFonts w:hint="default" w:ascii="宋体" w:hAnsi="宋体" w:eastAsia="宋体" w:cs="宋体"/>
          <w:color w:val="000000"/>
          <w:kern w:val="0"/>
          <w:sz w:val="24"/>
          <w:szCs w:val="24"/>
        </w:rPr>
      </w:pPr>
    </w:p>
    <w:p w14:paraId="39D5997A">
      <w:pPr>
        <w:pStyle w:val="26"/>
        <w:pageBreakBefore/>
        <w:ind w:firstLine="1749" w:firstLineChars="396"/>
        <w:jc w:val="both"/>
        <w:rPr>
          <w:rFonts w:hint="default" w:ascii="Times New Roman" w:hAnsi="Times New Roman" w:cs="Times New Roman"/>
          <w:color w:val="000000"/>
        </w:rPr>
      </w:pPr>
      <w:bookmarkStart w:id="5" w:name="_Toc1350"/>
      <w:bookmarkStart w:id="6" w:name="_Toc491075815"/>
      <w:r>
        <w:rPr>
          <w:rFonts w:hint="default" w:ascii="Times New Roman" w:hAnsi="Times New Roman" w:cs="Times New Roman"/>
          <w:color w:val="000000"/>
        </w:rPr>
        <w:t>第二章  投标人须知</w:t>
      </w:r>
      <w:bookmarkEnd w:id="5"/>
      <w:bookmarkEnd w:id="6"/>
    </w:p>
    <w:p w14:paraId="02FADD03">
      <w:pPr>
        <w:rPr>
          <w:rFonts w:hint="default" w:ascii="Times New Roman" w:hAnsi="Times New Roman" w:cs="Times New Roman"/>
          <w:color w:val="000000"/>
        </w:rPr>
      </w:pPr>
    </w:p>
    <w:p w14:paraId="18AF1547">
      <w:pPr>
        <w:pStyle w:val="3"/>
        <w:rPr>
          <w:rFonts w:hint="default" w:ascii="Times New Roman" w:hAnsi="Times New Roman" w:cs="Times New Roman"/>
          <w:color w:val="000000"/>
        </w:rPr>
      </w:pPr>
      <w:bookmarkStart w:id="7" w:name="_Toc491075816"/>
      <w:bookmarkStart w:id="8" w:name="_Toc25198"/>
      <w:r>
        <w:rPr>
          <w:rFonts w:hint="default" w:ascii="Times New Roman" w:hAnsi="Times New Roman" w:cs="Times New Roman"/>
          <w:color w:val="000000"/>
        </w:rPr>
        <w:t>投标人须知 前附表</w:t>
      </w:r>
      <w:bookmarkEnd w:id="7"/>
      <w:bookmarkEnd w:id="8"/>
    </w:p>
    <w:tbl>
      <w:tblPr>
        <w:tblStyle w:val="17"/>
        <w:tblW w:w="9073"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551"/>
        <w:gridCol w:w="5529"/>
      </w:tblGrid>
      <w:tr w14:paraId="54C2F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right"/>
        </w:trPr>
        <w:tc>
          <w:tcPr>
            <w:tcW w:w="993" w:type="dxa"/>
            <w:vAlign w:val="center"/>
          </w:tcPr>
          <w:p w14:paraId="442A2621">
            <w:pPr>
              <w:jc w:val="center"/>
              <w:rPr>
                <w:rFonts w:hint="default" w:ascii="Times New Roman" w:hAnsi="Times New Roman" w:cs="Times New Roman"/>
                <w:b/>
                <w:color w:val="000000"/>
              </w:rPr>
            </w:pPr>
            <w:r>
              <w:rPr>
                <w:rFonts w:hint="default" w:ascii="Times New Roman" w:hAnsi="Times New Roman" w:cs="Times New Roman"/>
                <w:b/>
                <w:color w:val="000000"/>
              </w:rPr>
              <w:t>条款号</w:t>
            </w:r>
          </w:p>
        </w:tc>
        <w:tc>
          <w:tcPr>
            <w:tcW w:w="2551" w:type="dxa"/>
            <w:vAlign w:val="center"/>
          </w:tcPr>
          <w:p w14:paraId="2E5914EC">
            <w:pPr>
              <w:jc w:val="center"/>
              <w:rPr>
                <w:rFonts w:hint="default" w:ascii="Times New Roman" w:hAnsi="Times New Roman" w:cs="Times New Roman"/>
                <w:b/>
                <w:color w:val="000000"/>
              </w:rPr>
            </w:pPr>
            <w:r>
              <w:rPr>
                <w:rFonts w:hint="default" w:ascii="Times New Roman" w:hAnsi="Times New Roman" w:cs="Times New Roman"/>
                <w:b/>
                <w:color w:val="000000"/>
              </w:rPr>
              <w:t>条  款  名  称</w:t>
            </w:r>
          </w:p>
        </w:tc>
        <w:tc>
          <w:tcPr>
            <w:tcW w:w="5529" w:type="dxa"/>
            <w:vAlign w:val="center"/>
          </w:tcPr>
          <w:p w14:paraId="7BC98499">
            <w:pPr>
              <w:jc w:val="center"/>
              <w:rPr>
                <w:rFonts w:hint="default" w:ascii="Times New Roman" w:hAnsi="Times New Roman" w:cs="Times New Roman"/>
                <w:b/>
                <w:color w:val="000000"/>
              </w:rPr>
            </w:pPr>
            <w:r>
              <w:rPr>
                <w:rFonts w:hint="default" w:ascii="Times New Roman" w:hAnsi="Times New Roman" w:cs="Times New Roman"/>
                <w:b/>
                <w:color w:val="000000"/>
              </w:rPr>
              <w:t>编  列  内  容</w:t>
            </w:r>
          </w:p>
        </w:tc>
      </w:tr>
      <w:tr w14:paraId="4C77F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jc w:val="right"/>
        </w:trPr>
        <w:tc>
          <w:tcPr>
            <w:tcW w:w="993" w:type="dxa"/>
            <w:vAlign w:val="center"/>
          </w:tcPr>
          <w:p w14:paraId="1F42A503">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1.1.2</w:t>
            </w:r>
          </w:p>
        </w:tc>
        <w:tc>
          <w:tcPr>
            <w:tcW w:w="2551" w:type="dxa"/>
            <w:vAlign w:val="center"/>
          </w:tcPr>
          <w:p w14:paraId="1646D77D">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招标人</w:t>
            </w:r>
          </w:p>
        </w:tc>
        <w:tc>
          <w:tcPr>
            <w:tcW w:w="5529" w:type="dxa"/>
            <w:vAlign w:val="center"/>
          </w:tcPr>
          <w:p w14:paraId="43CB1998">
            <w:pPr>
              <w:rPr>
                <w:rFonts w:hint="default" w:ascii="Times New Roman" w:hAnsi="Times New Roman" w:cs="Times New Roman"/>
                <w:color w:val="000000"/>
              </w:rPr>
            </w:pPr>
            <w:permStart w:id="0" w:edGrp="everyone"/>
            <w:r>
              <w:rPr>
                <w:rFonts w:hint="default" w:ascii="Times New Roman" w:hAnsi="Times New Roman" w:cs="Times New Roman"/>
                <w:color w:val="000000"/>
                <w:szCs w:val="24"/>
                <w:lang w:bidi="ar"/>
              </w:rPr>
              <w:t>名    称：</w:t>
            </w:r>
            <w:r>
              <w:rPr>
                <w:rFonts w:hint="default" w:ascii="Times New Roman" w:hAnsi="Times New Roman" w:cs="Times New Roman"/>
                <w:color w:val="000000"/>
                <w:szCs w:val="21"/>
                <w:lang w:bidi="ar"/>
              </w:rPr>
              <w:t>详见招标公告</w:t>
            </w:r>
          </w:p>
          <w:p w14:paraId="24758DAC">
            <w:pPr>
              <w:rPr>
                <w:rFonts w:hint="default" w:ascii="Times New Roman" w:hAnsi="Times New Roman" w:cs="Times New Roman"/>
                <w:color w:val="000000"/>
              </w:rPr>
            </w:pPr>
            <w:r>
              <w:rPr>
                <w:rFonts w:hint="default" w:ascii="Times New Roman" w:hAnsi="Times New Roman" w:cs="Times New Roman"/>
                <w:color w:val="000000"/>
                <w:szCs w:val="24"/>
                <w:lang w:bidi="ar"/>
              </w:rPr>
              <w:t>地    址：</w:t>
            </w:r>
            <w:r>
              <w:rPr>
                <w:rFonts w:hint="default" w:ascii="Times New Roman" w:hAnsi="Times New Roman" w:cs="Times New Roman"/>
                <w:color w:val="000000"/>
                <w:szCs w:val="21"/>
                <w:lang w:bidi="ar"/>
              </w:rPr>
              <w:t>详见招标公告</w:t>
            </w:r>
          </w:p>
          <w:p w14:paraId="0D7F854D">
            <w:pPr>
              <w:rPr>
                <w:rFonts w:hint="default" w:ascii="Times New Roman" w:hAnsi="Times New Roman" w:cs="Times New Roman"/>
                <w:color w:val="000000"/>
              </w:rPr>
            </w:pPr>
            <w:r>
              <w:rPr>
                <w:rFonts w:hint="default" w:ascii="Times New Roman" w:hAnsi="Times New Roman" w:cs="Times New Roman"/>
                <w:color w:val="000000"/>
                <w:szCs w:val="24"/>
                <w:lang w:bidi="ar"/>
              </w:rPr>
              <w:t>联 系 人：</w:t>
            </w:r>
            <w:r>
              <w:rPr>
                <w:rFonts w:hint="default" w:ascii="Times New Roman" w:hAnsi="Times New Roman" w:cs="Times New Roman"/>
                <w:color w:val="000000"/>
                <w:szCs w:val="21"/>
                <w:lang w:bidi="ar"/>
              </w:rPr>
              <w:t>详见招标公告</w:t>
            </w:r>
          </w:p>
          <w:p w14:paraId="569DE783">
            <w:pPr>
              <w:rPr>
                <w:rFonts w:hint="default" w:ascii="Times New Roman" w:hAnsi="Times New Roman" w:cs="Times New Roman"/>
                <w:color w:val="000000"/>
                <w:szCs w:val="21"/>
              </w:rPr>
            </w:pPr>
            <w:r>
              <w:rPr>
                <w:rFonts w:hint="default" w:ascii="Times New Roman" w:hAnsi="Times New Roman" w:cs="Times New Roman"/>
                <w:color w:val="000000"/>
                <w:szCs w:val="24"/>
                <w:lang w:bidi="ar"/>
              </w:rPr>
              <w:t>电    话：</w:t>
            </w:r>
            <w:r>
              <w:rPr>
                <w:rFonts w:hint="default" w:ascii="Times New Roman" w:hAnsi="Times New Roman" w:cs="Times New Roman"/>
                <w:color w:val="000000"/>
                <w:szCs w:val="21"/>
                <w:lang w:bidi="ar"/>
              </w:rPr>
              <w:t>详见招标公告</w:t>
            </w:r>
            <w:permEnd w:id="0"/>
          </w:p>
        </w:tc>
      </w:tr>
      <w:tr w14:paraId="0565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9" w:hRule="atLeast"/>
          <w:jc w:val="right"/>
        </w:trPr>
        <w:tc>
          <w:tcPr>
            <w:tcW w:w="993" w:type="dxa"/>
            <w:vAlign w:val="center"/>
          </w:tcPr>
          <w:p w14:paraId="5559F806">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1.1.3</w:t>
            </w:r>
          </w:p>
        </w:tc>
        <w:tc>
          <w:tcPr>
            <w:tcW w:w="2551" w:type="dxa"/>
            <w:vAlign w:val="center"/>
          </w:tcPr>
          <w:p w14:paraId="5D004573">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招标代理机构</w:t>
            </w:r>
          </w:p>
        </w:tc>
        <w:tc>
          <w:tcPr>
            <w:tcW w:w="5529" w:type="dxa"/>
            <w:vAlign w:val="center"/>
          </w:tcPr>
          <w:p w14:paraId="57B018D4">
            <w:pPr>
              <w:rPr>
                <w:rFonts w:hint="default" w:ascii="Times New Roman" w:hAnsi="Times New Roman" w:cs="Times New Roman"/>
                <w:color w:val="000000"/>
              </w:rPr>
            </w:pPr>
            <w:permStart w:id="1" w:edGrp="everyone"/>
            <w:r>
              <w:rPr>
                <w:rFonts w:hint="default" w:ascii="Times New Roman" w:hAnsi="Times New Roman" w:cs="Times New Roman"/>
                <w:color w:val="000000"/>
                <w:szCs w:val="24"/>
                <w:lang w:bidi="ar"/>
              </w:rPr>
              <w:t>名    称：</w:t>
            </w:r>
            <w:r>
              <w:rPr>
                <w:rFonts w:hint="default" w:ascii="Times New Roman" w:hAnsi="Times New Roman" w:cs="Times New Roman"/>
                <w:color w:val="000000"/>
                <w:szCs w:val="21"/>
                <w:lang w:bidi="ar"/>
              </w:rPr>
              <w:t>详见招标公告</w:t>
            </w:r>
          </w:p>
          <w:p w14:paraId="6480F171">
            <w:pPr>
              <w:rPr>
                <w:rFonts w:hint="default" w:ascii="Times New Roman" w:hAnsi="Times New Roman" w:cs="Times New Roman"/>
                <w:color w:val="000000"/>
              </w:rPr>
            </w:pPr>
            <w:r>
              <w:rPr>
                <w:rFonts w:hint="default" w:ascii="Times New Roman" w:hAnsi="Times New Roman" w:cs="Times New Roman"/>
                <w:color w:val="000000"/>
                <w:szCs w:val="24"/>
                <w:lang w:bidi="ar"/>
              </w:rPr>
              <w:t>地    址：</w:t>
            </w:r>
            <w:r>
              <w:rPr>
                <w:rFonts w:hint="default" w:ascii="Times New Roman" w:hAnsi="Times New Roman" w:cs="Times New Roman"/>
                <w:color w:val="000000"/>
                <w:szCs w:val="21"/>
                <w:lang w:bidi="ar"/>
              </w:rPr>
              <w:t>详见招标公告</w:t>
            </w:r>
          </w:p>
          <w:p w14:paraId="70A31630">
            <w:pPr>
              <w:rPr>
                <w:rFonts w:hint="default" w:ascii="Times New Roman" w:hAnsi="Times New Roman" w:cs="Times New Roman"/>
                <w:color w:val="000000"/>
              </w:rPr>
            </w:pPr>
            <w:r>
              <w:rPr>
                <w:rFonts w:hint="default" w:ascii="Times New Roman" w:hAnsi="Times New Roman" w:cs="Times New Roman"/>
                <w:color w:val="000000"/>
                <w:szCs w:val="24"/>
                <w:lang w:bidi="ar"/>
              </w:rPr>
              <w:t>联 系 人：</w:t>
            </w:r>
            <w:r>
              <w:rPr>
                <w:rFonts w:hint="default" w:ascii="Times New Roman" w:hAnsi="Times New Roman" w:cs="Times New Roman"/>
                <w:color w:val="000000"/>
                <w:szCs w:val="21"/>
                <w:lang w:bidi="ar"/>
              </w:rPr>
              <w:t>详见招标公告</w:t>
            </w:r>
          </w:p>
          <w:p w14:paraId="30BA2D14">
            <w:pPr>
              <w:rPr>
                <w:rFonts w:hint="default" w:ascii="Times New Roman" w:hAnsi="Times New Roman" w:cs="Times New Roman"/>
                <w:color w:val="000000"/>
                <w:szCs w:val="21"/>
              </w:rPr>
            </w:pPr>
            <w:r>
              <w:rPr>
                <w:rFonts w:hint="default" w:ascii="Times New Roman" w:hAnsi="Times New Roman" w:cs="Times New Roman"/>
                <w:color w:val="000000"/>
                <w:szCs w:val="24"/>
                <w:lang w:bidi="ar"/>
              </w:rPr>
              <w:t>电    话：</w:t>
            </w:r>
            <w:r>
              <w:rPr>
                <w:rFonts w:hint="default" w:ascii="Times New Roman" w:hAnsi="Times New Roman" w:cs="Times New Roman"/>
                <w:color w:val="000000"/>
                <w:szCs w:val="21"/>
                <w:lang w:bidi="ar"/>
              </w:rPr>
              <w:t>详见招标公告</w:t>
            </w:r>
            <w:permEnd w:id="1"/>
          </w:p>
        </w:tc>
      </w:tr>
      <w:tr w14:paraId="1EC9E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right"/>
        </w:trPr>
        <w:tc>
          <w:tcPr>
            <w:tcW w:w="993" w:type="dxa"/>
            <w:vAlign w:val="center"/>
          </w:tcPr>
          <w:p w14:paraId="33457379">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1.1.4</w:t>
            </w:r>
          </w:p>
        </w:tc>
        <w:tc>
          <w:tcPr>
            <w:tcW w:w="2551" w:type="dxa"/>
            <w:vAlign w:val="center"/>
          </w:tcPr>
          <w:p w14:paraId="7036CEE6">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标段</w:t>
            </w:r>
            <w:r>
              <w:rPr>
                <w:rFonts w:hint="default" w:ascii="Times New Roman" w:hAnsi="Times New Roman" w:cs="Times New Roman"/>
                <w:color w:val="000000"/>
              </w:rPr>
              <w:t>（包）名称</w:t>
            </w:r>
          </w:p>
        </w:tc>
        <w:tc>
          <w:tcPr>
            <w:tcW w:w="5529" w:type="dxa"/>
            <w:vAlign w:val="center"/>
          </w:tcPr>
          <w:p w14:paraId="5F6A2088">
            <w:pPr>
              <w:rPr>
                <w:rFonts w:hint="default" w:ascii="Times New Roman" w:hAnsi="Times New Roman" w:cs="Times New Roman"/>
                <w:color w:val="000000"/>
                <w:szCs w:val="21"/>
              </w:rPr>
            </w:pPr>
            <w:permStart w:id="2" w:edGrp="everyone"/>
            <w:r>
              <w:rPr>
                <w:rFonts w:hint="default" w:ascii="Times New Roman" w:hAnsi="Times New Roman" w:cs="Times New Roman"/>
                <w:color w:val="000000"/>
                <w:szCs w:val="21"/>
                <w:lang w:bidi="ar"/>
              </w:rPr>
              <w:t>详见招标公告</w:t>
            </w:r>
            <w:permEnd w:id="2"/>
          </w:p>
        </w:tc>
      </w:tr>
      <w:tr w14:paraId="59297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right"/>
        </w:trPr>
        <w:tc>
          <w:tcPr>
            <w:tcW w:w="993" w:type="dxa"/>
            <w:vAlign w:val="center"/>
          </w:tcPr>
          <w:p w14:paraId="0D8851A6">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1.1.5</w:t>
            </w:r>
          </w:p>
        </w:tc>
        <w:tc>
          <w:tcPr>
            <w:tcW w:w="2551" w:type="dxa"/>
            <w:vAlign w:val="center"/>
          </w:tcPr>
          <w:p w14:paraId="74076BE5">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建设（服务、交货）地点</w:t>
            </w:r>
          </w:p>
        </w:tc>
        <w:tc>
          <w:tcPr>
            <w:tcW w:w="5529" w:type="dxa"/>
            <w:vAlign w:val="center"/>
          </w:tcPr>
          <w:p w14:paraId="7A138014">
            <w:pPr>
              <w:rPr>
                <w:rFonts w:hint="default" w:ascii="Times New Roman" w:hAnsi="Times New Roman" w:cs="Times New Roman"/>
                <w:color w:val="000000"/>
                <w:szCs w:val="21"/>
              </w:rPr>
            </w:pPr>
            <w:permStart w:id="3" w:edGrp="everyone"/>
            <w:r>
              <w:rPr>
                <w:rFonts w:hint="default" w:ascii="Times New Roman" w:hAnsi="Times New Roman" w:cs="Times New Roman"/>
                <w:color w:val="000000"/>
                <w:szCs w:val="21"/>
                <w:lang w:bidi="ar"/>
              </w:rPr>
              <w:t>详见招标公告</w:t>
            </w:r>
            <w:permEnd w:id="3"/>
          </w:p>
        </w:tc>
      </w:tr>
      <w:tr w14:paraId="63872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right"/>
        </w:trPr>
        <w:tc>
          <w:tcPr>
            <w:tcW w:w="993" w:type="dxa"/>
            <w:vAlign w:val="center"/>
          </w:tcPr>
          <w:p w14:paraId="66040762">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1.2.1</w:t>
            </w:r>
          </w:p>
        </w:tc>
        <w:tc>
          <w:tcPr>
            <w:tcW w:w="2551" w:type="dxa"/>
            <w:vAlign w:val="center"/>
          </w:tcPr>
          <w:p w14:paraId="0A82168D">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资金来源</w:t>
            </w:r>
          </w:p>
        </w:tc>
        <w:tc>
          <w:tcPr>
            <w:tcW w:w="5529" w:type="dxa"/>
            <w:vAlign w:val="center"/>
          </w:tcPr>
          <w:p w14:paraId="2617CFF8">
            <w:pPr>
              <w:rPr>
                <w:rFonts w:hint="default" w:ascii="Times New Roman" w:hAnsi="Times New Roman" w:cs="Times New Roman"/>
                <w:color w:val="000000"/>
                <w:szCs w:val="21"/>
              </w:rPr>
            </w:pPr>
            <w:permStart w:id="4" w:edGrp="everyone"/>
            <w:r>
              <w:rPr>
                <w:rFonts w:hint="default" w:ascii="Times New Roman" w:hAnsi="Times New Roman" w:cs="Times New Roman"/>
                <w:color w:val="000000"/>
                <w:szCs w:val="21"/>
                <w:u w:val="single"/>
              </w:rPr>
              <w:t>_</w:t>
            </w:r>
            <w:r>
              <w:rPr>
                <w:rFonts w:hint="default" w:ascii="Times New Roman" w:hAnsi="Times New Roman"/>
                <w:color w:val="000000"/>
                <w:szCs w:val="21"/>
                <w:u w:val="single"/>
              </w:rPr>
              <w:t>申请政府一般债券资金。</w:t>
            </w:r>
            <w:r>
              <w:rPr>
                <w:rFonts w:hint="default" w:ascii="Times New Roman" w:hAnsi="Times New Roman" w:cs="Times New Roman"/>
                <w:color w:val="000000"/>
                <w:szCs w:val="21"/>
              </w:rPr>
              <w:t>_</w:t>
            </w:r>
            <w:permEnd w:id="4"/>
          </w:p>
        </w:tc>
      </w:tr>
      <w:tr w14:paraId="10993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right"/>
        </w:trPr>
        <w:tc>
          <w:tcPr>
            <w:tcW w:w="993" w:type="dxa"/>
            <w:vAlign w:val="center"/>
          </w:tcPr>
          <w:p w14:paraId="12EAF21C">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1.2.2</w:t>
            </w:r>
          </w:p>
        </w:tc>
        <w:tc>
          <w:tcPr>
            <w:tcW w:w="2551" w:type="dxa"/>
            <w:vAlign w:val="center"/>
          </w:tcPr>
          <w:p w14:paraId="2394F2DB">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资金落实情况</w:t>
            </w:r>
          </w:p>
        </w:tc>
        <w:tc>
          <w:tcPr>
            <w:tcW w:w="5529" w:type="dxa"/>
            <w:vAlign w:val="center"/>
          </w:tcPr>
          <w:p w14:paraId="75665FEB">
            <w:pPr>
              <w:rPr>
                <w:rFonts w:hint="default" w:ascii="Times New Roman" w:hAnsi="Times New Roman" w:cs="Times New Roman"/>
                <w:color w:val="000000"/>
                <w:szCs w:val="21"/>
              </w:rPr>
            </w:pPr>
            <w:permStart w:id="5" w:edGrp="everyone"/>
            <w:r>
              <w:rPr>
                <w:rFonts w:hint="default" w:ascii="Times New Roman" w:hAnsi="Times New Roman" w:cs="Times New Roman"/>
                <w:color w:val="000000"/>
                <w:szCs w:val="21"/>
                <w:lang w:bidi="ar"/>
              </w:rPr>
              <w:t>已落实</w:t>
            </w:r>
            <w:r>
              <w:rPr>
                <w:rFonts w:hint="default" w:ascii="Times New Roman" w:hAnsi="Times New Roman" w:cs="Times New Roman"/>
                <w:color w:val="000000"/>
                <w:szCs w:val="21"/>
              </w:rPr>
              <w:t>_</w:t>
            </w:r>
            <w:r>
              <w:rPr>
                <w:rFonts w:hint="default" w:ascii="Times New Roman" w:hAnsi="Times New Roman" w:cs="Times New Roman"/>
                <w:color w:val="000000"/>
                <w:u w:val="single"/>
              </w:rPr>
              <w:t xml:space="preserve">                                     </w:t>
            </w:r>
            <w:r>
              <w:rPr>
                <w:rFonts w:hint="default" w:ascii="Times New Roman" w:hAnsi="Times New Roman" w:cs="Times New Roman"/>
                <w:color w:val="000000"/>
                <w:szCs w:val="21"/>
              </w:rPr>
              <w:t>_</w:t>
            </w:r>
            <w:permEnd w:id="5"/>
          </w:p>
        </w:tc>
      </w:tr>
      <w:tr w14:paraId="78D9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right"/>
        </w:trPr>
        <w:tc>
          <w:tcPr>
            <w:tcW w:w="993" w:type="dxa"/>
            <w:vAlign w:val="center"/>
          </w:tcPr>
          <w:p w14:paraId="598B4CB8">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1.2.3</w:t>
            </w:r>
          </w:p>
        </w:tc>
        <w:tc>
          <w:tcPr>
            <w:tcW w:w="2551" w:type="dxa"/>
            <w:vAlign w:val="center"/>
          </w:tcPr>
          <w:p w14:paraId="5FC739D6">
            <w:pPr>
              <w:jc w:val="center"/>
              <w:rPr>
                <w:rFonts w:hint="default" w:ascii="Times New Roman" w:hAnsi="Times New Roman" w:cs="Times New Roman"/>
                <w:color w:val="000000"/>
                <w:szCs w:val="21"/>
              </w:rPr>
            </w:pPr>
            <w:r>
              <w:rPr>
                <w:rFonts w:hint="default" w:ascii="Times New Roman" w:hAnsi="Times New Roman" w:cs="Times New Roman"/>
                <w:color w:val="000000"/>
              </w:rPr>
              <w:t>项目性质</w:t>
            </w:r>
          </w:p>
        </w:tc>
        <w:tc>
          <w:tcPr>
            <w:tcW w:w="5529" w:type="dxa"/>
            <w:vAlign w:val="center"/>
          </w:tcPr>
          <w:p w14:paraId="30A9690A">
            <w:pPr>
              <w:rPr>
                <w:rFonts w:hint="default" w:ascii="Times New Roman" w:hAnsi="Times New Roman" w:cs="Times New Roman"/>
                <w:color w:val="000000"/>
              </w:rPr>
            </w:pPr>
            <w:permStart w:id="6" w:edGrp="everyone"/>
            <w:r>
              <w:rPr>
                <w:rFonts w:hint="default" w:ascii="Times New Roman" w:hAnsi="Times New Roman" w:cs="Times New Roman"/>
                <w:color w:val="000000"/>
                <w:lang w:eastAsia="zh-CN"/>
              </w:rPr>
              <w:t>□</w:t>
            </w:r>
            <w:permEnd w:id="6"/>
            <w:r>
              <w:rPr>
                <w:rFonts w:hint="default" w:ascii="Times New Roman" w:hAnsi="Times New Roman" w:cs="Times New Roman"/>
                <w:color w:val="000000"/>
              </w:rPr>
              <w:t>本项目不属于政府采购工程及工程相关货物或服务，不执行政府采购政策。</w:t>
            </w:r>
          </w:p>
          <w:p w14:paraId="5D979EC5">
            <w:pPr>
              <w:rPr>
                <w:rFonts w:hint="default" w:ascii="Times New Roman" w:hAnsi="Times New Roman" w:cs="Times New Roman"/>
                <w:color w:val="000000"/>
                <w:szCs w:val="21"/>
              </w:rPr>
            </w:pPr>
            <w:permStart w:id="7" w:edGrp="everyone"/>
            <w:r>
              <w:rPr>
                <w:rFonts w:hint="default" w:ascii="Times New Roman" w:hAnsi="Times New Roman" w:cs="Times New Roman"/>
                <w:color w:val="000000"/>
                <w:lang w:eastAsia="zh-CN"/>
              </w:rPr>
              <w:t>☑</w:t>
            </w:r>
            <w:permEnd w:id="7"/>
            <w:r>
              <w:rPr>
                <w:rFonts w:hint="default" w:ascii="Times New Roman" w:hAnsi="Times New Roman" w:cs="Times New Roman"/>
                <w:color w:val="000000"/>
              </w:rPr>
              <w:t>本项目属于政府采购工程及工程相关货物或服务，执行支持中小企业发展政策。采购标的对应的中小企业划型标准所属行业为</w:t>
            </w:r>
            <w:permStart w:id="8" w:edGrp="everyone"/>
            <w:r>
              <w:rPr>
                <w:rFonts w:hint="default" w:ascii="Times New Roman" w:hAnsi="Times New Roman" w:cs="Times New Roman"/>
                <w:color w:val="000000"/>
                <w:u w:val="single"/>
              </w:rPr>
              <w:t xml:space="preserve"> 建筑业 </w:t>
            </w:r>
            <w:permEnd w:id="8"/>
            <w:r>
              <w:rPr>
                <w:rFonts w:hint="default" w:ascii="Times New Roman" w:hAnsi="Times New Roman" w:cs="Times New Roman"/>
                <w:color w:val="000000"/>
              </w:rPr>
              <w:t>。</w:t>
            </w:r>
          </w:p>
        </w:tc>
      </w:tr>
      <w:tr w14:paraId="7E282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right"/>
        </w:trPr>
        <w:tc>
          <w:tcPr>
            <w:tcW w:w="993" w:type="dxa"/>
            <w:vAlign w:val="center"/>
          </w:tcPr>
          <w:p w14:paraId="6095FAB5">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1.3.1</w:t>
            </w:r>
          </w:p>
        </w:tc>
        <w:tc>
          <w:tcPr>
            <w:tcW w:w="2551" w:type="dxa"/>
            <w:vAlign w:val="center"/>
          </w:tcPr>
          <w:p w14:paraId="4ABA3F82">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招标范围</w:t>
            </w:r>
          </w:p>
        </w:tc>
        <w:tc>
          <w:tcPr>
            <w:tcW w:w="5529" w:type="dxa"/>
            <w:vAlign w:val="center"/>
          </w:tcPr>
          <w:p w14:paraId="4982122A">
            <w:pPr>
              <w:rPr>
                <w:rFonts w:hint="default" w:ascii="Times New Roman" w:hAnsi="Times New Roman" w:cs="Times New Roman"/>
                <w:color w:val="000000"/>
                <w:szCs w:val="21"/>
              </w:rPr>
            </w:pPr>
            <w:permStart w:id="9" w:edGrp="everyone"/>
            <w:r>
              <w:rPr>
                <w:rFonts w:hint="default" w:ascii="Times New Roman" w:hAnsi="Times New Roman" w:cs="Times New Roman"/>
                <w:color w:val="000000"/>
                <w:szCs w:val="21"/>
              </w:rPr>
              <w:t>_</w:t>
            </w:r>
            <w:r>
              <w:rPr>
                <w:rFonts w:hint="default" w:ascii="Times New Roman" w:hAnsi="Times New Roman" w:cs="Times New Roman"/>
                <w:color w:val="000000"/>
                <w:szCs w:val="21"/>
                <w:lang w:bidi="ar"/>
              </w:rPr>
              <w:t xml:space="preserve">详见招标公告 </w:t>
            </w:r>
            <w:r>
              <w:rPr>
                <w:rFonts w:hint="default" w:ascii="Times New Roman" w:hAnsi="Times New Roman" w:cs="Times New Roman"/>
                <w:color w:val="000000"/>
                <w:szCs w:val="21"/>
              </w:rPr>
              <w:t>_</w:t>
            </w:r>
            <w:permEnd w:id="9"/>
          </w:p>
          <w:p w14:paraId="5A7514F2">
            <w:pPr>
              <w:rPr>
                <w:rFonts w:hint="default" w:ascii="Times New Roman" w:hAnsi="Times New Roman" w:cs="Times New Roman"/>
                <w:color w:val="000000"/>
                <w:szCs w:val="21"/>
              </w:rPr>
            </w:pPr>
            <w:r>
              <w:rPr>
                <w:rFonts w:hint="default" w:ascii="Times New Roman" w:hAnsi="Times New Roman" w:cs="Times New Roman"/>
                <w:color w:val="000000"/>
                <w:szCs w:val="21"/>
              </w:rPr>
              <w:t>关于招标范围的详细说明见第五章“发包人要求”。</w:t>
            </w:r>
          </w:p>
        </w:tc>
      </w:tr>
      <w:tr w14:paraId="1FFB7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right"/>
        </w:trPr>
        <w:tc>
          <w:tcPr>
            <w:tcW w:w="993" w:type="dxa"/>
            <w:vAlign w:val="center"/>
          </w:tcPr>
          <w:p w14:paraId="53713585">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1.3.2</w:t>
            </w:r>
          </w:p>
        </w:tc>
        <w:tc>
          <w:tcPr>
            <w:tcW w:w="2551" w:type="dxa"/>
            <w:vAlign w:val="center"/>
          </w:tcPr>
          <w:p w14:paraId="199F04DD">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履约期限</w:t>
            </w:r>
          </w:p>
        </w:tc>
        <w:tc>
          <w:tcPr>
            <w:tcW w:w="5529" w:type="dxa"/>
            <w:vAlign w:val="center"/>
          </w:tcPr>
          <w:p w14:paraId="145D7BAC">
            <w:pPr>
              <w:rPr>
                <w:rFonts w:hint="default" w:ascii="Times New Roman" w:hAnsi="Times New Roman" w:cs="Times New Roman"/>
                <w:color w:val="000000"/>
                <w:szCs w:val="21"/>
              </w:rPr>
            </w:pPr>
            <w:permStart w:id="10" w:edGrp="everyone"/>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lang w:bidi="ar"/>
              </w:rPr>
              <w:t>详见招标公告</w:t>
            </w:r>
          </w:p>
          <w:p w14:paraId="187C7FAC">
            <w:pPr>
              <w:rPr>
                <w:rFonts w:hint="default" w:ascii="Times New Roman" w:hAnsi="Times New Roman" w:cs="Times New Roman"/>
                <w:color w:val="000000"/>
                <w:szCs w:val="21"/>
                <w:u w:val="single"/>
              </w:rPr>
            </w:pPr>
            <w:r>
              <w:rPr>
                <w:rFonts w:hint="default" w:ascii="Times New Roman" w:hAnsi="Times New Roman" w:cs="Times New Roman"/>
                <w:color w:val="000000"/>
                <w:szCs w:val="21"/>
                <w:u w:val="single"/>
              </w:rPr>
              <w:t xml:space="preserve">                            </w:t>
            </w:r>
            <w:permEnd w:id="10"/>
          </w:p>
        </w:tc>
      </w:tr>
      <w:tr w14:paraId="6698D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right"/>
        </w:trPr>
        <w:tc>
          <w:tcPr>
            <w:tcW w:w="993" w:type="dxa"/>
            <w:vAlign w:val="center"/>
          </w:tcPr>
          <w:p w14:paraId="63E44D4A">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1.3.3</w:t>
            </w:r>
          </w:p>
        </w:tc>
        <w:tc>
          <w:tcPr>
            <w:tcW w:w="2551" w:type="dxa"/>
            <w:vAlign w:val="center"/>
          </w:tcPr>
          <w:p w14:paraId="43352F23">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质量要求</w:t>
            </w:r>
          </w:p>
        </w:tc>
        <w:tc>
          <w:tcPr>
            <w:tcW w:w="5529" w:type="dxa"/>
            <w:vAlign w:val="center"/>
          </w:tcPr>
          <w:p w14:paraId="5F6834A9">
            <w:pPr>
              <w:rPr>
                <w:rFonts w:hint="default" w:ascii="Times New Roman" w:hAnsi="Times New Roman" w:cs="Times New Roman"/>
                <w:color w:val="000000"/>
                <w:szCs w:val="21"/>
              </w:rPr>
            </w:pPr>
            <w:r>
              <w:rPr>
                <w:rFonts w:hint="default" w:ascii="Times New Roman" w:hAnsi="Times New Roman" w:cs="Times New Roman"/>
                <w:color w:val="000000"/>
                <w:szCs w:val="21"/>
              </w:rPr>
              <w:t>质量目标：</w:t>
            </w:r>
            <w:permStart w:id="11" w:edGrp="everyone"/>
            <w:r>
              <w:rPr>
                <w:rFonts w:hint="default" w:ascii="Times New Roman" w:hAnsi="Times New Roman" w:cs="Times New Roman"/>
                <w:color w:val="000000"/>
                <w:szCs w:val="21"/>
              </w:rPr>
              <w:t>_</w:t>
            </w:r>
            <w:r>
              <w:rPr>
                <w:rFonts w:hint="default" w:ascii="Times New Roman" w:hAnsi="Times New Roman" w:cs="Times New Roman"/>
                <w:color w:val="000000"/>
                <w:szCs w:val="24"/>
                <w:u w:val="single"/>
                <w:lang w:bidi="ar"/>
              </w:rPr>
              <w:t xml:space="preserve">  </w:t>
            </w:r>
            <w:r>
              <w:rPr>
                <w:rFonts w:hint="default" w:ascii="Times New Roman" w:hAnsi="Times New Roman" w:cs="Times New Roman"/>
                <w:color w:val="000000"/>
                <w:szCs w:val="21"/>
                <w:lang w:bidi="ar"/>
              </w:rPr>
              <w:t>详见招标公告</w:t>
            </w:r>
            <w:r>
              <w:rPr>
                <w:rFonts w:hint="default" w:ascii="Times New Roman" w:hAnsi="Times New Roman" w:cs="Times New Roman"/>
                <w:color w:val="000000"/>
                <w:szCs w:val="24"/>
                <w:u w:val="single"/>
                <w:lang w:bidi="ar"/>
              </w:rPr>
              <w:t xml:space="preserve">             </w:t>
            </w:r>
            <w:permEnd w:id="11"/>
          </w:p>
          <w:p w14:paraId="3E31D07F">
            <w:pPr>
              <w:rPr>
                <w:rFonts w:hint="default" w:ascii="Times New Roman" w:hAnsi="Times New Roman" w:cs="Times New Roman"/>
                <w:color w:val="000000"/>
                <w:szCs w:val="21"/>
              </w:rPr>
            </w:pPr>
            <w:r>
              <w:rPr>
                <w:rFonts w:hint="default" w:ascii="Times New Roman" w:hAnsi="Times New Roman" w:cs="Times New Roman"/>
                <w:color w:val="000000"/>
                <w:szCs w:val="21"/>
              </w:rPr>
              <w:t>关于质量目标的详细说明见第五章“发包人要求”。</w:t>
            </w:r>
          </w:p>
        </w:tc>
      </w:tr>
      <w:tr w14:paraId="77079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right"/>
        </w:trPr>
        <w:tc>
          <w:tcPr>
            <w:tcW w:w="993" w:type="dxa"/>
            <w:vAlign w:val="center"/>
          </w:tcPr>
          <w:p w14:paraId="3329A78F">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1.3.4</w:t>
            </w:r>
          </w:p>
        </w:tc>
        <w:tc>
          <w:tcPr>
            <w:tcW w:w="2551" w:type="dxa"/>
            <w:vAlign w:val="center"/>
          </w:tcPr>
          <w:p w14:paraId="7A1AC56B">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资格审查方式</w:t>
            </w:r>
          </w:p>
        </w:tc>
        <w:tc>
          <w:tcPr>
            <w:tcW w:w="5529" w:type="dxa"/>
            <w:vAlign w:val="center"/>
          </w:tcPr>
          <w:p w14:paraId="633E3AD4">
            <w:pPr>
              <w:rPr>
                <w:rFonts w:hint="default" w:ascii="Times New Roman" w:hAnsi="Times New Roman" w:cs="Times New Roman"/>
                <w:color w:val="000000"/>
                <w:szCs w:val="21"/>
              </w:rPr>
            </w:pPr>
            <w:permStart w:id="12" w:edGrp="everyone"/>
            <w:r>
              <w:rPr>
                <w:rFonts w:hint="default" w:ascii="Times New Roman" w:hAnsi="Times New Roman" w:cs="Times New Roman"/>
                <w:color w:val="000000"/>
              </w:rPr>
              <w:t>☑</w:t>
            </w:r>
            <w:permEnd w:id="12"/>
            <w:r>
              <w:rPr>
                <w:rFonts w:hint="default" w:ascii="Times New Roman" w:hAnsi="Times New Roman" w:cs="Times New Roman"/>
                <w:color w:val="000000"/>
                <w:szCs w:val="21"/>
              </w:rPr>
              <w:t xml:space="preserve">资格后审 </w:t>
            </w:r>
          </w:p>
          <w:p w14:paraId="1ECC06AE">
            <w:pPr>
              <w:rPr>
                <w:rFonts w:hint="default" w:ascii="Times New Roman" w:hAnsi="Times New Roman" w:cs="Times New Roman"/>
                <w:color w:val="000000"/>
                <w:szCs w:val="21"/>
              </w:rPr>
            </w:pPr>
            <w:permStart w:id="13" w:edGrp="everyone"/>
            <w:r>
              <w:rPr>
                <w:rFonts w:hint="default" w:ascii="Times New Roman" w:hAnsi="Times New Roman" w:cs="Times New Roman"/>
                <w:color w:val="000000"/>
              </w:rPr>
              <w:t>□</w:t>
            </w:r>
            <w:permEnd w:id="13"/>
            <w:r>
              <w:rPr>
                <w:rFonts w:hint="default" w:ascii="Times New Roman" w:hAnsi="Times New Roman" w:cs="Times New Roman"/>
                <w:color w:val="000000"/>
                <w:szCs w:val="21"/>
              </w:rPr>
              <w:t xml:space="preserve">资格预审 </w:t>
            </w:r>
          </w:p>
        </w:tc>
      </w:tr>
      <w:tr w14:paraId="6EE54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right"/>
        </w:trPr>
        <w:tc>
          <w:tcPr>
            <w:tcW w:w="993" w:type="dxa"/>
            <w:vAlign w:val="center"/>
          </w:tcPr>
          <w:p w14:paraId="51DBE06C">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1.3.5</w:t>
            </w:r>
          </w:p>
        </w:tc>
        <w:tc>
          <w:tcPr>
            <w:tcW w:w="2551" w:type="dxa"/>
            <w:vAlign w:val="center"/>
          </w:tcPr>
          <w:p w14:paraId="3A6C4CDE">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招标方式</w:t>
            </w:r>
          </w:p>
        </w:tc>
        <w:tc>
          <w:tcPr>
            <w:tcW w:w="5529" w:type="dxa"/>
            <w:vAlign w:val="center"/>
          </w:tcPr>
          <w:p w14:paraId="13A87D4C">
            <w:pPr>
              <w:rPr>
                <w:rFonts w:hint="default" w:ascii="Times New Roman" w:hAnsi="Times New Roman" w:cs="Times New Roman"/>
                <w:color w:val="000000"/>
                <w:szCs w:val="21"/>
              </w:rPr>
            </w:pPr>
            <w:permStart w:id="14" w:edGrp="everyone"/>
            <w:r>
              <w:rPr>
                <w:rFonts w:hint="default" w:ascii="Times New Roman" w:hAnsi="Times New Roman" w:cs="Times New Roman"/>
                <w:color w:val="000000"/>
              </w:rPr>
              <w:t>☑</w:t>
            </w:r>
            <w:permEnd w:id="14"/>
            <w:r>
              <w:rPr>
                <w:rFonts w:hint="default" w:ascii="Times New Roman" w:hAnsi="Times New Roman" w:cs="Times New Roman"/>
                <w:color w:val="000000"/>
                <w:szCs w:val="21"/>
              </w:rPr>
              <w:t xml:space="preserve">公开招标 </w:t>
            </w:r>
          </w:p>
          <w:p w14:paraId="020648DE">
            <w:pPr>
              <w:rPr>
                <w:rFonts w:hint="default" w:ascii="Times New Roman" w:hAnsi="Times New Roman" w:cs="Times New Roman"/>
                <w:color w:val="000000"/>
                <w:szCs w:val="21"/>
              </w:rPr>
            </w:pPr>
            <w:permStart w:id="15" w:edGrp="everyone"/>
            <w:r>
              <w:rPr>
                <w:rFonts w:hint="default" w:ascii="Times New Roman" w:hAnsi="Times New Roman" w:cs="Times New Roman"/>
                <w:color w:val="000000"/>
              </w:rPr>
              <w:t>□</w:t>
            </w:r>
            <w:permEnd w:id="15"/>
            <w:r>
              <w:rPr>
                <w:rFonts w:hint="default" w:ascii="Times New Roman" w:hAnsi="Times New Roman" w:cs="Times New Roman"/>
                <w:color w:val="000000"/>
                <w:szCs w:val="21"/>
              </w:rPr>
              <w:t xml:space="preserve">邀请招标 </w:t>
            </w:r>
          </w:p>
        </w:tc>
      </w:tr>
      <w:tr w14:paraId="53AF4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6" w:hRule="atLeast"/>
          <w:jc w:val="right"/>
        </w:trPr>
        <w:tc>
          <w:tcPr>
            <w:tcW w:w="993" w:type="dxa"/>
            <w:vAlign w:val="center"/>
          </w:tcPr>
          <w:p w14:paraId="77749EC7">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1.3.6</w:t>
            </w:r>
          </w:p>
        </w:tc>
        <w:tc>
          <w:tcPr>
            <w:tcW w:w="2551" w:type="dxa"/>
            <w:vAlign w:val="center"/>
          </w:tcPr>
          <w:p w14:paraId="494AF469">
            <w:pPr>
              <w:jc w:val="center"/>
              <w:rPr>
                <w:rFonts w:hint="default" w:ascii="Times New Roman" w:hAnsi="Times New Roman" w:cs="Times New Roman"/>
                <w:color w:val="000000"/>
                <w:szCs w:val="21"/>
              </w:rPr>
            </w:pPr>
            <w:r>
              <w:rPr>
                <w:rFonts w:hint="default" w:ascii="Times New Roman" w:hAnsi="Times New Roman" w:cs="Times New Roman"/>
                <w:color w:val="000000"/>
              </w:rPr>
              <w:t>落实政府采购政策</w:t>
            </w:r>
          </w:p>
        </w:tc>
        <w:tc>
          <w:tcPr>
            <w:tcW w:w="5529" w:type="dxa"/>
            <w:vAlign w:val="center"/>
          </w:tcPr>
          <w:p w14:paraId="1857AA9A">
            <w:pPr>
              <w:rPr>
                <w:rFonts w:hint="default" w:ascii="Times New Roman" w:hAnsi="Times New Roman" w:cs="Times New Roman"/>
                <w:color w:val="000000"/>
                <w:u w:val="single"/>
              </w:rPr>
            </w:pPr>
            <w:r>
              <w:rPr>
                <w:rFonts w:hint="default" w:ascii="Times New Roman" w:hAnsi="Times New Roman" w:cs="Times New Roman"/>
                <w:color w:val="000000"/>
                <w:u w:val="single"/>
              </w:rPr>
              <w:t>根据相关规定，本项目采用以下方式支持中小企业发展</w:t>
            </w:r>
          </w:p>
          <w:p w14:paraId="6CDB0F9C">
            <w:pPr>
              <w:ind w:firstLine="420" w:firstLineChars="200"/>
              <w:rPr>
                <w:rFonts w:hint="default" w:ascii="Times New Roman" w:hAnsi="Times New Roman" w:cs="Times New Roman"/>
                <w:color w:val="000000"/>
                <w:u w:val="single"/>
              </w:rPr>
            </w:pPr>
            <w:permStart w:id="16" w:edGrp="everyone"/>
            <w:r>
              <w:rPr>
                <w:rFonts w:hint="default" w:ascii="Times New Roman" w:hAnsi="Times New Roman" w:cs="Times New Roman"/>
                <w:color w:val="000000"/>
              </w:rPr>
              <w:t>□</w:t>
            </w:r>
            <w:permEnd w:id="16"/>
            <w:r>
              <w:rPr>
                <w:rFonts w:hint="default" w:ascii="Times New Roman" w:hAnsi="Times New Roman" w:cs="Times New Roman"/>
                <w:color w:val="000000"/>
                <w:u w:val="single"/>
              </w:rPr>
              <w:t>项目整体预留专门面向中小企业采购。</w:t>
            </w:r>
          </w:p>
          <w:p w14:paraId="0DD13686">
            <w:pPr>
              <w:ind w:firstLine="420" w:firstLineChars="200"/>
              <w:rPr>
                <w:rFonts w:hint="default" w:ascii="Times New Roman" w:hAnsi="Times New Roman" w:cs="Times New Roman"/>
                <w:color w:val="000000"/>
                <w:u w:val="single"/>
              </w:rPr>
            </w:pPr>
            <w:permStart w:id="17" w:edGrp="everyone"/>
            <w:r>
              <w:rPr>
                <w:rFonts w:hint="default" w:ascii="Times New Roman" w:hAnsi="Times New Roman" w:cs="Times New Roman"/>
                <w:color w:val="000000"/>
              </w:rPr>
              <w:t>□</w:t>
            </w:r>
            <w:permEnd w:id="17"/>
            <w:r>
              <w:rPr>
                <w:rFonts w:hint="default" w:ascii="Times New Roman" w:hAnsi="Times New Roman" w:cs="Times New Roman"/>
                <w:color w:val="000000"/>
                <w:u w:val="single"/>
              </w:rPr>
              <w:t>项目整体预留专门面向小微企业采购。</w:t>
            </w:r>
          </w:p>
          <w:p w14:paraId="3736B24D">
            <w:pPr>
              <w:ind w:firstLine="420" w:firstLineChars="200"/>
              <w:rPr>
                <w:rFonts w:hint="default" w:ascii="Times New Roman" w:hAnsi="Times New Roman" w:cs="Times New Roman"/>
                <w:color w:val="000000"/>
                <w:u w:val="single"/>
              </w:rPr>
            </w:pPr>
            <w:permStart w:id="18" w:edGrp="everyone"/>
            <w:r>
              <w:rPr>
                <w:rFonts w:hint="default" w:ascii="Times New Roman" w:hAnsi="Times New Roman" w:cs="Times New Roman"/>
                <w:color w:val="000000"/>
              </w:rPr>
              <w:t>□</w:t>
            </w:r>
            <w:permEnd w:id="18"/>
            <w:r>
              <w:rPr>
                <w:rFonts w:hint="default" w:ascii="Times New Roman" w:hAnsi="Times New Roman" w:cs="Times New Roman"/>
                <w:color w:val="000000"/>
                <w:u w:val="single"/>
              </w:rPr>
              <w:t>项目部分预留专门面向中小企业采购，具体的政府采购特别资格要求详见第二章投标人须知1.4.1。部分预留的工作详见投标人须知前附表的需补充的其他内容。</w:t>
            </w:r>
          </w:p>
          <w:p w14:paraId="2A8B3510">
            <w:pPr>
              <w:ind w:firstLine="420" w:firstLineChars="200"/>
              <w:rPr>
                <w:rFonts w:hint="default" w:ascii="Times New Roman" w:hAnsi="Times New Roman" w:cs="Times New Roman"/>
                <w:color w:val="000000"/>
                <w:szCs w:val="21"/>
              </w:rPr>
            </w:pPr>
            <w:permStart w:id="19" w:edGrp="everyone"/>
            <w:r>
              <w:rPr>
                <w:rFonts w:hint="default" w:ascii="Times New Roman" w:hAnsi="Times New Roman" w:cs="Times New Roman"/>
                <w:color w:val="000000"/>
                <w:u w:val="single"/>
              </w:rPr>
              <w:sym w:font="Wingdings 2" w:char="F052"/>
            </w:r>
            <w:permEnd w:id="19"/>
            <w:r>
              <w:rPr>
                <w:rFonts w:hint="default" w:ascii="Times New Roman" w:hAnsi="Times New Roman" w:cs="Times New Roman"/>
                <w:color w:val="000000"/>
                <w:u w:val="single"/>
              </w:rPr>
              <w:t>根据相关规定，本项目未预留份额专门面向中小企业采购，但对符合政府采购特别资格要求（详见第二章投标人须知1.4.1且满足一定条件的投标人（详见投标人须知前附表中需补充的其他内容“</w:t>
            </w:r>
            <w:r>
              <w:rPr>
                <w:rFonts w:hint="default" w:ascii="Times New Roman" w:hAnsi="Times New Roman" w:cs="Times New Roman"/>
                <w:color w:val="000000"/>
                <w:szCs w:val="21"/>
                <w:u w:val="single"/>
              </w:rPr>
              <w:t>政府采购工程及工程相关货物或服务价格评审优惠”</w:t>
            </w:r>
            <w:r>
              <w:rPr>
                <w:rFonts w:hint="default" w:ascii="Times New Roman" w:hAnsi="Times New Roman" w:cs="Times New Roman"/>
                <w:color w:val="000000"/>
                <w:u w:val="single"/>
              </w:rPr>
              <w:t>），在评标时享受价格扣除或增加价格分的优惠政策。</w:t>
            </w:r>
          </w:p>
        </w:tc>
      </w:tr>
      <w:tr w14:paraId="0B83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right"/>
        </w:trPr>
        <w:tc>
          <w:tcPr>
            <w:tcW w:w="993" w:type="dxa"/>
            <w:vMerge w:val="restart"/>
            <w:vAlign w:val="center"/>
          </w:tcPr>
          <w:p w14:paraId="2CE32E51">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1.4.1</w:t>
            </w:r>
          </w:p>
        </w:tc>
        <w:tc>
          <w:tcPr>
            <w:tcW w:w="2551" w:type="dxa"/>
            <w:vAlign w:val="center"/>
          </w:tcPr>
          <w:p w14:paraId="2BAFFFD9">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投标人资质条件、</w:t>
            </w:r>
          </w:p>
          <w:p w14:paraId="227D7319">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能力和信誉</w:t>
            </w:r>
          </w:p>
        </w:tc>
        <w:tc>
          <w:tcPr>
            <w:tcW w:w="5529" w:type="dxa"/>
            <w:vAlign w:val="center"/>
          </w:tcPr>
          <w:p w14:paraId="30D5B543">
            <w:pPr>
              <w:rPr>
                <w:rFonts w:hint="default" w:ascii="Times New Roman" w:hAnsi="Times New Roman" w:cs="Times New Roman"/>
                <w:color w:val="000000"/>
                <w:szCs w:val="21"/>
              </w:rPr>
            </w:pPr>
            <w:permStart w:id="20" w:edGrp="everyone"/>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lang w:bidi="ar"/>
              </w:rPr>
              <w:t>投标人资质条件：同招标公告或投标邀请书一致</w:t>
            </w:r>
          </w:p>
          <w:p w14:paraId="05FCA593">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能力：同招标公告或投标邀请书一致</w:t>
            </w:r>
          </w:p>
          <w:p w14:paraId="2AA2D731">
            <w:pPr>
              <w:rPr>
                <w:rFonts w:hint="default" w:ascii="Times New Roman" w:hAnsi="Times New Roman" w:cs="Times New Roman"/>
                <w:color w:val="000000"/>
              </w:rPr>
            </w:pPr>
            <w:r>
              <w:rPr>
                <w:rFonts w:hint="default" w:ascii="Times New Roman" w:hAnsi="Times New Roman" w:cs="Times New Roman"/>
                <w:color w:val="000000"/>
                <w:szCs w:val="21"/>
                <w:lang w:bidi="ar"/>
              </w:rPr>
              <w:t>信誉：同招标公告或投标邀请书一致</w:t>
            </w:r>
          </w:p>
          <w:permEnd w:id="20"/>
          <w:p w14:paraId="3473F2C0">
            <w:pPr>
              <w:rPr>
                <w:rFonts w:hint="default" w:ascii="Times New Roman" w:hAnsi="Times New Roman" w:cs="Times New Roman"/>
                <w:color w:val="000000"/>
                <w:szCs w:val="21"/>
              </w:rPr>
            </w:pPr>
          </w:p>
        </w:tc>
      </w:tr>
      <w:tr w14:paraId="3CCA1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9" w:hRule="atLeast"/>
          <w:jc w:val="right"/>
        </w:trPr>
        <w:tc>
          <w:tcPr>
            <w:tcW w:w="993" w:type="dxa"/>
            <w:vMerge w:val="continue"/>
            <w:vAlign w:val="center"/>
          </w:tcPr>
          <w:p w14:paraId="6BD56450">
            <w:pPr>
              <w:jc w:val="center"/>
              <w:rPr>
                <w:rFonts w:hint="default" w:ascii="Times New Roman" w:hAnsi="Times New Roman" w:cs="Times New Roman"/>
                <w:color w:val="000000"/>
                <w:szCs w:val="21"/>
              </w:rPr>
            </w:pPr>
          </w:p>
        </w:tc>
        <w:tc>
          <w:tcPr>
            <w:tcW w:w="2551" w:type="dxa"/>
            <w:vAlign w:val="center"/>
          </w:tcPr>
          <w:p w14:paraId="790B24BC">
            <w:pPr>
              <w:autoSpaceDE w:val="0"/>
              <w:autoSpaceDN w:val="0"/>
              <w:spacing w:line="319" w:lineRule="exact"/>
              <w:jc w:val="center"/>
              <w:rPr>
                <w:rFonts w:hint="default" w:ascii="Times New Roman" w:hAnsi="Times New Roman" w:cs="Times New Roman"/>
                <w:color w:val="000000"/>
              </w:rPr>
            </w:pPr>
            <w:r>
              <w:rPr>
                <w:rFonts w:hint="default" w:ascii="Times New Roman" w:hAnsi="Times New Roman" w:cs="Times New Roman"/>
                <w:color w:val="000000"/>
              </w:rPr>
              <w:t>政府采购</w:t>
            </w:r>
          </w:p>
          <w:p w14:paraId="62DFF260">
            <w:pPr>
              <w:jc w:val="center"/>
              <w:rPr>
                <w:rFonts w:hint="default" w:ascii="Times New Roman" w:hAnsi="Times New Roman" w:cs="Times New Roman"/>
                <w:color w:val="000000"/>
              </w:rPr>
            </w:pPr>
            <w:r>
              <w:rPr>
                <w:rFonts w:hint="default" w:ascii="Times New Roman" w:hAnsi="Times New Roman" w:cs="Times New Roman"/>
                <w:color w:val="000000"/>
              </w:rPr>
              <w:t>特别资格要求</w:t>
            </w:r>
          </w:p>
        </w:tc>
        <w:tc>
          <w:tcPr>
            <w:tcW w:w="5529" w:type="dxa"/>
            <w:vAlign w:val="center"/>
          </w:tcPr>
          <w:p w14:paraId="58579D44">
            <w:pPr>
              <w:autoSpaceDE w:val="0"/>
              <w:autoSpaceDN w:val="0"/>
              <w:spacing w:line="319" w:lineRule="exact"/>
              <w:jc w:val="left"/>
              <w:rPr>
                <w:rFonts w:hint="default" w:ascii="Times New Roman" w:hAnsi="Times New Roman" w:cs="Times New Roman"/>
                <w:color w:val="000000"/>
              </w:rPr>
            </w:pPr>
            <w:permStart w:id="21" w:edGrp="everyone"/>
            <w:r>
              <w:rPr>
                <w:rFonts w:hint="default" w:ascii="Times New Roman" w:hAnsi="Times New Roman" w:cs="Times New Roman"/>
                <w:color w:val="000000"/>
              </w:rPr>
              <w:t>□</w:t>
            </w:r>
            <w:permEnd w:id="21"/>
            <w:r>
              <w:rPr>
                <w:rFonts w:hint="default" w:ascii="Times New Roman" w:hAnsi="Times New Roman" w:cs="Times New Roman"/>
                <w:color w:val="000000"/>
              </w:rPr>
              <w:t>采购项目整体预留专门面向中小企业采购。</w:t>
            </w:r>
          </w:p>
          <w:p w14:paraId="2AC291A9">
            <w:pPr>
              <w:autoSpaceDE w:val="0"/>
              <w:autoSpaceDN w:val="0"/>
              <w:spacing w:line="319" w:lineRule="exact"/>
              <w:jc w:val="left"/>
              <w:rPr>
                <w:rFonts w:hint="default" w:ascii="Times New Roman" w:hAnsi="Times New Roman" w:cs="Times New Roman"/>
                <w:color w:val="000000"/>
              </w:rPr>
            </w:pPr>
            <w:permStart w:id="22" w:edGrp="everyone"/>
            <w:r>
              <w:rPr>
                <w:rFonts w:hint="default" w:ascii="Times New Roman" w:hAnsi="Times New Roman" w:cs="Times New Roman"/>
                <w:color w:val="000000"/>
              </w:rPr>
              <w:t>□</w:t>
            </w:r>
            <w:permEnd w:id="22"/>
            <w:r>
              <w:rPr>
                <w:rFonts w:hint="default" w:ascii="Times New Roman" w:hAnsi="Times New Roman" w:cs="Times New Roman"/>
                <w:color w:val="000000"/>
              </w:rPr>
              <w:t>采购项目整体预留专门面向小微企业采购。</w:t>
            </w:r>
          </w:p>
          <w:p w14:paraId="08E41861">
            <w:pPr>
              <w:autoSpaceDE w:val="0"/>
              <w:autoSpaceDN w:val="0"/>
              <w:spacing w:line="319" w:lineRule="exact"/>
              <w:jc w:val="left"/>
              <w:rPr>
                <w:rFonts w:hint="default" w:ascii="Times New Roman" w:hAnsi="Times New Roman" w:cs="Times New Roman"/>
                <w:color w:val="000000"/>
              </w:rPr>
            </w:pPr>
            <w:permStart w:id="23" w:edGrp="everyone"/>
            <w:r>
              <w:rPr>
                <w:rFonts w:hint="default" w:ascii="Times New Roman" w:hAnsi="Times New Roman" w:cs="Times New Roman"/>
                <w:color w:val="000000"/>
              </w:rPr>
              <w:t>□</w:t>
            </w:r>
            <w:permEnd w:id="23"/>
            <w:r>
              <w:rPr>
                <w:rFonts w:hint="default" w:ascii="Times New Roman" w:hAnsi="Times New Roman" w:cs="Times New Roman"/>
                <w:color w:val="000000"/>
              </w:rPr>
              <w:t>采购项目部分预留专门面向中小企业采购。</w:t>
            </w:r>
          </w:p>
          <w:p w14:paraId="3B0653FD">
            <w:pPr>
              <w:autoSpaceDE w:val="0"/>
              <w:autoSpaceDN w:val="0"/>
              <w:spacing w:line="319" w:lineRule="exact"/>
              <w:ind w:firstLine="420" w:firstLineChars="200"/>
              <w:jc w:val="left"/>
              <w:rPr>
                <w:rFonts w:hint="default" w:ascii="Times New Roman" w:hAnsi="Times New Roman" w:cs="Times New Roman"/>
                <w:color w:val="000000"/>
              </w:rPr>
            </w:pPr>
            <w:r>
              <w:rPr>
                <w:rFonts w:hint="default" w:ascii="Times New Roman" w:hAnsi="Times New Roman" w:cs="Times New Roman"/>
                <w:color w:val="000000"/>
              </w:rPr>
              <w:t>要求大企业与中小企业组成联合体的形式参加投标，且联合体中中小企业承担的部分达到项目合同总金额的</w:t>
            </w:r>
            <w:permStart w:id="24" w:edGrp="everyone"/>
            <w:r>
              <w:rPr>
                <w:rFonts w:hint="default" w:ascii="Times New Roman" w:hAnsi="Times New Roman" w:cs="Times New Roman"/>
                <w:color w:val="000000"/>
                <w:u w:val="single"/>
              </w:rPr>
              <w:t xml:space="preserve">  </w:t>
            </w:r>
            <w:permEnd w:id="24"/>
            <w:r>
              <w:rPr>
                <w:rFonts w:hint="default" w:ascii="Times New Roman" w:hAnsi="Times New Roman" w:cs="Times New Roman"/>
                <w:color w:val="000000"/>
              </w:rPr>
              <w:t>%以上，其中小微企业承担的比例不低于</w:t>
            </w:r>
            <w:permStart w:id="25" w:edGrp="everyone"/>
            <w:r>
              <w:rPr>
                <w:rFonts w:hint="default" w:ascii="Times New Roman" w:hAnsi="Times New Roman" w:cs="Times New Roman"/>
                <w:color w:val="000000"/>
                <w:u w:val="single"/>
              </w:rPr>
              <w:t xml:space="preserve">  </w:t>
            </w:r>
            <w:permEnd w:id="25"/>
            <w:r>
              <w:rPr>
                <w:rFonts w:hint="default" w:ascii="Times New Roman" w:hAnsi="Times New Roman" w:cs="Times New Roman"/>
                <w:color w:val="000000"/>
              </w:rPr>
              <w:t>%。组成联合体的中小企业与联合体内其他企业之间不得存在直接控股、管理关系。（前述比例由招标人根据项目的具体情况约定）</w:t>
            </w:r>
          </w:p>
          <w:p w14:paraId="469B6C84">
            <w:pPr>
              <w:autoSpaceDE w:val="0"/>
              <w:autoSpaceDN w:val="0"/>
              <w:spacing w:line="319" w:lineRule="exact"/>
              <w:jc w:val="left"/>
              <w:rPr>
                <w:rFonts w:hint="default" w:ascii="Times New Roman" w:hAnsi="Times New Roman" w:cs="Times New Roman"/>
                <w:color w:val="000000"/>
              </w:rPr>
            </w:pPr>
            <w:permStart w:id="26" w:edGrp="everyone"/>
            <w:r>
              <w:rPr>
                <w:rFonts w:hint="default" w:ascii="Times New Roman" w:hAnsi="Times New Roman" w:cs="Times New Roman"/>
                <w:color w:val="000000"/>
              </w:rPr>
              <w:t>□</w:t>
            </w:r>
            <w:permEnd w:id="26"/>
            <w:r>
              <w:rPr>
                <w:rFonts w:hint="default" w:ascii="Times New Roman" w:hAnsi="Times New Roman" w:cs="Times New Roman"/>
                <w:color w:val="000000"/>
              </w:rPr>
              <w:t>采购项目部分预留专门面向中小企业采购。</w:t>
            </w:r>
          </w:p>
          <w:p w14:paraId="0319F92C">
            <w:pPr>
              <w:autoSpaceDE w:val="0"/>
              <w:autoSpaceDN w:val="0"/>
              <w:spacing w:line="319" w:lineRule="exact"/>
              <w:ind w:firstLine="420" w:firstLineChars="200"/>
              <w:jc w:val="left"/>
              <w:rPr>
                <w:rFonts w:hint="default" w:ascii="Times New Roman" w:hAnsi="Times New Roman" w:cs="Times New Roman"/>
                <w:color w:val="000000"/>
              </w:rPr>
            </w:pPr>
            <w:r>
              <w:rPr>
                <w:rFonts w:hint="default" w:ascii="Times New Roman" w:hAnsi="Times New Roman" w:cs="Times New Roman"/>
                <w:color w:val="000000"/>
              </w:rPr>
              <w:t>要求大企业向中小企业分包的形式参加投标，且接受分包的中小企业承担的部分达到项目合同总金额的</w:t>
            </w:r>
            <w:permStart w:id="27" w:edGrp="everyone"/>
            <w:r>
              <w:rPr>
                <w:rFonts w:hint="default" w:ascii="Times New Roman" w:hAnsi="Times New Roman" w:cs="Times New Roman"/>
                <w:color w:val="000000"/>
                <w:u w:val="single"/>
              </w:rPr>
              <w:t xml:space="preserve">  </w:t>
            </w:r>
            <w:permEnd w:id="27"/>
            <w:r>
              <w:rPr>
                <w:rFonts w:hint="default" w:ascii="Times New Roman" w:hAnsi="Times New Roman" w:cs="Times New Roman"/>
                <w:color w:val="000000"/>
              </w:rPr>
              <w:t>%以上，其中接受分包的小微企业承担的比例不低于</w:t>
            </w:r>
            <w:permStart w:id="28" w:edGrp="everyone"/>
            <w:r>
              <w:rPr>
                <w:rFonts w:hint="default" w:ascii="Times New Roman" w:hAnsi="Times New Roman" w:cs="Times New Roman"/>
                <w:color w:val="000000"/>
                <w:u w:val="single"/>
              </w:rPr>
              <w:t xml:space="preserve">  </w:t>
            </w:r>
            <w:permEnd w:id="28"/>
            <w:r>
              <w:rPr>
                <w:rFonts w:hint="default" w:ascii="Times New Roman" w:hAnsi="Times New Roman" w:cs="Times New Roman"/>
                <w:color w:val="000000"/>
              </w:rPr>
              <w:t>%。接受分包合同的中小企业与分包企业之间不得存在直接控股、管理关系。（前述比例由招标人根据项目的具体情况约定）</w:t>
            </w:r>
          </w:p>
          <w:p w14:paraId="244CC16A">
            <w:pPr>
              <w:autoSpaceDE w:val="0"/>
              <w:autoSpaceDN w:val="0"/>
              <w:spacing w:line="319" w:lineRule="exact"/>
              <w:jc w:val="left"/>
              <w:rPr>
                <w:rFonts w:hint="default" w:ascii="Times New Roman" w:hAnsi="Times New Roman" w:cs="Times New Roman"/>
                <w:color w:val="000000"/>
                <w:highlight w:val="none"/>
              </w:rPr>
            </w:pPr>
            <w:permStart w:id="29" w:edGrp="everyone"/>
            <w:r>
              <w:rPr>
                <w:rFonts w:hint="default" w:ascii="Times New Roman" w:hAnsi="Times New Roman" w:cs="Times New Roman"/>
                <w:color w:val="000000"/>
                <w:lang w:eastAsia="zh-CN"/>
              </w:rPr>
              <w:t>☑</w:t>
            </w:r>
            <w:permEnd w:id="29"/>
            <w:r>
              <w:rPr>
                <w:rFonts w:hint="default" w:ascii="Times New Roman" w:hAnsi="Times New Roman" w:cs="Times New Roman"/>
                <w:color w:val="000000"/>
              </w:rPr>
              <w:t>采购项</w:t>
            </w:r>
            <w:r>
              <w:rPr>
                <w:rFonts w:hint="default" w:ascii="Times New Roman" w:hAnsi="Times New Roman" w:cs="Times New Roman"/>
                <w:color w:val="000000"/>
                <w:highlight w:val="none"/>
              </w:rPr>
              <w:t>目未预留份额专门面向中小企业采购。</w:t>
            </w:r>
          </w:p>
          <w:p w14:paraId="1C95BE91">
            <w:pPr>
              <w:autoSpaceDE w:val="0"/>
              <w:autoSpaceDN w:val="0"/>
              <w:spacing w:line="319" w:lineRule="exact"/>
              <w:ind w:firstLine="420" w:firstLineChars="200"/>
              <w:jc w:val="left"/>
              <w:rPr>
                <w:rFonts w:hint="default" w:ascii="Times New Roman" w:hAnsi="Times New Roman" w:cs="Times New Roman"/>
                <w:color w:val="000000"/>
                <w:highlight w:val="none"/>
              </w:rPr>
            </w:pPr>
            <w:permStart w:id="30" w:edGrp="everyone"/>
            <w:r>
              <w:rPr>
                <w:rFonts w:hint="default" w:ascii="Times New Roman" w:hAnsi="Times New Roman" w:cs="Times New Roman"/>
                <w:color w:val="000000"/>
                <w:highlight w:val="none"/>
                <w:u w:val="single"/>
                <w:lang w:val="en-US" w:eastAsia="zh-CN"/>
              </w:rPr>
              <w:t>不</w:t>
            </w:r>
            <w:r>
              <w:rPr>
                <w:rFonts w:hint="default" w:ascii="Times New Roman" w:hAnsi="Times New Roman" w:cs="Times New Roman"/>
                <w:color w:val="000000"/>
                <w:highlight w:val="none"/>
                <w:u w:val="single"/>
              </w:rPr>
              <w:t>接受</w:t>
            </w:r>
            <w:permEnd w:id="30"/>
            <w:r>
              <w:rPr>
                <w:rFonts w:hint="default" w:ascii="Times New Roman" w:hAnsi="Times New Roman" w:cs="Times New Roman"/>
                <w:color w:val="000000"/>
                <w:highlight w:val="none"/>
              </w:rPr>
              <w:t>大中型企业与小微企业组成联合体。</w:t>
            </w:r>
          </w:p>
          <w:p w14:paraId="15CD6976">
            <w:pPr>
              <w:autoSpaceDE w:val="0"/>
              <w:autoSpaceDN w:val="0"/>
              <w:spacing w:line="319" w:lineRule="exact"/>
              <w:ind w:firstLine="420" w:firstLineChars="200"/>
              <w:jc w:val="left"/>
              <w:rPr>
                <w:rFonts w:hint="default" w:ascii="Times New Roman" w:hAnsi="Times New Roman" w:cs="Times New Roman"/>
                <w:color w:val="000000"/>
              </w:rPr>
            </w:pPr>
            <w:permStart w:id="31" w:edGrp="everyone"/>
            <w:r>
              <w:rPr>
                <w:rFonts w:hint="default" w:ascii="Times New Roman" w:hAnsi="Times New Roman" w:cs="Times New Roman"/>
                <w:color w:val="000000"/>
                <w:u w:val="single"/>
              </w:rPr>
              <w:t>允许</w:t>
            </w:r>
            <w:permEnd w:id="31"/>
            <w:r>
              <w:rPr>
                <w:rFonts w:hint="default" w:ascii="Times New Roman" w:hAnsi="Times New Roman" w:cs="Times New Roman"/>
                <w:color w:val="000000"/>
              </w:rPr>
              <w:t>大中型企业向一家或者多家小微企业分包。</w:t>
            </w:r>
          </w:p>
          <w:p w14:paraId="664D2E61">
            <w:pPr>
              <w:rPr>
                <w:rFonts w:hint="default" w:ascii="Times New Roman" w:hAnsi="Times New Roman" w:cs="Times New Roman"/>
                <w:color w:val="000000"/>
                <w:u w:val="single"/>
              </w:rPr>
            </w:pPr>
          </w:p>
        </w:tc>
      </w:tr>
      <w:tr w14:paraId="04976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right"/>
        </w:trPr>
        <w:tc>
          <w:tcPr>
            <w:tcW w:w="993" w:type="dxa"/>
            <w:vAlign w:val="center"/>
          </w:tcPr>
          <w:p w14:paraId="6A954650">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1.4.2</w:t>
            </w:r>
          </w:p>
        </w:tc>
        <w:tc>
          <w:tcPr>
            <w:tcW w:w="2551" w:type="dxa"/>
            <w:vAlign w:val="center"/>
          </w:tcPr>
          <w:p w14:paraId="595F43E5">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是否接受联合体投标</w:t>
            </w:r>
          </w:p>
        </w:tc>
        <w:tc>
          <w:tcPr>
            <w:tcW w:w="5529" w:type="dxa"/>
            <w:vAlign w:val="center"/>
          </w:tcPr>
          <w:p w14:paraId="153EDC42">
            <w:pPr>
              <w:rPr>
                <w:rFonts w:hint="default" w:ascii="Times New Roman" w:hAnsi="Times New Roman" w:cs="Times New Roman"/>
                <w:color w:val="000000"/>
                <w:szCs w:val="21"/>
              </w:rPr>
            </w:pPr>
            <w:permStart w:id="32" w:edGrp="everyone"/>
            <w:r>
              <w:rPr>
                <w:rFonts w:hint="eastAsia" w:ascii="Times New Roman" w:hAnsi="Times New Roman" w:cs="Times New Roman"/>
                <w:color w:val="000000"/>
                <w:lang w:eastAsia="zh-CN"/>
              </w:rPr>
              <w:t>□</w:t>
            </w:r>
            <w:permEnd w:id="32"/>
            <w:r>
              <w:rPr>
                <w:rFonts w:hint="default" w:ascii="Times New Roman" w:hAnsi="Times New Roman" w:cs="Times New Roman"/>
                <w:color w:val="000000"/>
                <w:szCs w:val="21"/>
              </w:rPr>
              <w:t xml:space="preserve">不接受 </w:t>
            </w:r>
          </w:p>
          <w:p w14:paraId="3F190A83">
            <w:pPr>
              <w:rPr>
                <w:rFonts w:hint="default" w:ascii="Times New Roman" w:hAnsi="Times New Roman" w:cs="Times New Roman"/>
                <w:color w:val="000000"/>
                <w:szCs w:val="21"/>
              </w:rPr>
            </w:pPr>
            <w:permStart w:id="33" w:edGrp="everyone"/>
            <w:r>
              <w:rPr>
                <w:rFonts w:hint="eastAsia" w:ascii="Times New Roman" w:hAnsi="Times New Roman" w:cs="Times New Roman"/>
                <w:color w:val="000000"/>
                <w:lang w:eastAsia="zh-CN"/>
              </w:rPr>
              <w:t>☑</w:t>
            </w:r>
            <w:permEnd w:id="33"/>
            <w:r>
              <w:rPr>
                <w:rFonts w:hint="default" w:ascii="Times New Roman" w:hAnsi="Times New Roman" w:cs="Times New Roman"/>
                <w:color w:val="000000"/>
                <w:szCs w:val="21"/>
              </w:rPr>
              <w:t>接受，应满足下列要求：</w:t>
            </w:r>
            <w:permStart w:id="34" w:edGrp="everyone"/>
            <w:r>
              <w:rPr>
                <w:rFonts w:hint="default" w:ascii="Times New Roman" w:hAnsi="Times New Roman" w:cs="Times New Roman"/>
                <w:color w:val="000000"/>
                <w:szCs w:val="21"/>
                <w:lang w:bidi="ar"/>
              </w:rPr>
              <w:t>详见招标公告</w:t>
            </w:r>
            <w:permEnd w:id="34"/>
          </w:p>
          <w:p w14:paraId="680F7F44">
            <w:pPr>
              <w:rPr>
                <w:rFonts w:hint="default" w:ascii="Times New Roman" w:hAnsi="Times New Roman" w:cs="Times New Roman"/>
                <w:color w:val="000000"/>
                <w:szCs w:val="21"/>
              </w:rPr>
            </w:pPr>
            <w:r>
              <w:rPr>
                <w:rFonts w:hint="default" w:ascii="Times New Roman" w:hAnsi="Times New Roman" w:cs="Times New Roman"/>
                <w:color w:val="000000"/>
                <w:szCs w:val="21"/>
              </w:rPr>
              <w:t>联合体资质按照联合体协议约定的分工认定。</w:t>
            </w:r>
          </w:p>
        </w:tc>
      </w:tr>
      <w:tr w14:paraId="64914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right"/>
        </w:trPr>
        <w:tc>
          <w:tcPr>
            <w:tcW w:w="993" w:type="dxa"/>
            <w:vAlign w:val="center"/>
          </w:tcPr>
          <w:p w14:paraId="41485AE9">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1.9.1</w:t>
            </w:r>
          </w:p>
        </w:tc>
        <w:tc>
          <w:tcPr>
            <w:tcW w:w="2551" w:type="dxa"/>
            <w:vAlign w:val="center"/>
          </w:tcPr>
          <w:p w14:paraId="70039ED6">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踏勘现场</w:t>
            </w:r>
          </w:p>
        </w:tc>
        <w:tc>
          <w:tcPr>
            <w:tcW w:w="5529" w:type="dxa"/>
            <w:vAlign w:val="center"/>
          </w:tcPr>
          <w:p w14:paraId="08BF780C">
            <w:pPr>
              <w:rPr>
                <w:rFonts w:hint="default" w:ascii="Times New Roman" w:hAnsi="Times New Roman" w:cs="Times New Roman"/>
                <w:color w:val="000000"/>
                <w:szCs w:val="21"/>
              </w:rPr>
            </w:pPr>
            <w:permStart w:id="35" w:edGrp="everyone"/>
            <w:r>
              <w:rPr>
                <w:rFonts w:hint="default" w:ascii="Times New Roman" w:hAnsi="Times New Roman" w:cs="Times New Roman"/>
                <w:color w:val="000000"/>
              </w:rPr>
              <w:t>☑</w:t>
            </w:r>
            <w:permEnd w:id="35"/>
            <w:r>
              <w:rPr>
                <w:rFonts w:hint="default" w:ascii="Times New Roman" w:hAnsi="Times New Roman" w:cs="Times New Roman"/>
                <w:color w:val="000000"/>
                <w:szCs w:val="21"/>
              </w:rPr>
              <w:t xml:space="preserve">不组织 </w:t>
            </w:r>
          </w:p>
          <w:p w14:paraId="5823429B">
            <w:pPr>
              <w:rPr>
                <w:rFonts w:hint="default" w:ascii="Times New Roman" w:hAnsi="Times New Roman" w:cs="Times New Roman"/>
                <w:color w:val="000000"/>
                <w:szCs w:val="21"/>
              </w:rPr>
            </w:pPr>
            <w:permStart w:id="36" w:edGrp="everyone"/>
            <w:r>
              <w:rPr>
                <w:rFonts w:hint="default" w:ascii="Times New Roman" w:hAnsi="Times New Roman" w:cs="Times New Roman"/>
                <w:color w:val="000000"/>
              </w:rPr>
              <w:t>□</w:t>
            </w:r>
            <w:permEnd w:id="36"/>
            <w:r>
              <w:rPr>
                <w:rFonts w:hint="default" w:ascii="Times New Roman" w:hAnsi="Times New Roman" w:cs="Times New Roman"/>
                <w:color w:val="000000"/>
                <w:szCs w:val="21"/>
              </w:rPr>
              <w:t>组织，踏勘时间：</w:t>
            </w:r>
            <w:permStart w:id="37" w:edGrp="everyone"/>
            <w:r>
              <w:rPr>
                <w:rFonts w:hint="default" w:ascii="Times New Roman" w:hAnsi="Times New Roman" w:cs="Times New Roman"/>
                <w:color w:val="000000"/>
                <w:szCs w:val="21"/>
                <w:u w:val="single"/>
              </w:rPr>
              <w:t xml:space="preserve">        /         </w:t>
            </w:r>
            <w:permEnd w:id="37"/>
          </w:p>
          <w:p w14:paraId="6F843C8D">
            <w:pPr>
              <w:ind w:firstLine="840" w:firstLineChars="400"/>
              <w:rPr>
                <w:rFonts w:hint="default" w:ascii="Times New Roman" w:hAnsi="Times New Roman" w:cs="Times New Roman"/>
                <w:color w:val="000000"/>
                <w:szCs w:val="21"/>
              </w:rPr>
            </w:pPr>
            <w:r>
              <w:rPr>
                <w:rFonts w:hint="default" w:ascii="Times New Roman" w:hAnsi="Times New Roman" w:cs="Times New Roman"/>
                <w:color w:val="000000"/>
                <w:szCs w:val="21"/>
              </w:rPr>
              <w:t>踏勘集中地点：</w:t>
            </w:r>
            <w:permStart w:id="38" w:edGrp="everyone"/>
            <w:r>
              <w:rPr>
                <w:rFonts w:hint="default" w:ascii="Times New Roman" w:hAnsi="Times New Roman" w:cs="Times New Roman"/>
                <w:color w:val="000000"/>
                <w:szCs w:val="21"/>
                <w:u w:val="single"/>
              </w:rPr>
              <w:t xml:space="preserve">        /         </w:t>
            </w:r>
            <w:permEnd w:id="38"/>
          </w:p>
        </w:tc>
      </w:tr>
      <w:tr w14:paraId="5DE83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right"/>
        </w:trPr>
        <w:tc>
          <w:tcPr>
            <w:tcW w:w="993" w:type="dxa"/>
            <w:vAlign w:val="center"/>
          </w:tcPr>
          <w:p w14:paraId="667ABBE7">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1.10.1</w:t>
            </w:r>
          </w:p>
        </w:tc>
        <w:tc>
          <w:tcPr>
            <w:tcW w:w="2551" w:type="dxa"/>
            <w:vAlign w:val="center"/>
          </w:tcPr>
          <w:p w14:paraId="16CE6CF5">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投标预备会</w:t>
            </w:r>
          </w:p>
        </w:tc>
        <w:tc>
          <w:tcPr>
            <w:tcW w:w="5529" w:type="dxa"/>
            <w:vAlign w:val="center"/>
          </w:tcPr>
          <w:p w14:paraId="76B05EE0">
            <w:pPr>
              <w:rPr>
                <w:rFonts w:hint="default" w:ascii="Times New Roman" w:hAnsi="Times New Roman" w:cs="Times New Roman"/>
                <w:color w:val="000000"/>
                <w:szCs w:val="21"/>
              </w:rPr>
            </w:pPr>
            <w:permStart w:id="39" w:edGrp="everyone"/>
            <w:r>
              <w:rPr>
                <w:rFonts w:hint="default" w:ascii="Times New Roman" w:hAnsi="Times New Roman" w:cs="Times New Roman"/>
                <w:color w:val="000000"/>
              </w:rPr>
              <w:t>☑</w:t>
            </w:r>
            <w:permEnd w:id="39"/>
            <w:r>
              <w:rPr>
                <w:rFonts w:hint="default" w:ascii="Times New Roman" w:hAnsi="Times New Roman" w:cs="Times New Roman"/>
                <w:color w:val="000000"/>
                <w:szCs w:val="21"/>
              </w:rPr>
              <w:t xml:space="preserve">不召开 </w:t>
            </w:r>
          </w:p>
          <w:p w14:paraId="73DBD1A1">
            <w:pPr>
              <w:rPr>
                <w:rFonts w:hint="default" w:ascii="Times New Roman" w:hAnsi="Times New Roman" w:cs="Times New Roman"/>
                <w:color w:val="000000"/>
                <w:szCs w:val="21"/>
              </w:rPr>
            </w:pPr>
            <w:permStart w:id="40" w:edGrp="everyone"/>
            <w:r>
              <w:rPr>
                <w:rFonts w:hint="default" w:ascii="Times New Roman" w:hAnsi="Times New Roman" w:cs="Times New Roman"/>
                <w:color w:val="000000"/>
              </w:rPr>
              <w:t>□</w:t>
            </w:r>
            <w:permEnd w:id="40"/>
            <w:r>
              <w:rPr>
                <w:rFonts w:hint="default" w:ascii="Times New Roman" w:hAnsi="Times New Roman" w:cs="Times New Roman"/>
                <w:color w:val="000000"/>
                <w:szCs w:val="21"/>
              </w:rPr>
              <w:t>召开，召开时间：</w:t>
            </w:r>
            <w:permStart w:id="41" w:edGrp="everyone"/>
            <w:r>
              <w:rPr>
                <w:rFonts w:hint="default" w:ascii="Times New Roman" w:hAnsi="Times New Roman" w:cs="Times New Roman"/>
                <w:color w:val="000000"/>
                <w:szCs w:val="21"/>
                <w:u w:val="single"/>
              </w:rPr>
              <w:t xml:space="preserve">        /         </w:t>
            </w:r>
            <w:permEnd w:id="41"/>
          </w:p>
          <w:p w14:paraId="08B75625">
            <w:pPr>
              <w:ind w:firstLine="840" w:firstLineChars="400"/>
              <w:rPr>
                <w:rFonts w:hint="default" w:ascii="Times New Roman" w:hAnsi="Times New Roman" w:cs="Times New Roman"/>
                <w:color w:val="000000"/>
                <w:szCs w:val="21"/>
              </w:rPr>
            </w:pPr>
            <w:r>
              <w:rPr>
                <w:rFonts w:hint="default" w:ascii="Times New Roman" w:hAnsi="Times New Roman" w:cs="Times New Roman"/>
                <w:color w:val="000000"/>
                <w:szCs w:val="21"/>
              </w:rPr>
              <w:t>召开地点：</w:t>
            </w:r>
            <w:permStart w:id="42" w:edGrp="everyone"/>
            <w:r>
              <w:rPr>
                <w:rFonts w:hint="default" w:ascii="Times New Roman" w:hAnsi="Times New Roman" w:cs="Times New Roman"/>
                <w:color w:val="000000"/>
                <w:szCs w:val="21"/>
                <w:u w:val="single"/>
              </w:rPr>
              <w:t xml:space="preserve">        /         </w:t>
            </w:r>
            <w:permEnd w:id="42"/>
          </w:p>
        </w:tc>
      </w:tr>
      <w:tr w14:paraId="3DB1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7" w:hRule="atLeast"/>
          <w:jc w:val="right"/>
        </w:trPr>
        <w:tc>
          <w:tcPr>
            <w:tcW w:w="993" w:type="dxa"/>
            <w:vAlign w:val="center"/>
          </w:tcPr>
          <w:p w14:paraId="22D8598C">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1.11</w:t>
            </w:r>
          </w:p>
        </w:tc>
        <w:tc>
          <w:tcPr>
            <w:tcW w:w="2551" w:type="dxa"/>
            <w:vAlign w:val="center"/>
          </w:tcPr>
          <w:p w14:paraId="57A95E17">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分  包</w:t>
            </w:r>
          </w:p>
        </w:tc>
        <w:tc>
          <w:tcPr>
            <w:tcW w:w="5529" w:type="dxa"/>
            <w:vAlign w:val="center"/>
          </w:tcPr>
          <w:p w14:paraId="58AD784C">
            <w:pPr>
              <w:rPr>
                <w:rFonts w:hint="default" w:ascii="Times New Roman" w:hAnsi="Times New Roman" w:cs="Times New Roman"/>
                <w:color w:val="000000"/>
                <w:szCs w:val="21"/>
              </w:rPr>
            </w:pPr>
            <w:permStart w:id="43" w:edGrp="everyone"/>
            <w:r>
              <w:rPr>
                <w:rFonts w:hint="eastAsia" w:ascii="Times New Roman" w:hAnsi="Times New Roman" w:cs="Times New Roman"/>
                <w:color w:val="000000"/>
                <w:lang w:eastAsia="zh-CN"/>
              </w:rPr>
              <w:t>□</w:t>
            </w:r>
            <w:permEnd w:id="43"/>
            <w:r>
              <w:rPr>
                <w:rFonts w:hint="default" w:ascii="Times New Roman" w:hAnsi="Times New Roman" w:cs="Times New Roman"/>
                <w:color w:val="000000"/>
                <w:szCs w:val="21"/>
              </w:rPr>
              <w:t xml:space="preserve">不允许 </w:t>
            </w:r>
          </w:p>
          <w:p w14:paraId="7F470AE9">
            <w:pPr>
              <w:rPr>
                <w:rFonts w:hint="default" w:ascii="Times New Roman" w:hAnsi="Times New Roman"/>
                <w:color w:val="000000"/>
                <w:szCs w:val="21"/>
              </w:rPr>
            </w:pPr>
            <w:permStart w:id="44" w:edGrp="everyone"/>
            <w:r>
              <w:rPr>
                <w:rFonts w:hint="eastAsia" w:ascii="Times New Roman" w:hAnsi="Times New Roman" w:cs="Times New Roman"/>
                <w:color w:val="000000"/>
                <w:lang w:eastAsia="zh-CN"/>
              </w:rPr>
              <w:t>☑</w:t>
            </w:r>
            <w:permEnd w:id="44"/>
            <w:r>
              <w:rPr>
                <w:rFonts w:hint="default" w:ascii="Times New Roman" w:hAnsi="Times New Roman" w:cs="Times New Roman"/>
                <w:color w:val="000000"/>
                <w:szCs w:val="21"/>
              </w:rPr>
              <w:t>允许，</w:t>
            </w:r>
            <w:r>
              <w:rPr>
                <w:rFonts w:hint="default" w:ascii="Times New Roman" w:hAnsi="Times New Roman"/>
                <w:color w:val="000000"/>
                <w:szCs w:val="21"/>
              </w:rPr>
              <w:t>对分包的要求：</w:t>
            </w:r>
          </w:p>
          <w:p w14:paraId="379DEA8C">
            <w:pPr>
              <w:rPr>
                <w:rFonts w:hint="default" w:ascii="Times New Roman" w:hAnsi="Times New Roman"/>
                <w:color w:val="000000"/>
                <w:szCs w:val="21"/>
              </w:rPr>
            </w:pPr>
            <w:r>
              <w:rPr>
                <w:rFonts w:hint="default" w:ascii="Times New Roman" w:hAnsi="Times New Roman"/>
                <w:color w:val="000000"/>
                <w:szCs w:val="21"/>
              </w:rPr>
              <w:t xml:space="preserve">满足《湖北省公路工程施工分包管理实施细则》的要求，分包人应当符合以下基本资格条件： </w:t>
            </w:r>
          </w:p>
          <w:p w14:paraId="084830A7">
            <w:pPr>
              <w:rPr>
                <w:rFonts w:hint="default" w:ascii="Times New Roman" w:hAnsi="Times New Roman"/>
                <w:color w:val="000000"/>
                <w:szCs w:val="21"/>
              </w:rPr>
            </w:pPr>
            <w:r>
              <w:rPr>
                <w:rFonts w:hint="default" w:ascii="Times New Roman" w:hAnsi="Times New Roman"/>
                <w:color w:val="000000"/>
                <w:szCs w:val="21"/>
              </w:rPr>
              <w:t xml:space="preserve">（一）具有经工商登记的法人资格； </w:t>
            </w:r>
            <w:r>
              <w:rPr>
                <w:rFonts w:hint="default" w:ascii="Times New Roman" w:hAnsi="Times New Roman"/>
                <w:color w:val="000000"/>
                <w:szCs w:val="21"/>
              </w:rPr>
              <w:tab/>
            </w:r>
          </w:p>
          <w:p w14:paraId="201262BB">
            <w:pPr>
              <w:rPr>
                <w:rFonts w:hint="default" w:ascii="Times New Roman" w:hAnsi="Times New Roman"/>
                <w:color w:val="000000"/>
                <w:szCs w:val="21"/>
              </w:rPr>
            </w:pPr>
            <w:r>
              <w:rPr>
                <w:rFonts w:hint="default" w:ascii="Times New Roman" w:hAnsi="Times New Roman"/>
                <w:color w:val="000000"/>
                <w:szCs w:val="21"/>
              </w:rPr>
              <w:t xml:space="preserve">（二）具有与分包工程相适应的财务能力； </w:t>
            </w:r>
          </w:p>
          <w:p w14:paraId="5E27FA5C">
            <w:pPr>
              <w:rPr>
                <w:rFonts w:hint="default" w:ascii="Times New Roman" w:hAnsi="Times New Roman"/>
                <w:color w:val="000000"/>
                <w:szCs w:val="21"/>
              </w:rPr>
            </w:pPr>
            <w:r>
              <w:rPr>
                <w:rFonts w:hint="default" w:ascii="Times New Roman" w:hAnsi="Times New Roman"/>
                <w:color w:val="000000"/>
                <w:szCs w:val="21"/>
              </w:rPr>
              <w:t xml:space="preserve">（三）具有从事类似工程经验的管理与技术人员； </w:t>
            </w:r>
          </w:p>
          <w:p w14:paraId="2EE4E7AB">
            <w:pPr>
              <w:rPr>
                <w:rFonts w:hint="default" w:ascii="Times New Roman" w:hAnsi="Times New Roman"/>
                <w:color w:val="000000"/>
                <w:szCs w:val="21"/>
              </w:rPr>
            </w:pPr>
            <w:r>
              <w:rPr>
                <w:rFonts w:hint="default" w:ascii="Times New Roman" w:hAnsi="Times New Roman"/>
                <w:color w:val="000000"/>
                <w:szCs w:val="21"/>
              </w:rPr>
              <w:t>（四）具有（自有或者租赁）分包工程所需的施工设备；</w:t>
            </w:r>
          </w:p>
          <w:p w14:paraId="4D1287B1">
            <w:pPr>
              <w:rPr>
                <w:rFonts w:hint="default" w:ascii="Times New Roman" w:hAnsi="Times New Roman"/>
                <w:color w:val="000000"/>
                <w:szCs w:val="21"/>
              </w:rPr>
            </w:pPr>
            <w:r>
              <w:rPr>
                <w:rFonts w:hint="default" w:ascii="Times New Roman" w:hAnsi="Times New Roman"/>
                <w:color w:val="000000"/>
                <w:szCs w:val="21"/>
              </w:rPr>
              <w:t>（五）未被列入交通运输部或湖北省交通运输主管部门禁止进入公路建设市场名单；</w:t>
            </w:r>
          </w:p>
          <w:p w14:paraId="138BDBEF">
            <w:pPr>
              <w:rPr>
                <w:rFonts w:hint="default" w:ascii="Times New Roman" w:hAnsi="Times New Roman"/>
                <w:color w:val="000000"/>
                <w:szCs w:val="21"/>
              </w:rPr>
            </w:pPr>
            <w:r>
              <w:rPr>
                <w:rFonts w:hint="default" w:ascii="Times New Roman" w:hAnsi="Times New Roman"/>
                <w:color w:val="000000"/>
                <w:szCs w:val="21"/>
              </w:rPr>
              <w:t>（六）不属于被“信用中国”列入“黑名单”的失信被执行人或重大税收违法案件当事人；</w:t>
            </w:r>
          </w:p>
          <w:p w14:paraId="3EFB87A6">
            <w:pPr>
              <w:rPr>
                <w:rFonts w:hint="default" w:ascii="Times New Roman" w:hAnsi="Times New Roman"/>
                <w:color w:val="000000"/>
                <w:szCs w:val="21"/>
              </w:rPr>
            </w:pPr>
            <w:r>
              <w:rPr>
                <w:rFonts w:hint="default" w:ascii="Times New Roman" w:hAnsi="Times New Roman"/>
                <w:color w:val="000000"/>
                <w:szCs w:val="21"/>
              </w:rPr>
              <w:t>（七）专项工程分包人应当具备的具体条件应按照不低于《湖北省公路工程施工分包管理实施细则》的《附件1 湖北省公路工程施工分包专项类别与资格条件》执行。</w:t>
            </w:r>
          </w:p>
          <w:p w14:paraId="79A6785D">
            <w:pPr>
              <w:ind w:firstLine="840" w:firstLineChars="400"/>
              <w:rPr>
                <w:rFonts w:hint="default" w:ascii="Times New Roman" w:hAnsi="Times New Roman" w:cs="Times New Roman"/>
                <w:color w:val="000000"/>
                <w:szCs w:val="21"/>
              </w:rPr>
            </w:pPr>
            <w:r>
              <w:rPr>
                <w:rFonts w:hint="default" w:ascii="Times New Roman" w:hAnsi="Times New Roman"/>
                <w:color w:val="000000"/>
                <w:szCs w:val="21"/>
              </w:rPr>
              <w:t>注：上述要求为招标文件固化格式，无法进行调整修改，投标人在开展本工程项目分包时应按照以下要求进行：本项目施工部分：分包应满足交通运输部关于印发《公路工程施工分包管理办法》（交公路规〔2024〕2号）的通知、交通运输部办公厅关于印发《公路工程施工分包负面清单（2024年版）》（交办公路〔2024〕6号）、省交通运输厅关于印发《湖北省公路工程施工分包管理实施细则》的通知（鄂交发〔2024〕78号）等通知、相关文件规定要求。</w:t>
            </w:r>
            <w:permStart w:id="45" w:edGrp="everyone"/>
            <w:r>
              <w:rPr>
                <w:rFonts w:hint="default" w:ascii="Times New Roman" w:hAnsi="Times New Roman" w:cs="Times New Roman"/>
                <w:color w:val="000000"/>
                <w:szCs w:val="21"/>
                <w:u w:val="single"/>
              </w:rPr>
              <w:t xml:space="preserve">  </w:t>
            </w:r>
            <w:permEnd w:id="45"/>
          </w:p>
        </w:tc>
      </w:tr>
      <w:tr w14:paraId="6968D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right"/>
        </w:trPr>
        <w:tc>
          <w:tcPr>
            <w:tcW w:w="993" w:type="dxa"/>
            <w:vAlign w:val="center"/>
          </w:tcPr>
          <w:p w14:paraId="158EF6EC">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1.12</w:t>
            </w:r>
          </w:p>
        </w:tc>
        <w:tc>
          <w:tcPr>
            <w:tcW w:w="2551" w:type="dxa"/>
            <w:vAlign w:val="center"/>
          </w:tcPr>
          <w:p w14:paraId="4A5EEE0A">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偏  离</w:t>
            </w:r>
          </w:p>
        </w:tc>
        <w:tc>
          <w:tcPr>
            <w:tcW w:w="5529" w:type="dxa"/>
            <w:vAlign w:val="center"/>
          </w:tcPr>
          <w:p w14:paraId="238D145E">
            <w:pPr>
              <w:rPr>
                <w:rFonts w:hint="default" w:ascii="Times New Roman" w:hAnsi="Times New Roman" w:cs="Times New Roman"/>
                <w:color w:val="000000"/>
                <w:szCs w:val="21"/>
              </w:rPr>
            </w:pPr>
            <w:permStart w:id="46" w:edGrp="everyone"/>
            <w:r>
              <w:rPr>
                <w:rFonts w:hint="default" w:ascii="Times New Roman" w:hAnsi="Times New Roman" w:cs="Times New Roman"/>
                <w:color w:val="000000"/>
              </w:rPr>
              <w:t>☑</w:t>
            </w:r>
            <w:permEnd w:id="46"/>
            <w:r>
              <w:rPr>
                <w:rFonts w:hint="default" w:ascii="Times New Roman" w:hAnsi="Times New Roman" w:cs="Times New Roman"/>
                <w:color w:val="000000"/>
                <w:szCs w:val="21"/>
              </w:rPr>
              <w:t xml:space="preserve">不允许 </w:t>
            </w:r>
          </w:p>
          <w:p w14:paraId="4CBFD96D">
            <w:pPr>
              <w:rPr>
                <w:rFonts w:hint="default" w:ascii="Times New Roman" w:hAnsi="Times New Roman" w:cs="Times New Roman"/>
                <w:color w:val="000000"/>
                <w:szCs w:val="21"/>
              </w:rPr>
            </w:pPr>
            <w:permStart w:id="47" w:edGrp="everyone"/>
            <w:r>
              <w:rPr>
                <w:rFonts w:hint="default" w:ascii="Times New Roman" w:hAnsi="Times New Roman" w:cs="Times New Roman"/>
                <w:color w:val="000000"/>
              </w:rPr>
              <w:t>□</w:t>
            </w:r>
            <w:permEnd w:id="47"/>
            <w:r>
              <w:rPr>
                <w:rFonts w:hint="default" w:ascii="Times New Roman" w:hAnsi="Times New Roman" w:cs="Times New Roman"/>
                <w:color w:val="000000"/>
                <w:szCs w:val="21"/>
              </w:rPr>
              <w:t>允许，可偏离的项目和范围见第五章“发包人要求”</w:t>
            </w:r>
          </w:p>
          <w:p w14:paraId="3076BCF2">
            <w:pPr>
              <w:rPr>
                <w:rFonts w:hint="default" w:ascii="Times New Roman" w:hAnsi="Times New Roman" w:cs="Times New Roman"/>
                <w:color w:val="000000"/>
                <w:szCs w:val="21"/>
              </w:rPr>
            </w:pPr>
            <w:r>
              <w:rPr>
                <w:rFonts w:hint="default" w:ascii="Times New Roman" w:hAnsi="Times New Roman" w:cs="Times New Roman"/>
                <w:color w:val="000000"/>
                <w:szCs w:val="21"/>
              </w:rPr>
              <w:t>允许偏离最高项数：</w:t>
            </w:r>
            <w:permStart w:id="48" w:edGrp="everyone"/>
            <w:r>
              <w:rPr>
                <w:rFonts w:hint="default" w:ascii="Times New Roman" w:hAnsi="Times New Roman" w:cs="Times New Roman"/>
                <w:color w:val="000000"/>
                <w:szCs w:val="21"/>
                <w:u w:val="single"/>
              </w:rPr>
              <w:t xml:space="preserve">        /         </w:t>
            </w:r>
            <w:permEnd w:id="48"/>
          </w:p>
          <w:p w14:paraId="3CE09FC8">
            <w:pPr>
              <w:rPr>
                <w:rFonts w:hint="default" w:ascii="Times New Roman" w:hAnsi="Times New Roman" w:cs="Times New Roman"/>
                <w:color w:val="000000"/>
                <w:szCs w:val="21"/>
              </w:rPr>
            </w:pPr>
            <w:r>
              <w:rPr>
                <w:rFonts w:hint="default" w:ascii="Times New Roman" w:hAnsi="Times New Roman" w:cs="Times New Roman"/>
                <w:color w:val="000000"/>
                <w:szCs w:val="21"/>
              </w:rPr>
              <w:t>偏差调整方法：</w:t>
            </w:r>
            <w:permStart w:id="49" w:edGrp="everyone"/>
            <w:r>
              <w:rPr>
                <w:rFonts w:hint="default" w:ascii="Times New Roman" w:hAnsi="Times New Roman" w:cs="Times New Roman"/>
                <w:color w:val="000000"/>
                <w:szCs w:val="21"/>
                <w:u w:val="single"/>
              </w:rPr>
              <w:t xml:space="preserve">        /         </w:t>
            </w:r>
            <w:permEnd w:id="49"/>
          </w:p>
        </w:tc>
      </w:tr>
      <w:tr w14:paraId="58FF3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jc w:val="right"/>
        </w:trPr>
        <w:tc>
          <w:tcPr>
            <w:tcW w:w="993" w:type="dxa"/>
            <w:vAlign w:val="center"/>
          </w:tcPr>
          <w:p w14:paraId="3ADFC09C">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2.1（8）</w:t>
            </w:r>
          </w:p>
        </w:tc>
        <w:tc>
          <w:tcPr>
            <w:tcW w:w="2551" w:type="dxa"/>
            <w:vAlign w:val="center"/>
          </w:tcPr>
          <w:p w14:paraId="2BDE43CF">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构成招标文件的其他材料</w:t>
            </w:r>
          </w:p>
        </w:tc>
        <w:tc>
          <w:tcPr>
            <w:tcW w:w="5529" w:type="dxa"/>
            <w:vAlign w:val="center"/>
          </w:tcPr>
          <w:p w14:paraId="4A83C02E">
            <w:pPr>
              <w:spacing w:line="400" w:lineRule="exact"/>
              <w:ind w:left="42" w:leftChars="20" w:right="42" w:rightChars="20"/>
              <w:jc w:val="left"/>
              <w:rPr>
                <w:rFonts w:hint="default" w:ascii="Times New Roman" w:hAnsi="Times New Roman" w:cs="Times New Roman"/>
                <w:color w:val="000000"/>
                <w:szCs w:val="21"/>
              </w:rPr>
            </w:pPr>
            <w:permStart w:id="50" w:edGrp="everyone"/>
            <w:r>
              <w:rPr>
                <w:rFonts w:hint="default" w:ascii="Times New Roman" w:hAnsi="Times New Roman" w:cs="Times New Roman"/>
                <w:color w:val="000000"/>
                <w:szCs w:val="21"/>
                <w:lang w:bidi="ar"/>
              </w:rPr>
              <w:t>①对招标文件所作的澄清、修改(如有)；</w:t>
            </w:r>
          </w:p>
          <w:p w14:paraId="177646DF">
            <w:pPr>
              <w:rPr>
                <w:rFonts w:hint="default" w:ascii="Times New Roman" w:hAnsi="Times New Roman" w:cs="Times New Roman"/>
                <w:color w:val="000000"/>
              </w:rPr>
            </w:pPr>
            <w:r>
              <w:rPr>
                <w:rFonts w:hint="default" w:ascii="Times New Roman" w:hAnsi="Times New Roman" w:cs="Times New Roman"/>
                <w:color w:val="000000"/>
                <w:szCs w:val="21"/>
                <w:lang w:bidi="ar"/>
              </w:rPr>
              <w:t>②招标人提供的其他材料 。</w:t>
            </w:r>
          </w:p>
          <w:permEnd w:id="50"/>
          <w:p w14:paraId="0CEACE9B">
            <w:pPr>
              <w:rPr>
                <w:rFonts w:hint="default" w:ascii="Times New Roman" w:hAnsi="Times New Roman" w:cs="Times New Roman"/>
                <w:color w:val="000000"/>
                <w:szCs w:val="21"/>
              </w:rPr>
            </w:pPr>
          </w:p>
        </w:tc>
      </w:tr>
      <w:tr w14:paraId="0BDC9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6" w:hRule="atLeast"/>
          <w:jc w:val="right"/>
        </w:trPr>
        <w:tc>
          <w:tcPr>
            <w:tcW w:w="993" w:type="dxa"/>
            <w:vAlign w:val="center"/>
          </w:tcPr>
          <w:p w14:paraId="20B501BE">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2.2</w:t>
            </w:r>
          </w:p>
        </w:tc>
        <w:tc>
          <w:tcPr>
            <w:tcW w:w="2551" w:type="dxa"/>
            <w:vAlign w:val="center"/>
          </w:tcPr>
          <w:p w14:paraId="60CF6E0B">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招标文件的</w:t>
            </w:r>
          </w:p>
          <w:p w14:paraId="72948E12">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澄清</w:t>
            </w:r>
          </w:p>
        </w:tc>
        <w:tc>
          <w:tcPr>
            <w:tcW w:w="5529" w:type="dxa"/>
            <w:vAlign w:val="center"/>
          </w:tcPr>
          <w:p w14:paraId="66E0C8F9">
            <w:pPr>
              <w:rPr>
                <w:rFonts w:hint="default" w:ascii="Times New Roman" w:hAnsi="Times New Roman" w:cs="Times New Roman"/>
                <w:color w:val="000000"/>
                <w:szCs w:val="21"/>
              </w:rPr>
            </w:pPr>
            <w:r>
              <w:rPr>
                <w:rFonts w:hint="default" w:ascii="Times New Roman" w:hAnsi="Times New Roman" w:cs="Times New Roman"/>
                <w:color w:val="000000"/>
                <w:szCs w:val="21"/>
              </w:rPr>
              <w:t>投标人要求澄清截止时间：</w:t>
            </w:r>
            <w:permStart w:id="51" w:edGrp="everyone"/>
            <w:r>
              <w:rPr>
                <w:rFonts w:hint="default" w:ascii="Times New Roman" w:hAnsi="Times New Roman" w:cs="Times New Roman"/>
                <w:color w:val="000000"/>
                <w:szCs w:val="21"/>
                <w:u w:val="single"/>
              </w:rPr>
              <w:t xml:space="preserve"> </w:t>
            </w:r>
            <w:bookmarkStart w:id="9" w:name="EB53dd8d3a9c8543b88fc210a7e666a3e6"/>
            <w:r>
              <w:rPr>
                <w:rFonts w:hint="default" w:ascii="Times New Roman" w:hAnsi="Times New Roman" w:eastAsia="宋体" w:cs="Times New Roman"/>
                <w:szCs w:val="21"/>
                <w:u w:val="single"/>
              </w:rPr>
              <w:t>递交投标文件截止之日16日前</w:t>
            </w:r>
            <w:bookmarkEnd w:id="9"/>
            <w:r>
              <w:rPr>
                <w:rFonts w:hint="default" w:ascii="Times New Roman" w:hAnsi="Times New Roman" w:cs="Times New Roman"/>
                <w:color w:val="000000"/>
                <w:szCs w:val="21"/>
                <w:u w:val="single"/>
              </w:rPr>
              <w:t xml:space="preserve"> </w:t>
            </w:r>
            <w:permEnd w:id="51"/>
          </w:p>
          <w:p w14:paraId="2275D28C">
            <w:pPr>
              <w:rPr>
                <w:rFonts w:hint="default" w:ascii="Times New Roman" w:hAnsi="Times New Roman" w:cs="Times New Roman"/>
                <w:color w:val="000000"/>
                <w:szCs w:val="21"/>
              </w:rPr>
            </w:pPr>
            <w:r>
              <w:rPr>
                <w:rFonts w:hint="default" w:ascii="Times New Roman" w:hAnsi="Times New Roman" w:cs="Times New Roman"/>
                <w:color w:val="000000"/>
                <w:szCs w:val="21"/>
              </w:rPr>
              <w:t>招标人计划发布澄清通知时间：</w:t>
            </w:r>
            <w:permStart w:id="52" w:edGrp="everyone"/>
            <w:r>
              <w:rPr>
                <w:rFonts w:hint="default" w:ascii="Times New Roman" w:hAnsi="Times New Roman" w:cs="Times New Roman"/>
                <w:color w:val="000000"/>
                <w:szCs w:val="21"/>
                <w:u w:val="single"/>
              </w:rPr>
              <w:t xml:space="preserve"> </w:t>
            </w:r>
            <w:bookmarkStart w:id="10" w:name="EBba719eabdeac4cbb933e945ee614494f"/>
            <w:r>
              <w:rPr>
                <w:rFonts w:hint="default" w:ascii="Times New Roman" w:hAnsi="Times New Roman" w:eastAsia="宋体" w:cs="Times New Roman"/>
                <w:szCs w:val="21"/>
                <w:u w:val="single"/>
              </w:rPr>
              <w:t>递交投标文件截止之日15日前</w:t>
            </w:r>
            <w:bookmarkEnd w:id="10"/>
            <w:r>
              <w:rPr>
                <w:rFonts w:hint="default" w:ascii="Times New Roman" w:hAnsi="Times New Roman" w:cs="Times New Roman"/>
                <w:color w:val="000000"/>
                <w:szCs w:val="21"/>
                <w:u w:val="single"/>
              </w:rPr>
              <w:t xml:space="preserve"> </w:t>
            </w:r>
            <w:permEnd w:id="52"/>
          </w:p>
        </w:tc>
      </w:tr>
      <w:tr w14:paraId="6FD43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right"/>
        </w:trPr>
        <w:tc>
          <w:tcPr>
            <w:tcW w:w="993" w:type="dxa"/>
            <w:vAlign w:val="center"/>
          </w:tcPr>
          <w:p w14:paraId="2F51F73A">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3.1.1</w:t>
            </w:r>
          </w:p>
        </w:tc>
        <w:tc>
          <w:tcPr>
            <w:tcW w:w="2551" w:type="dxa"/>
            <w:vAlign w:val="center"/>
          </w:tcPr>
          <w:p w14:paraId="755FAB03">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构成投标文件的其他材料</w:t>
            </w:r>
          </w:p>
        </w:tc>
        <w:tc>
          <w:tcPr>
            <w:tcW w:w="5529" w:type="dxa"/>
            <w:vAlign w:val="center"/>
          </w:tcPr>
          <w:p w14:paraId="3AC921AB">
            <w:pPr>
              <w:rPr>
                <w:rFonts w:hint="default" w:ascii="Times New Roman" w:hAnsi="Times New Roman" w:cs="Times New Roman"/>
                <w:color w:val="000000"/>
                <w:szCs w:val="21"/>
              </w:rPr>
            </w:pPr>
            <w:permStart w:id="53" w:edGrp="everyone"/>
            <w:r>
              <w:rPr>
                <w:rFonts w:hint="default" w:ascii="Times New Roman" w:hAnsi="Times New Roman" w:cs="Times New Roman"/>
                <w:color w:val="000000"/>
                <w:szCs w:val="21"/>
                <w:u w:val="single"/>
              </w:rPr>
              <w:t xml:space="preserve">               /                                   </w:t>
            </w:r>
            <w:permEnd w:id="53"/>
          </w:p>
        </w:tc>
      </w:tr>
      <w:tr w14:paraId="5C2DD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right"/>
        </w:trPr>
        <w:tc>
          <w:tcPr>
            <w:tcW w:w="993" w:type="dxa"/>
            <w:vAlign w:val="center"/>
          </w:tcPr>
          <w:p w14:paraId="3A26B94C">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3.2.3</w:t>
            </w:r>
          </w:p>
        </w:tc>
        <w:tc>
          <w:tcPr>
            <w:tcW w:w="2551" w:type="dxa"/>
            <w:vAlign w:val="center"/>
          </w:tcPr>
          <w:p w14:paraId="34197D5C">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最高投标限价</w:t>
            </w:r>
          </w:p>
        </w:tc>
        <w:tc>
          <w:tcPr>
            <w:tcW w:w="5529" w:type="dxa"/>
            <w:vAlign w:val="center"/>
          </w:tcPr>
          <w:p w14:paraId="472B3A0E">
            <w:pPr>
              <w:rPr>
                <w:rFonts w:hint="default" w:ascii="Times New Roman" w:hAnsi="Times New Roman" w:cs="Times New Roman"/>
                <w:color w:val="000000"/>
                <w:szCs w:val="21"/>
              </w:rPr>
            </w:pPr>
            <w:permStart w:id="54" w:edGrp="everyone"/>
            <w:r>
              <w:rPr>
                <w:rFonts w:hint="default" w:ascii="Times New Roman" w:hAnsi="Times New Roman" w:cs="Times New Roman"/>
                <w:color w:val="000000"/>
              </w:rPr>
              <w:t>□</w:t>
            </w:r>
            <w:permEnd w:id="54"/>
            <w:r>
              <w:rPr>
                <w:rFonts w:hint="default" w:ascii="Times New Roman" w:hAnsi="Times New Roman" w:cs="Times New Roman"/>
                <w:color w:val="000000"/>
                <w:szCs w:val="21"/>
              </w:rPr>
              <w:t>不设最高投标限价</w:t>
            </w:r>
          </w:p>
          <w:p w14:paraId="0D6DE90E">
            <w:pPr>
              <w:rPr>
                <w:rFonts w:hint="default" w:ascii="Times New Roman" w:hAnsi="Times New Roman" w:cs="Times New Roman"/>
                <w:color w:val="000000"/>
                <w:szCs w:val="21"/>
              </w:rPr>
            </w:pPr>
            <w:permStart w:id="55" w:edGrp="everyone"/>
            <w:r>
              <w:rPr>
                <w:rFonts w:hint="default" w:ascii="Times New Roman" w:hAnsi="Times New Roman" w:cs="Times New Roman"/>
                <w:color w:val="000000"/>
              </w:rPr>
              <w:t>☑</w:t>
            </w:r>
            <w:permEnd w:id="55"/>
            <w:r>
              <w:rPr>
                <w:rFonts w:hint="default" w:ascii="Times New Roman" w:hAnsi="Times New Roman" w:cs="Times New Roman"/>
                <w:color w:val="000000"/>
                <w:szCs w:val="21"/>
              </w:rPr>
              <w:t>设最高投标限价，</w:t>
            </w:r>
          </w:p>
          <w:p w14:paraId="780249B3">
            <w:pPr>
              <w:rPr>
                <w:rFonts w:hint="default" w:ascii="Times New Roman" w:hAnsi="Times New Roman"/>
                <w:color w:val="000000"/>
                <w:szCs w:val="21"/>
              </w:rPr>
            </w:pPr>
            <w:r>
              <w:rPr>
                <w:rFonts w:hint="default" w:ascii="Times New Roman" w:hAnsi="Times New Roman"/>
                <w:color w:val="000000"/>
                <w:szCs w:val="21"/>
              </w:rPr>
              <w:t>最高投标限价</w:t>
            </w:r>
            <w:r>
              <w:rPr>
                <w:rFonts w:hint="eastAsia" w:ascii="Times New Roman" w:hAnsi="Times New Roman"/>
                <w:color w:val="000000"/>
                <w:szCs w:val="21"/>
                <w:lang w:val="en-US" w:eastAsia="zh-CN"/>
              </w:rPr>
              <w:t>总价</w:t>
            </w:r>
            <w:r>
              <w:rPr>
                <w:rFonts w:hint="default" w:ascii="Times New Roman" w:hAnsi="Times New Roman"/>
                <w:color w:val="000000"/>
                <w:szCs w:val="21"/>
              </w:rPr>
              <w:t>为   万元</w:t>
            </w:r>
          </w:p>
          <w:p w14:paraId="68D5BD9C">
            <w:pPr>
              <w:rPr>
                <w:rFonts w:hint="default" w:ascii="Times New Roman" w:hAnsi="Times New Roman" w:cs="Times New Roman"/>
                <w:color w:val="000000"/>
                <w:szCs w:val="21"/>
              </w:rPr>
            </w:pPr>
            <w:r>
              <w:rPr>
                <w:rFonts w:hint="default" w:ascii="Times New Roman" w:hAnsi="Times New Roman"/>
                <w:color w:val="000000"/>
                <w:szCs w:val="21"/>
              </w:rPr>
              <w:t xml:space="preserve">1.建筑安装工程费（含设备材料购置费）：报总价，最高投标限价为 </w:t>
            </w:r>
            <w:r>
              <w:rPr>
                <w:rFonts w:hint="eastAsia" w:ascii="Times New Roman" w:hAnsi="Times New Roman"/>
                <w:color w:val="000000"/>
                <w:szCs w:val="21"/>
                <w:lang w:val="en-US" w:eastAsia="zh-CN"/>
              </w:rPr>
              <w:t xml:space="preserve"> </w:t>
            </w:r>
            <w:r>
              <w:rPr>
                <w:rFonts w:hint="default" w:ascii="Times New Roman" w:hAnsi="Times New Roman"/>
                <w:color w:val="000000"/>
                <w:szCs w:val="21"/>
              </w:rPr>
              <w:t>万元。2.</w:t>
            </w:r>
            <w:r>
              <w:rPr>
                <w:rFonts w:hint="eastAsia" w:ascii="Times New Roman" w:hAnsi="Times New Roman"/>
                <w:color w:val="000000"/>
                <w:szCs w:val="21"/>
                <w:lang w:val="en-US" w:eastAsia="zh-CN"/>
              </w:rPr>
              <w:t>预备费</w:t>
            </w:r>
            <w:r>
              <w:rPr>
                <w:rFonts w:hint="default" w:ascii="Times New Roman" w:hAnsi="Times New Roman"/>
                <w:color w:val="000000"/>
                <w:szCs w:val="21"/>
              </w:rPr>
              <w:t xml:space="preserve">：按 </w:t>
            </w:r>
            <w:r>
              <w:rPr>
                <w:rFonts w:hint="eastAsia" w:ascii="Times New Roman" w:hAnsi="Times New Roman"/>
                <w:color w:val="000000"/>
                <w:szCs w:val="21"/>
                <w:lang w:val="en-US" w:eastAsia="zh-CN"/>
              </w:rPr>
              <w:t xml:space="preserve"> </w:t>
            </w:r>
            <w:r>
              <w:rPr>
                <w:rFonts w:hint="default" w:ascii="Times New Roman" w:hAnsi="Times New Roman"/>
                <w:color w:val="000000"/>
                <w:szCs w:val="21"/>
              </w:rPr>
              <w:t xml:space="preserve"> 万元（非竞争性费用，按招标人给定金额报价）直接报价；3.</w:t>
            </w:r>
            <w:r>
              <w:rPr>
                <w:rFonts w:hint="eastAsia" w:ascii="Times New Roman" w:hAnsi="Times New Roman"/>
                <w:color w:val="000000"/>
                <w:szCs w:val="21"/>
                <w:lang w:val="en-US" w:eastAsia="zh-CN"/>
              </w:rPr>
              <w:t>施工图</w:t>
            </w:r>
            <w:r>
              <w:rPr>
                <w:rFonts w:hint="default" w:ascii="Times New Roman" w:hAnsi="Times New Roman"/>
                <w:color w:val="000000"/>
                <w:szCs w:val="21"/>
              </w:rPr>
              <w:t xml:space="preserve">设计费：报总价，最高投标限价为 </w:t>
            </w:r>
            <w:r>
              <w:rPr>
                <w:rFonts w:hint="eastAsia" w:ascii="Times New Roman" w:hAnsi="Times New Roman"/>
                <w:color w:val="000000"/>
                <w:szCs w:val="21"/>
                <w:lang w:val="en-US" w:eastAsia="zh-CN"/>
              </w:rPr>
              <w:t xml:space="preserve"> </w:t>
            </w:r>
            <w:r>
              <w:rPr>
                <w:rFonts w:hint="default" w:ascii="Times New Roman" w:hAnsi="Times New Roman"/>
                <w:color w:val="000000"/>
                <w:szCs w:val="21"/>
              </w:rPr>
              <w:t xml:space="preserve"> 万元。</w:t>
            </w:r>
          </w:p>
        </w:tc>
      </w:tr>
      <w:tr w14:paraId="635B1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right"/>
        </w:trPr>
        <w:tc>
          <w:tcPr>
            <w:tcW w:w="993" w:type="dxa"/>
            <w:vAlign w:val="center"/>
          </w:tcPr>
          <w:p w14:paraId="0EE2D845">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3.3.1</w:t>
            </w:r>
          </w:p>
        </w:tc>
        <w:tc>
          <w:tcPr>
            <w:tcW w:w="2551" w:type="dxa"/>
            <w:vAlign w:val="center"/>
          </w:tcPr>
          <w:p w14:paraId="6E3F8C49">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投标有效期</w:t>
            </w:r>
          </w:p>
        </w:tc>
        <w:tc>
          <w:tcPr>
            <w:tcW w:w="5529" w:type="dxa"/>
            <w:vAlign w:val="center"/>
          </w:tcPr>
          <w:p w14:paraId="6C1741A9">
            <w:pPr>
              <w:rPr>
                <w:rFonts w:hint="default" w:ascii="Times New Roman" w:hAnsi="Times New Roman" w:cs="Times New Roman"/>
                <w:color w:val="000000"/>
                <w:szCs w:val="21"/>
              </w:rPr>
            </w:pPr>
            <w:r>
              <w:rPr>
                <w:rFonts w:hint="default" w:ascii="Times New Roman" w:hAnsi="Times New Roman" w:cs="Times New Roman"/>
                <w:color w:val="000000"/>
                <w:szCs w:val="21"/>
              </w:rPr>
              <w:t>自投标截止时间起</w:t>
            </w:r>
            <w:permStart w:id="56" w:edGrp="everyone"/>
            <w:r>
              <w:rPr>
                <w:rFonts w:hint="default" w:ascii="Times New Roman" w:hAnsi="Times New Roman" w:cs="Times New Roman"/>
                <w:color w:val="000000"/>
                <w:szCs w:val="24"/>
                <w:u w:val="single"/>
                <w:lang w:bidi="ar"/>
              </w:rPr>
              <w:t xml:space="preserve"> 120 </w:t>
            </w:r>
            <w:permEnd w:id="56"/>
            <w:r>
              <w:rPr>
                <w:rFonts w:hint="default" w:ascii="Times New Roman" w:hAnsi="Times New Roman" w:cs="Times New Roman"/>
                <w:color w:val="000000"/>
                <w:szCs w:val="21"/>
              </w:rPr>
              <w:t>日内有效</w:t>
            </w:r>
          </w:p>
        </w:tc>
      </w:tr>
      <w:tr w14:paraId="00C8B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1" w:hRule="atLeast"/>
          <w:jc w:val="right"/>
        </w:trPr>
        <w:tc>
          <w:tcPr>
            <w:tcW w:w="993" w:type="dxa"/>
            <w:vAlign w:val="center"/>
          </w:tcPr>
          <w:p w14:paraId="10C68EC3">
            <w:pPr>
              <w:jc w:val="center"/>
              <w:rPr>
                <w:rFonts w:hint="default" w:ascii="Times New Roman" w:hAnsi="Times New Roman" w:cs="Times New Roman"/>
                <w:color w:val="000000"/>
                <w:szCs w:val="21"/>
              </w:rPr>
            </w:pPr>
            <w:r>
              <w:rPr>
                <w:rFonts w:hint="default" w:ascii="Times New Roman" w:hAnsi="Times New Roman" w:cs="Times New Roman"/>
                <w:color w:val="000000"/>
              </w:rPr>
              <w:t>3.4.1</w:t>
            </w:r>
          </w:p>
        </w:tc>
        <w:tc>
          <w:tcPr>
            <w:tcW w:w="2551" w:type="dxa"/>
            <w:vAlign w:val="center"/>
          </w:tcPr>
          <w:p w14:paraId="4EAC34DC">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投标保证金</w:t>
            </w:r>
          </w:p>
        </w:tc>
        <w:tc>
          <w:tcPr>
            <w:tcW w:w="5529" w:type="dxa"/>
            <w:vAlign w:val="center"/>
          </w:tcPr>
          <w:p w14:paraId="08E9D883">
            <w:pPr>
              <w:spacing w:line="440" w:lineRule="exact"/>
              <w:rPr>
                <w:rFonts w:hint="default" w:ascii="Times New Roman" w:hAnsi="Times New Roman" w:cs="Times New Roman"/>
                <w:color w:val="000000"/>
                <w:szCs w:val="21"/>
              </w:rPr>
            </w:pPr>
            <w:permStart w:id="57" w:edGrp="everyone"/>
            <w:r>
              <w:rPr>
                <w:rFonts w:hint="default" w:ascii="Times New Roman" w:hAnsi="Times New Roman" w:cs="Times New Roman"/>
                <w:color w:val="000000"/>
              </w:rPr>
              <w:t>☑</w:t>
            </w:r>
            <w:permEnd w:id="57"/>
            <w:r>
              <w:rPr>
                <w:rFonts w:hint="default" w:ascii="Times New Roman" w:hAnsi="Times New Roman" w:cs="Times New Roman"/>
                <w:color w:val="000000"/>
                <w:szCs w:val="21"/>
              </w:rPr>
              <w:t>不提交</w:t>
            </w:r>
          </w:p>
          <w:p w14:paraId="40A08D16">
            <w:pPr>
              <w:adjustRightInd w:val="0"/>
              <w:snapToGrid w:val="0"/>
              <w:jc w:val="left"/>
              <w:rPr>
                <w:rFonts w:hint="default" w:ascii="Times New Roman" w:hAnsi="Times New Roman" w:cs="Times New Roman"/>
                <w:color w:val="000000"/>
                <w:szCs w:val="21"/>
              </w:rPr>
            </w:pPr>
            <w:permStart w:id="58" w:edGrp="everyone"/>
            <w:r>
              <w:rPr>
                <w:rFonts w:hint="default" w:ascii="Times New Roman" w:hAnsi="Times New Roman" w:cs="Times New Roman"/>
                <w:color w:val="000000"/>
              </w:rPr>
              <w:t>□</w:t>
            </w:r>
            <w:permEnd w:id="58"/>
            <w:r>
              <w:rPr>
                <w:rFonts w:hint="default" w:ascii="Times New Roman" w:hAnsi="Times New Roman" w:cs="Times New Roman"/>
                <w:color w:val="000000"/>
                <w:szCs w:val="21"/>
              </w:rPr>
              <w:t>提交，</w:t>
            </w:r>
          </w:p>
          <w:p w14:paraId="23D293B6">
            <w:pPr>
              <w:rPr>
                <w:rFonts w:hint="default" w:ascii="Times New Roman" w:hAnsi="Times New Roman" w:cs="Times New Roman"/>
                <w:color w:val="000000"/>
              </w:rPr>
            </w:pPr>
            <w:r>
              <w:rPr>
                <w:rFonts w:hint="default" w:ascii="Times New Roman" w:hAnsi="Times New Roman" w:cs="Times New Roman"/>
                <w:color w:val="000000"/>
              </w:rPr>
              <w:t>1. 中小微企业投标保证金是否免提交：</w:t>
            </w:r>
            <w:permStart w:id="59" w:edGrp="everyone"/>
            <w:r>
              <w:rPr>
                <w:rFonts w:hint="default" w:ascii="Times New Roman" w:hAnsi="Times New Roman" w:cs="Times New Roman"/>
                <w:color w:val="000000"/>
              </w:rPr>
              <w:t>□</w:t>
            </w:r>
            <w:permEnd w:id="59"/>
            <w:r>
              <w:rPr>
                <w:rFonts w:hint="default" w:ascii="Times New Roman" w:hAnsi="Times New Roman" w:cs="Times New Roman"/>
                <w:color w:val="000000"/>
              </w:rPr>
              <w:t>是/</w:t>
            </w:r>
            <w:permStart w:id="60" w:edGrp="everyone"/>
            <w:r>
              <w:rPr>
                <w:rFonts w:hint="default" w:ascii="Times New Roman" w:hAnsi="Times New Roman" w:cs="Times New Roman"/>
                <w:color w:val="000000"/>
              </w:rPr>
              <w:t>□</w:t>
            </w:r>
            <w:permEnd w:id="60"/>
            <w:r>
              <w:rPr>
                <w:rFonts w:hint="default" w:ascii="Times New Roman" w:hAnsi="Times New Roman" w:cs="Times New Roman"/>
                <w:color w:val="000000"/>
              </w:rPr>
              <w:t>否。</w:t>
            </w:r>
          </w:p>
          <w:p w14:paraId="4BA9A8F8">
            <w:pPr>
              <w:rPr>
                <w:rFonts w:hint="default" w:ascii="Times New Roman" w:hAnsi="Times New Roman" w:cs="Times New Roman"/>
                <w:color w:val="000000"/>
              </w:rPr>
            </w:pPr>
            <w:r>
              <w:rPr>
                <w:rFonts w:hint="default" w:ascii="Times New Roman" w:hAnsi="Times New Roman" w:cs="Times New Roman"/>
                <w:color w:val="000000"/>
              </w:rPr>
              <w:t>2. 递交截止时间（到账时间）：同本标段投标截止时间。</w:t>
            </w:r>
          </w:p>
          <w:p w14:paraId="074BAA29">
            <w:pPr>
              <w:rPr>
                <w:rFonts w:hint="default" w:ascii="Times New Roman" w:hAnsi="Times New Roman" w:cs="Times New Roman"/>
                <w:color w:val="000000"/>
              </w:rPr>
            </w:pPr>
            <w:r>
              <w:rPr>
                <w:rFonts w:hint="default" w:ascii="Times New Roman" w:hAnsi="Times New Roman" w:cs="Times New Roman"/>
                <w:color w:val="000000"/>
              </w:rPr>
              <w:t>3. 金额：</w:t>
            </w:r>
            <w:permStart w:id="61" w:edGrp="everyone"/>
            <w:r>
              <w:rPr>
                <w:rFonts w:hint="default" w:ascii="Times New Roman" w:hAnsi="Times New Roman" w:cs="Times New Roman"/>
                <w:color w:val="000000"/>
                <w:u w:val="single"/>
              </w:rPr>
              <w:t xml:space="preserve"> </w:t>
            </w:r>
            <w:r>
              <w:rPr>
                <w:rFonts w:hint="default" w:ascii="Times New Roman" w:hAnsi="Times New Roman" w:cs="Times New Roman"/>
                <w:color w:val="000000"/>
                <w:kern w:val="0"/>
                <w:szCs w:val="21"/>
                <w:u w:val="single"/>
                <w:lang w:bidi="ar"/>
              </w:rPr>
              <w:t xml:space="preserve">        </w:t>
            </w:r>
            <w:r>
              <w:rPr>
                <w:rFonts w:hint="default" w:ascii="Times New Roman" w:hAnsi="Times New Roman" w:cs="Times New Roman"/>
                <w:color w:val="000000"/>
                <w:u w:val="single"/>
              </w:rPr>
              <w:t xml:space="preserve"> </w:t>
            </w:r>
            <w:permEnd w:id="61"/>
            <w:r>
              <w:rPr>
                <w:rFonts w:hint="default" w:ascii="Times New Roman" w:hAnsi="Times New Roman" w:cs="Times New Roman"/>
                <w:color w:val="000000"/>
              </w:rPr>
              <w:t>万元。</w:t>
            </w:r>
          </w:p>
          <w:p w14:paraId="1FE9C0BA">
            <w:pPr>
              <w:rPr>
                <w:rFonts w:hint="default" w:ascii="Times New Roman" w:hAnsi="Times New Roman" w:cs="Times New Roman"/>
                <w:color w:val="000000"/>
              </w:rPr>
            </w:pPr>
            <w:r>
              <w:rPr>
                <w:rFonts w:hint="default" w:ascii="Times New Roman" w:hAnsi="Times New Roman" w:cs="Times New Roman"/>
                <w:color w:val="000000"/>
              </w:rPr>
              <w:t>4. 形式：投标人可以采用</w:t>
            </w:r>
            <w:permStart w:id="62" w:edGrp="everyone"/>
            <w:r>
              <w:rPr>
                <w:rFonts w:hint="default" w:ascii="Times New Roman" w:hAnsi="Times New Roman" w:cs="Times New Roman"/>
                <w:color w:val="000000"/>
              </w:rPr>
              <w:sym w:font="Wingdings 2" w:char="00A3"/>
            </w:r>
            <w:r>
              <w:rPr>
                <w:rFonts w:hint="default" w:ascii="Times New Roman" w:hAnsi="Times New Roman" w:cs="Times New Roman"/>
                <w:color w:val="000000"/>
              </w:rPr>
              <w:t>现金□</w:t>
            </w:r>
            <w:permEnd w:id="62"/>
            <w:r>
              <w:rPr>
                <w:rFonts w:hint="default" w:ascii="Times New Roman" w:hAnsi="Times New Roman" w:cs="Times New Roman"/>
                <w:color w:val="000000"/>
              </w:rPr>
              <w:t>电子保函(银行、保险机构、担保机构等)</w:t>
            </w:r>
            <w:r>
              <w:rPr>
                <w:rFonts w:hint="default" w:ascii="Times New Roman" w:hAnsi="Times New Roman" w:eastAsia="MS PGothic" w:cs="Times New Roman"/>
                <w:color w:val="000000"/>
              </w:rPr>
              <w:t xml:space="preserve"> </w:t>
            </w:r>
            <w:permStart w:id="63" w:edGrp="everyone"/>
            <w:r>
              <w:rPr>
                <w:rFonts w:hint="default" w:ascii="Times New Roman" w:hAnsi="Times New Roman" w:cs="Times New Roman"/>
                <w:color w:val="000000"/>
              </w:rPr>
              <w:t>□</w:t>
            </w:r>
            <w:permEnd w:id="63"/>
            <w:r>
              <w:rPr>
                <w:rFonts w:hint="default" w:ascii="Times New Roman" w:hAnsi="Times New Roman" w:cs="Times New Roman"/>
                <w:color w:val="000000"/>
              </w:rPr>
              <w:t>信用保函中的一种形式递交投标担保。</w:t>
            </w:r>
          </w:p>
          <w:p w14:paraId="75851280">
            <w:pPr>
              <w:widowControl/>
              <w:jc w:val="left"/>
              <w:rPr>
                <w:rFonts w:hint="default" w:ascii="Times New Roman" w:hAnsi="Times New Roman" w:cs="Times New Roman"/>
                <w:color w:val="000000"/>
              </w:rPr>
            </w:pPr>
            <w:r>
              <w:rPr>
                <w:rFonts w:hint="default" w:ascii="Times New Roman" w:hAnsi="Times New Roman" w:cs="Times New Roman"/>
                <w:color w:val="000000"/>
                <w:kern w:val="0"/>
                <w:szCs w:val="21"/>
              </w:rPr>
              <w:t>5. 递交方</w:t>
            </w:r>
            <w:r>
              <w:rPr>
                <w:rFonts w:hint="default" w:ascii="Times New Roman" w:hAnsi="Times New Roman" w:cs="Times New Roman"/>
                <w:color w:val="000000"/>
              </w:rPr>
              <w:t>式及要求：</w:t>
            </w:r>
          </w:p>
          <w:p w14:paraId="37833A67">
            <w:pPr>
              <w:rPr>
                <w:rFonts w:hint="default" w:ascii="Times New Roman" w:hAnsi="Times New Roman" w:cs="Times New Roman"/>
                <w:color w:val="000000"/>
              </w:rPr>
            </w:pPr>
            <w:r>
              <w:rPr>
                <w:rFonts w:hint="default" w:ascii="Times New Roman" w:hAnsi="Times New Roman" w:cs="Times New Roman"/>
                <w:color w:val="000000"/>
              </w:rPr>
              <w:t>采用电子保函方式</w:t>
            </w:r>
          </w:p>
          <w:p w14:paraId="2C13687B">
            <w:pPr>
              <w:ind w:firstLine="432"/>
              <w:rPr>
                <w:rFonts w:hint="default" w:ascii="Times New Roman" w:hAnsi="Times New Roman" w:cs="Times New Roman"/>
                <w:color w:val="000000"/>
              </w:rPr>
            </w:pPr>
            <w:r>
              <w:rPr>
                <w:rFonts w:hint="default" w:ascii="Times New Roman" w:hAnsi="Times New Roman" w:cs="Times New Roman"/>
                <w:color w:val="000000"/>
              </w:rPr>
              <w:t>1）投标人须及时登录“电子交易平台”选择所投标段按系统引导的程序申请电子保函。</w:t>
            </w:r>
          </w:p>
          <w:p w14:paraId="1A9D9B8A">
            <w:pPr>
              <w:ind w:firstLine="432"/>
              <w:rPr>
                <w:rFonts w:hint="default" w:ascii="Times New Roman" w:hAnsi="Times New Roman" w:cs="Times New Roman"/>
                <w:color w:val="000000"/>
              </w:rPr>
            </w:pPr>
            <w:r>
              <w:rPr>
                <w:rFonts w:hint="default" w:ascii="Times New Roman" w:hAnsi="Times New Roman" w:cs="Times New Roman"/>
                <w:color w:val="000000"/>
              </w:rPr>
              <w:t>2）开标时，招标人公布投标截止时间收到的电子保函情况；评标时评标委员会可以直接在投标文件中查验电子保函。</w:t>
            </w:r>
          </w:p>
          <w:p w14:paraId="32B95284">
            <w:pPr>
              <w:widowControl/>
              <w:jc w:val="left"/>
              <w:rPr>
                <w:rFonts w:hint="default" w:ascii="Times New Roman" w:hAnsi="Times New Roman" w:cs="Times New Roman"/>
                <w:color w:val="000000"/>
              </w:rPr>
            </w:pPr>
            <w:r>
              <w:rPr>
                <w:rFonts w:hint="default" w:ascii="Times New Roman" w:hAnsi="Times New Roman" w:cs="Times New Roman"/>
                <w:color w:val="000000"/>
              </w:rPr>
              <w:t>（3）采用信用保函方式</w:t>
            </w:r>
          </w:p>
          <w:p w14:paraId="28DF6667">
            <w:pPr>
              <w:widowControl/>
              <w:ind w:firstLine="420" w:firstLineChars="200"/>
              <w:jc w:val="left"/>
              <w:rPr>
                <w:rFonts w:hint="default" w:ascii="Times New Roman" w:hAnsi="Times New Roman" w:cs="Times New Roman"/>
                <w:color w:val="000000"/>
              </w:rPr>
            </w:pPr>
            <w:r>
              <w:rPr>
                <w:rFonts w:hint="default" w:ascii="Times New Roman" w:hAnsi="Times New Roman" w:cs="Times New Roman"/>
                <w:color w:val="000000"/>
              </w:rPr>
              <w:t>投标人享受信用保函政策，应根据《关于进一步降低市场主体投标担保负担的通知》（咸政务数据发﹝2022﹞5号）要求提供《信用保函承诺书》</w:t>
            </w:r>
          </w:p>
        </w:tc>
      </w:tr>
      <w:tr w14:paraId="47956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right"/>
        </w:trPr>
        <w:tc>
          <w:tcPr>
            <w:tcW w:w="993" w:type="dxa"/>
            <w:vAlign w:val="center"/>
          </w:tcPr>
          <w:p w14:paraId="2D9C804A">
            <w:pPr>
              <w:spacing w:line="288" w:lineRule="auto"/>
              <w:jc w:val="center"/>
              <w:rPr>
                <w:rFonts w:hint="default" w:ascii="Times New Roman" w:hAnsi="Times New Roman" w:cs="Times New Roman"/>
                <w:color w:val="000000"/>
                <w:szCs w:val="21"/>
              </w:rPr>
            </w:pPr>
            <w:r>
              <w:rPr>
                <w:rFonts w:hint="default" w:ascii="Times New Roman" w:hAnsi="Times New Roman" w:cs="Times New Roman"/>
                <w:color w:val="000000"/>
              </w:rPr>
              <w:t>3.4.3</w:t>
            </w:r>
          </w:p>
        </w:tc>
        <w:tc>
          <w:tcPr>
            <w:tcW w:w="2551" w:type="dxa"/>
            <w:vAlign w:val="center"/>
          </w:tcPr>
          <w:p w14:paraId="232D66E8">
            <w:pPr>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退还投标保证金</w:t>
            </w:r>
          </w:p>
          <w:p w14:paraId="38EEB626">
            <w:pPr>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及利息</w:t>
            </w:r>
          </w:p>
        </w:tc>
        <w:tc>
          <w:tcPr>
            <w:tcW w:w="5529" w:type="dxa"/>
            <w:vAlign w:val="center"/>
          </w:tcPr>
          <w:p w14:paraId="77B3F0B4">
            <w:pPr>
              <w:jc w:val="left"/>
              <w:rPr>
                <w:rFonts w:hint="default" w:ascii="Times New Roman" w:hAnsi="Times New Roman" w:cs="Times New Roman"/>
                <w:color w:val="000000"/>
                <w:szCs w:val="21"/>
              </w:rPr>
            </w:pPr>
            <w:r>
              <w:rPr>
                <w:rFonts w:hint="default" w:ascii="Times New Roman" w:hAnsi="Times New Roman" w:cs="Times New Roman"/>
                <w:color w:val="000000"/>
                <w:kern w:val="0"/>
                <w:szCs w:val="21"/>
              </w:rPr>
              <w:t>采用电子保函方式，不产生利息，电子保函到期后自动失效。</w:t>
            </w:r>
          </w:p>
        </w:tc>
      </w:tr>
      <w:tr w14:paraId="02743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right"/>
        </w:trPr>
        <w:tc>
          <w:tcPr>
            <w:tcW w:w="993" w:type="dxa"/>
            <w:vAlign w:val="center"/>
          </w:tcPr>
          <w:p w14:paraId="31AB5413">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3.5.1</w:t>
            </w:r>
          </w:p>
        </w:tc>
        <w:tc>
          <w:tcPr>
            <w:tcW w:w="2551" w:type="dxa"/>
            <w:vAlign w:val="center"/>
          </w:tcPr>
          <w:p w14:paraId="577FC958">
            <w:pPr>
              <w:jc w:val="center"/>
              <w:rPr>
                <w:rFonts w:hint="default" w:ascii="Times New Roman" w:hAnsi="Times New Roman" w:cs="Times New Roman"/>
                <w:snapToGrid/>
                <w:color w:val="000000"/>
                <w:szCs w:val="21"/>
              </w:rPr>
            </w:pPr>
            <w:r>
              <w:rPr>
                <w:rFonts w:hint="default" w:ascii="Times New Roman" w:hAnsi="Times New Roman" w:cs="Times New Roman"/>
                <w:snapToGrid/>
                <w:color w:val="000000"/>
                <w:szCs w:val="21"/>
              </w:rPr>
              <w:t>类似项目业绩</w:t>
            </w:r>
          </w:p>
        </w:tc>
        <w:tc>
          <w:tcPr>
            <w:tcW w:w="5529" w:type="dxa"/>
            <w:vAlign w:val="center"/>
          </w:tcPr>
          <w:p w14:paraId="4064CBA2">
            <w:pPr>
              <w:rPr>
                <w:rFonts w:hint="default" w:ascii="Times New Roman" w:hAnsi="Times New Roman" w:cs="Times New Roman"/>
                <w:color w:val="000000"/>
                <w:szCs w:val="24"/>
              </w:rPr>
            </w:pPr>
            <w:r>
              <w:rPr>
                <w:rFonts w:hint="default" w:ascii="Times New Roman" w:hAnsi="Times New Roman" w:cs="Times New Roman"/>
                <w:color w:val="000000"/>
                <w:szCs w:val="21"/>
              </w:rPr>
              <w:t>类似项目业绩是指：</w:t>
            </w:r>
            <w:permStart w:id="64" w:edGrp="everyone"/>
            <w:r>
              <w:rPr>
                <w:rFonts w:hint="eastAsia" w:ascii="Times New Roman" w:hAnsi="Times New Roman" w:cs="Times New Roman"/>
                <w:color w:val="000000"/>
                <w:szCs w:val="21"/>
                <w:lang w:val="en-US" w:eastAsia="zh-CN"/>
              </w:rPr>
              <w:t xml:space="preserve">  </w:t>
            </w:r>
            <w:r>
              <w:rPr>
                <w:rFonts w:hint="default" w:ascii="Times New Roman" w:hAnsi="Times New Roman"/>
                <w:color w:val="000000"/>
                <w:szCs w:val="21"/>
                <w:u w:val="single"/>
              </w:rPr>
              <w:t>详见招标公告</w:t>
            </w:r>
            <w:r>
              <w:rPr>
                <w:rFonts w:hint="default" w:ascii="Times New Roman" w:hAnsi="Times New Roman" w:cs="Times New Roman"/>
                <w:color w:val="000000"/>
                <w:szCs w:val="21"/>
                <w:u w:val="single"/>
              </w:rPr>
              <w:t xml:space="preserve"> </w:t>
            </w:r>
            <w:permEnd w:id="64"/>
          </w:p>
        </w:tc>
      </w:tr>
      <w:tr w14:paraId="50B68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right"/>
        </w:trPr>
        <w:tc>
          <w:tcPr>
            <w:tcW w:w="993" w:type="dxa"/>
            <w:vAlign w:val="center"/>
          </w:tcPr>
          <w:p w14:paraId="31BC97CE">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3.6</w:t>
            </w:r>
          </w:p>
        </w:tc>
        <w:tc>
          <w:tcPr>
            <w:tcW w:w="2551" w:type="dxa"/>
            <w:vAlign w:val="center"/>
          </w:tcPr>
          <w:p w14:paraId="4D794434">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是否允许递交</w:t>
            </w:r>
          </w:p>
          <w:p w14:paraId="34CA51A7">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备选投标方案</w:t>
            </w:r>
          </w:p>
        </w:tc>
        <w:tc>
          <w:tcPr>
            <w:tcW w:w="5529" w:type="dxa"/>
            <w:vAlign w:val="center"/>
          </w:tcPr>
          <w:p w14:paraId="1641FDB1">
            <w:pPr>
              <w:rPr>
                <w:rFonts w:hint="default" w:ascii="Times New Roman" w:hAnsi="Times New Roman" w:cs="Times New Roman"/>
                <w:color w:val="000000"/>
                <w:szCs w:val="21"/>
              </w:rPr>
            </w:pPr>
            <w:r>
              <w:rPr>
                <w:rFonts w:hint="default" w:ascii="Times New Roman" w:hAnsi="Times New Roman" w:cs="Times New Roman"/>
                <w:color w:val="000000"/>
                <w:szCs w:val="21"/>
              </w:rPr>
              <w:t>不允许</w:t>
            </w:r>
          </w:p>
        </w:tc>
      </w:tr>
      <w:tr w14:paraId="5EDE6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right"/>
        </w:trPr>
        <w:tc>
          <w:tcPr>
            <w:tcW w:w="993" w:type="dxa"/>
            <w:vAlign w:val="center"/>
          </w:tcPr>
          <w:p w14:paraId="3EE21629">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4.2.1</w:t>
            </w:r>
          </w:p>
        </w:tc>
        <w:tc>
          <w:tcPr>
            <w:tcW w:w="2551" w:type="dxa"/>
            <w:vAlign w:val="center"/>
          </w:tcPr>
          <w:p w14:paraId="026A5280">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投标截止时间</w:t>
            </w:r>
          </w:p>
        </w:tc>
        <w:tc>
          <w:tcPr>
            <w:tcW w:w="5529" w:type="dxa"/>
            <w:vAlign w:val="center"/>
          </w:tcPr>
          <w:p w14:paraId="2FC4C772">
            <w:pPr>
              <w:rPr>
                <w:rFonts w:hint="default" w:ascii="Times New Roman" w:hAnsi="Times New Roman" w:cs="Times New Roman"/>
                <w:color w:val="000000"/>
                <w:szCs w:val="21"/>
              </w:rPr>
            </w:pPr>
            <w:permStart w:id="65" w:edGrp="everyone"/>
            <w:r>
              <w:rPr>
                <w:rFonts w:hint="default" w:ascii="Times New Roman" w:hAnsi="Times New Roman" w:cs="Times New Roman"/>
                <w:color w:val="000000"/>
                <w:szCs w:val="24"/>
                <w:u w:val="single"/>
                <w:lang w:eastAsia="zh-CN" w:bidi="ar"/>
              </w:rPr>
              <w:t>2026年</w:t>
            </w:r>
            <w:r>
              <w:rPr>
                <w:rFonts w:hint="eastAsia" w:ascii="Times New Roman" w:hAnsi="Times New Roman" w:cs="Times New Roman"/>
                <w:color w:val="000000"/>
                <w:szCs w:val="24"/>
                <w:u w:val="single"/>
                <w:lang w:val="en-US" w:eastAsia="zh-CN" w:bidi="ar"/>
              </w:rPr>
              <w:t xml:space="preserve">  </w:t>
            </w:r>
            <w:r>
              <w:rPr>
                <w:rFonts w:hint="default" w:ascii="Times New Roman" w:hAnsi="Times New Roman" w:cs="Times New Roman"/>
                <w:color w:val="000000"/>
                <w:szCs w:val="24"/>
                <w:u w:val="single"/>
                <w:lang w:bidi="ar"/>
              </w:rPr>
              <w:t>月</w:t>
            </w:r>
            <w:r>
              <w:rPr>
                <w:rFonts w:hint="eastAsia" w:ascii="Times New Roman" w:hAnsi="Times New Roman" w:cs="Times New Roman"/>
                <w:color w:val="000000"/>
                <w:szCs w:val="24"/>
                <w:u w:val="single"/>
                <w:lang w:val="en-US" w:eastAsia="zh-CN" w:bidi="ar"/>
              </w:rPr>
              <w:t xml:space="preserve">   </w:t>
            </w:r>
            <w:r>
              <w:rPr>
                <w:rFonts w:hint="default" w:ascii="Times New Roman" w:hAnsi="Times New Roman" w:cs="Times New Roman"/>
                <w:color w:val="000000"/>
                <w:szCs w:val="24"/>
                <w:u w:val="single"/>
                <w:lang w:bidi="ar"/>
              </w:rPr>
              <w:t>日 09时</w:t>
            </w:r>
            <w:r>
              <w:rPr>
                <w:rFonts w:hint="default" w:ascii="Times New Roman" w:hAnsi="Times New Roman" w:cs="Times New Roman"/>
                <w:color w:val="000000"/>
                <w:szCs w:val="24"/>
                <w:u w:val="single"/>
                <w:lang w:val="en-US" w:eastAsia="zh-CN" w:bidi="ar"/>
              </w:rPr>
              <w:t>30</w:t>
            </w:r>
            <w:r>
              <w:rPr>
                <w:rFonts w:hint="default" w:ascii="Times New Roman" w:hAnsi="Times New Roman" w:cs="Times New Roman"/>
                <w:color w:val="000000"/>
                <w:szCs w:val="24"/>
                <w:u w:val="single"/>
                <w:lang w:bidi="ar"/>
              </w:rPr>
              <w:t xml:space="preserve">分  </w:t>
            </w:r>
            <w:r>
              <w:rPr>
                <w:rFonts w:hint="default" w:ascii="Times New Roman" w:hAnsi="Times New Roman" w:cs="Times New Roman"/>
                <w:color w:val="000000"/>
                <w:u w:val="single"/>
              </w:rPr>
              <w:t xml:space="preserve"> </w:t>
            </w:r>
            <w:permEnd w:id="65"/>
          </w:p>
        </w:tc>
      </w:tr>
      <w:tr w14:paraId="2788D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right"/>
        </w:trPr>
        <w:tc>
          <w:tcPr>
            <w:tcW w:w="993" w:type="dxa"/>
            <w:vAlign w:val="center"/>
          </w:tcPr>
          <w:p w14:paraId="74E737F1">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5.1.1</w:t>
            </w:r>
          </w:p>
        </w:tc>
        <w:tc>
          <w:tcPr>
            <w:tcW w:w="2551" w:type="dxa"/>
            <w:vAlign w:val="center"/>
          </w:tcPr>
          <w:p w14:paraId="5A619861">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开标时间和地点</w:t>
            </w:r>
          </w:p>
        </w:tc>
        <w:tc>
          <w:tcPr>
            <w:tcW w:w="5529" w:type="dxa"/>
            <w:vAlign w:val="center"/>
          </w:tcPr>
          <w:p w14:paraId="78D7A0E3">
            <w:pPr>
              <w:rPr>
                <w:rFonts w:hint="default" w:ascii="Times New Roman" w:hAnsi="Times New Roman" w:cs="Times New Roman"/>
                <w:color w:val="000000"/>
                <w:szCs w:val="21"/>
              </w:rPr>
            </w:pPr>
            <w:r>
              <w:rPr>
                <w:rFonts w:hint="default" w:ascii="Times New Roman" w:hAnsi="Times New Roman" w:cs="Times New Roman"/>
                <w:color w:val="000000"/>
                <w:szCs w:val="21"/>
              </w:rPr>
              <w:t>开标时间：同投标截止时间</w:t>
            </w:r>
          </w:p>
          <w:p w14:paraId="4F9856E7">
            <w:pPr>
              <w:rPr>
                <w:rFonts w:hint="default" w:ascii="Times New Roman" w:hAnsi="Times New Roman" w:cs="Times New Roman"/>
                <w:color w:val="000000"/>
                <w:szCs w:val="21"/>
              </w:rPr>
            </w:pPr>
            <w:r>
              <w:rPr>
                <w:rFonts w:hint="default" w:ascii="Times New Roman" w:hAnsi="Times New Roman" w:cs="Times New Roman"/>
                <w:color w:val="000000"/>
                <w:szCs w:val="21"/>
              </w:rPr>
              <w:t>开标地点：本项目采用不见面开标。投标人应当在投标截止时间前通过互联网使用 CA 数字证书登录电子交易平台：选择所投标段将加密的电子投标文件上传。</w:t>
            </w:r>
          </w:p>
        </w:tc>
      </w:tr>
      <w:tr w14:paraId="6F02D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right"/>
        </w:trPr>
        <w:tc>
          <w:tcPr>
            <w:tcW w:w="993" w:type="dxa"/>
            <w:vAlign w:val="center"/>
          </w:tcPr>
          <w:p w14:paraId="57AD8108">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5.1.2</w:t>
            </w:r>
          </w:p>
        </w:tc>
        <w:tc>
          <w:tcPr>
            <w:tcW w:w="2551" w:type="dxa"/>
            <w:vAlign w:val="center"/>
          </w:tcPr>
          <w:p w14:paraId="7E83840A">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解密时间</w:t>
            </w:r>
          </w:p>
        </w:tc>
        <w:tc>
          <w:tcPr>
            <w:tcW w:w="5529" w:type="dxa"/>
            <w:vAlign w:val="center"/>
          </w:tcPr>
          <w:p w14:paraId="251B2722">
            <w:pPr>
              <w:rPr>
                <w:rFonts w:hint="default" w:ascii="Times New Roman" w:hAnsi="Times New Roman" w:cs="Times New Roman"/>
                <w:color w:val="000000"/>
                <w:szCs w:val="21"/>
              </w:rPr>
            </w:pPr>
            <w:r>
              <w:rPr>
                <w:rFonts w:hint="default" w:ascii="Times New Roman" w:hAnsi="Times New Roman" w:cs="Times New Roman"/>
                <w:color w:val="000000"/>
                <w:szCs w:val="21"/>
              </w:rPr>
              <w:t>招标人发出解密提示后</w:t>
            </w:r>
            <w:permStart w:id="66" w:edGrp="everyone"/>
            <w:r>
              <w:rPr>
                <w:rFonts w:hint="default" w:ascii="Times New Roman" w:hAnsi="Times New Roman" w:cs="Times New Roman"/>
                <w:color w:val="000000"/>
                <w:szCs w:val="21"/>
                <w:u w:val="single"/>
              </w:rPr>
              <w:t xml:space="preserve">  30  </w:t>
            </w:r>
            <w:permEnd w:id="66"/>
            <w:r>
              <w:rPr>
                <w:rFonts w:hint="default" w:ascii="Times New Roman" w:hAnsi="Times New Roman" w:cs="Times New Roman"/>
                <w:color w:val="000000"/>
                <w:szCs w:val="21"/>
              </w:rPr>
              <w:t>分钟内</w:t>
            </w:r>
          </w:p>
          <w:p w14:paraId="1CAEE00A">
            <w:pPr>
              <w:rPr>
                <w:rFonts w:hint="default" w:ascii="Times New Roman" w:hAnsi="Times New Roman" w:cs="Times New Roman"/>
                <w:color w:val="000000"/>
                <w:szCs w:val="21"/>
              </w:rPr>
            </w:pPr>
            <w:r>
              <w:rPr>
                <w:rFonts w:hint="default" w:ascii="Times New Roman" w:hAnsi="Times New Roman" w:cs="Times New Roman"/>
                <w:color w:val="000000"/>
                <w:szCs w:val="21"/>
              </w:rPr>
              <w:t>（招标人应充分考虑标段数和投标人数量，合理设置解密时间）</w:t>
            </w:r>
          </w:p>
        </w:tc>
      </w:tr>
      <w:tr w14:paraId="37D80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jc w:val="right"/>
        </w:trPr>
        <w:tc>
          <w:tcPr>
            <w:tcW w:w="993" w:type="dxa"/>
            <w:vAlign w:val="center"/>
          </w:tcPr>
          <w:p w14:paraId="0548E7D8">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6.1.1</w:t>
            </w:r>
          </w:p>
        </w:tc>
        <w:tc>
          <w:tcPr>
            <w:tcW w:w="2551" w:type="dxa"/>
            <w:vAlign w:val="center"/>
          </w:tcPr>
          <w:p w14:paraId="06D87642">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评标委员会的组建</w:t>
            </w:r>
          </w:p>
        </w:tc>
        <w:tc>
          <w:tcPr>
            <w:tcW w:w="5529" w:type="dxa"/>
            <w:vAlign w:val="center"/>
          </w:tcPr>
          <w:p w14:paraId="6A019259">
            <w:pPr>
              <w:rPr>
                <w:rFonts w:hint="default" w:ascii="Times New Roman" w:hAnsi="Times New Roman" w:cs="Times New Roman"/>
                <w:color w:val="000000"/>
                <w:szCs w:val="24"/>
              </w:rPr>
            </w:pPr>
            <w:r>
              <w:rPr>
                <w:rFonts w:hint="default" w:ascii="Times New Roman" w:hAnsi="Times New Roman"/>
                <w:color w:val="000000"/>
                <w:szCs w:val="24"/>
                <w:highlight w:val="none"/>
              </w:rPr>
              <w:t>评标委员会构成：</w:t>
            </w:r>
            <w:permStart w:id="67" w:edGrp="everyone"/>
            <w:r>
              <w:rPr>
                <w:rFonts w:hint="default" w:ascii="Times New Roman" w:hAnsi="Times New Roman"/>
                <w:color w:val="000000"/>
                <w:szCs w:val="24"/>
                <w:highlight w:val="none"/>
                <w:u w:val="single"/>
              </w:rPr>
              <w:t xml:space="preserve">  </w:t>
            </w:r>
            <w:r>
              <w:rPr>
                <w:rFonts w:hint="eastAsia" w:ascii="Times New Roman" w:hAnsi="Times New Roman"/>
                <w:color w:val="000000"/>
                <w:szCs w:val="24"/>
                <w:highlight w:val="none"/>
                <w:u w:val="single"/>
                <w:lang w:val="en-US" w:eastAsia="zh-CN"/>
              </w:rPr>
              <w:t>9</w:t>
            </w:r>
            <w:r>
              <w:rPr>
                <w:rFonts w:hint="default" w:ascii="Times New Roman" w:hAnsi="Times New Roman"/>
                <w:color w:val="000000"/>
                <w:szCs w:val="24"/>
                <w:highlight w:val="none"/>
                <w:u w:val="single"/>
              </w:rPr>
              <w:t xml:space="preserve">  </w:t>
            </w:r>
            <w:permEnd w:id="67"/>
            <w:r>
              <w:rPr>
                <w:rFonts w:hint="default" w:ascii="Times New Roman" w:hAnsi="Times New Roman"/>
                <w:color w:val="000000"/>
                <w:szCs w:val="24"/>
                <w:highlight w:val="none"/>
              </w:rPr>
              <w:t>人，其中招标人代表</w:t>
            </w:r>
            <w:permStart w:id="68" w:edGrp="everyone"/>
            <w:r>
              <w:rPr>
                <w:rFonts w:hint="default" w:ascii="Times New Roman" w:hAnsi="Times New Roman"/>
                <w:color w:val="000000"/>
                <w:szCs w:val="24"/>
                <w:highlight w:val="none"/>
                <w:u w:val="single"/>
              </w:rPr>
              <w:t xml:space="preserve">  </w:t>
            </w:r>
            <w:r>
              <w:rPr>
                <w:rFonts w:hint="eastAsia" w:ascii="Times New Roman" w:hAnsi="Times New Roman"/>
                <w:color w:val="000000"/>
                <w:szCs w:val="24"/>
                <w:highlight w:val="none"/>
                <w:u w:val="single"/>
                <w:lang w:val="en-US" w:eastAsia="zh-CN"/>
              </w:rPr>
              <w:t>3</w:t>
            </w:r>
            <w:r>
              <w:rPr>
                <w:rFonts w:hint="default" w:ascii="Times New Roman" w:hAnsi="Times New Roman"/>
                <w:color w:val="000000"/>
                <w:szCs w:val="24"/>
                <w:highlight w:val="none"/>
                <w:u w:val="single"/>
              </w:rPr>
              <w:t xml:space="preserve">   </w:t>
            </w:r>
            <w:permEnd w:id="68"/>
            <w:r>
              <w:rPr>
                <w:rFonts w:hint="default" w:ascii="Times New Roman" w:hAnsi="Times New Roman"/>
                <w:color w:val="000000"/>
                <w:szCs w:val="24"/>
                <w:highlight w:val="none"/>
              </w:rPr>
              <w:t>人，专家</w:t>
            </w:r>
            <w:permStart w:id="69" w:edGrp="everyone"/>
            <w:r>
              <w:rPr>
                <w:rFonts w:hint="default" w:ascii="Times New Roman" w:hAnsi="Times New Roman"/>
                <w:color w:val="000000"/>
                <w:szCs w:val="24"/>
                <w:highlight w:val="none"/>
                <w:u w:val="single"/>
              </w:rPr>
              <w:t xml:space="preserve">   </w:t>
            </w:r>
            <w:r>
              <w:rPr>
                <w:rFonts w:hint="eastAsia" w:ascii="Times New Roman" w:hAnsi="Times New Roman"/>
                <w:color w:val="000000"/>
                <w:szCs w:val="24"/>
                <w:highlight w:val="none"/>
                <w:u w:val="single"/>
                <w:lang w:val="en-US" w:eastAsia="zh-CN"/>
              </w:rPr>
              <w:t xml:space="preserve">6  </w:t>
            </w:r>
            <w:r>
              <w:rPr>
                <w:rFonts w:hint="default" w:ascii="Times New Roman" w:hAnsi="Times New Roman"/>
                <w:color w:val="000000"/>
                <w:szCs w:val="24"/>
                <w:highlight w:val="none"/>
                <w:u w:val="single"/>
              </w:rPr>
              <w:t xml:space="preserve"> </w:t>
            </w:r>
            <w:permEnd w:id="69"/>
            <w:r>
              <w:rPr>
                <w:rFonts w:hint="default" w:ascii="Times New Roman" w:hAnsi="Times New Roman"/>
                <w:color w:val="000000"/>
                <w:szCs w:val="24"/>
                <w:highlight w:val="none"/>
              </w:rPr>
              <w:t>人；</w:t>
            </w:r>
          </w:p>
          <w:p w14:paraId="388EDE40">
            <w:pPr>
              <w:rPr>
                <w:rFonts w:hint="default" w:ascii="Times New Roman" w:hAnsi="Times New Roman" w:cs="Times New Roman"/>
                <w:color w:val="000000"/>
                <w:szCs w:val="21"/>
              </w:rPr>
            </w:pPr>
            <w:r>
              <w:rPr>
                <w:rFonts w:hint="default" w:ascii="Times New Roman" w:hAnsi="Times New Roman" w:cs="Times New Roman"/>
                <w:color w:val="000000"/>
                <w:szCs w:val="24"/>
              </w:rPr>
              <w:t>评标专家确定方式：</w:t>
            </w:r>
            <w:r>
              <w:rPr>
                <w:rFonts w:hint="default" w:ascii="Times New Roman" w:hAnsi="Times New Roman" w:cs="Times New Roman"/>
                <w:color w:val="000000"/>
                <w:u w:val="single"/>
              </w:rPr>
              <w:t>从湖北省评标专家库相应专业中随机抽取产生</w:t>
            </w:r>
            <w:r>
              <w:rPr>
                <w:rFonts w:hint="default" w:ascii="Times New Roman" w:hAnsi="Times New Roman" w:cs="Times New Roman"/>
                <w:color w:val="000000"/>
                <w:szCs w:val="24"/>
              </w:rPr>
              <w:t>。</w:t>
            </w:r>
          </w:p>
        </w:tc>
      </w:tr>
      <w:tr w14:paraId="2298A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right"/>
        </w:trPr>
        <w:tc>
          <w:tcPr>
            <w:tcW w:w="993" w:type="dxa"/>
            <w:vAlign w:val="center"/>
          </w:tcPr>
          <w:p w14:paraId="27FCD0D9">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7.1.1</w:t>
            </w:r>
          </w:p>
        </w:tc>
        <w:tc>
          <w:tcPr>
            <w:tcW w:w="2551" w:type="dxa"/>
            <w:vAlign w:val="center"/>
          </w:tcPr>
          <w:p w14:paraId="3E13A8DB">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评标结果公示媒介</w:t>
            </w:r>
          </w:p>
        </w:tc>
        <w:tc>
          <w:tcPr>
            <w:tcW w:w="5529" w:type="dxa"/>
            <w:vAlign w:val="center"/>
          </w:tcPr>
          <w:p w14:paraId="400D5D58">
            <w:pPr>
              <w:rPr>
                <w:rFonts w:hint="default" w:ascii="Times New Roman" w:hAnsi="Times New Roman" w:eastAsia="宋体" w:cs="Times New Roman"/>
                <w:szCs w:val="21"/>
              </w:rPr>
            </w:pPr>
            <w:r>
              <w:rPr>
                <w:rFonts w:hint="default" w:ascii="Times New Roman" w:hAnsi="Times New Roman" w:eastAsia="宋体" w:cs="Times New Roman"/>
                <w:szCs w:val="21"/>
              </w:rPr>
              <w:t>湖北省电子招投标交易平台（网址：</w:t>
            </w:r>
            <w:r>
              <w:rPr>
                <w:rFonts w:hint="default" w:ascii="Times New Roman" w:hAnsi="Times New Roman" w:eastAsia="宋体" w:cs="Times New Roman"/>
                <w:szCs w:val="21"/>
              </w:rPr>
              <w:fldChar w:fldCharType="begin"/>
            </w:r>
            <w:r>
              <w:rPr>
                <w:rFonts w:hint="default" w:ascii="Times New Roman" w:hAnsi="Times New Roman" w:eastAsia="宋体" w:cs="Times New Roman"/>
                <w:szCs w:val="21"/>
              </w:rPr>
              <w:instrText xml:space="preserve"> HYPERLINK "http://www.hbbidcloud.cn）" </w:instrText>
            </w:r>
            <w:r>
              <w:rPr>
                <w:rFonts w:hint="default" w:ascii="Times New Roman" w:hAnsi="Times New Roman" w:eastAsia="宋体" w:cs="Times New Roman"/>
                <w:szCs w:val="21"/>
              </w:rPr>
              <w:fldChar w:fldCharType="separate"/>
            </w:r>
            <w:r>
              <w:rPr>
                <w:rStyle w:val="21"/>
                <w:rFonts w:hint="default" w:ascii="Times New Roman" w:hAnsi="Times New Roman" w:eastAsia="宋体" w:cs="Times New Roman"/>
                <w:szCs w:val="21"/>
              </w:rPr>
              <w:t>www.hbbidcloud.cn）</w:t>
            </w:r>
            <w:r>
              <w:rPr>
                <w:rFonts w:hint="default" w:ascii="Times New Roman" w:hAnsi="Times New Roman" w:eastAsia="宋体" w:cs="Times New Roman"/>
                <w:szCs w:val="21"/>
              </w:rPr>
              <w:fldChar w:fldCharType="end"/>
            </w:r>
          </w:p>
          <w:p w14:paraId="46AD1268">
            <w:pPr>
              <w:rPr>
                <w:rFonts w:hint="default" w:ascii="Times New Roman" w:hAnsi="Times New Roman"/>
                <w:szCs w:val="21"/>
              </w:rPr>
            </w:pPr>
            <w:r>
              <w:rPr>
                <w:rFonts w:hint="default" w:ascii="Times New Roman" w:hAnsi="Times New Roman"/>
                <w:szCs w:val="21"/>
              </w:rPr>
              <w:t>湖北省公共资源交易电子服务系统</w:t>
            </w:r>
          </w:p>
          <w:p w14:paraId="0CDD18EF">
            <w:pPr>
              <w:rPr>
                <w:rFonts w:hint="eastAsia" w:ascii="Times New Roman" w:hAnsi="Times New Roman" w:eastAsia="宋体" w:cs="Times New Roman"/>
                <w:szCs w:val="21"/>
                <w:lang w:eastAsia="zh-CN"/>
              </w:rPr>
            </w:pPr>
            <w:r>
              <w:rPr>
                <w:rFonts w:hint="eastAsia" w:ascii="Times New Roman" w:hAnsi="Times New Roman"/>
                <w:szCs w:val="21"/>
                <w:lang w:eastAsia="zh-CN"/>
              </w:rPr>
              <w:t>（</w:t>
            </w:r>
            <w:r>
              <w:rPr>
                <w:rFonts w:hint="default" w:ascii="Times New Roman" w:hAnsi="Times New Roman"/>
                <w:szCs w:val="21"/>
              </w:rPr>
              <w:t>网址：www.hbggzyfwpt.cn</w:t>
            </w:r>
            <w:r>
              <w:rPr>
                <w:rFonts w:hint="eastAsia" w:ascii="Times New Roman" w:hAnsi="Times New Roman"/>
                <w:szCs w:val="21"/>
                <w:lang w:eastAsia="zh-CN"/>
              </w:rPr>
              <w:t>）</w:t>
            </w:r>
          </w:p>
        </w:tc>
      </w:tr>
      <w:tr w14:paraId="0DBC2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jc w:val="right"/>
        </w:trPr>
        <w:tc>
          <w:tcPr>
            <w:tcW w:w="993" w:type="dxa"/>
            <w:vAlign w:val="center"/>
          </w:tcPr>
          <w:p w14:paraId="4BB942C4">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7.2.1</w:t>
            </w:r>
          </w:p>
        </w:tc>
        <w:tc>
          <w:tcPr>
            <w:tcW w:w="2551" w:type="dxa"/>
            <w:vAlign w:val="center"/>
          </w:tcPr>
          <w:p w14:paraId="363C8CB2">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是否授权评标委员会确定中标人</w:t>
            </w:r>
          </w:p>
        </w:tc>
        <w:tc>
          <w:tcPr>
            <w:tcW w:w="5529" w:type="dxa"/>
            <w:vAlign w:val="center"/>
          </w:tcPr>
          <w:p w14:paraId="65801AEF">
            <w:pPr>
              <w:rPr>
                <w:rFonts w:hint="default" w:ascii="Times New Roman" w:hAnsi="Times New Roman" w:cs="Times New Roman"/>
                <w:color w:val="000000"/>
                <w:szCs w:val="21"/>
              </w:rPr>
            </w:pPr>
            <w:permStart w:id="70" w:edGrp="everyone"/>
            <w:r>
              <w:rPr>
                <w:rFonts w:hint="default" w:ascii="Times New Roman" w:hAnsi="Times New Roman" w:cs="Times New Roman"/>
                <w:color w:val="000000"/>
              </w:rPr>
              <w:t>□</w:t>
            </w:r>
            <w:permEnd w:id="70"/>
            <w:r>
              <w:rPr>
                <w:rFonts w:hint="default" w:ascii="Times New Roman" w:hAnsi="Times New Roman" w:cs="Times New Roman"/>
                <w:color w:val="000000"/>
                <w:szCs w:val="21"/>
              </w:rPr>
              <w:t xml:space="preserve">是 </w:t>
            </w:r>
          </w:p>
          <w:p w14:paraId="03F0273C">
            <w:pPr>
              <w:rPr>
                <w:rFonts w:hint="default" w:ascii="Times New Roman" w:hAnsi="Times New Roman" w:cs="Times New Roman"/>
                <w:color w:val="000000"/>
                <w:szCs w:val="21"/>
              </w:rPr>
            </w:pPr>
            <w:permStart w:id="71" w:edGrp="everyone"/>
            <w:r>
              <w:rPr>
                <w:rFonts w:hint="default" w:ascii="Times New Roman" w:hAnsi="Times New Roman" w:cs="Times New Roman"/>
                <w:color w:val="000000"/>
              </w:rPr>
              <w:t>☑</w:t>
            </w:r>
            <w:permEnd w:id="71"/>
            <w:r>
              <w:rPr>
                <w:rFonts w:hint="default" w:ascii="Times New Roman" w:hAnsi="Times New Roman" w:cs="Times New Roman"/>
                <w:color w:val="000000"/>
                <w:szCs w:val="21"/>
              </w:rPr>
              <w:t>否，推荐的中标候选人数：</w:t>
            </w:r>
            <w:permStart w:id="72" w:edGrp="everyone"/>
            <w:r>
              <w:rPr>
                <w:rFonts w:hint="default" w:ascii="Times New Roman" w:hAnsi="Times New Roman" w:cs="Times New Roman"/>
                <w:color w:val="000000"/>
                <w:szCs w:val="21"/>
              </w:rPr>
              <w:t>_3家_（</w:t>
            </w:r>
            <w:r>
              <w:rPr>
                <w:rFonts w:hint="default" w:ascii="Times New Roman" w:hAnsi="Times New Roman" w:eastAsia="等线" w:cs="Times New Roman"/>
                <w:color w:val="000000"/>
                <w:szCs w:val="21"/>
                <w:lang w:bidi="ar"/>
              </w:rPr>
              <w:t>可供推荐的中标候选人数量不足3名时，以实际数量推荐。评标委员会对投标文件进行评审后，因有效投标不足3个使得投标明显缺乏竞争的，可以否决全部投标；投标人资质、业绩满足招标文件要求，因其他原因未通过评审的，则应视为参与了有效竞争，不应理解为明显缺乏竞争性。未否决全部投标的，评标委员会应当在评标报告中阐明理由并推荐中标候选人</w:t>
            </w:r>
            <w:r>
              <w:rPr>
                <w:rFonts w:hint="default" w:ascii="Times New Roman" w:hAnsi="Times New Roman" w:cs="Times New Roman"/>
                <w:color w:val="000000"/>
                <w:szCs w:val="21"/>
              </w:rPr>
              <w:t>_）_</w:t>
            </w:r>
            <w:permEnd w:id="72"/>
          </w:p>
          <w:p w14:paraId="01851494">
            <w:pPr>
              <w:rPr>
                <w:rFonts w:hint="default" w:ascii="Times New Roman" w:hAnsi="Times New Roman" w:cs="Times New Roman"/>
                <w:color w:val="000000"/>
                <w:szCs w:val="21"/>
              </w:rPr>
            </w:pPr>
            <w:r>
              <w:rPr>
                <w:rFonts w:hint="default" w:ascii="Times New Roman" w:hAnsi="Times New Roman" w:cs="Times New Roman"/>
                <w:color w:val="000000"/>
              </w:rPr>
              <w:t>（招标人选择“评定分离”方式定标时，投标人的数量少于或等于 10 家时，评标委员会推荐的中标候选人数量为 3 家；投标人的数量多于 10 家时，评标委员会推荐的中标候选人数量为：</w:t>
            </w:r>
            <w:permStart w:id="73" w:edGrp="everyone"/>
            <w:r>
              <w:rPr>
                <w:rFonts w:hint="default" w:ascii="Times New Roman" w:hAnsi="Times New Roman" w:cs="Times New Roman"/>
                <w:color w:val="000000"/>
              </w:rPr>
              <w:t>□</w:t>
            </w:r>
            <w:permEnd w:id="73"/>
            <w:r>
              <w:rPr>
                <w:rFonts w:hint="default" w:ascii="Times New Roman" w:hAnsi="Times New Roman" w:cs="Times New Roman"/>
                <w:color w:val="000000"/>
              </w:rPr>
              <w:t xml:space="preserve">3家  </w:t>
            </w:r>
            <w:permStart w:id="74" w:edGrp="everyone"/>
            <w:r>
              <w:rPr>
                <w:rFonts w:hint="default" w:ascii="Times New Roman" w:hAnsi="Times New Roman" w:cs="Times New Roman"/>
                <w:color w:val="000000"/>
              </w:rPr>
              <w:t>□</w:t>
            </w:r>
            <w:permEnd w:id="74"/>
            <w:r>
              <w:rPr>
                <w:rFonts w:hint="default" w:ascii="Times New Roman" w:hAnsi="Times New Roman" w:cs="Times New Roman"/>
                <w:color w:val="000000"/>
              </w:rPr>
              <w:t xml:space="preserve">4家  </w:t>
            </w:r>
            <w:permStart w:id="75" w:edGrp="everyone"/>
            <w:r>
              <w:rPr>
                <w:rFonts w:hint="default" w:ascii="Times New Roman" w:hAnsi="Times New Roman" w:cs="Times New Roman"/>
                <w:color w:val="000000"/>
              </w:rPr>
              <w:t>□</w:t>
            </w:r>
            <w:permEnd w:id="75"/>
            <w:r>
              <w:rPr>
                <w:rFonts w:hint="default" w:ascii="Times New Roman" w:hAnsi="Times New Roman" w:cs="Times New Roman"/>
                <w:color w:val="000000"/>
              </w:rPr>
              <w:t>5家）</w:t>
            </w:r>
          </w:p>
        </w:tc>
      </w:tr>
      <w:tr w14:paraId="17F4E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2" w:hRule="atLeast"/>
          <w:jc w:val="right"/>
        </w:trPr>
        <w:tc>
          <w:tcPr>
            <w:tcW w:w="993" w:type="dxa"/>
            <w:vAlign w:val="center"/>
          </w:tcPr>
          <w:p w14:paraId="4F2B9E4A">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7.5.1</w:t>
            </w:r>
          </w:p>
        </w:tc>
        <w:tc>
          <w:tcPr>
            <w:tcW w:w="2551" w:type="dxa"/>
            <w:vAlign w:val="center"/>
          </w:tcPr>
          <w:p w14:paraId="28431E2C">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履约保证金</w:t>
            </w:r>
          </w:p>
        </w:tc>
        <w:tc>
          <w:tcPr>
            <w:tcW w:w="5529" w:type="dxa"/>
            <w:vAlign w:val="center"/>
          </w:tcPr>
          <w:p w14:paraId="5431B43C">
            <w:pPr>
              <w:spacing w:line="440" w:lineRule="exact"/>
              <w:rPr>
                <w:rFonts w:hint="default" w:ascii="Times New Roman" w:hAnsi="Times New Roman" w:cs="Times New Roman"/>
                <w:color w:val="000000"/>
                <w:szCs w:val="24"/>
              </w:rPr>
            </w:pPr>
            <w:permStart w:id="76" w:edGrp="everyone"/>
            <w:r>
              <w:rPr>
                <w:rFonts w:hint="default" w:ascii="Times New Roman" w:hAnsi="Times New Roman" w:cs="Times New Roman"/>
                <w:color w:val="000000"/>
                <w:lang w:eastAsia="zh-CN"/>
              </w:rPr>
              <w:t>☑</w:t>
            </w:r>
            <w:permEnd w:id="76"/>
            <w:r>
              <w:rPr>
                <w:rFonts w:hint="default" w:ascii="Times New Roman" w:hAnsi="Times New Roman" w:cs="Times New Roman"/>
                <w:color w:val="000000"/>
                <w:szCs w:val="24"/>
              </w:rPr>
              <w:t>不提交</w:t>
            </w:r>
          </w:p>
          <w:p w14:paraId="79089B88">
            <w:pPr>
              <w:spacing w:line="288" w:lineRule="auto"/>
              <w:rPr>
                <w:rFonts w:hint="default" w:ascii="Times New Roman" w:hAnsi="Times New Roman" w:cs="Times New Roman"/>
                <w:color w:val="000000"/>
                <w:szCs w:val="24"/>
              </w:rPr>
            </w:pPr>
            <w:permStart w:id="77" w:edGrp="everyone"/>
            <w:r>
              <w:rPr>
                <w:rFonts w:hint="default" w:ascii="Times New Roman" w:hAnsi="Times New Roman" w:cs="Times New Roman"/>
                <w:color w:val="000000"/>
                <w:lang w:eastAsia="zh-CN"/>
              </w:rPr>
              <w:t>□</w:t>
            </w:r>
            <w:permEnd w:id="77"/>
            <w:r>
              <w:rPr>
                <w:rFonts w:hint="default" w:ascii="Times New Roman" w:hAnsi="Times New Roman" w:cs="Times New Roman"/>
                <w:color w:val="000000"/>
                <w:szCs w:val="24"/>
              </w:rPr>
              <w:t>提交，履约</w:t>
            </w:r>
            <w:r>
              <w:rPr>
                <w:rFonts w:hint="default" w:ascii="Times New Roman" w:hAnsi="Times New Roman" w:cs="Times New Roman"/>
                <w:color w:val="000000"/>
                <w:szCs w:val="21"/>
              </w:rPr>
              <w:t>保证金</w:t>
            </w:r>
            <w:r>
              <w:rPr>
                <w:rFonts w:hint="default" w:ascii="Times New Roman" w:hAnsi="Times New Roman" w:cs="Times New Roman"/>
                <w:color w:val="000000"/>
                <w:szCs w:val="24"/>
              </w:rPr>
              <w:t xml:space="preserve">的形式：                </w:t>
            </w:r>
          </w:p>
          <w:p w14:paraId="1EB0A073">
            <w:pPr>
              <w:rPr>
                <w:rFonts w:hint="default" w:ascii="Times New Roman" w:hAnsi="Times New Roman" w:cs="Times New Roman"/>
                <w:color w:val="000000"/>
                <w:szCs w:val="21"/>
              </w:rPr>
            </w:pPr>
            <w:r>
              <w:rPr>
                <w:rFonts w:hint="default" w:ascii="Times New Roman" w:hAnsi="Times New Roman" w:cs="Times New Roman"/>
                <w:color w:val="000000"/>
                <w:szCs w:val="24"/>
              </w:rPr>
              <w:t>履约</w:t>
            </w:r>
            <w:r>
              <w:rPr>
                <w:rFonts w:hint="default" w:ascii="Times New Roman" w:hAnsi="Times New Roman" w:cs="Times New Roman"/>
                <w:color w:val="000000"/>
                <w:szCs w:val="21"/>
              </w:rPr>
              <w:t>保证金</w:t>
            </w:r>
            <w:r>
              <w:rPr>
                <w:rFonts w:hint="default" w:ascii="Times New Roman" w:hAnsi="Times New Roman" w:cs="Times New Roman"/>
                <w:color w:val="000000"/>
                <w:szCs w:val="24"/>
              </w:rPr>
              <w:t>的金额：</w:t>
            </w:r>
            <w:r>
              <w:rPr>
                <w:rFonts w:hint="default" w:ascii="Times New Roman" w:hAnsi="Times New Roman" w:cs="Times New Roman"/>
                <w:color w:val="000000"/>
                <w:szCs w:val="21"/>
              </w:rPr>
              <w:t>合同总价的</w:t>
            </w:r>
            <w:permStart w:id="78" w:edGrp="everyone"/>
            <w:r>
              <w:rPr>
                <w:rFonts w:hint="default" w:ascii="Times New Roman" w:hAnsi="Times New Roman" w:cs="Times New Roman"/>
                <w:color w:val="000000"/>
                <w:szCs w:val="21"/>
                <w:u w:val="single"/>
              </w:rPr>
              <w:t xml:space="preserve">  </w:t>
            </w:r>
            <w:permEnd w:id="78"/>
            <w:r>
              <w:rPr>
                <w:rFonts w:hint="default" w:ascii="Times New Roman" w:hAnsi="Times New Roman" w:cs="Times New Roman"/>
                <w:color w:val="000000"/>
                <w:szCs w:val="21"/>
              </w:rPr>
              <w:t xml:space="preserve"> %</w:t>
            </w:r>
          </w:p>
          <w:p w14:paraId="5331B701">
            <w:pPr>
              <w:rPr>
                <w:rFonts w:hint="default" w:ascii="Times New Roman" w:hAnsi="Times New Roman" w:cs="Times New Roman"/>
                <w:color w:val="000000"/>
                <w:szCs w:val="21"/>
              </w:rPr>
            </w:pPr>
            <w:r>
              <w:rPr>
                <w:rFonts w:hint="default" w:ascii="Times New Roman" w:hAnsi="Times New Roman" w:cs="Times New Roman"/>
                <w:strike w:val="0"/>
                <w:color w:val="000000"/>
                <w:szCs w:val="21"/>
              </w:rPr>
              <w:t>备注：政府采购工程及工程相关货物或服务免收履约保证金。</w:t>
            </w:r>
          </w:p>
        </w:tc>
      </w:tr>
      <w:tr w14:paraId="0C417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right"/>
        </w:trPr>
        <w:tc>
          <w:tcPr>
            <w:tcW w:w="993" w:type="dxa"/>
            <w:vMerge w:val="restart"/>
            <w:vAlign w:val="center"/>
          </w:tcPr>
          <w:p w14:paraId="59CFAA67">
            <w:pPr>
              <w:spacing w:line="440" w:lineRule="exact"/>
              <w:jc w:val="center"/>
              <w:rPr>
                <w:rFonts w:hint="default" w:ascii="Times New Roman" w:hAnsi="Times New Roman" w:cs="Times New Roman"/>
                <w:color w:val="000000"/>
                <w:szCs w:val="21"/>
              </w:rPr>
            </w:pPr>
            <w:r>
              <w:rPr>
                <w:rFonts w:hint="default" w:ascii="Times New Roman" w:hAnsi="Times New Roman" w:cs="Times New Roman"/>
                <w:color w:val="000000"/>
              </w:rPr>
              <w:t>9.5</w:t>
            </w:r>
          </w:p>
        </w:tc>
        <w:tc>
          <w:tcPr>
            <w:tcW w:w="2551" w:type="dxa"/>
            <w:vAlign w:val="center"/>
          </w:tcPr>
          <w:p w14:paraId="02F48A56">
            <w:pPr>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行政监督部门</w:t>
            </w:r>
          </w:p>
        </w:tc>
        <w:tc>
          <w:tcPr>
            <w:tcW w:w="5529" w:type="dxa"/>
            <w:vAlign w:val="center"/>
          </w:tcPr>
          <w:p w14:paraId="59DB80A9">
            <w:pPr>
              <w:rPr>
                <w:rFonts w:hint="default" w:ascii="Times New Roman" w:hAnsi="Times New Roman" w:cs="Times New Roman"/>
                <w:color w:val="000000"/>
                <w:szCs w:val="21"/>
                <w:u w:val="single"/>
              </w:rPr>
            </w:pPr>
            <w:permStart w:id="79" w:edGrp="everyone"/>
            <w:r>
              <w:rPr>
                <w:rFonts w:hint="default" w:ascii="Times New Roman" w:hAnsi="Times New Roman" w:cs="Times New Roman"/>
                <w:color w:val="000000"/>
                <w:szCs w:val="21"/>
                <w:lang w:bidi="ar"/>
              </w:rPr>
              <w:t>名    称：</w:t>
            </w:r>
            <w:r>
              <w:rPr>
                <w:rFonts w:hint="default" w:ascii="Times New Roman" w:hAnsi="Times New Roman" w:cs="Times New Roman"/>
                <w:color w:val="000000"/>
                <w:szCs w:val="21"/>
                <w:u w:val="single"/>
                <w:lang w:bidi="ar"/>
              </w:rPr>
              <w:t xml:space="preserve"> 咸宁市</w:t>
            </w:r>
            <w:r>
              <w:rPr>
                <w:rFonts w:hint="default" w:ascii="Times New Roman" w:hAnsi="Times New Roman" w:cs="Times New Roman"/>
                <w:color w:val="000000"/>
                <w:szCs w:val="21"/>
                <w:u w:val="single"/>
                <w:lang w:val="en-US" w:eastAsia="zh-CN" w:bidi="ar"/>
              </w:rPr>
              <w:t>交通运输局</w:t>
            </w:r>
            <w:r>
              <w:rPr>
                <w:rFonts w:hint="default" w:ascii="Times New Roman" w:hAnsi="Times New Roman" w:cs="Times New Roman"/>
                <w:color w:val="000000"/>
                <w:szCs w:val="21"/>
                <w:u w:val="single"/>
                <w:lang w:bidi="ar"/>
              </w:rPr>
              <w:t xml:space="preserve">                  </w:t>
            </w:r>
          </w:p>
          <w:p w14:paraId="42115173">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地    址：</w:t>
            </w:r>
            <w:r>
              <w:rPr>
                <w:rFonts w:hint="default" w:ascii="Times New Roman" w:hAnsi="Times New Roman" w:cs="Times New Roman"/>
                <w:color w:val="000000"/>
                <w:szCs w:val="21"/>
                <w:u w:val="single"/>
                <w:lang w:bidi="ar"/>
              </w:rPr>
              <w:t xml:space="preserve"> 咸宁市咸安区咸宁大道49号                  </w:t>
            </w:r>
            <w:r>
              <w:rPr>
                <w:rFonts w:hint="default" w:ascii="Times New Roman" w:hAnsi="Times New Roman" w:cs="Times New Roman"/>
                <w:color w:val="000000"/>
                <w:szCs w:val="21"/>
                <w:lang w:bidi="ar"/>
              </w:rPr>
              <w:t xml:space="preserve"> </w:t>
            </w:r>
          </w:p>
          <w:p w14:paraId="21EC2F19">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电    话：</w:t>
            </w:r>
            <w:r>
              <w:rPr>
                <w:rFonts w:hint="default" w:ascii="Times New Roman" w:hAnsi="Times New Roman" w:cs="Times New Roman"/>
                <w:color w:val="000000"/>
                <w:szCs w:val="21"/>
                <w:u w:val="single"/>
                <w:lang w:bidi="ar"/>
              </w:rPr>
              <w:t xml:space="preserve"> 0715-8136958              </w:t>
            </w:r>
          </w:p>
          <w:p w14:paraId="2DB7A82C">
            <w:pPr>
              <w:rPr>
                <w:rFonts w:hint="default" w:ascii="Times New Roman" w:hAnsi="Times New Roman" w:cs="Times New Roman"/>
                <w:color w:val="000000"/>
                <w:szCs w:val="21"/>
                <w:u w:val="single"/>
              </w:rPr>
            </w:pPr>
            <w:r>
              <w:rPr>
                <w:rFonts w:hint="default" w:ascii="Times New Roman" w:hAnsi="Times New Roman" w:cs="Times New Roman"/>
                <w:color w:val="000000"/>
                <w:szCs w:val="21"/>
                <w:lang w:bidi="ar"/>
              </w:rPr>
              <w:t>传    真：</w:t>
            </w:r>
            <w:r>
              <w:rPr>
                <w:rFonts w:hint="default" w:ascii="Times New Roman" w:hAnsi="Times New Roman" w:cs="Times New Roman"/>
                <w:color w:val="000000"/>
                <w:szCs w:val="21"/>
                <w:u w:val="single"/>
                <w:lang w:bidi="ar"/>
              </w:rPr>
              <w:t xml:space="preserve"> /                  </w:t>
            </w:r>
          </w:p>
          <w:p w14:paraId="0E20DEA1">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邮政编码：</w:t>
            </w:r>
            <w:r>
              <w:rPr>
                <w:rFonts w:hint="default" w:ascii="Times New Roman" w:hAnsi="Times New Roman" w:cs="Times New Roman"/>
                <w:color w:val="000000"/>
                <w:szCs w:val="21"/>
                <w:u w:val="single"/>
                <w:lang w:bidi="ar"/>
              </w:rPr>
              <w:t xml:space="preserve"> 437000                 </w:t>
            </w:r>
            <w:permEnd w:id="79"/>
          </w:p>
        </w:tc>
      </w:tr>
      <w:tr w14:paraId="36E2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right"/>
        </w:trPr>
        <w:tc>
          <w:tcPr>
            <w:tcW w:w="993" w:type="dxa"/>
            <w:vMerge w:val="continue"/>
            <w:vAlign w:val="center"/>
          </w:tcPr>
          <w:p w14:paraId="52FC1B13">
            <w:pPr>
              <w:jc w:val="center"/>
              <w:rPr>
                <w:rFonts w:hint="default" w:ascii="Times New Roman" w:hAnsi="Times New Roman" w:cs="Times New Roman"/>
                <w:color w:val="000000"/>
              </w:rPr>
            </w:pPr>
          </w:p>
        </w:tc>
        <w:tc>
          <w:tcPr>
            <w:tcW w:w="2551" w:type="dxa"/>
            <w:vAlign w:val="center"/>
          </w:tcPr>
          <w:p w14:paraId="090949EB">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综合监督管理部门</w:t>
            </w:r>
          </w:p>
        </w:tc>
        <w:tc>
          <w:tcPr>
            <w:tcW w:w="5529" w:type="dxa"/>
            <w:vAlign w:val="center"/>
          </w:tcPr>
          <w:p w14:paraId="1A2FB0B6">
            <w:pPr>
              <w:rPr>
                <w:rFonts w:hint="default" w:ascii="Times New Roman" w:hAnsi="Times New Roman" w:cs="Times New Roman"/>
                <w:color w:val="000000"/>
                <w:szCs w:val="21"/>
                <w:u w:val="single"/>
              </w:rPr>
            </w:pPr>
            <w:permStart w:id="80" w:edGrp="everyone"/>
            <w:r>
              <w:rPr>
                <w:rFonts w:hint="default" w:ascii="Times New Roman" w:hAnsi="Times New Roman" w:cs="Times New Roman"/>
                <w:color w:val="000000"/>
                <w:szCs w:val="21"/>
              </w:rPr>
              <w:t>名    称：</w:t>
            </w:r>
            <w:r>
              <w:rPr>
                <w:rFonts w:hint="default" w:ascii="Times New Roman" w:hAnsi="Times New Roman" w:cs="Times New Roman"/>
                <w:color w:val="000000"/>
                <w:szCs w:val="21"/>
                <w:u w:val="single"/>
              </w:rPr>
              <w:t>咸宁市</w:t>
            </w:r>
            <w:r>
              <w:rPr>
                <w:rFonts w:hint="default" w:ascii="Times New Roman" w:hAnsi="Times New Roman" w:cs="Times New Roman"/>
                <w:color w:val="000000"/>
                <w:szCs w:val="21"/>
                <w:u w:val="single"/>
                <w:lang w:val="en-US" w:eastAsia="zh-CN"/>
              </w:rPr>
              <w:t xml:space="preserve">发展改革委员会                     </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lang w:bidi="ar"/>
              </w:rPr>
              <w:t xml:space="preserve"> </w:t>
            </w:r>
          </w:p>
          <w:p w14:paraId="47E83CD8">
            <w:pPr>
              <w:rPr>
                <w:rFonts w:hint="default" w:ascii="Times New Roman" w:hAnsi="Times New Roman" w:cs="Times New Roman"/>
                <w:color w:val="000000"/>
                <w:szCs w:val="21"/>
                <w:u w:val="single"/>
              </w:rPr>
            </w:pPr>
            <w:r>
              <w:rPr>
                <w:rFonts w:hint="default" w:ascii="Times New Roman" w:hAnsi="Times New Roman" w:cs="Times New Roman"/>
                <w:color w:val="000000"/>
                <w:szCs w:val="21"/>
              </w:rPr>
              <w:t>地    址：咸宁市咸安区银桂路9号</w:t>
            </w:r>
            <w:r>
              <w:rPr>
                <w:rFonts w:hint="default" w:ascii="Times New Roman" w:hAnsi="Times New Roman" w:cs="Times New Roman"/>
                <w:color w:val="000000"/>
                <w:szCs w:val="21"/>
                <w:u w:val="single"/>
              </w:rPr>
              <w:t xml:space="preserve">     </w:t>
            </w:r>
          </w:p>
          <w:p w14:paraId="6971E6AE">
            <w:pPr>
              <w:rPr>
                <w:rFonts w:hint="default" w:ascii="Times New Roman" w:hAnsi="Times New Roman" w:cs="Times New Roman"/>
                <w:color w:val="000000"/>
              </w:rPr>
            </w:pPr>
            <w:r>
              <w:rPr>
                <w:rFonts w:hint="default" w:ascii="Times New Roman" w:hAnsi="Times New Roman" w:cs="Times New Roman"/>
                <w:color w:val="000000"/>
                <w:szCs w:val="21"/>
              </w:rPr>
              <w:t>电    话（传真）</w:t>
            </w:r>
            <w:r>
              <w:rPr>
                <w:rFonts w:hint="default" w:ascii="Times New Roman" w:hAnsi="Times New Roman" w:cs="Times New Roman"/>
                <w:color w:val="000000"/>
                <w:szCs w:val="21"/>
                <w:highlight w:val="none"/>
              </w:rPr>
              <w:t>：</w:t>
            </w:r>
            <w:r>
              <w:rPr>
                <w:rFonts w:hint="default" w:ascii="Times New Roman" w:hAnsi="Times New Roman" w:cs="Times New Roman"/>
                <w:color w:val="0000FF"/>
                <w:szCs w:val="21"/>
                <w:highlight w:val="green"/>
                <w:u w:val="single"/>
              </w:rPr>
              <w:t xml:space="preserve">0715-8126517 </w:t>
            </w:r>
            <w:r>
              <w:rPr>
                <w:rFonts w:hint="default" w:ascii="Times New Roman" w:hAnsi="Times New Roman" w:cs="Times New Roman"/>
                <w:color w:val="000000"/>
                <w:szCs w:val="21"/>
                <w:u w:val="single"/>
              </w:rPr>
              <w:t xml:space="preserve">        </w:t>
            </w:r>
            <w:permEnd w:id="80"/>
          </w:p>
        </w:tc>
      </w:tr>
      <w:tr w14:paraId="27F5A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right"/>
        </w:trPr>
        <w:tc>
          <w:tcPr>
            <w:tcW w:w="993" w:type="dxa"/>
            <w:vAlign w:val="center"/>
          </w:tcPr>
          <w:p w14:paraId="722FC83D">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10</w:t>
            </w:r>
          </w:p>
        </w:tc>
        <w:tc>
          <w:tcPr>
            <w:tcW w:w="8080" w:type="dxa"/>
            <w:gridSpan w:val="2"/>
            <w:vAlign w:val="center"/>
          </w:tcPr>
          <w:p w14:paraId="4BEEFB87">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需要补充的其他内容</w:t>
            </w:r>
          </w:p>
        </w:tc>
      </w:tr>
      <w:tr w14:paraId="7A6A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jc w:val="right"/>
        </w:trPr>
        <w:tc>
          <w:tcPr>
            <w:tcW w:w="993" w:type="dxa"/>
            <w:vAlign w:val="center"/>
          </w:tcPr>
          <w:p w14:paraId="27104EED">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10.</w:t>
            </w:r>
            <w:r>
              <w:rPr>
                <w:rFonts w:hint="eastAsia" w:ascii="Times New Roman" w:hAnsi="Times New Roman" w:cs="Times New Roman"/>
                <w:color w:val="000000"/>
                <w:szCs w:val="21"/>
                <w:lang w:val="en-US" w:eastAsia="zh-CN"/>
              </w:rPr>
              <w:t>1</w:t>
            </w:r>
          </w:p>
        </w:tc>
        <w:tc>
          <w:tcPr>
            <w:tcW w:w="2551" w:type="dxa"/>
            <w:vAlign w:val="center"/>
          </w:tcPr>
          <w:p w14:paraId="2C3F224C">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知识产权</w:t>
            </w:r>
          </w:p>
        </w:tc>
        <w:tc>
          <w:tcPr>
            <w:tcW w:w="5529" w:type="dxa"/>
            <w:vAlign w:val="center"/>
          </w:tcPr>
          <w:p w14:paraId="0015F912">
            <w:pPr>
              <w:rPr>
                <w:rFonts w:hint="default" w:ascii="Times New Roman" w:hAnsi="Times New Roman" w:cs="Times New Roman"/>
                <w:color w:val="000000"/>
                <w:szCs w:val="21"/>
              </w:rPr>
            </w:pPr>
            <w:r>
              <w:rPr>
                <w:rFonts w:hint="default" w:ascii="Times New Roman" w:hAnsi="Times New Roman" w:cs="Times New Roman"/>
                <w:color w:val="000000"/>
                <w:szCs w:val="21"/>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662D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right"/>
        </w:trPr>
        <w:tc>
          <w:tcPr>
            <w:tcW w:w="993" w:type="dxa"/>
            <w:vAlign w:val="center"/>
          </w:tcPr>
          <w:p w14:paraId="5EAF2A1C">
            <w:pPr>
              <w:jc w:val="center"/>
              <w:rPr>
                <w:rFonts w:hint="default" w:ascii="Times New Roman" w:hAnsi="Times New Roman" w:cs="Times New Roman"/>
                <w:color w:val="000000"/>
                <w:szCs w:val="21"/>
              </w:rPr>
            </w:pPr>
            <w:r>
              <w:rPr>
                <w:rFonts w:hint="default" w:ascii="Times New Roman" w:hAnsi="Times New Roman" w:eastAsia="黑体" w:cs="Times New Roman"/>
                <w:color w:val="000000"/>
                <w:sz w:val="24"/>
                <w:szCs w:val="20"/>
              </w:rPr>
              <w:t>10.</w:t>
            </w:r>
            <w:r>
              <w:rPr>
                <w:rFonts w:hint="eastAsia" w:ascii="Times New Roman" w:hAnsi="Times New Roman" w:eastAsia="黑体" w:cs="Times New Roman"/>
                <w:color w:val="000000"/>
                <w:sz w:val="24"/>
                <w:szCs w:val="20"/>
                <w:lang w:val="en-US" w:eastAsia="zh-CN"/>
              </w:rPr>
              <w:t>2</w:t>
            </w:r>
          </w:p>
        </w:tc>
        <w:tc>
          <w:tcPr>
            <w:tcW w:w="2551" w:type="dxa"/>
            <w:vAlign w:val="center"/>
          </w:tcPr>
          <w:p w14:paraId="5F75B8FD">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中标后须提交的纸质投标文件</w:t>
            </w:r>
          </w:p>
        </w:tc>
        <w:tc>
          <w:tcPr>
            <w:tcW w:w="5529" w:type="dxa"/>
            <w:vAlign w:val="center"/>
          </w:tcPr>
          <w:p w14:paraId="3FA4904A">
            <w:pPr>
              <w:spacing w:line="360" w:lineRule="auto"/>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份数：</w:t>
            </w:r>
            <w:permStart w:id="81" w:edGrp="everyone"/>
            <w:r>
              <w:rPr>
                <w:rFonts w:hint="default" w:ascii="Times New Roman" w:hAnsi="Times New Roman" w:cs="Times New Roman"/>
                <w:color w:val="000000"/>
                <w:szCs w:val="21"/>
                <w:u w:val="single"/>
              </w:rPr>
              <w:t xml:space="preserve">   6   </w:t>
            </w:r>
            <w:permEnd w:id="81"/>
            <w:r>
              <w:rPr>
                <w:rFonts w:hint="default" w:ascii="Times New Roman" w:hAnsi="Times New Roman" w:cs="Times New Roman"/>
                <w:color w:val="000000"/>
                <w:szCs w:val="21"/>
              </w:rPr>
              <w:t>，中标人提交的纸质投标文件应当与导入电子开标评标系统的电子投标文件内容一致。</w:t>
            </w:r>
          </w:p>
        </w:tc>
      </w:tr>
      <w:tr w14:paraId="333B3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right"/>
        </w:trPr>
        <w:tc>
          <w:tcPr>
            <w:tcW w:w="993" w:type="dxa"/>
            <w:vAlign w:val="center"/>
          </w:tcPr>
          <w:p w14:paraId="7B128E0E">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10.</w:t>
            </w:r>
            <w:r>
              <w:rPr>
                <w:rFonts w:hint="eastAsia" w:ascii="Times New Roman" w:hAnsi="Times New Roman" w:cs="Times New Roman"/>
                <w:color w:val="000000"/>
                <w:szCs w:val="21"/>
                <w:lang w:val="en-US" w:eastAsia="zh-CN"/>
              </w:rPr>
              <w:t>3</w:t>
            </w:r>
          </w:p>
        </w:tc>
        <w:tc>
          <w:tcPr>
            <w:tcW w:w="8080" w:type="dxa"/>
            <w:gridSpan w:val="2"/>
            <w:vAlign w:val="center"/>
          </w:tcPr>
          <w:p w14:paraId="374C13C2">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招标人补充的其他内容</w:t>
            </w:r>
          </w:p>
        </w:tc>
      </w:tr>
      <w:tr w14:paraId="2DA8A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1" w:hRule="atLeast"/>
          <w:jc w:val="right"/>
        </w:trPr>
        <w:tc>
          <w:tcPr>
            <w:tcW w:w="993" w:type="dxa"/>
            <w:vAlign w:val="center"/>
          </w:tcPr>
          <w:p w14:paraId="4579708D">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10.</w:t>
            </w:r>
            <w:r>
              <w:rPr>
                <w:rFonts w:hint="eastAsia" w:ascii="Times New Roman" w:hAnsi="Times New Roman" w:cs="Times New Roman"/>
                <w:color w:val="000000"/>
                <w:szCs w:val="21"/>
                <w:lang w:val="en-US" w:eastAsia="zh-CN"/>
              </w:rPr>
              <w:t>3</w:t>
            </w:r>
            <w:r>
              <w:rPr>
                <w:rFonts w:hint="default" w:ascii="Times New Roman" w:hAnsi="Times New Roman" w:cs="Times New Roman"/>
                <w:color w:val="000000"/>
                <w:szCs w:val="21"/>
              </w:rPr>
              <w:t>.2</w:t>
            </w:r>
          </w:p>
        </w:tc>
        <w:tc>
          <w:tcPr>
            <w:tcW w:w="2551" w:type="dxa"/>
            <w:vAlign w:val="center"/>
          </w:tcPr>
          <w:p w14:paraId="2551C5DD">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政府采购合同融资政策</w:t>
            </w:r>
          </w:p>
        </w:tc>
        <w:tc>
          <w:tcPr>
            <w:tcW w:w="5529" w:type="dxa"/>
            <w:vAlign w:val="center"/>
          </w:tcPr>
          <w:p w14:paraId="3A5D0402">
            <w:pPr>
              <w:rPr>
                <w:rFonts w:hint="default" w:ascii="Times New Roman" w:hAnsi="Times New Roman" w:cs="Times New Roman"/>
                <w:color w:val="000000"/>
              </w:rPr>
            </w:pPr>
            <w:r>
              <w:rPr>
                <w:rFonts w:hint="default" w:ascii="Times New Roman" w:hAnsi="Times New Roman" w:cs="Times New Roman"/>
                <w:color w:val="000000"/>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0D88A5C6">
            <w:pPr>
              <w:rPr>
                <w:rFonts w:hint="default" w:ascii="Times New Roman" w:hAnsi="Times New Roman" w:cs="Times New Roman"/>
                <w:color w:val="000000"/>
                <w:u w:val="single"/>
              </w:rPr>
            </w:pPr>
            <w:permStart w:id="82" w:edGrp="everyone"/>
            <w:r>
              <w:rPr>
                <w:rFonts w:hint="default" w:ascii="Times New Roman" w:hAnsi="Times New Roman" w:cs="Times New Roman"/>
                <w:color w:val="000000"/>
                <w:u w:val="single"/>
              </w:rPr>
              <w:t>“政采贷”业务政策：《湖北省政府采购合同融资实施方案》（鄂财采发[2020]5号）</w:t>
            </w:r>
          </w:p>
          <w:p w14:paraId="67C03B6D">
            <w:pPr>
              <w:rPr>
                <w:rFonts w:hint="default" w:ascii="Times New Roman" w:hAnsi="Times New Roman" w:cs="Times New Roman"/>
                <w:color w:val="000000"/>
                <w:szCs w:val="21"/>
              </w:rPr>
            </w:pPr>
            <w:r>
              <w:rPr>
                <w:rFonts w:hint="default" w:ascii="Times New Roman" w:hAnsi="Times New Roman" w:cs="Times New Roman"/>
                <w:color w:val="000000"/>
                <w:u w:val="single"/>
              </w:rPr>
              <w:t>“政采贷”业务申请：湖北省政府采购合同融资平台（https://czt.hubei.gov.cn/zcd/homepage）</w:t>
            </w:r>
            <w:permEnd w:id="82"/>
          </w:p>
        </w:tc>
      </w:tr>
      <w:tr w14:paraId="71EC8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5" w:hRule="atLeast"/>
          <w:jc w:val="right"/>
        </w:trPr>
        <w:tc>
          <w:tcPr>
            <w:tcW w:w="993" w:type="dxa"/>
            <w:vAlign w:val="center"/>
          </w:tcPr>
          <w:p w14:paraId="221FCCE3">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10.</w:t>
            </w:r>
            <w:r>
              <w:rPr>
                <w:rFonts w:hint="eastAsia" w:ascii="Times New Roman" w:hAnsi="Times New Roman" w:cs="Times New Roman"/>
                <w:color w:val="000000"/>
                <w:szCs w:val="21"/>
                <w:lang w:val="en-US" w:eastAsia="zh-CN"/>
              </w:rPr>
              <w:t>3</w:t>
            </w:r>
            <w:r>
              <w:rPr>
                <w:rFonts w:hint="default" w:ascii="Times New Roman" w:hAnsi="Times New Roman" w:cs="Times New Roman"/>
                <w:color w:val="000000"/>
                <w:szCs w:val="21"/>
              </w:rPr>
              <w:t>.3</w:t>
            </w:r>
          </w:p>
        </w:tc>
        <w:tc>
          <w:tcPr>
            <w:tcW w:w="2551" w:type="dxa"/>
            <w:vAlign w:val="center"/>
          </w:tcPr>
          <w:p w14:paraId="6CF67C72">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政府采购政策说明</w:t>
            </w:r>
          </w:p>
        </w:tc>
        <w:tc>
          <w:tcPr>
            <w:tcW w:w="5529" w:type="dxa"/>
            <w:vAlign w:val="center"/>
          </w:tcPr>
          <w:p w14:paraId="00A17869">
            <w:pPr>
              <w:jc w:val="left"/>
              <w:rPr>
                <w:rFonts w:hint="default" w:ascii="Times New Roman" w:hAnsi="Times New Roman" w:cs="Times New Roman"/>
                <w:color w:val="000000"/>
              </w:rPr>
            </w:pPr>
            <w:r>
              <w:rPr>
                <w:rFonts w:hint="default" w:ascii="Times New Roman" w:hAnsi="Times New Roman" w:cs="Times New Roman"/>
                <w:color w:val="000000"/>
              </w:rPr>
              <w:t>1、政府采购工程及工程相关货物或服务是指国家机关、事业单位、团体组织使用财政性资金采购建设工程及工程相关货物或服务。财政性资金是指纳入预算管理的资金。以财政性资金作为还款来源的借贷资金，视同财政性资金。本招标文件所称中、小、微企业，是指在中华人民共和国境内依法设立，依据《中小企业划型标准规定》（工信部联企业[2011]300号）确定的中型企业、小型企业和微型企业，但与大企业的负责人为同一人，或者与大企业存在直接控股、管理关系的除外。</w:t>
            </w:r>
          </w:p>
          <w:p w14:paraId="0F184073">
            <w:pPr>
              <w:jc w:val="left"/>
              <w:rPr>
                <w:rFonts w:hint="default" w:ascii="Times New Roman" w:hAnsi="Times New Roman" w:cs="Times New Roman"/>
                <w:color w:val="000000"/>
              </w:rPr>
            </w:pPr>
            <w:r>
              <w:rPr>
                <w:rFonts w:hint="default" w:ascii="Times New Roman" w:hAnsi="Times New Roman" w:cs="Times New Roman"/>
                <w:color w:val="000000"/>
              </w:rPr>
              <w:t>2、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0963F16C">
            <w:pPr>
              <w:jc w:val="left"/>
              <w:rPr>
                <w:rFonts w:hint="default" w:ascii="Times New Roman" w:hAnsi="Times New Roman" w:cs="Times New Roman"/>
                <w:color w:val="000000"/>
              </w:rPr>
            </w:pPr>
            <w:r>
              <w:rPr>
                <w:rFonts w:hint="default" w:ascii="Times New Roman" w:hAnsi="Times New Roman" w:cs="Times New Roman"/>
                <w:color w:val="000000"/>
              </w:rPr>
              <w:t>3、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30%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030F6FB8">
            <w:pPr>
              <w:jc w:val="left"/>
              <w:rPr>
                <w:rFonts w:hint="default" w:ascii="Times New Roman" w:hAnsi="Times New Roman" w:cs="Times New Roman"/>
                <w:color w:val="000000"/>
              </w:rPr>
            </w:pPr>
            <w:r>
              <w:rPr>
                <w:rFonts w:hint="default" w:ascii="Times New Roman" w:hAnsi="Times New Roman" w:cs="Times New Roman"/>
                <w:color w:val="000000"/>
              </w:rPr>
              <w:t>4、享受扶持政策获得政府采购合同的，小微企业不得将合同分包给大中型企业，中型企业不得将合同分包给大型企业。</w:t>
            </w:r>
          </w:p>
          <w:p w14:paraId="346AC832">
            <w:pPr>
              <w:rPr>
                <w:rFonts w:hint="default" w:ascii="Times New Roman" w:hAnsi="Times New Roman" w:cs="Times New Roman"/>
                <w:color w:val="000000"/>
              </w:rPr>
            </w:pPr>
            <w:r>
              <w:rPr>
                <w:rFonts w:hint="default" w:ascii="Times New Roman" w:hAnsi="Times New Roman" w:cs="Times New Roman"/>
                <w:color w:val="000000"/>
              </w:rPr>
              <w:t>具体的政策依据详见《政府采购促进中小企业发展管理办法》（财库〔2020〕46号）、《关于进一步加大政府采购支持中小企业力度的通知》（财库〔2022〕19号）。</w:t>
            </w:r>
          </w:p>
          <w:p w14:paraId="02F7AF81">
            <w:pPr>
              <w:rPr>
                <w:rFonts w:hint="default" w:ascii="Times New Roman" w:hAnsi="Times New Roman" w:cs="Times New Roman"/>
                <w:color w:val="000000"/>
              </w:rPr>
            </w:pPr>
            <w:r>
              <w:rPr>
                <w:rFonts w:hint="default" w:ascii="Times New Roman" w:hAnsi="Times New Roman" w:cs="Times New Roman"/>
                <w:b/>
                <w:bCs/>
                <w:color w:val="000000"/>
              </w:rPr>
              <w:t>其他说明：对小微企业中的残疾人企业、监狱企业、采购产品纳入创新产品应用示范推荐目录内企业、采购产品获得节能产品或环境标志产品认证证书的企业，以价格评审优惠幅度的上限给予评审优惠。</w:t>
            </w:r>
          </w:p>
          <w:p w14:paraId="3D8F8F0A">
            <w:pPr>
              <w:rPr>
                <w:rFonts w:hint="default" w:ascii="Times New Roman" w:hAnsi="Times New Roman" w:cs="Times New Roman"/>
                <w:color w:val="000000"/>
              </w:rPr>
            </w:pPr>
          </w:p>
        </w:tc>
      </w:tr>
      <w:tr w14:paraId="05D8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1" w:hRule="atLeast"/>
          <w:jc w:val="right"/>
        </w:trPr>
        <w:tc>
          <w:tcPr>
            <w:tcW w:w="993" w:type="dxa"/>
            <w:vAlign w:val="center"/>
          </w:tcPr>
          <w:p w14:paraId="7E210250">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10.</w:t>
            </w:r>
            <w:r>
              <w:rPr>
                <w:rFonts w:hint="eastAsia" w:ascii="Times New Roman" w:hAnsi="Times New Roman" w:cs="Times New Roman"/>
                <w:color w:val="000000"/>
                <w:szCs w:val="21"/>
                <w:lang w:val="en-US" w:eastAsia="zh-CN"/>
              </w:rPr>
              <w:t>3</w:t>
            </w:r>
            <w:r>
              <w:rPr>
                <w:rFonts w:hint="default" w:ascii="Times New Roman" w:hAnsi="Times New Roman" w:cs="Times New Roman"/>
                <w:color w:val="000000"/>
                <w:szCs w:val="21"/>
              </w:rPr>
              <w:t>.4</w:t>
            </w:r>
          </w:p>
        </w:tc>
        <w:tc>
          <w:tcPr>
            <w:tcW w:w="2551" w:type="dxa"/>
            <w:vAlign w:val="center"/>
          </w:tcPr>
          <w:p w14:paraId="30BA691D">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政府采购工程及工程相关货物或服务价格优惠政策</w:t>
            </w:r>
          </w:p>
        </w:tc>
        <w:tc>
          <w:tcPr>
            <w:tcW w:w="5529" w:type="dxa"/>
            <w:vAlign w:val="center"/>
          </w:tcPr>
          <w:p w14:paraId="1E1FEB4B">
            <w:pPr>
              <w:rPr>
                <w:rFonts w:hint="default" w:ascii="Times New Roman" w:hAnsi="Times New Roman" w:cs="Times New Roman"/>
                <w:color w:val="000000"/>
              </w:rPr>
            </w:pPr>
            <w:r>
              <w:rPr>
                <w:rFonts w:hint="default" w:ascii="Times New Roman" w:hAnsi="Times New Roman" w:cs="Times New Roman"/>
                <w:color w:val="000000"/>
                <w:szCs w:val="21"/>
              </w:rPr>
              <w:t>对</w:t>
            </w:r>
            <w:r>
              <w:rPr>
                <w:rFonts w:hint="default" w:ascii="Times New Roman" w:hAnsi="Times New Roman" w:cs="Times New Roman"/>
                <w:color w:val="000000"/>
              </w:rPr>
              <w:t>项目未预留份额专门面向中小企业采购的</w:t>
            </w:r>
            <w:r>
              <w:rPr>
                <w:rFonts w:hint="default" w:ascii="Times New Roman" w:hAnsi="Times New Roman" w:cs="Times New Roman"/>
                <w:color w:val="000000"/>
                <w:szCs w:val="21"/>
              </w:rPr>
              <w:t>（综合评分法）</w:t>
            </w:r>
          </w:p>
          <w:p w14:paraId="6519B4F7">
            <w:pPr>
              <w:rPr>
                <w:rFonts w:hint="default" w:ascii="Times New Roman" w:hAnsi="Times New Roman" w:cs="Times New Roman"/>
                <w:color w:val="000000"/>
                <w:szCs w:val="21"/>
              </w:rPr>
            </w:pPr>
            <w:r>
              <w:rPr>
                <w:rFonts w:hint="default" w:ascii="Times New Roman" w:hAnsi="Times New Roman" w:cs="Times New Roman"/>
                <w:color w:val="000000"/>
              </w:rPr>
              <w:t>1.如</w:t>
            </w:r>
            <w:r>
              <w:rPr>
                <w:rFonts w:hint="default" w:ascii="Times New Roman" w:hAnsi="Times New Roman" w:cs="Times New Roman"/>
                <w:color w:val="000000"/>
                <w:szCs w:val="21"/>
              </w:rPr>
              <w:t>投标人属于小微企业的，评标时在其投标报价得分的基础上增加</w:t>
            </w:r>
            <w:r>
              <w:rPr>
                <w:rFonts w:hint="default" w:ascii="Times New Roman" w:hAnsi="Times New Roman" w:cs="Times New Roman"/>
                <w:color w:val="000000"/>
                <w:szCs w:val="21"/>
                <w:u w:val="single"/>
              </w:rPr>
              <w:t xml:space="preserve">  P%  </w:t>
            </w:r>
            <w:r>
              <w:rPr>
                <w:rFonts w:hint="default" w:ascii="Times New Roman" w:hAnsi="Times New Roman" w:cs="Times New Roman"/>
                <w:color w:val="000000"/>
                <w:szCs w:val="21"/>
              </w:rPr>
              <w:t>作为其投标报价最终得分。</w:t>
            </w:r>
          </w:p>
          <w:p w14:paraId="5E7ECF0C">
            <w:pPr>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 xml:space="preserve">即S= M×(1+P%) </w:t>
            </w:r>
          </w:p>
          <w:p w14:paraId="253A8C27">
            <w:pPr>
              <w:rPr>
                <w:rFonts w:hint="default" w:ascii="Times New Roman" w:hAnsi="Times New Roman" w:cs="Times New Roman"/>
                <w:color w:val="000000"/>
                <w:szCs w:val="21"/>
              </w:rPr>
            </w:pPr>
            <w:r>
              <w:rPr>
                <w:rFonts w:hint="default" w:ascii="Times New Roman" w:hAnsi="Times New Roman" w:cs="Times New Roman"/>
                <w:color w:val="000000"/>
                <w:szCs w:val="21"/>
              </w:rPr>
              <w:t>S：为最终价格得分，M：为享受价格优惠前的报价得分</w:t>
            </w:r>
          </w:p>
          <w:p w14:paraId="7F559618">
            <w:pPr>
              <w:rPr>
                <w:rFonts w:hint="default" w:ascii="Times New Roman" w:hAnsi="Times New Roman" w:cs="Times New Roman"/>
                <w:color w:val="000000"/>
                <w:szCs w:val="21"/>
              </w:rPr>
            </w:pPr>
            <w:r>
              <w:rPr>
                <w:rFonts w:hint="default" w:ascii="Times New Roman" w:hAnsi="Times New Roman" w:cs="Times New Roman"/>
                <w:color w:val="000000"/>
                <w:szCs w:val="21"/>
              </w:rPr>
              <w:t>P：为小微企业报价优惠系数，范围为3-5的整数，由招标人确定。P的取值见第二章投标人须知前附表第10.4.5项。</w:t>
            </w:r>
          </w:p>
          <w:p w14:paraId="1B872A77">
            <w:pPr>
              <w:ind w:firstLine="420" w:firstLineChars="200"/>
              <w:rPr>
                <w:rFonts w:hint="default" w:ascii="Times New Roman" w:hAnsi="Times New Roman" w:cs="Times New Roman"/>
                <w:color w:val="000000"/>
                <w:kern w:val="0"/>
                <w:szCs w:val="21"/>
              </w:rPr>
            </w:pPr>
            <w:r>
              <w:rPr>
                <w:rFonts w:hint="default" w:ascii="Times New Roman" w:hAnsi="Times New Roman" w:cs="Times New Roman"/>
                <w:color w:val="000000"/>
                <w:szCs w:val="21"/>
              </w:rPr>
              <w:t>如招标人接受联合体，</w:t>
            </w:r>
            <w:r>
              <w:rPr>
                <w:rFonts w:hint="default" w:ascii="Times New Roman" w:hAnsi="Times New Roman" w:cs="Times New Roman"/>
                <w:color w:val="000000"/>
                <w:kern w:val="0"/>
                <w:szCs w:val="21"/>
              </w:rPr>
              <w:t>联合体各方均为小微企业的，联合体视同小微企业。</w:t>
            </w:r>
          </w:p>
          <w:p w14:paraId="06708A9C">
            <w:pPr>
              <w:rPr>
                <w:rFonts w:hint="default" w:ascii="Times New Roman" w:hAnsi="Times New Roman" w:cs="Times New Roman"/>
                <w:color w:val="000000"/>
                <w:szCs w:val="21"/>
              </w:rPr>
            </w:pPr>
          </w:p>
          <w:p w14:paraId="121B5AFA">
            <w:pPr>
              <w:rPr>
                <w:rFonts w:hint="default" w:ascii="Times New Roman" w:hAnsi="Times New Roman" w:cs="Times New Roman"/>
                <w:color w:val="000000"/>
                <w:szCs w:val="21"/>
              </w:rPr>
            </w:pPr>
            <w:r>
              <w:rPr>
                <w:rFonts w:hint="default" w:ascii="Times New Roman" w:hAnsi="Times New Roman" w:cs="Times New Roman"/>
                <w:color w:val="000000"/>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w:t>
            </w:r>
            <w:r>
              <w:rPr>
                <w:rFonts w:hint="default" w:ascii="Times New Roman" w:hAnsi="Times New Roman" w:cs="Times New Roman"/>
                <w:color w:val="000000"/>
                <w:szCs w:val="21"/>
                <w:u w:val="single"/>
              </w:rPr>
              <w:t xml:space="preserve">  Q%  </w:t>
            </w:r>
            <w:r>
              <w:rPr>
                <w:rFonts w:hint="default" w:ascii="Times New Roman" w:hAnsi="Times New Roman" w:cs="Times New Roman"/>
                <w:color w:val="000000"/>
                <w:szCs w:val="21"/>
              </w:rPr>
              <w:t>作为其投标报价最终得分。</w:t>
            </w:r>
          </w:p>
          <w:p w14:paraId="7A79EBA7">
            <w:pPr>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 xml:space="preserve">即S= M×(1+Q%) </w:t>
            </w:r>
          </w:p>
          <w:p w14:paraId="281B4122">
            <w:pPr>
              <w:rPr>
                <w:rFonts w:hint="default" w:ascii="Times New Roman" w:hAnsi="Times New Roman" w:cs="Times New Roman"/>
                <w:color w:val="000000"/>
                <w:szCs w:val="21"/>
              </w:rPr>
            </w:pPr>
            <w:r>
              <w:rPr>
                <w:rFonts w:hint="default" w:ascii="Times New Roman" w:hAnsi="Times New Roman" w:cs="Times New Roman"/>
                <w:color w:val="000000"/>
                <w:szCs w:val="21"/>
              </w:rPr>
              <w:t>S：为最终价格得分，M：为享受价格优惠前的报价得分</w:t>
            </w:r>
          </w:p>
          <w:p w14:paraId="221E3D68">
            <w:pPr>
              <w:rPr>
                <w:rFonts w:hint="default" w:ascii="Times New Roman" w:hAnsi="Times New Roman" w:cs="Times New Roman"/>
                <w:color w:val="000000"/>
                <w:szCs w:val="21"/>
              </w:rPr>
            </w:pPr>
            <w:r>
              <w:rPr>
                <w:rFonts w:hint="default" w:ascii="Times New Roman" w:hAnsi="Times New Roman" w:cs="Times New Roman"/>
                <w:color w:val="000000"/>
                <w:szCs w:val="21"/>
              </w:rPr>
              <w:t>Q：为满足条件的联合体或者分包企业报价优惠系数，范围为1-2的整数，由招标人确定。Q的取值见第二章投标人须知前附表第10.4.6项。</w:t>
            </w:r>
          </w:p>
          <w:p w14:paraId="2F9F35CC">
            <w:pPr>
              <w:ind w:firstLine="420" w:firstLineChars="200"/>
              <w:rPr>
                <w:rFonts w:hint="default" w:ascii="Times New Roman" w:hAnsi="Times New Roman" w:cs="Times New Roman"/>
                <w:color w:val="000000"/>
                <w:szCs w:val="21"/>
              </w:rPr>
            </w:pPr>
          </w:p>
          <w:p w14:paraId="46A7F203">
            <w:pPr>
              <w:numPr>
                <w:ilvl w:val="0"/>
                <w:numId w:val="0"/>
              </w:numPr>
              <w:rPr>
                <w:rFonts w:hint="default" w:ascii="Times New Roman" w:hAnsi="Times New Roman" w:cs="Times New Roman"/>
                <w:color w:val="000000"/>
                <w:szCs w:val="21"/>
              </w:rPr>
            </w:pPr>
            <w:r>
              <w:rPr>
                <w:rFonts w:hint="default" w:ascii="Times New Roman" w:hAnsi="Times New Roman" w:eastAsia="宋体" w:cs="Times New Roman"/>
                <w:color w:val="000000"/>
                <w:kern w:val="2"/>
                <w:sz w:val="21"/>
                <w:szCs w:val="21"/>
                <w:lang w:val="en-US" w:eastAsia="zh-CN" w:bidi="ar-SA"/>
              </w:rPr>
              <w:t>3.</w:t>
            </w:r>
            <w:r>
              <w:rPr>
                <w:rFonts w:hint="default" w:ascii="Times New Roman" w:hAnsi="Times New Roman" w:cs="Times New Roman"/>
                <w:color w:val="000000"/>
                <w:szCs w:val="21"/>
              </w:rPr>
              <w:t>组成联合体或者接受分包的小微企业与联合体内其他企业、分包企业之间存在直接控股、管理关系的，不享受价格评审优惠政策。</w:t>
            </w:r>
          </w:p>
          <w:p w14:paraId="4DC30EBD">
            <w:pPr>
              <w:rPr>
                <w:rFonts w:hint="default" w:ascii="Times New Roman" w:hAnsi="Times New Roman" w:cs="Times New Roman"/>
                <w:color w:val="000000"/>
                <w:szCs w:val="21"/>
              </w:rPr>
            </w:pPr>
          </w:p>
          <w:p w14:paraId="199A92CD">
            <w:pPr>
              <w:rPr>
                <w:rFonts w:hint="default" w:ascii="Times New Roman" w:hAnsi="Times New Roman" w:cs="Times New Roman"/>
                <w:color w:val="000000"/>
              </w:rPr>
            </w:pPr>
            <w:r>
              <w:rPr>
                <w:rFonts w:hint="default" w:ascii="Times New Roman" w:hAnsi="Times New Roman" w:cs="Times New Roman"/>
                <w:color w:val="000000"/>
                <w:szCs w:val="21"/>
              </w:rPr>
              <w:t>对</w:t>
            </w:r>
            <w:r>
              <w:rPr>
                <w:rFonts w:hint="default" w:ascii="Times New Roman" w:hAnsi="Times New Roman" w:cs="Times New Roman"/>
                <w:color w:val="000000"/>
              </w:rPr>
              <w:t>项目未预留份额专门面向中小企业采购的</w:t>
            </w:r>
            <w:r>
              <w:rPr>
                <w:rFonts w:hint="default" w:ascii="Times New Roman" w:hAnsi="Times New Roman" w:cs="Times New Roman"/>
                <w:color w:val="000000"/>
                <w:szCs w:val="21"/>
              </w:rPr>
              <w:t>（经评审最低投标价法）</w:t>
            </w:r>
          </w:p>
          <w:p w14:paraId="578AFFB9">
            <w:pPr>
              <w:rPr>
                <w:rFonts w:hint="default" w:ascii="Times New Roman" w:hAnsi="Times New Roman" w:cs="Times New Roman"/>
                <w:color w:val="000000"/>
                <w:szCs w:val="21"/>
              </w:rPr>
            </w:pPr>
            <w:r>
              <w:rPr>
                <w:rFonts w:hint="default" w:ascii="Times New Roman" w:hAnsi="Times New Roman" w:cs="Times New Roman"/>
                <w:color w:val="000000"/>
              </w:rPr>
              <w:t>1.如</w:t>
            </w:r>
            <w:r>
              <w:rPr>
                <w:rFonts w:hint="default" w:ascii="Times New Roman" w:hAnsi="Times New Roman" w:cs="Times New Roman"/>
                <w:color w:val="000000"/>
                <w:szCs w:val="21"/>
              </w:rPr>
              <w:t>投标人属于小微企业的，评标时在其投标报价的基础上扣除</w:t>
            </w:r>
            <w:r>
              <w:rPr>
                <w:rFonts w:hint="default" w:ascii="Times New Roman" w:hAnsi="Times New Roman" w:cs="Times New Roman"/>
                <w:color w:val="000000"/>
                <w:szCs w:val="21"/>
                <w:u w:val="single"/>
              </w:rPr>
              <w:t xml:space="preserve">  P%  </w:t>
            </w:r>
            <w:r>
              <w:rPr>
                <w:rFonts w:hint="default" w:ascii="Times New Roman" w:hAnsi="Times New Roman" w:cs="Times New Roman"/>
                <w:color w:val="000000"/>
                <w:szCs w:val="21"/>
              </w:rPr>
              <w:t>作为其最终评审报价。</w:t>
            </w:r>
          </w:p>
          <w:p w14:paraId="750115C6">
            <w:pPr>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 xml:space="preserve">即S= M×(1-P%) </w:t>
            </w:r>
          </w:p>
          <w:p w14:paraId="690D275A">
            <w:pPr>
              <w:rPr>
                <w:rFonts w:hint="default" w:ascii="Times New Roman" w:hAnsi="Times New Roman" w:cs="Times New Roman"/>
                <w:color w:val="000000"/>
                <w:szCs w:val="21"/>
              </w:rPr>
            </w:pPr>
            <w:r>
              <w:rPr>
                <w:rFonts w:hint="default" w:ascii="Times New Roman" w:hAnsi="Times New Roman" w:cs="Times New Roman"/>
                <w:color w:val="000000"/>
                <w:szCs w:val="21"/>
              </w:rPr>
              <w:t>S：为最终参与评审价格，M：为投标人实际报价</w:t>
            </w:r>
          </w:p>
          <w:p w14:paraId="347906E8">
            <w:pPr>
              <w:rPr>
                <w:rFonts w:hint="default" w:ascii="Times New Roman" w:hAnsi="Times New Roman" w:cs="Times New Roman"/>
                <w:color w:val="000000"/>
                <w:szCs w:val="21"/>
              </w:rPr>
            </w:pPr>
            <w:r>
              <w:rPr>
                <w:rFonts w:hint="default" w:ascii="Times New Roman" w:hAnsi="Times New Roman" w:cs="Times New Roman"/>
                <w:color w:val="000000"/>
                <w:szCs w:val="21"/>
              </w:rPr>
              <w:t>P：为小微企业报价优惠系数，范围为3-5的整数，由招标人确定。P的取值见第二章投标人须知前附表第10.4.5项。</w:t>
            </w:r>
          </w:p>
          <w:p w14:paraId="06C5342F">
            <w:pPr>
              <w:ind w:firstLine="420" w:firstLineChars="200"/>
              <w:rPr>
                <w:rFonts w:hint="default" w:ascii="Times New Roman" w:hAnsi="Times New Roman" w:cs="Times New Roman"/>
                <w:color w:val="000000"/>
                <w:kern w:val="0"/>
                <w:szCs w:val="21"/>
              </w:rPr>
            </w:pPr>
            <w:r>
              <w:rPr>
                <w:rFonts w:hint="default" w:ascii="Times New Roman" w:hAnsi="Times New Roman" w:cs="Times New Roman"/>
                <w:color w:val="000000"/>
                <w:szCs w:val="21"/>
              </w:rPr>
              <w:t>如招标人接受联合体，</w:t>
            </w:r>
            <w:r>
              <w:rPr>
                <w:rFonts w:hint="default" w:ascii="Times New Roman" w:hAnsi="Times New Roman" w:cs="Times New Roman"/>
                <w:color w:val="000000"/>
                <w:kern w:val="0"/>
                <w:szCs w:val="21"/>
              </w:rPr>
              <w:t>联合体各方均为小微企业的，联合体视同小微企业。</w:t>
            </w:r>
          </w:p>
          <w:p w14:paraId="51C237BD">
            <w:pPr>
              <w:rPr>
                <w:rFonts w:hint="default" w:ascii="Times New Roman" w:hAnsi="Times New Roman" w:cs="Times New Roman"/>
                <w:color w:val="000000"/>
                <w:szCs w:val="21"/>
              </w:rPr>
            </w:pPr>
          </w:p>
          <w:p w14:paraId="4A5C7AD1">
            <w:pPr>
              <w:rPr>
                <w:rFonts w:hint="default" w:ascii="Times New Roman" w:hAnsi="Times New Roman" w:cs="Times New Roman"/>
                <w:color w:val="000000"/>
                <w:szCs w:val="21"/>
              </w:rPr>
            </w:pPr>
            <w:r>
              <w:rPr>
                <w:rFonts w:hint="default" w:ascii="Times New Roman" w:hAnsi="Times New Roman" w:cs="Times New Roman"/>
                <w:color w:val="000000"/>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30%以上的，评标时在其报价的基础上扣除</w:t>
            </w:r>
            <w:r>
              <w:rPr>
                <w:rFonts w:hint="default" w:ascii="Times New Roman" w:hAnsi="Times New Roman" w:cs="Times New Roman"/>
                <w:color w:val="000000"/>
                <w:szCs w:val="21"/>
                <w:u w:val="single"/>
              </w:rPr>
              <w:t xml:space="preserve">  Q%  </w:t>
            </w:r>
            <w:r>
              <w:rPr>
                <w:rFonts w:hint="default" w:ascii="Times New Roman" w:hAnsi="Times New Roman" w:cs="Times New Roman"/>
                <w:color w:val="000000"/>
                <w:szCs w:val="21"/>
              </w:rPr>
              <w:t>作为其最终评审报价。</w:t>
            </w:r>
          </w:p>
          <w:p w14:paraId="2A069260">
            <w:pPr>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 xml:space="preserve">即S= M×(1-Q%) </w:t>
            </w:r>
          </w:p>
          <w:p w14:paraId="13ADD734">
            <w:pPr>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S：为最终参与评审价格，M：为投标人实际报价</w:t>
            </w:r>
          </w:p>
          <w:p w14:paraId="18F9AB68">
            <w:pPr>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Q：为满足条件的联合体或者分包企业报价优惠系数，范围为1-2的整数，由招标人确定。Q的取值见第二章投标人须知前附表第10.4.6项。</w:t>
            </w:r>
          </w:p>
          <w:p w14:paraId="3BDDD6DA">
            <w:pPr>
              <w:rPr>
                <w:rFonts w:hint="default" w:ascii="Times New Roman" w:hAnsi="Times New Roman" w:cs="Times New Roman"/>
                <w:color w:val="000000"/>
                <w:szCs w:val="21"/>
              </w:rPr>
            </w:pPr>
            <w:r>
              <w:rPr>
                <w:rFonts w:hint="default" w:ascii="Times New Roman" w:hAnsi="Times New Roman" w:cs="Times New Roman"/>
                <w:color w:val="000000"/>
                <w:szCs w:val="21"/>
              </w:rPr>
              <w:t>组成联合体或者接受分包的小微企业与联合体内其他企业、分包企业之间存在直接控股、管理关系的，不享受价格评审优惠政策。</w:t>
            </w:r>
          </w:p>
          <w:p w14:paraId="3899E1CF">
            <w:pPr>
              <w:rPr>
                <w:rFonts w:hint="default" w:ascii="Times New Roman" w:hAnsi="Times New Roman" w:cs="Times New Roman"/>
                <w:color w:val="000000"/>
                <w:szCs w:val="21"/>
              </w:rPr>
            </w:pPr>
          </w:p>
          <w:p w14:paraId="0997A930">
            <w:pPr>
              <w:rPr>
                <w:rFonts w:hint="default" w:ascii="Times New Roman" w:hAnsi="Times New Roman" w:cs="Times New Roman"/>
                <w:color w:val="000000"/>
                <w:szCs w:val="21"/>
              </w:rPr>
            </w:pPr>
          </w:p>
        </w:tc>
      </w:tr>
      <w:tr w14:paraId="13487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right"/>
        </w:trPr>
        <w:tc>
          <w:tcPr>
            <w:tcW w:w="993" w:type="dxa"/>
            <w:vAlign w:val="center"/>
          </w:tcPr>
          <w:p w14:paraId="47F9CBBA">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10.4.5</w:t>
            </w:r>
          </w:p>
        </w:tc>
        <w:tc>
          <w:tcPr>
            <w:tcW w:w="2551" w:type="dxa"/>
            <w:vAlign w:val="center"/>
          </w:tcPr>
          <w:p w14:paraId="78435941">
            <w:pPr>
              <w:rPr>
                <w:rFonts w:hint="default" w:ascii="Times New Roman" w:hAnsi="Times New Roman" w:cs="Times New Roman"/>
                <w:color w:val="000000"/>
                <w:szCs w:val="21"/>
              </w:rPr>
            </w:pPr>
            <w:r>
              <w:rPr>
                <w:rFonts w:hint="default" w:ascii="Times New Roman" w:hAnsi="Times New Roman" w:cs="Times New Roman"/>
                <w:color w:val="000000"/>
                <w:szCs w:val="21"/>
              </w:rPr>
              <w:t>小微企业报价优惠（扣除）系数</w:t>
            </w:r>
          </w:p>
        </w:tc>
        <w:tc>
          <w:tcPr>
            <w:tcW w:w="5529" w:type="dxa"/>
            <w:vAlign w:val="center"/>
          </w:tcPr>
          <w:p w14:paraId="131E42ED">
            <w:pPr>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P的取值：</w:t>
            </w:r>
            <w:permStart w:id="83" w:edGrp="everyone"/>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u w:val="single"/>
                <w:lang w:val="en-US" w:eastAsia="zh-CN"/>
              </w:rPr>
              <w:t>3</w:t>
            </w:r>
            <w:r>
              <w:rPr>
                <w:rFonts w:hint="default" w:ascii="Times New Roman" w:hAnsi="Times New Roman" w:cs="Times New Roman"/>
                <w:color w:val="000000"/>
                <w:szCs w:val="21"/>
                <w:u w:val="single"/>
              </w:rPr>
              <w:t xml:space="preserve">      </w:t>
            </w:r>
            <w:permEnd w:id="83"/>
          </w:p>
        </w:tc>
      </w:tr>
      <w:tr w14:paraId="03C04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right"/>
        </w:trPr>
        <w:tc>
          <w:tcPr>
            <w:tcW w:w="993" w:type="dxa"/>
            <w:vAlign w:val="center"/>
          </w:tcPr>
          <w:p w14:paraId="48EA3DC4">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10.4.6</w:t>
            </w:r>
          </w:p>
        </w:tc>
        <w:tc>
          <w:tcPr>
            <w:tcW w:w="2551" w:type="dxa"/>
            <w:vAlign w:val="center"/>
          </w:tcPr>
          <w:p w14:paraId="3B5C5F9F">
            <w:pPr>
              <w:rPr>
                <w:rFonts w:hint="default" w:ascii="Times New Roman" w:hAnsi="Times New Roman" w:cs="Times New Roman"/>
                <w:color w:val="000000"/>
                <w:szCs w:val="21"/>
              </w:rPr>
            </w:pPr>
            <w:r>
              <w:rPr>
                <w:rFonts w:hint="default" w:ascii="Times New Roman" w:hAnsi="Times New Roman" w:cs="Times New Roman"/>
                <w:color w:val="000000"/>
                <w:szCs w:val="21"/>
              </w:rPr>
              <w:t>满足条件的联合体或者分包企业报价优惠(扣除)系数</w:t>
            </w:r>
          </w:p>
        </w:tc>
        <w:tc>
          <w:tcPr>
            <w:tcW w:w="5529" w:type="dxa"/>
            <w:vAlign w:val="center"/>
          </w:tcPr>
          <w:p w14:paraId="17A2FC00">
            <w:pPr>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Q的取值：</w:t>
            </w:r>
            <w:permStart w:id="84" w:edGrp="everyone"/>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u w:val="single"/>
                <w:lang w:val="en-US" w:eastAsia="zh-CN"/>
              </w:rPr>
              <w:t>/</w:t>
            </w:r>
            <w:r>
              <w:rPr>
                <w:rFonts w:hint="default" w:ascii="Times New Roman" w:hAnsi="Times New Roman" w:cs="Times New Roman"/>
                <w:color w:val="000000"/>
                <w:szCs w:val="21"/>
                <w:u w:val="single"/>
              </w:rPr>
              <w:t xml:space="preserve">     </w:t>
            </w:r>
            <w:permEnd w:id="84"/>
          </w:p>
        </w:tc>
      </w:tr>
      <w:tr w14:paraId="6C6C6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3" w:hRule="atLeast"/>
          <w:jc w:val="right"/>
        </w:trPr>
        <w:tc>
          <w:tcPr>
            <w:tcW w:w="993" w:type="dxa"/>
            <w:vAlign w:val="center"/>
          </w:tcPr>
          <w:p w14:paraId="77D1515A">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10.4.7</w:t>
            </w:r>
          </w:p>
        </w:tc>
        <w:tc>
          <w:tcPr>
            <w:tcW w:w="2551" w:type="dxa"/>
            <w:vAlign w:val="center"/>
          </w:tcPr>
          <w:p w14:paraId="5F33477D">
            <w:pPr>
              <w:jc w:val="center"/>
              <w:rPr>
                <w:rFonts w:hint="default" w:ascii="Times New Roman" w:hAnsi="Times New Roman" w:cs="Times New Roman"/>
                <w:color w:val="000000"/>
                <w:szCs w:val="21"/>
              </w:rPr>
            </w:pPr>
            <w:r>
              <w:rPr>
                <w:rFonts w:hint="default" w:ascii="Times New Roman" w:hAnsi="Times New Roman" w:cs="Times New Roman"/>
                <w:color w:val="000000"/>
              </w:rPr>
              <w:t>政府采购工程及工程相关货物或服务预留工作及金额（部分预留专门面向中小企业时需填写）</w:t>
            </w:r>
          </w:p>
        </w:tc>
        <w:tc>
          <w:tcPr>
            <w:tcW w:w="5529" w:type="dxa"/>
            <w:vAlign w:val="center"/>
          </w:tcPr>
          <w:p w14:paraId="2EF10B85">
            <w:pPr>
              <w:rPr>
                <w:rFonts w:hint="default" w:ascii="Times New Roman" w:hAnsi="Times New Roman" w:cs="Times New Roman"/>
                <w:color w:val="000000"/>
                <w:szCs w:val="21"/>
                <w:u w:val="single"/>
              </w:rPr>
            </w:pPr>
            <w:permStart w:id="85" w:edGrp="everyone"/>
            <w:r>
              <w:rPr>
                <w:rFonts w:hint="default" w:ascii="Times New Roman" w:hAnsi="Times New Roman" w:cs="Times New Roman"/>
                <w:color w:val="000000"/>
                <w:szCs w:val="21"/>
              </w:rPr>
              <w:t>预留工作合同估算总金额：</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万元，总占比</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w:t>
            </w:r>
          </w:p>
          <w:p w14:paraId="12B1EBDC">
            <w:pPr>
              <w:rPr>
                <w:rFonts w:hint="default" w:ascii="Times New Roman" w:hAnsi="Times New Roman" w:cs="Times New Roman"/>
                <w:color w:val="000000"/>
                <w:szCs w:val="21"/>
              </w:rPr>
            </w:pPr>
            <w:r>
              <w:rPr>
                <w:rFonts w:hint="default" w:ascii="Times New Roman" w:hAnsi="Times New Roman" w:cs="Times New Roman"/>
                <w:color w:val="000000"/>
                <w:szCs w:val="21"/>
              </w:rPr>
              <w:t>其中：预留工作内容1合同估算金额：</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万元，占比</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w:t>
            </w:r>
          </w:p>
          <w:p w14:paraId="7BFAC07B">
            <w:pPr>
              <w:rPr>
                <w:rFonts w:hint="default" w:ascii="Times New Roman" w:hAnsi="Times New Roman" w:cs="Times New Roman"/>
                <w:color w:val="000000"/>
                <w:szCs w:val="21"/>
              </w:rPr>
            </w:pPr>
            <w:r>
              <w:rPr>
                <w:rFonts w:hint="default" w:ascii="Times New Roman" w:hAnsi="Times New Roman" w:cs="Times New Roman"/>
                <w:color w:val="000000"/>
                <w:szCs w:val="21"/>
              </w:rPr>
              <w:t xml:space="preserve">      预留工作内容2合同估算金额：</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万元，占比</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w:t>
            </w:r>
          </w:p>
          <w:p w14:paraId="73E2AF80">
            <w:pPr>
              <w:ind w:firstLine="630" w:firstLineChars="300"/>
              <w:rPr>
                <w:rFonts w:hint="default" w:ascii="Times New Roman" w:hAnsi="Times New Roman" w:cs="Times New Roman"/>
                <w:color w:val="000000"/>
                <w:szCs w:val="21"/>
                <w:u w:val="single"/>
              </w:rPr>
            </w:pPr>
            <w:r>
              <w:rPr>
                <w:rFonts w:hint="default" w:ascii="Times New Roman" w:hAnsi="Times New Roman" w:cs="Times New Roman"/>
                <w:color w:val="000000"/>
                <w:szCs w:val="21"/>
              </w:rPr>
              <w:t>预留工作内容3合同估算金额：</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万元，占比</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w:t>
            </w:r>
          </w:p>
          <w:p w14:paraId="5C5D544C">
            <w:pPr>
              <w:ind w:firstLine="630" w:firstLineChars="300"/>
              <w:rPr>
                <w:rFonts w:hint="default" w:ascii="Times New Roman" w:hAnsi="Times New Roman" w:cs="Times New Roman"/>
                <w:color w:val="000000"/>
                <w:szCs w:val="21"/>
                <w:u w:val="single"/>
              </w:rPr>
            </w:pPr>
            <w:r>
              <w:rPr>
                <w:rFonts w:hint="default" w:ascii="Times New Roman" w:hAnsi="Times New Roman" w:cs="Times New Roman"/>
                <w:color w:val="000000"/>
                <w:szCs w:val="21"/>
                <w:u w:val="single"/>
              </w:rPr>
              <w:t xml:space="preserve">  /                    </w:t>
            </w:r>
          </w:p>
          <w:permEnd w:id="85"/>
          <w:p w14:paraId="70DA4CC3">
            <w:pPr>
              <w:ind w:left="945" w:hanging="945" w:hangingChars="450"/>
              <w:jc w:val="left"/>
              <w:rPr>
                <w:rFonts w:hint="default" w:ascii="Times New Roman" w:hAnsi="Times New Roman" w:cs="Times New Roman"/>
                <w:color w:val="000000"/>
              </w:rPr>
            </w:pPr>
            <w:r>
              <w:rPr>
                <w:rFonts w:hint="default" w:ascii="Times New Roman" w:hAnsi="Times New Roman" w:cs="Times New Roman"/>
                <w:color w:val="000000"/>
              </w:rPr>
              <w:t>备注：1. 政府采购工程及工程相关货物或服务采用部分预留专门面向中小企业的，招标人应当明确预留工作、预留工作合同估算价及预留合同估算价与项目合同估算价的占比。</w:t>
            </w:r>
          </w:p>
          <w:p w14:paraId="54AF9EC5">
            <w:pPr>
              <w:ind w:left="945" w:leftChars="300" w:hanging="315" w:hangingChars="150"/>
              <w:jc w:val="left"/>
              <w:rPr>
                <w:rFonts w:hint="default" w:ascii="Times New Roman" w:hAnsi="Times New Roman" w:cs="Times New Roman"/>
                <w:color w:val="000000"/>
              </w:rPr>
            </w:pPr>
            <w:r>
              <w:rPr>
                <w:rFonts w:hint="default" w:ascii="Times New Roman" w:hAnsi="Times New Roman" w:cs="Times New Roman"/>
                <w:color w:val="000000"/>
              </w:rPr>
              <w:t>2. 招标人部分预留专门面向中小企业时，应根据项目的实际情况，结合《建筑法》《招标投标法》《建筑业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12BAC1CE">
            <w:pPr>
              <w:ind w:left="840" w:leftChars="300" w:hanging="210" w:hangingChars="100"/>
              <w:jc w:val="left"/>
              <w:rPr>
                <w:rFonts w:hint="default" w:ascii="Times New Roman" w:hAnsi="Times New Roman" w:cs="Times New Roman"/>
                <w:color w:val="000000"/>
                <w:szCs w:val="21"/>
                <w:u w:val="single"/>
              </w:rPr>
            </w:pPr>
            <w:r>
              <w:rPr>
                <w:rFonts w:hint="default" w:ascii="Times New Roman" w:hAnsi="Times New Roman" w:cs="Times New Roman"/>
                <w:color w:val="000000"/>
              </w:rPr>
              <w:t>3. 预留工作中包含专业工程暂估价的，则在备注栏中标注采用工程招标或政府采购方式专门面向中小（小微）企业。</w:t>
            </w:r>
          </w:p>
        </w:tc>
      </w:tr>
      <w:tr w14:paraId="38138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right"/>
        </w:trPr>
        <w:tc>
          <w:tcPr>
            <w:tcW w:w="993" w:type="dxa"/>
            <w:vAlign w:val="center"/>
          </w:tcPr>
          <w:p w14:paraId="36EE8E88">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10.4.8</w:t>
            </w:r>
          </w:p>
        </w:tc>
        <w:tc>
          <w:tcPr>
            <w:tcW w:w="2551" w:type="dxa"/>
            <w:vAlign w:val="center"/>
          </w:tcPr>
          <w:p w14:paraId="79E14A9A">
            <w:pPr>
              <w:jc w:val="center"/>
              <w:rPr>
                <w:rFonts w:hint="default" w:ascii="Times New Roman" w:hAnsi="Times New Roman" w:cs="Times New Roman"/>
                <w:color w:val="000000"/>
                <w:szCs w:val="21"/>
              </w:rPr>
            </w:pPr>
            <w:r>
              <w:rPr>
                <w:rFonts w:hint="default" w:ascii="Times New Roman" w:hAnsi="Times New Roman" w:cs="Times New Roman"/>
                <w:color w:val="000000"/>
              </w:rPr>
              <w:t>政府采购工程及工程相关货物或服务适合小微企业承担的工作及金额</w:t>
            </w:r>
          </w:p>
        </w:tc>
        <w:tc>
          <w:tcPr>
            <w:tcW w:w="5529" w:type="dxa"/>
            <w:vAlign w:val="center"/>
          </w:tcPr>
          <w:p w14:paraId="333EED59">
            <w:pPr>
              <w:rPr>
                <w:rFonts w:hint="default" w:ascii="Times New Roman" w:hAnsi="Times New Roman" w:cs="Times New Roman"/>
                <w:color w:val="000000"/>
                <w:szCs w:val="21"/>
                <w:u w:val="single"/>
              </w:rPr>
            </w:pPr>
            <w:permStart w:id="86" w:edGrp="everyone"/>
            <w:r>
              <w:rPr>
                <w:rFonts w:hint="default" w:ascii="Times New Roman" w:hAnsi="Times New Roman" w:cs="Times New Roman"/>
                <w:color w:val="000000"/>
                <w:szCs w:val="21"/>
              </w:rPr>
              <w:t>适合工作合同估算总金额：</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万元，总占比</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w:t>
            </w:r>
          </w:p>
          <w:p w14:paraId="5619B152">
            <w:pPr>
              <w:rPr>
                <w:rFonts w:hint="default" w:ascii="Times New Roman" w:hAnsi="Times New Roman" w:cs="Times New Roman"/>
                <w:color w:val="000000"/>
                <w:szCs w:val="21"/>
              </w:rPr>
            </w:pPr>
            <w:r>
              <w:rPr>
                <w:rFonts w:hint="default" w:ascii="Times New Roman" w:hAnsi="Times New Roman" w:cs="Times New Roman"/>
                <w:color w:val="000000"/>
                <w:szCs w:val="21"/>
              </w:rPr>
              <w:t>其中：适合工作内容1合同估算金额：</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万元，占比</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w:t>
            </w:r>
          </w:p>
          <w:p w14:paraId="1B4C4221">
            <w:pPr>
              <w:rPr>
                <w:rFonts w:hint="default" w:ascii="Times New Roman" w:hAnsi="Times New Roman" w:cs="Times New Roman"/>
                <w:color w:val="000000"/>
                <w:szCs w:val="21"/>
              </w:rPr>
            </w:pPr>
            <w:r>
              <w:rPr>
                <w:rFonts w:hint="default" w:ascii="Times New Roman" w:hAnsi="Times New Roman" w:cs="Times New Roman"/>
                <w:color w:val="000000"/>
                <w:szCs w:val="21"/>
              </w:rPr>
              <w:t xml:space="preserve">      适合工作内容2合同估算金额：</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万元，占比</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w:t>
            </w:r>
          </w:p>
          <w:p w14:paraId="6D9C8566">
            <w:pPr>
              <w:ind w:firstLine="630" w:firstLineChars="300"/>
              <w:rPr>
                <w:rFonts w:hint="default" w:ascii="Times New Roman" w:hAnsi="Times New Roman" w:cs="Times New Roman"/>
                <w:color w:val="000000"/>
                <w:szCs w:val="21"/>
                <w:u w:val="single"/>
              </w:rPr>
            </w:pPr>
            <w:r>
              <w:rPr>
                <w:rFonts w:hint="default" w:ascii="Times New Roman" w:hAnsi="Times New Roman" w:cs="Times New Roman"/>
                <w:color w:val="000000"/>
                <w:szCs w:val="21"/>
              </w:rPr>
              <w:t>适合工作内容3合同估算金额：</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万元，占比</w:t>
            </w: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w:t>
            </w:r>
          </w:p>
          <w:p w14:paraId="53F8BFF3">
            <w:pPr>
              <w:ind w:firstLine="630" w:firstLineChars="300"/>
              <w:rPr>
                <w:rFonts w:hint="default" w:ascii="Times New Roman" w:hAnsi="Times New Roman" w:cs="Times New Roman"/>
                <w:color w:val="000000"/>
                <w:szCs w:val="21"/>
                <w:u w:val="single"/>
              </w:rPr>
            </w:pPr>
            <w:r>
              <w:rPr>
                <w:rFonts w:hint="default" w:ascii="Times New Roman" w:hAnsi="Times New Roman" w:cs="Times New Roman"/>
                <w:color w:val="000000"/>
                <w:szCs w:val="21"/>
                <w:u w:val="single"/>
              </w:rPr>
              <w:t xml:space="preserve"> /                     </w:t>
            </w:r>
            <w:permEnd w:id="86"/>
          </w:p>
          <w:p w14:paraId="643285F7">
            <w:pPr>
              <w:ind w:left="945" w:hanging="945" w:hangingChars="450"/>
              <w:jc w:val="left"/>
              <w:rPr>
                <w:rFonts w:hint="default" w:ascii="Times New Roman" w:hAnsi="Times New Roman" w:cs="Times New Roman"/>
                <w:color w:val="000000"/>
              </w:rPr>
            </w:pPr>
            <w:r>
              <w:rPr>
                <w:rFonts w:hint="default" w:ascii="Times New Roman" w:hAnsi="Times New Roman" w:cs="Times New Roman"/>
                <w:color w:val="000000"/>
              </w:rPr>
              <w:t>备注：1. 政府采购工程</w:t>
            </w:r>
            <w:r>
              <w:rPr>
                <w:rFonts w:hint="default" w:ascii="Times New Roman" w:hAnsi="Times New Roman" w:cs="Times New Roman"/>
                <w:color w:val="000000"/>
                <w:szCs w:val="21"/>
              </w:rPr>
              <w:t>未预留份额面向中小企业采购的</w:t>
            </w:r>
            <w:r>
              <w:rPr>
                <w:rFonts w:hint="default" w:ascii="Times New Roman" w:hAnsi="Times New Roman" w:cs="Times New Roman"/>
                <w:color w:val="000000"/>
              </w:rPr>
              <w:t>，如果招标人</w:t>
            </w:r>
            <w:r>
              <w:rPr>
                <w:rFonts w:hint="default" w:ascii="Times New Roman" w:hAnsi="Times New Roman" w:cs="Times New Roman"/>
                <w:color w:val="000000"/>
                <w:szCs w:val="21"/>
              </w:rPr>
              <w:t>接受大中型企业与小微企业组成联合体或允许大中型企业向一家或者多家小微企业分包，</w:t>
            </w:r>
            <w:r>
              <w:rPr>
                <w:rFonts w:hint="default" w:ascii="Times New Roman" w:hAnsi="Times New Roman" w:cs="Times New Roman"/>
                <w:color w:val="000000"/>
              </w:rPr>
              <w:t>招标人宜明确适合</w:t>
            </w:r>
            <w:r>
              <w:rPr>
                <w:rFonts w:hint="default" w:ascii="Times New Roman" w:hAnsi="Times New Roman" w:cs="Times New Roman"/>
                <w:color w:val="000000"/>
                <w:szCs w:val="21"/>
              </w:rPr>
              <w:t>联合体中的小微企业或适合接受分包的小微企业承担的</w:t>
            </w:r>
            <w:r>
              <w:rPr>
                <w:rFonts w:hint="default" w:ascii="Times New Roman" w:hAnsi="Times New Roman" w:cs="Times New Roman"/>
                <w:color w:val="000000"/>
              </w:rPr>
              <w:t>工作、适合工作的合同估算价及适合工作的合同估算价与项目合同估算价的占比，以供投标人组建联合体或签订</w:t>
            </w:r>
            <w:r>
              <w:rPr>
                <w:rFonts w:hint="default" w:ascii="Times New Roman" w:hAnsi="Times New Roman" w:cs="Times New Roman"/>
                <w:color w:val="000000"/>
                <w:szCs w:val="21"/>
              </w:rPr>
              <w:t>分包意向</w:t>
            </w:r>
            <w:r>
              <w:rPr>
                <w:rFonts w:hint="default" w:ascii="Times New Roman" w:hAnsi="Times New Roman" w:cs="Times New Roman"/>
                <w:color w:val="000000"/>
              </w:rPr>
              <w:t>协议时参考。</w:t>
            </w:r>
          </w:p>
          <w:p w14:paraId="64D127EA">
            <w:pPr>
              <w:ind w:left="945" w:leftChars="300" w:hanging="315" w:hangingChars="150"/>
              <w:jc w:val="left"/>
              <w:rPr>
                <w:rFonts w:hint="default" w:ascii="Times New Roman" w:hAnsi="Times New Roman" w:cs="Times New Roman"/>
                <w:color w:val="000000"/>
                <w:szCs w:val="21"/>
              </w:rPr>
            </w:pPr>
            <w:r>
              <w:rPr>
                <w:rFonts w:hint="default" w:ascii="Times New Roman" w:hAnsi="Times New Roman" w:cs="Times New Roman"/>
                <w:color w:val="000000"/>
              </w:rPr>
              <w:t>2. 适合工作中包含专业工程暂估价的，则在备注栏中标注采用工程招标或政府采购方式专门面向中小（小微）企业。</w:t>
            </w:r>
          </w:p>
        </w:tc>
      </w:tr>
      <w:tr w14:paraId="3CE8E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right"/>
        </w:trPr>
        <w:tc>
          <w:tcPr>
            <w:tcW w:w="993" w:type="dxa"/>
            <w:vAlign w:val="center"/>
          </w:tcPr>
          <w:p w14:paraId="33B6DE5F">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10.4.9</w:t>
            </w:r>
          </w:p>
        </w:tc>
        <w:tc>
          <w:tcPr>
            <w:tcW w:w="2551" w:type="dxa"/>
            <w:vAlign w:val="center"/>
          </w:tcPr>
          <w:p w14:paraId="721E9CF4">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享受价格优惠政策后的价格分说明（综合评分法）</w:t>
            </w:r>
          </w:p>
        </w:tc>
        <w:tc>
          <w:tcPr>
            <w:tcW w:w="5529" w:type="dxa"/>
            <w:vAlign w:val="center"/>
          </w:tcPr>
          <w:p w14:paraId="1E9065D3">
            <w:pPr>
              <w:rPr>
                <w:rFonts w:hint="default" w:ascii="Times New Roman" w:hAnsi="Times New Roman" w:cs="Times New Roman"/>
                <w:color w:val="000000"/>
                <w:szCs w:val="21"/>
              </w:rPr>
            </w:pPr>
            <w:r>
              <w:rPr>
                <w:rFonts w:hint="default" w:ascii="Times New Roman" w:hAnsi="Times New Roman" w:cs="Times New Roman"/>
                <w:color w:val="000000"/>
                <w:szCs w:val="21"/>
              </w:rPr>
              <w:t>本项目如享受政府采购相关价格优惠政策，符合条件的投标人最终价格得分应是享受价格优惠政策前的价格分加上价格优惠加分，具体分数由评标委员会根据招标文件相关要求和投标人提供的资料进行评判。</w:t>
            </w:r>
          </w:p>
        </w:tc>
      </w:tr>
      <w:tr w14:paraId="12581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right"/>
        </w:trPr>
        <w:tc>
          <w:tcPr>
            <w:tcW w:w="993" w:type="dxa"/>
            <w:vAlign w:val="center"/>
          </w:tcPr>
          <w:p w14:paraId="53262D2A">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10.4.10</w:t>
            </w:r>
          </w:p>
        </w:tc>
        <w:tc>
          <w:tcPr>
            <w:tcW w:w="2551" w:type="dxa"/>
            <w:vAlign w:val="center"/>
          </w:tcPr>
          <w:p w14:paraId="48EEA01E">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享受价格优惠政策后的价格说明（经评审最低投标价法）</w:t>
            </w:r>
          </w:p>
        </w:tc>
        <w:tc>
          <w:tcPr>
            <w:tcW w:w="5529" w:type="dxa"/>
            <w:vAlign w:val="center"/>
          </w:tcPr>
          <w:p w14:paraId="21056915">
            <w:pPr>
              <w:rPr>
                <w:rFonts w:hint="default" w:ascii="Times New Roman" w:hAnsi="Times New Roman" w:cs="Times New Roman"/>
                <w:color w:val="000000"/>
                <w:szCs w:val="21"/>
              </w:rPr>
            </w:pPr>
            <w:r>
              <w:rPr>
                <w:rFonts w:hint="default" w:ascii="Times New Roman" w:hAnsi="Times New Roman" w:cs="Times New Roman"/>
                <w:color w:val="000000"/>
                <w:szCs w:val="21"/>
              </w:rPr>
              <w:t>本项目如享受政府采购相关价格优惠政策，符合条件的投标人最终参与评审价格应是投标报价减去享受价格优惠政策的价格扣除后的价格，具体由评标委员会根据招标文件相关要求和投标人提供的资料进行评判</w:t>
            </w:r>
          </w:p>
        </w:tc>
      </w:tr>
      <w:tr w14:paraId="3720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right"/>
        </w:trPr>
        <w:tc>
          <w:tcPr>
            <w:tcW w:w="993" w:type="dxa"/>
            <w:vAlign w:val="center"/>
          </w:tcPr>
          <w:p w14:paraId="5CF2F996">
            <w:pPr>
              <w:jc w:val="center"/>
              <w:rPr>
                <w:rFonts w:hint="default" w:ascii="Times New Roman" w:hAnsi="Times New Roman" w:cs="Times New Roman"/>
                <w:color w:val="000000"/>
                <w:szCs w:val="21"/>
              </w:rPr>
            </w:pPr>
            <w:r>
              <w:rPr>
                <w:rFonts w:hint="default" w:ascii="Times New Roman" w:hAnsi="Times New Roman" w:cs="Times New Roman"/>
                <w:color w:val="000000"/>
              </w:rPr>
              <w:t>10.5</w:t>
            </w:r>
          </w:p>
        </w:tc>
        <w:tc>
          <w:tcPr>
            <w:tcW w:w="2551" w:type="dxa"/>
            <w:vAlign w:val="center"/>
          </w:tcPr>
          <w:p w14:paraId="53B9C50D">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评定分离特别规定</w:t>
            </w:r>
          </w:p>
        </w:tc>
        <w:tc>
          <w:tcPr>
            <w:tcW w:w="5529" w:type="dxa"/>
          </w:tcPr>
          <w:p w14:paraId="380B95BB">
            <w:pPr>
              <w:adjustRightInd w:val="0"/>
              <w:snapToGrid w:val="0"/>
              <w:jc w:val="left"/>
              <w:rPr>
                <w:rFonts w:hint="default" w:ascii="Times New Roman" w:hAnsi="Times New Roman" w:cs="Times New Roman"/>
                <w:color w:val="000000"/>
              </w:rPr>
            </w:pPr>
          </w:p>
          <w:p w14:paraId="77D582E3">
            <w:pPr>
              <w:rPr>
                <w:rFonts w:hint="default" w:ascii="Times New Roman" w:hAnsi="Times New Roman" w:cs="Times New Roman"/>
                <w:color w:val="000000"/>
                <w:szCs w:val="21"/>
              </w:rPr>
            </w:pPr>
            <w:r>
              <w:rPr>
                <w:rFonts w:hint="default" w:ascii="Times New Roman" w:hAnsi="Times New Roman" w:cs="Times New Roman"/>
                <w:color w:val="000000"/>
              </w:rPr>
              <w:t>本次招标是否采用评定分离方式定标：</w:t>
            </w:r>
            <w:r>
              <w:rPr>
                <w:rFonts w:hint="default" w:ascii="Times New Roman" w:hAnsi="Times New Roman" w:cs="Times New Roman"/>
                <w:color w:val="000000"/>
                <w:lang w:eastAsia="zh-CN"/>
              </w:rPr>
              <w:t>☑</w:t>
            </w:r>
            <w:r>
              <w:rPr>
                <w:rFonts w:hint="default" w:ascii="Times New Roman" w:hAnsi="Times New Roman" w:cs="Times New Roman"/>
                <w:color w:val="000000"/>
              </w:rPr>
              <w:t xml:space="preserve">是  </w:t>
            </w:r>
            <w:r>
              <w:rPr>
                <w:rFonts w:hint="default" w:ascii="Times New Roman" w:hAnsi="Times New Roman" w:cs="Times New Roman"/>
                <w:color w:val="000000"/>
                <w:lang w:eastAsia="zh-CN"/>
              </w:rPr>
              <w:t>□</w:t>
            </w:r>
            <w:r>
              <w:rPr>
                <w:rFonts w:hint="default" w:ascii="Times New Roman" w:hAnsi="Times New Roman" w:cs="Times New Roman"/>
                <w:color w:val="000000"/>
              </w:rPr>
              <w:t>否</w:t>
            </w:r>
          </w:p>
        </w:tc>
      </w:tr>
      <w:tr w14:paraId="6560F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right"/>
        </w:trPr>
        <w:tc>
          <w:tcPr>
            <w:tcW w:w="993" w:type="dxa"/>
            <w:vAlign w:val="center"/>
          </w:tcPr>
          <w:p w14:paraId="41CE7BC7">
            <w:pPr>
              <w:jc w:val="center"/>
              <w:rPr>
                <w:rFonts w:hint="default" w:ascii="Times New Roman" w:hAnsi="Times New Roman" w:cs="Times New Roman"/>
                <w:color w:val="000000"/>
                <w:szCs w:val="21"/>
              </w:rPr>
            </w:pPr>
            <w:r>
              <w:rPr>
                <w:rFonts w:hint="default" w:ascii="Times New Roman" w:hAnsi="Times New Roman" w:cs="Times New Roman"/>
                <w:color w:val="000000"/>
              </w:rPr>
              <w:t>10.5.1</w:t>
            </w:r>
          </w:p>
        </w:tc>
        <w:tc>
          <w:tcPr>
            <w:tcW w:w="2551" w:type="dxa"/>
            <w:vAlign w:val="center"/>
          </w:tcPr>
          <w:p w14:paraId="4974AA75">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定标方法</w:t>
            </w:r>
          </w:p>
        </w:tc>
        <w:tc>
          <w:tcPr>
            <w:tcW w:w="5529" w:type="dxa"/>
          </w:tcPr>
          <w:p w14:paraId="5323CD9E">
            <w:pPr>
              <w:adjustRightInd w:val="0"/>
              <w:snapToGrid w:val="0"/>
              <w:jc w:val="left"/>
              <w:rPr>
                <w:rFonts w:hint="default" w:ascii="Times New Roman" w:hAnsi="Times New Roman" w:cs="Times New Roman"/>
                <w:color w:val="000000"/>
                <w:szCs w:val="21"/>
                <w:u w:val="single"/>
              </w:rPr>
            </w:pPr>
            <w:bookmarkStart w:id="11" w:name="EB74a7c60155094b9aa186b2fe1ec4dec8"/>
          </w:p>
          <w:p w14:paraId="1C7216D6">
            <w:pPr>
              <w:adjustRightInd w:val="0"/>
              <w:snapToGrid w:val="0"/>
              <w:jc w:val="left"/>
              <w:rPr>
                <w:rFonts w:hint="default" w:ascii="Times New Roman" w:hAnsi="Times New Roman" w:cs="Times New Roman"/>
                <w:color w:val="000000"/>
                <w:szCs w:val="24"/>
                <w:lang w:bidi="ar"/>
              </w:rPr>
            </w:pPr>
            <w:r>
              <w:rPr>
                <w:rFonts w:hint="default" w:ascii="Times New Roman" w:hAnsi="Times New Roman" w:cs="Times New Roman"/>
                <w:color w:val="000000"/>
              </w:rPr>
              <w:t>□</w:t>
            </w:r>
            <w:r>
              <w:rPr>
                <w:rFonts w:hint="default" w:ascii="Times New Roman" w:hAnsi="Times New Roman" w:cs="Times New Roman"/>
                <w:color w:val="000000"/>
                <w:szCs w:val="24"/>
                <w:lang w:bidi="ar"/>
              </w:rPr>
              <w:t>价格竞争定标法</w:t>
            </w:r>
          </w:p>
          <w:p w14:paraId="28F2CF49">
            <w:pPr>
              <w:adjustRightInd w:val="0"/>
              <w:snapToGrid w:val="0"/>
              <w:jc w:val="left"/>
              <w:rPr>
                <w:rFonts w:hint="default" w:ascii="Times New Roman" w:hAnsi="Times New Roman" w:cs="Times New Roman"/>
                <w:color w:val="000000"/>
                <w:szCs w:val="24"/>
                <w:lang w:bidi="ar"/>
              </w:rPr>
            </w:pPr>
          </w:p>
          <w:p w14:paraId="61D1CF0F">
            <w:pPr>
              <w:adjustRightInd w:val="0"/>
              <w:snapToGrid w:val="0"/>
              <w:jc w:val="left"/>
              <w:rPr>
                <w:rFonts w:hint="default" w:ascii="Times New Roman" w:hAnsi="Times New Roman" w:cs="Times New Roman"/>
                <w:color w:val="000000"/>
                <w:szCs w:val="24"/>
                <w:lang w:bidi="ar"/>
              </w:rPr>
            </w:pPr>
            <w:r>
              <w:rPr>
                <w:rFonts w:hint="eastAsia" w:ascii="Times New Roman" w:hAnsi="Times New Roman" w:cs="Times New Roman"/>
                <w:color w:val="000000"/>
                <w:szCs w:val="24"/>
                <w:lang w:eastAsia="zh-CN"/>
              </w:rPr>
              <w:t>☑</w:t>
            </w:r>
            <w:r>
              <w:rPr>
                <w:rFonts w:hint="default" w:ascii="Times New Roman" w:hAnsi="Times New Roman" w:cs="Times New Roman"/>
                <w:color w:val="000000"/>
                <w:szCs w:val="24"/>
                <w:lang w:bidi="ar"/>
              </w:rPr>
              <w:t xml:space="preserve">票决数量法     </w:t>
            </w:r>
            <w:r>
              <w:rPr>
                <w:rFonts w:hint="default" w:ascii="Times New Roman" w:hAnsi="Times New Roman" w:cs="Times New Roman"/>
                <w:color w:val="000000"/>
                <w:szCs w:val="24"/>
              </w:rPr>
              <w:t>□</w:t>
            </w:r>
            <w:r>
              <w:rPr>
                <w:rFonts w:hint="default" w:ascii="Times New Roman" w:hAnsi="Times New Roman" w:cs="Times New Roman"/>
                <w:color w:val="000000"/>
                <w:szCs w:val="24"/>
                <w:lang w:bidi="ar"/>
              </w:rPr>
              <w:t>票决计分法</w:t>
            </w:r>
          </w:p>
          <w:p w14:paraId="50152926">
            <w:pPr>
              <w:adjustRightInd w:val="0"/>
              <w:snapToGrid w:val="0"/>
              <w:jc w:val="left"/>
              <w:rPr>
                <w:rFonts w:hint="default" w:ascii="Times New Roman" w:hAnsi="Times New Roman" w:cs="Times New Roman"/>
                <w:color w:val="000000"/>
                <w:szCs w:val="24"/>
                <w:lang w:bidi="ar"/>
              </w:rPr>
            </w:pPr>
          </w:p>
          <w:p w14:paraId="7950B43E">
            <w:pPr>
              <w:adjustRightInd w:val="0"/>
              <w:snapToGrid w:val="0"/>
              <w:jc w:val="left"/>
              <w:rPr>
                <w:rFonts w:hint="default" w:ascii="Times New Roman" w:hAnsi="Times New Roman" w:cs="Times New Roman"/>
                <w:color w:val="000000"/>
                <w:szCs w:val="24"/>
              </w:rPr>
            </w:pPr>
            <w:r>
              <w:rPr>
                <w:rFonts w:hint="default" w:ascii="Times New Roman" w:hAnsi="Times New Roman" w:cs="Times New Roman"/>
                <w:color w:val="000000"/>
                <w:szCs w:val="24"/>
              </w:rPr>
              <w:t>□</w:t>
            </w:r>
            <w:r>
              <w:rPr>
                <w:rFonts w:hint="default" w:ascii="Times New Roman" w:hAnsi="Times New Roman" w:cs="Times New Roman"/>
                <w:color w:val="000000"/>
                <w:szCs w:val="24"/>
                <w:lang w:bidi="ar"/>
              </w:rPr>
              <w:t>集体议事法</w:t>
            </w:r>
          </w:p>
          <w:p w14:paraId="7E53C70C">
            <w:pPr>
              <w:adjustRightInd w:val="0"/>
              <w:snapToGrid w:val="0"/>
              <w:jc w:val="left"/>
              <w:rPr>
                <w:rFonts w:hint="default" w:ascii="Times New Roman" w:hAnsi="Times New Roman" w:cs="Times New Roman"/>
                <w:color w:val="000000"/>
                <w:szCs w:val="21"/>
                <w:u w:val="single"/>
              </w:rPr>
            </w:pPr>
          </w:p>
          <w:p w14:paraId="743189C1">
            <w:pPr>
              <w:adjustRightInd w:val="0"/>
              <w:snapToGrid w:val="0"/>
              <w:jc w:val="left"/>
              <w:rPr>
                <w:rFonts w:hint="default" w:ascii="Times New Roman" w:hAnsi="Times New Roman" w:cs="Times New Roman"/>
                <w:color w:val="000000"/>
                <w:szCs w:val="21"/>
              </w:rPr>
            </w:pPr>
            <w:r>
              <w:rPr>
                <w:rFonts w:hint="default" w:ascii="Times New Roman" w:hAnsi="Times New Roman" w:cs="Times New Roman"/>
                <w:color w:val="000000"/>
                <w:szCs w:val="21"/>
                <w:u w:val="single"/>
              </w:rPr>
              <w:t xml:space="preserve">定标规则和定标因素：           /         </w:t>
            </w:r>
            <w:r>
              <w:rPr>
                <w:rFonts w:hint="default" w:ascii="Times New Roman" w:hAnsi="Times New Roman" w:cs="Times New Roman"/>
                <w:color w:val="000000"/>
                <w:szCs w:val="21"/>
              </w:rPr>
              <w:t>。</w:t>
            </w:r>
          </w:p>
          <w:bookmarkEnd w:id="11"/>
          <w:p w14:paraId="016FA08B">
            <w:pPr>
              <w:rPr>
                <w:rFonts w:hint="default" w:ascii="Times New Roman" w:hAnsi="Times New Roman" w:cs="Times New Roman"/>
                <w:color w:val="000000"/>
                <w:szCs w:val="21"/>
              </w:rPr>
            </w:pPr>
          </w:p>
        </w:tc>
      </w:tr>
      <w:tr w14:paraId="1D978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right"/>
        </w:trPr>
        <w:tc>
          <w:tcPr>
            <w:tcW w:w="993" w:type="dxa"/>
            <w:vAlign w:val="center"/>
          </w:tcPr>
          <w:p w14:paraId="72E7474B">
            <w:pPr>
              <w:jc w:val="center"/>
              <w:rPr>
                <w:rFonts w:hint="default" w:ascii="Times New Roman" w:hAnsi="Times New Roman" w:cs="Times New Roman"/>
                <w:color w:val="000000"/>
                <w:szCs w:val="21"/>
              </w:rPr>
            </w:pPr>
            <w:r>
              <w:rPr>
                <w:rFonts w:hint="default" w:ascii="Times New Roman" w:hAnsi="Times New Roman" w:cs="Times New Roman"/>
                <w:color w:val="000000"/>
              </w:rPr>
              <w:t>10.5.2</w:t>
            </w:r>
          </w:p>
        </w:tc>
        <w:tc>
          <w:tcPr>
            <w:tcW w:w="2551" w:type="dxa"/>
            <w:vAlign w:val="center"/>
          </w:tcPr>
          <w:p w14:paraId="20313A45">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定标前清标与考察的内容和方法：</w:t>
            </w:r>
          </w:p>
        </w:tc>
        <w:tc>
          <w:tcPr>
            <w:tcW w:w="5529" w:type="dxa"/>
            <w:vAlign w:val="center"/>
          </w:tcPr>
          <w:p w14:paraId="4AA4DFF5">
            <w:pPr>
              <w:adjustRightInd w:val="0"/>
              <w:snapToGrid w:val="0"/>
              <w:jc w:val="left"/>
              <w:rPr>
                <w:rFonts w:hint="default" w:ascii="Times New Roman" w:hAnsi="Times New Roman" w:cs="Times New Roman"/>
                <w:color w:val="000000"/>
                <w:szCs w:val="21"/>
              </w:rPr>
            </w:pP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w:t>
            </w:r>
          </w:p>
        </w:tc>
      </w:tr>
      <w:tr w14:paraId="477D4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right"/>
        </w:trPr>
        <w:tc>
          <w:tcPr>
            <w:tcW w:w="993" w:type="dxa"/>
            <w:vAlign w:val="center"/>
          </w:tcPr>
          <w:p w14:paraId="2DF6FEF2">
            <w:pPr>
              <w:jc w:val="center"/>
              <w:rPr>
                <w:rFonts w:hint="default" w:ascii="Times New Roman" w:hAnsi="Times New Roman" w:cs="Times New Roman"/>
                <w:color w:val="000000"/>
                <w:szCs w:val="21"/>
              </w:rPr>
            </w:pPr>
            <w:r>
              <w:rPr>
                <w:rFonts w:hint="default" w:ascii="Times New Roman" w:hAnsi="Times New Roman" w:cs="Times New Roman"/>
                <w:color w:val="000000"/>
              </w:rPr>
              <w:t>10.5.3</w:t>
            </w:r>
          </w:p>
        </w:tc>
        <w:tc>
          <w:tcPr>
            <w:tcW w:w="2551" w:type="dxa"/>
            <w:vAlign w:val="center"/>
          </w:tcPr>
          <w:p w14:paraId="5342367C">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定标会中标候选人答辩要求：</w:t>
            </w:r>
          </w:p>
        </w:tc>
        <w:tc>
          <w:tcPr>
            <w:tcW w:w="5529" w:type="dxa"/>
            <w:vAlign w:val="center"/>
          </w:tcPr>
          <w:p w14:paraId="1C8D84DF">
            <w:pPr>
              <w:rPr>
                <w:rFonts w:hint="default" w:ascii="Times New Roman" w:hAnsi="Times New Roman" w:cs="Times New Roman"/>
                <w:color w:val="000000"/>
                <w:szCs w:val="21"/>
              </w:rPr>
            </w:pPr>
            <w:r>
              <w:rPr>
                <w:rFonts w:hint="default" w:ascii="Times New Roman" w:hAnsi="Times New Roman" w:cs="Times New Roman"/>
                <w:color w:val="000000"/>
                <w:szCs w:val="21"/>
                <w:u w:val="single"/>
              </w:rPr>
              <w:t xml:space="preserve">       /        </w:t>
            </w:r>
            <w:r>
              <w:rPr>
                <w:rFonts w:hint="default" w:ascii="Times New Roman" w:hAnsi="Times New Roman" w:cs="Times New Roman"/>
                <w:color w:val="000000"/>
                <w:szCs w:val="21"/>
              </w:rPr>
              <w:t>。</w:t>
            </w:r>
          </w:p>
        </w:tc>
      </w:tr>
      <w:tr w14:paraId="0524E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right"/>
        </w:trPr>
        <w:tc>
          <w:tcPr>
            <w:tcW w:w="993" w:type="dxa"/>
            <w:vAlign w:val="center"/>
          </w:tcPr>
          <w:p w14:paraId="7DCF1D84">
            <w:pPr>
              <w:jc w:val="center"/>
              <w:rPr>
                <w:rFonts w:hint="default" w:ascii="Times New Roman" w:hAnsi="Times New Roman" w:cs="Times New Roman"/>
                <w:color w:val="000000"/>
              </w:rPr>
            </w:pPr>
            <w:permStart w:id="87" w:edGrp="everyone" w:colFirst="0" w:colLast="0"/>
            <w:permStart w:id="88" w:edGrp="everyone" w:colFirst="1" w:colLast="1"/>
            <w:permStart w:id="89" w:edGrp="everyone" w:colFirst="2" w:colLast="2"/>
            <w:r>
              <w:rPr>
                <w:rFonts w:hint="default" w:ascii="Times New Roman" w:hAnsi="Times New Roman" w:cs="Times New Roman"/>
                <w:color w:val="000000"/>
              </w:rPr>
              <w:t xml:space="preserve">  10.5.4  </w:t>
            </w:r>
          </w:p>
        </w:tc>
        <w:tc>
          <w:tcPr>
            <w:tcW w:w="2551" w:type="dxa"/>
            <w:vAlign w:val="center"/>
          </w:tcPr>
          <w:p w14:paraId="1B9F4797">
            <w:pPr>
              <w:rPr>
                <w:rFonts w:hint="default" w:ascii="Times New Roman" w:hAnsi="Times New Roman" w:cs="Times New Roman"/>
                <w:color w:val="000000"/>
                <w:szCs w:val="21"/>
              </w:rPr>
            </w:pPr>
            <w:r>
              <w:rPr>
                <w:rFonts w:hint="default" w:ascii="Times New Roman" w:hAnsi="Times New Roman" w:cs="Times New Roman"/>
                <w:color w:val="000000"/>
                <w:szCs w:val="21"/>
                <w:u w:val="single"/>
              </w:rPr>
              <w:t xml:space="preserve">    补充             </w:t>
            </w:r>
          </w:p>
        </w:tc>
        <w:tc>
          <w:tcPr>
            <w:tcW w:w="5529" w:type="dxa"/>
            <w:vAlign w:val="center"/>
          </w:tcPr>
          <w:p w14:paraId="2E626C47">
            <w:pPr>
              <w:rPr>
                <w:rFonts w:hint="default" w:ascii="Times New Roman" w:hAnsi="Times New Roman" w:cs="Times New Roman"/>
              </w:rPr>
            </w:pPr>
            <w:r>
              <w:rPr>
                <w:rFonts w:hint="default" w:ascii="Times New Roman" w:hAnsi="Times New Roman" w:cs="Times New Roman"/>
              </w:rPr>
              <w:t xml:space="preserve">  1.同义词语 :成招标文件组成部分的“通用合同条款”、“专用合同条款”和“发包人要求”等章节中出现的措辞“发包人”和“承包人”，在招标投标阶段应当分别按“招标人”和“投标人”进行理解。</w:t>
            </w:r>
          </w:p>
          <w:p w14:paraId="28F5A12F">
            <w:pPr>
              <w:rPr>
                <w:rFonts w:hint="default" w:ascii="Times New Roman" w:hAnsi="Times New Roman" w:cs="Times New Roman"/>
              </w:rPr>
            </w:pPr>
            <w:r>
              <w:rPr>
                <w:rFonts w:hint="default" w:ascii="Times New Roman" w:hAnsi="Times New Roman" w:cs="Times New Roman"/>
              </w:rPr>
              <w:t>2.  解释权: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p w14:paraId="633A72CD">
            <w:pPr>
              <w:numPr>
                <w:ilvl w:val="0"/>
                <w:numId w:val="0"/>
              </w:numPr>
              <w:rPr>
                <w:rFonts w:hint="default" w:ascii="Times New Roman" w:hAnsi="Times New Roman" w:cs="Times New Roman"/>
              </w:rPr>
            </w:pPr>
            <w:r>
              <w:rPr>
                <w:rFonts w:hint="default" w:ascii="Times New Roman" w:hAnsi="Times New Roman" w:cs="Times New Roman"/>
              </w:rPr>
              <w:t>3.投标报价(投标总报价)不参加评标基准价计算的情况：</w:t>
            </w:r>
          </w:p>
          <w:p w14:paraId="6F8AFC22">
            <w:pPr>
              <w:numPr>
                <w:ilvl w:val="0"/>
                <w:numId w:val="0"/>
              </w:numPr>
              <w:rPr>
                <w:rFonts w:hint="default" w:ascii="Times New Roman" w:hAnsi="Times New Roman" w:cs="Times New Roman"/>
              </w:rPr>
            </w:pPr>
            <w:r>
              <w:rPr>
                <w:rFonts w:hint="default" w:ascii="Times New Roman" w:hAnsi="Times New Roman" w:cs="Times New Roman"/>
              </w:rPr>
              <w:t>(1)未在投标函上填写投标总价。</w:t>
            </w:r>
          </w:p>
          <w:p w14:paraId="73ADBEEA">
            <w:pPr>
              <w:numPr>
                <w:ilvl w:val="0"/>
                <w:numId w:val="0"/>
              </w:numPr>
              <w:rPr>
                <w:rFonts w:hint="default" w:ascii="Times New Roman" w:hAnsi="Times New Roman" w:cs="Times New Roman"/>
              </w:rPr>
            </w:pPr>
            <w:r>
              <w:rPr>
                <w:rFonts w:hint="default" w:ascii="Times New Roman" w:hAnsi="Times New Roman" w:cs="Times New Roman"/>
              </w:rPr>
              <w:t>(2)投标总价超过招标文件设定的总价最高投标限价。</w:t>
            </w:r>
          </w:p>
          <w:p w14:paraId="57A52F4E">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(3)投标人的投标报价低于最高投标限价的85%。</w:t>
            </w:r>
          </w:p>
          <w:p w14:paraId="0136EDD6">
            <w:pPr>
              <w:numPr>
                <w:ilvl w:val="0"/>
                <w:numId w:val="0"/>
              </w:numPr>
              <w:rPr>
                <w:rFonts w:hint="default" w:ascii="Times New Roman" w:hAnsi="Times New Roman"/>
              </w:rPr>
            </w:pPr>
            <w:r>
              <w:rPr>
                <w:rFonts w:hint="eastAsia" w:ascii="Times New Roman" w:hAnsi="Times New Roman"/>
                <w:lang w:eastAsia="zh-CN"/>
              </w:rPr>
              <w:t>4.</w:t>
            </w:r>
            <w:r>
              <w:rPr>
                <w:rFonts w:hint="default" w:ascii="Times New Roman" w:hAnsi="Times New Roman"/>
              </w:rPr>
              <w:t>投标报价应包括施工图勘察设计费和施工费。本项目采用总价合同，清单和单价确定后，未实施部分据实扣减相应合同价款；因已经审查合格的施工图设计不满足现行国家法规，或不满足发包方相关要求，而增加的工程量，不予调整合同价款。</w:t>
            </w:r>
          </w:p>
          <w:p w14:paraId="0575C970">
            <w:pPr>
              <w:numPr>
                <w:ilvl w:val="0"/>
                <w:numId w:val="0"/>
              </w:numPr>
              <w:rPr>
                <w:rFonts w:hint="default" w:ascii="Times New Roman" w:hAnsi="Times New Roman"/>
              </w:rPr>
            </w:pPr>
            <w:r>
              <w:rPr>
                <w:rFonts w:hint="eastAsia" w:ascii="Times New Roman" w:hAnsi="Times New Roman"/>
                <w:lang w:eastAsia="zh-CN"/>
              </w:rPr>
              <w:t>5</w:t>
            </w:r>
            <w:r>
              <w:rPr>
                <w:rFonts w:hint="eastAsia" w:ascii="Times New Roman" w:hAnsi="Times New Roman"/>
                <w:lang w:val="en-US" w:eastAsia="zh-CN"/>
              </w:rPr>
              <w:t>.</w:t>
            </w:r>
            <w:r>
              <w:rPr>
                <w:rFonts w:hint="default" w:ascii="Times New Roman" w:hAnsi="Times New Roman"/>
              </w:rPr>
              <w:t>除招标文件另有规定外，投标人的报价均包括完成该工程项目的成本、利润、税金、工程保险费用、临时用地费用、通勤费、协调费、开办费、技术措施费、大型机械进出场费、风险费、政策性文件规定费用等所有费用，招标人不另行支付。投标人因完成本项目必须缴纳的所有税费，均由投标人承担，并包含在投标报价之中，招标人将不另行支付。</w:t>
            </w:r>
          </w:p>
          <w:p w14:paraId="0EC7C055">
            <w:pPr>
              <w:numPr>
                <w:ilvl w:val="0"/>
                <w:numId w:val="0"/>
              </w:numPr>
              <w:rPr>
                <w:rFonts w:hint="default" w:ascii="Times New Roman" w:hAnsi="Times New Roman"/>
              </w:rPr>
            </w:pPr>
            <w:r>
              <w:rPr>
                <w:rFonts w:hint="eastAsia" w:ascii="Times New Roman" w:hAnsi="Times New Roman"/>
                <w:lang w:eastAsia="zh-CN"/>
              </w:rPr>
              <w:t>6</w:t>
            </w:r>
            <w:r>
              <w:rPr>
                <w:rFonts w:hint="eastAsia" w:ascii="Times New Roman" w:hAnsi="Times New Roman"/>
                <w:lang w:val="en-US" w:eastAsia="zh-CN"/>
              </w:rPr>
              <w:t>.</w:t>
            </w:r>
            <w:r>
              <w:rPr>
                <w:rFonts w:hint="default" w:ascii="Times New Roman" w:hAnsi="Times New Roman"/>
              </w:rPr>
              <w:t>本项目的施工许可证、施工图图纸审查、工程质量安全监督登记、档案验收、竣工备案证等由中标人办理，由此产生的费用含在投标报价中，招标人将不另行支付。</w:t>
            </w:r>
          </w:p>
          <w:p w14:paraId="4FD475D2">
            <w:pPr>
              <w:numPr>
                <w:ilvl w:val="0"/>
                <w:numId w:val="0"/>
              </w:numPr>
              <w:rPr>
                <w:rFonts w:hint="default" w:ascii="Times New Roman" w:hAnsi="Times New Roman"/>
              </w:rPr>
            </w:pPr>
            <w:r>
              <w:rPr>
                <w:rFonts w:hint="eastAsia" w:ascii="Times New Roman" w:hAnsi="Times New Roman"/>
                <w:lang w:eastAsia="zh-CN"/>
              </w:rPr>
              <w:t>7</w:t>
            </w:r>
            <w:r>
              <w:rPr>
                <w:rFonts w:hint="eastAsia" w:ascii="Times New Roman" w:hAnsi="Times New Roman"/>
                <w:lang w:val="en-US" w:eastAsia="zh-CN"/>
              </w:rPr>
              <w:t>.</w:t>
            </w:r>
            <w:r>
              <w:rPr>
                <w:rFonts w:hint="default" w:ascii="Times New Roman" w:hAnsi="Times New Roman"/>
              </w:rPr>
              <w:t>中标人在整个施工过程中应自行调查解决用水、用电及通讯设备，所需费用由投标人综合考虑在报价之中，招标人不另行支付。</w:t>
            </w:r>
          </w:p>
          <w:p w14:paraId="176CFBDC">
            <w:pPr>
              <w:numPr>
                <w:ilvl w:val="0"/>
                <w:numId w:val="0"/>
              </w:numPr>
              <w:rPr>
                <w:rFonts w:hint="default" w:ascii="Times New Roman" w:hAnsi="Times New Roman"/>
              </w:rPr>
            </w:pPr>
            <w:r>
              <w:rPr>
                <w:rFonts w:hint="eastAsia" w:ascii="Times New Roman" w:hAnsi="Times New Roman"/>
                <w:lang w:eastAsia="zh-CN"/>
              </w:rPr>
              <w:t>8</w:t>
            </w:r>
            <w:r>
              <w:rPr>
                <w:rFonts w:hint="eastAsia" w:ascii="Times New Roman" w:hAnsi="Times New Roman"/>
                <w:lang w:val="en-US" w:eastAsia="zh-CN"/>
              </w:rPr>
              <w:t>.</w:t>
            </w:r>
            <w:r>
              <w:rPr>
                <w:rFonts w:hint="default" w:ascii="Times New Roman" w:hAnsi="Times New Roman"/>
              </w:rPr>
              <w:t>建筑工程一切险和第三者责任险由中标人以中标人与招标人联名投保，由此产生的费用含在投标报价中，招标人将不另行支付。</w:t>
            </w:r>
          </w:p>
          <w:p w14:paraId="6A040C67">
            <w:pPr>
              <w:numPr>
                <w:ilvl w:val="0"/>
                <w:numId w:val="0"/>
              </w:numPr>
              <w:rPr>
                <w:rFonts w:hint="default" w:ascii="Times New Roman" w:hAnsi="Times New Roman"/>
              </w:rPr>
            </w:pPr>
            <w:r>
              <w:rPr>
                <w:rFonts w:hint="eastAsia" w:ascii="Times New Roman" w:hAnsi="Times New Roman"/>
                <w:lang w:eastAsia="zh-CN"/>
              </w:rPr>
              <w:t>9</w:t>
            </w:r>
            <w:r>
              <w:rPr>
                <w:rFonts w:hint="eastAsia" w:ascii="Times New Roman" w:hAnsi="Times New Roman"/>
                <w:lang w:val="en-US" w:eastAsia="zh-CN"/>
              </w:rPr>
              <w:t>.</w:t>
            </w:r>
            <w:r>
              <w:rPr>
                <w:rFonts w:hint="default" w:ascii="Times New Roman" w:hAnsi="Times New Roman"/>
              </w:rPr>
              <w:t>中标人必须为其雇用的全部人员办理工伤事故险、人身意外伤害险和为其施工设备办理保险及其他必要的险种，由此产生的费用含在投标报价中，招标人将不另行支付。</w:t>
            </w:r>
          </w:p>
          <w:p w14:paraId="37A1D5D8">
            <w:pPr>
              <w:numPr>
                <w:ilvl w:val="0"/>
                <w:numId w:val="0"/>
              </w:numPr>
              <w:rPr>
                <w:rFonts w:hint="default" w:ascii="Times New Roman" w:hAnsi="Times New Roman"/>
              </w:rPr>
            </w:pPr>
            <w:r>
              <w:rPr>
                <w:rFonts w:hint="eastAsia" w:ascii="Times New Roman" w:hAnsi="Times New Roman"/>
                <w:lang w:eastAsia="zh-CN"/>
              </w:rPr>
              <w:t>1</w:t>
            </w:r>
            <w:r>
              <w:rPr>
                <w:rFonts w:hint="eastAsia" w:ascii="Times New Roman" w:hAnsi="Times New Roman"/>
                <w:lang w:val="en-US" w:eastAsia="zh-CN"/>
              </w:rPr>
              <w:t>0.</w:t>
            </w:r>
            <w:r>
              <w:rPr>
                <w:rFonts w:hint="default" w:ascii="Times New Roman" w:hAnsi="Times New Roman"/>
              </w:rPr>
              <w:t>招标人组织的相关设计阶段的外业验收及内业咨询审查、设计审查阶段、审查会议以及设计修改核查等所发生费用由中标人承担，由此产生的费用含在投标报价中，招标人将不另行支付。</w:t>
            </w:r>
          </w:p>
          <w:p w14:paraId="1E85DB34">
            <w:pPr>
              <w:numPr>
                <w:ilvl w:val="0"/>
                <w:numId w:val="0"/>
              </w:numPr>
              <w:rPr>
                <w:rFonts w:hint="default" w:ascii="Times New Roman" w:hAnsi="Times New Roman"/>
              </w:rPr>
            </w:pPr>
            <w:r>
              <w:rPr>
                <w:rFonts w:hint="eastAsia" w:ascii="Times New Roman" w:hAnsi="Times New Roman"/>
                <w:lang w:eastAsia="zh-CN"/>
              </w:rPr>
              <w:t>1</w:t>
            </w:r>
            <w:r>
              <w:rPr>
                <w:rFonts w:hint="eastAsia" w:ascii="Times New Roman" w:hAnsi="Times New Roman"/>
                <w:lang w:val="en-US" w:eastAsia="zh-CN"/>
              </w:rPr>
              <w:t>1.</w:t>
            </w:r>
            <w:r>
              <w:rPr>
                <w:rFonts w:hint="default" w:ascii="Times New Roman" w:hAnsi="Times New Roman"/>
              </w:rPr>
              <w:t>中标人应按国家相关规定足额计提安全生产费用，如进行分包，应向分包单位支付必要的安全生产费用，不得截留、挪用，否则招标人依照相关法律、规章进行处理。</w:t>
            </w:r>
          </w:p>
          <w:p w14:paraId="2F7DA060">
            <w:pPr>
              <w:numPr>
                <w:ilvl w:val="0"/>
                <w:numId w:val="0"/>
              </w:numPr>
              <w:rPr>
                <w:rFonts w:hint="default" w:ascii="Times New Roman" w:hAnsi="Times New Roman"/>
              </w:rPr>
            </w:pPr>
            <w:r>
              <w:rPr>
                <w:rFonts w:hint="eastAsia" w:ascii="Times New Roman" w:hAnsi="Times New Roman"/>
                <w:lang w:eastAsia="zh-CN"/>
              </w:rPr>
              <w:t>1</w:t>
            </w:r>
            <w:r>
              <w:rPr>
                <w:rFonts w:hint="eastAsia" w:ascii="Times New Roman" w:hAnsi="Times New Roman"/>
                <w:lang w:val="en-US" w:eastAsia="zh-CN"/>
              </w:rPr>
              <w:t>2.</w:t>
            </w:r>
            <w:r>
              <w:rPr>
                <w:rFonts w:hint="default" w:ascii="Times New Roman" w:hAnsi="Times New Roman"/>
              </w:rPr>
              <w:t>发包人认为施工图设计文件有部分工程需要优化时，承包人应根据发包人的要求进行优化设计，其勘察设计费用应视为已包含在签约合同价中，发包人不另行支付。</w:t>
            </w:r>
          </w:p>
          <w:p w14:paraId="77B77A89">
            <w:pPr>
              <w:numPr>
                <w:ilvl w:val="0"/>
                <w:numId w:val="0"/>
              </w:numPr>
              <w:rPr>
                <w:rFonts w:hint="default" w:ascii="Times New Roman" w:hAnsi="Times New Roman"/>
              </w:rPr>
            </w:pPr>
            <w:r>
              <w:rPr>
                <w:rFonts w:hint="eastAsia" w:ascii="Times New Roman" w:hAnsi="Times New Roman"/>
                <w:lang w:eastAsia="zh-CN"/>
              </w:rPr>
              <w:t>1</w:t>
            </w:r>
            <w:r>
              <w:rPr>
                <w:rFonts w:hint="eastAsia" w:ascii="Times New Roman" w:hAnsi="Times New Roman"/>
                <w:lang w:val="en-US" w:eastAsia="zh-CN"/>
              </w:rPr>
              <w:t>3.</w:t>
            </w:r>
            <w:r>
              <w:rPr>
                <w:rFonts w:hint="default" w:ascii="Times New Roman" w:hAnsi="Times New Roman"/>
              </w:rPr>
              <w:t>本项目竣（交）工验收质量检测、设计技术咨询等由招标人另行委托具备相应资质的第三方机构进行，招标人将向第三方机构支付相关费用。中标人应对上述工作予以配合，由此发生的配合费用含在投标报价中，招标人不另行支付。</w:t>
            </w:r>
          </w:p>
          <w:p w14:paraId="54D00592">
            <w:pPr>
              <w:numPr>
                <w:ilvl w:val="0"/>
                <w:numId w:val="0"/>
              </w:numPr>
              <w:rPr>
                <w:rFonts w:hint="default" w:ascii="Times New Roman" w:hAnsi="Times New Roman"/>
              </w:rPr>
            </w:pPr>
            <w:r>
              <w:rPr>
                <w:rFonts w:hint="eastAsia" w:ascii="Times New Roman" w:hAnsi="Times New Roman"/>
                <w:lang w:eastAsia="zh-CN"/>
              </w:rPr>
              <w:t>1</w:t>
            </w:r>
            <w:r>
              <w:rPr>
                <w:rFonts w:hint="eastAsia" w:ascii="Times New Roman" w:hAnsi="Times New Roman"/>
                <w:lang w:val="en-US" w:eastAsia="zh-CN"/>
              </w:rPr>
              <w:t>4.</w:t>
            </w:r>
            <w:r>
              <w:rPr>
                <w:rFonts w:hint="default" w:ascii="Times New Roman" w:hAnsi="Times New Roman"/>
              </w:rPr>
              <w:t>本项目施工图审查由招标人另行委托具备相应资质的第三方审查机构进行审查，招标人将向第三方审查机构支付审查费。中标人应对上述审查工作予以配合，由此发生的配合费用含在投标报价中，招标人不另行支付。</w:t>
            </w:r>
          </w:p>
          <w:p w14:paraId="311438FC">
            <w:pPr>
              <w:numPr>
                <w:ilvl w:val="0"/>
                <w:numId w:val="0"/>
              </w:numPr>
              <w:rPr>
                <w:rFonts w:hint="default" w:ascii="Times New Roman" w:hAnsi="Times New Roman"/>
              </w:rPr>
            </w:pPr>
            <w:r>
              <w:rPr>
                <w:rFonts w:hint="eastAsia" w:ascii="Times New Roman" w:hAnsi="Times New Roman"/>
                <w:lang w:eastAsia="zh-CN"/>
              </w:rPr>
              <w:t>1</w:t>
            </w:r>
            <w:r>
              <w:rPr>
                <w:rFonts w:hint="eastAsia" w:ascii="Times New Roman" w:hAnsi="Times New Roman"/>
                <w:lang w:val="en-US" w:eastAsia="zh-CN"/>
              </w:rPr>
              <w:t>5.</w:t>
            </w:r>
            <w:r>
              <w:rPr>
                <w:rFonts w:hint="default" w:ascii="Times New Roman" w:hAnsi="Times New Roman"/>
              </w:rPr>
              <w:t>由于工程施工作业面不能一次性整体移交，投标人应充分考虑到施工现场的不连续性、施工人员和设备的多次转场、必要时增加人员和设备等困难，并提出具有针对性的施工方案和施工措施以确保工程质量和施工进度，由此产生的费用含在投标报价中，招标人不另行支付。投标人不得因招标人未及时提供工作面提出费用索赔。</w:t>
            </w:r>
          </w:p>
          <w:p w14:paraId="6280AAC3">
            <w:pPr>
              <w:numPr>
                <w:ilvl w:val="0"/>
                <w:numId w:val="0"/>
              </w:numPr>
              <w:rPr>
                <w:rFonts w:hint="default" w:ascii="Times New Roman" w:hAnsi="Times New Roman"/>
              </w:rPr>
            </w:pPr>
            <w:r>
              <w:rPr>
                <w:rFonts w:hint="eastAsia" w:ascii="Times New Roman" w:hAnsi="Times New Roman"/>
                <w:lang w:eastAsia="zh-CN"/>
              </w:rPr>
              <w:t>1</w:t>
            </w:r>
            <w:r>
              <w:rPr>
                <w:rFonts w:hint="eastAsia" w:ascii="Times New Roman" w:hAnsi="Times New Roman"/>
                <w:lang w:val="en-US" w:eastAsia="zh-CN"/>
              </w:rPr>
              <w:t>6.</w:t>
            </w:r>
            <w:r>
              <w:rPr>
                <w:rFonts w:hint="default" w:ascii="Times New Roman" w:hAnsi="Times New Roman"/>
              </w:rPr>
              <w:t>凡利用或占用现有道路和地方道路（无论工程范围内外）运输人员、设备或材料，或从事与工程施工有关的一切作业，投标人必须维护保持道路的畅通，在工程完工后应将道路恢复，其费用应含入投标报价中，招标人不另行支付。</w:t>
            </w:r>
          </w:p>
          <w:p w14:paraId="1446DA71">
            <w:pPr>
              <w:numPr>
                <w:ilvl w:val="0"/>
                <w:numId w:val="0"/>
              </w:numPr>
              <w:rPr>
                <w:rFonts w:hint="default" w:ascii="Times New Roman" w:hAnsi="Times New Roman"/>
              </w:rPr>
            </w:pPr>
            <w:r>
              <w:rPr>
                <w:rFonts w:hint="eastAsia" w:ascii="Times New Roman" w:hAnsi="Times New Roman"/>
                <w:lang w:eastAsia="zh-CN"/>
              </w:rPr>
              <w:t>1</w:t>
            </w:r>
            <w:r>
              <w:rPr>
                <w:rFonts w:hint="eastAsia" w:ascii="Times New Roman" w:hAnsi="Times New Roman"/>
                <w:lang w:val="en-US" w:eastAsia="zh-CN"/>
              </w:rPr>
              <w:t>7.</w:t>
            </w:r>
            <w:r>
              <w:rPr>
                <w:rFonts w:hint="default" w:ascii="Times New Roman" w:hAnsi="Times New Roman"/>
              </w:rPr>
              <w:t>投标人应遵守国家和湖北省治理公路超限、超载运输及收费公路通行的相关规定，并将上述因素考虑到报价中，招标人不另行支付。</w:t>
            </w:r>
          </w:p>
          <w:p w14:paraId="51CA51DB">
            <w:pPr>
              <w:numPr>
                <w:ilvl w:val="0"/>
                <w:numId w:val="0"/>
              </w:numPr>
              <w:rPr>
                <w:rFonts w:hint="default" w:ascii="Times New Roman" w:hAnsi="Times New Roman"/>
              </w:rPr>
            </w:pPr>
            <w:r>
              <w:rPr>
                <w:rFonts w:hint="eastAsia" w:ascii="Times New Roman" w:hAnsi="Times New Roman"/>
                <w:lang w:eastAsia="zh-CN"/>
              </w:rPr>
              <w:t>1</w:t>
            </w:r>
            <w:r>
              <w:rPr>
                <w:rFonts w:hint="eastAsia" w:ascii="Times New Roman" w:hAnsi="Times New Roman"/>
                <w:lang w:val="en-US" w:eastAsia="zh-CN"/>
              </w:rPr>
              <w:t>8.</w:t>
            </w:r>
            <w:r>
              <w:rPr>
                <w:rFonts w:hint="default" w:ascii="Times New Roman" w:hAnsi="Times New Roman"/>
              </w:rPr>
              <w:t>投标人在编制技术建议书时，应仔细研究本项目的技术资料，了解施工地点的水文、地质、气象情况等有关部门的具体要求，制定周密的安全、质量保证措施及施工计划(包括人员、设备、材料、后勤保障及紧急处理措施等)，尽可能减少因施工等对周边居民的房屋造成影响，投标人应将该部分赔偿、协调费含入投标报价中。</w:t>
            </w:r>
          </w:p>
          <w:p w14:paraId="49F1A768">
            <w:pPr>
              <w:numPr>
                <w:ilvl w:val="0"/>
                <w:numId w:val="0"/>
              </w:numPr>
              <w:rPr>
                <w:rFonts w:hint="default" w:ascii="Times New Roman" w:hAnsi="Times New Roman"/>
              </w:rPr>
            </w:pPr>
            <w:r>
              <w:rPr>
                <w:rFonts w:hint="eastAsia" w:ascii="Times New Roman" w:hAnsi="Times New Roman"/>
                <w:lang w:eastAsia="zh-CN"/>
              </w:rPr>
              <w:t>1</w:t>
            </w:r>
            <w:r>
              <w:rPr>
                <w:rFonts w:hint="eastAsia" w:ascii="Times New Roman" w:hAnsi="Times New Roman"/>
                <w:lang w:val="en-US" w:eastAsia="zh-CN"/>
              </w:rPr>
              <w:t>9.</w:t>
            </w:r>
            <w:r>
              <w:rPr>
                <w:rFonts w:hint="default" w:ascii="Times New Roman" w:hAnsi="Times New Roman"/>
              </w:rPr>
              <w:t>为保证工程建设质量，对于部分工程用材料及设备，投标人中标后应按图纸或技术规范要求选择为本工程供应过相应产品且具有相应资质和足够财务能力的供应商，承包人应将供应商名单及有关材料(产品质量合格证书和进场质量检验合格证书)报送监理人审查，并经发包人批准后，方可签订供货合同。投标人不得与未经批准的生产厂家签订合同，并应按有关规定对产品进行检验验收。承包人应承担上述产品的质量和价格风险。</w:t>
            </w:r>
          </w:p>
          <w:p w14:paraId="757C345B">
            <w:pPr>
              <w:numPr>
                <w:ilvl w:val="0"/>
                <w:numId w:val="0"/>
              </w:numPr>
              <w:rPr>
                <w:rFonts w:hint="default" w:ascii="Times New Roman" w:hAnsi="Times New Roman"/>
              </w:rPr>
            </w:pPr>
            <w:r>
              <w:rPr>
                <w:rFonts w:hint="eastAsia" w:ascii="Times New Roman" w:hAnsi="Times New Roman"/>
                <w:lang w:eastAsia="zh-CN"/>
              </w:rPr>
              <w:t>2</w:t>
            </w:r>
            <w:r>
              <w:rPr>
                <w:rFonts w:hint="eastAsia" w:ascii="Times New Roman" w:hAnsi="Times New Roman"/>
                <w:lang w:val="en-US" w:eastAsia="zh-CN"/>
              </w:rPr>
              <w:t>0.</w:t>
            </w:r>
            <w:r>
              <w:rPr>
                <w:rFonts w:hint="default" w:ascii="Times New Roman" w:hAnsi="Times New Roman"/>
              </w:rPr>
              <w:t>投标人应充分考虑到本项目设计的复杂性，做好与初步设计单位及前期设计成果的交底衔接工作，相关工作由承包人负责实施，招标人给予协助工作，所需的费用由投标人综合考虑在报价之中，招标人将不另行支付。</w:t>
            </w:r>
          </w:p>
          <w:p w14:paraId="38536D73">
            <w:pPr>
              <w:numPr>
                <w:ilvl w:val="0"/>
                <w:numId w:val="0"/>
              </w:numPr>
              <w:rPr>
                <w:rFonts w:hint="default" w:ascii="Times New Roman" w:hAnsi="Times New Roman"/>
              </w:rPr>
            </w:pPr>
            <w:r>
              <w:rPr>
                <w:rFonts w:hint="eastAsia" w:ascii="Times New Roman" w:hAnsi="Times New Roman"/>
                <w:lang w:eastAsia="zh-CN"/>
              </w:rPr>
              <w:t>2</w:t>
            </w:r>
            <w:r>
              <w:rPr>
                <w:rFonts w:hint="eastAsia" w:ascii="Times New Roman" w:hAnsi="Times New Roman"/>
                <w:lang w:val="en-US" w:eastAsia="zh-CN"/>
              </w:rPr>
              <w:t>1.</w:t>
            </w:r>
            <w:r>
              <w:rPr>
                <w:rFonts w:hint="default" w:ascii="Times New Roman" w:hAnsi="Times New Roman"/>
              </w:rPr>
              <w:t>本项目勘察设计费采用固定总价报价，建筑安装工程费采用可变总价报价，建设工程其他费采用固定总价报价，投标人报价时应填报相应的报价。</w:t>
            </w:r>
          </w:p>
          <w:p w14:paraId="2B467B2B">
            <w:pPr>
              <w:numPr>
                <w:ilvl w:val="0"/>
                <w:numId w:val="0"/>
              </w:numPr>
              <w:rPr>
                <w:rFonts w:hint="default" w:ascii="Times New Roman" w:hAnsi="Times New Roman"/>
              </w:rPr>
            </w:pPr>
            <w:r>
              <w:rPr>
                <w:rFonts w:hint="eastAsia" w:ascii="Times New Roman" w:hAnsi="Times New Roman"/>
                <w:lang w:eastAsia="zh-CN"/>
              </w:rPr>
              <w:t>2</w:t>
            </w:r>
            <w:r>
              <w:rPr>
                <w:rFonts w:hint="eastAsia" w:ascii="Times New Roman" w:hAnsi="Times New Roman"/>
                <w:lang w:val="en-US" w:eastAsia="zh-CN"/>
              </w:rPr>
              <w:t>2.</w:t>
            </w:r>
            <w:r>
              <w:rPr>
                <w:rFonts w:hint="default" w:ascii="Times New Roman" w:hAnsi="Times New Roman"/>
              </w:rPr>
              <w:t>投标人应充分考虑到施工过程采取保通措施、交通安全保护措施以及环保措施和文明施工所需的费用，并计入投标报价工程费中。若投标人中标后，所采取的措施不能满足工程保通、交通安全和环境保护的需要，发包人有权指令其进一步采取补救或纠正措施，投标人应承担由于其措施不当所造成的一切后果及费用。</w:t>
            </w:r>
          </w:p>
          <w:p w14:paraId="3C0FD64C">
            <w:pPr>
              <w:numPr>
                <w:ilvl w:val="0"/>
                <w:numId w:val="0"/>
              </w:numPr>
              <w:rPr>
                <w:rFonts w:hint="default" w:ascii="Times New Roman" w:hAnsi="Times New Roman"/>
              </w:rPr>
            </w:pPr>
            <w:r>
              <w:rPr>
                <w:rFonts w:hint="eastAsia" w:ascii="Times New Roman" w:hAnsi="Times New Roman"/>
                <w:lang w:eastAsia="zh-CN"/>
              </w:rPr>
              <w:t>2</w:t>
            </w:r>
            <w:r>
              <w:rPr>
                <w:rFonts w:hint="eastAsia" w:ascii="Times New Roman" w:hAnsi="Times New Roman"/>
                <w:lang w:val="en-US" w:eastAsia="zh-CN"/>
              </w:rPr>
              <w:t>3.</w:t>
            </w:r>
            <w:r>
              <w:rPr>
                <w:rFonts w:hint="default" w:ascii="Times New Roman" w:hAnsi="Times New Roman"/>
              </w:rPr>
              <w:t>投标人中标后应按招标人下达的进度计划对本项目组织开展工作，以保证贯通工程建设的进度达到招标人的要求。相关费用应含入投标报价中，招标人不另行支付。</w:t>
            </w:r>
          </w:p>
          <w:p w14:paraId="09201D28">
            <w:pPr>
              <w:numPr>
                <w:ilvl w:val="0"/>
                <w:numId w:val="0"/>
              </w:numPr>
              <w:rPr>
                <w:rFonts w:hint="default" w:ascii="Times New Roman" w:hAnsi="Times New Roman"/>
              </w:rPr>
            </w:pPr>
            <w:r>
              <w:rPr>
                <w:rFonts w:hint="eastAsia" w:ascii="Times New Roman" w:hAnsi="Times New Roman"/>
                <w:lang w:eastAsia="zh-CN"/>
              </w:rPr>
              <w:t>2</w:t>
            </w:r>
            <w:r>
              <w:rPr>
                <w:rFonts w:hint="eastAsia" w:ascii="Times New Roman" w:hAnsi="Times New Roman"/>
                <w:lang w:val="en-US" w:eastAsia="zh-CN"/>
              </w:rPr>
              <w:t>4.</w:t>
            </w:r>
            <w:r>
              <w:rPr>
                <w:rFonts w:hint="default" w:ascii="Times New Roman" w:hAnsi="Times New Roman"/>
              </w:rPr>
              <w:t>投标人中标后编制的贯通工程总体方案须通过招标人审查通过后方可开展后续工作。上述费用包含在投标报价中，招标人不另行支付。</w:t>
            </w:r>
          </w:p>
          <w:p w14:paraId="7B76A2AC">
            <w:pPr>
              <w:numPr>
                <w:ilvl w:val="0"/>
                <w:numId w:val="0"/>
              </w:numPr>
              <w:rPr>
                <w:rFonts w:hint="default" w:ascii="Times New Roman" w:hAnsi="Times New Roman"/>
              </w:rPr>
            </w:pPr>
            <w:r>
              <w:rPr>
                <w:rFonts w:hint="eastAsia" w:ascii="Times New Roman" w:hAnsi="Times New Roman"/>
                <w:lang w:eastAsia="zh-CN"/>
              </w:rPr>
              <w:t>2</w:t>
            </w:r>
            <w:r>
              <w:rPr>
                <w:rFonts w:hint="eastAsia" w:ascii="Times New Roman" w:hAnsi="Times New Roman"/>
                <w:lang w:val="en-US" w:eastAsia="zh-CN"/>
              </w:rPr>
              <w:t>5.</w:t>
            </w:r>
            <w:r>
              <w:rPr>
                <w:rFonts w:hint="default" w:ascii="Times New Roman" w:hAnsi="Times New Roman"/>
              </w:rPr>
              <w:t>投标人应充分考虑到本项目实施过程中可能存在的风险，相关额外的安全保障费用包含在投标报价中，招标人不另行支付。</w:t>
            </w:r>
          </w:p>
          <w:p w14:paraId="4D317AEF">
            <w:pPr>
              <w:numPr>
                <w:ilvl w:val="0"/>
                <w:numId w:val="0"/>
              </w:numPr>
              <w:rPr>
                <w:rFonts w:hint="default" w:ascii="Times New Roman" w:hAnsi="Times New Roman"/>
              </w:rPr>
            </w:pPr>
            <w:r>
              <w:rPr>
                <w:rFonts w:hint="eastAsia" w:ascii="Times New Roman" w:hAnsi="Times New Roman"/>
                <w:lang w:eastAsia="zh-CN"/>
              </w:rPr>
              <w:t>2</w:t>
            </w:r>
            <w:r>
              <w:rPr>
                <w:rFonts w:hint="eastAsia" w:ascii="Times New Roman" w:hAnsi="Times New Roman"/>
                <w:lang w:val="en-US" w:eastAsia="zh-CN"/>
              </w:rPr>
              <w:t>6.</w:t>
            </w:r>
            <w:r>
              <w:rPr>
                <w:rFonts w:hint="default" w:ascii="Times New Roman" w:hAnsi="Times New Roman"/>
              </w:rPr>
              <w:t>凡是标段内与已建公路、通讯缆线、供水、输油、输气管道、居民住宅区等有交叉、干扰的地段，承包人应在不干扰公路正常运营以及注意保护地下管线、不干扰附近居民正常生活的前提下合理安排施工组织计划，采取有效措施保证施工安全，在现场设置施工和安全标志，并在必要时疏导现有交通流；凡是标段内与其他在建工程有互扰的地段，承包人应做好与其他施工单位的协调工作。承包人应对上述所有工作负责，招标人将根据承包人的要求给予适当协助。承包人应将其采取上述措施而可能发生的全部费用计入投标报价中，招标人将不另行支付。</w:t>
            </w:r>
          </w:p>
          <w:p w14:paraId="38568A5D">
            <w:pPr>
              <w:numPr>
                <w:ilvl w:val="0"/>
                <w:numId w:val="0"/>
              </w:numPr>
              <w:rPr>
                <w:rFonts w:hint="default" w:ascii="Times New Roman" w:hAnsi="Times New Roman"/>
              </w:rPr>
            </w:pPr>
            <w:r>
              <w:rPr>
                <w:rFonts w:hint="eastAsia" w:ascii="Times New Roman" w:hAnsi="Times New Roman"/>
                <w:lang w:eastAsia="zh-CN"/>
              </w:rPr>
              <w:t>2</w:t>
            </w:r>
            <w:r>
              <w:rPr>
                <w:rFonts w:hint="eastAsia" w:ascii="Times New Roman" w:hAnsi="Times New Roman"/>
                <w:lang w:val="en-US" w:eastAsia="zh-CN"/>
              </w:rPr>
              <w:t>7.</w:t>
            </w:r>
            <w:r>
              <w:rPr>
                <w:rFonts w:hint="default" w:ascii="Times New Roman" w:hAnsi="Times New Roman"/>
              </w:rPr>
              <w:t>投标人中标后应加强工程施工现场管理，确保安全生产和文明施工。应按照招标文件规定和监理人的指示做好驻地建设，达到实用、卫生、消防、环保、美观的标准。投标人应按照招标文件的有关规定考虑安全生产费。</w:t>
            </w:r>
          </w:p>
          <w:p w14:paraId="34C120B2">
            <w:pPr>
              <w:numPr>
                <w:ilvl w:val="0"/>
                <w:numId w:val="0"/>
              </w:numPr>
              <w:rPr>
                <w:rFonts w:hint="default" w:ascii="Times New Roman" w:hAnsi="Times New Roman"/>
              </w:rPr>
            </w:pPr>
            <w:r>
              <w:rPr>
                <w:rFonts w:hint="eastAsia" w:ascii="Times New Roman" w:hAnsi="Times New Roman"/>
                <w:lang w:eastAsia="zh-CN"/>
              </w:rPr>
              <w:t>2</w:t>
            </w:r>
            <w:r>
              <w:rPr>
                <w:rFonts w:hint="eastAsia" w:ascii="Times New Roman" w:hAnsi="Times New Roman"/>
                <w:lang w:val="en-US" w:eastAsia="zh-CN"/>
              </w:rPr>
              <w:t>8.</w:t>
            </w:r>
            <w:r>
              <w:rPr>
                <w:rFonts w:hint="default" w:ascii="Times New Roman" w:hAnsi="Times New Roman"/>
              </w:rPr>
              <w:t>投标人应充分考虑到施工过程中的实际需求、必要时将增加人员和设备等；还应充分考虑到各项建设风险；并提出具有针对性的施工方案和施工措施以确保工程质量和施工进度。相关费用均应含入投标报价中，不再另行计量与支付。</w:t>
            </w:r>
          </w:p>
          <w:p w14:paraId="549FD6AC">
            <w:pPr>
              <w:numPr>
                <w:ilvl w:val="0"/>
                <w:numId w:val="0"/>
              </w:numPr>
              <w:rPr>
                <w:rFonts w:hint="default" w:ascii="Times New Roman" w:hAnsi="Times New Roman"/>
              </w:rPr>
            </w:pPr>
            <w:r>
              <w:rPr>
                <w:rFonts w:hint="eastAsia" w:ascii="Times New Roman" w:hAnsi="Times New Roman"/>
                <w:lang w:eastAsia="zh-CN"/>
              </w:rPr>
              <w:t>2</w:t>
            </w:r>
            <w:r>
              <w:rPr>
                <w:rFonts w:hint="eastAsia" w:ascii="Times New Roman" w:hAnsi="Times New Roman"/>
                <w:lang w:val="en-US" w:eastAsia="zh-CN"/>
              </w:rPr>
              <w:t>9.</w:t>
            </w:r>
            <w:r>
              <w:rPr>
                <w:rFonts w:hint="default" w:ascii="Times New Roman" w:hAnsi="Times New Roman"/>
              </w:rPr>
              <w:t>招标人设置了本项目在初步设计批复范围内，贯通工程施工图预算中的勘察设计工程费的设计限额，GTEPC-1标段设计限额为      万元。本项目初步设计批复范围内的贯通工程施工图预算不得超过设计限额。</w:t>
            </w:r>
          </w:p>
          <w:p w14:paraId="51C9F0C4">
            <w:pPr>
              <w:rPr>
                <w:rFonts w:hint="default" w:ascii="Times New Roman" w:hAnsi="Times New Roman" w:cs="Times New Roman"/>
              </w:rPr>
            </w:pPr>
            <w:r>
              <w:rPr>
                <w:rFonts w:hint="eastAsia" w:ascii="Times New Roman" w:hAnsi="Times New Roman"/>
                <w:lang w:eastAsia="zh-CN"/>
              </w:rPr>
              <w:t>3</w:t>
            </w:r>
            <w:r>
              <w:rPr>
                <w:rFonts w:hint="eastAsia" w:ascii="Times New Roman" w:hAnsi="Times New Roman"/>
                <w:lang w:val="en-US" w:eastAsia="zh-CN"/>
              </w:rPr>
              <w:t>0.</w:t>
            </w:r>
            <w:r>
              <w:rPr>
                <w:rFonts w:hint="default" w:ascii="Times New Roman" w:hAnsi="Times New Roman"/>
              </w:rPr>
              <w:t>中标人应承担包括但不限于勘察设计管理、质量管理、安全管理、环保管理、水土保持管理、费用管理、进度管理、合同管理、信息管理、农民工工资支付监管和工程协调、资料整理、配合审计及检查等工作，该费用招标人不另行支付。</w:t>
            </w:r>
          </w:p>
        </w:tc>
      </w:tr>
      <w:permEnd w:id="87"/>
      <w:permEnd w:id="88"/>
      <w:permEnd w:id="89"/>
    </w:tbl>
    <w:p w14:paraId="13394368">
      <w:pPr>
        <w:rPr>
          <w:rFonts w:hint="default" w:ascii="Times New Roman" w:hAnsi="Times New Roman" w:cs="Times New Roman"/>
          <w:color w:val="000000"/>
        </w:rPr>
      </w:pPr>
      <w:r>
        <w:rPr>
          <w:rFonts w:hint="default" w:ascii="Times New Roman" w:hAnsi="Times New Roman" w:cs="Times New Roman"/>
          <w:color w:val="000000"/>
        </w:rPr>
        <w:br w:type="page"/>
      </w:r>
    </w:p>
    <w:p w14:paraId="5183ADF9">
      <w:pPr>
        <w:pStyle w:val="3"/>
        <w:rPr>
          <w:rFonts w:hint="default" w:ascii="Times New Roman" w:hAnsi="Times New Roman" w:cs="Times New Roman"/>
          <w:color w:val="000000"/>
        </w:rPr>
      </w:pPr>
      <w:bookmarkStart w:id="12" w:name="_Toc491075817"/>
      <w:bookmarkStart w:id="13" w:name="_Toc14381"/>
      <w:r>
        <w:rPr>
          <w:rFonts w:hint="default" w:ascii="Times New Roman" w:hAnsi="Times New Roman" w:cs="Times New Roman"/>
          <w:color w:val="000000"/>
        </w:rPr>
        <w:t>投标人须知正文部分</w:t>
      </w:r>
      <w:bookmarkEnd w:id="12"/>
      <w:bookmarkEnd w:id="13"/>
    </w:p>
    <w:p w14:paraId="5E7A3D5C">
      <w:pPr>
        <w:pStyle w:val="3"/>
        <w:jc w:val="both"/>
        <w:rPr>
          <w:rFonts w:hint="default" w:ascii="Times New Roman" w:hAnsi="Times New Roman" w:cs="Times New Roman"/>
          <w:color w:val="000000"/>
        </w:rPr>
      </w:pPr>
      <w:bookmarkStart w:id="14" w:name="_Toc491075818"/>
      <w:bookmarkStart w:id="15" w:name="_Toc15554"/>
      <w:r>
        <w:rPr>
          <w:rFonts w:hint="default" w:ascii="Times New Roman" w:hAnsi="Times New Roman" w:cs="Times New Roman"/>
          <w:color w:val="000000"/>
        </w:rPr>
        <w:t>1. 总则</w:t>
      </w:r>
      <w:bookmarkEnd w:id="14"/>
      <w:bookmarkEnd w:id="15"/>
    </w:p>
    <w:p w14:paraId="2E4DBBE8">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1.1 项目概况</w:t>
      </w:r>
    </w:p>
    <w:p w14:paraId="0BF6A829">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1.1.1 根据《中华人民共和国招标投标法》、《中华人民共和国招标投标法实施条例》等有关法律、法规和规章的规定，本招标项目已具备招标条件，现对本标段（包）进行招标。</w:t>
      </w:r>
    </w:p>
    <w:p w14:paraId="3BC2DCD1">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1.1.2 本招标项目招标人：见投标人须知前附表。</w:t>
      </w:r>
    </w:p>
    <w:p w14:paraId="0D5AD7AC">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1.1.3 本标段（包）招标代理机构：见投标人须知前附表。</w:t>
      </w:r>
    </w:p>
    <w:p w14:paraId="5089D47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1.1.4 本招标标段（包）名称：见投标人须知前附表。</w:t>
      </w:r>
    </w:p>
    <w:p w14:paraId="3D170DF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1.1.5 本标段（包）建设（服务、交货）地点：见投标人须知前附表。</w:t>
      </w:r>
    </w:p>
    <w:p w14:paraId="3CA3F93A">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1.2 资金来源和落实情况</w:t>
      </w:r>
    </w:p>
    <w:p w14:paraId="6772C0C5">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1.2.1 本招标标段（包）的资金来源：见投标人须知前附表。</w:t>
      </w:r>
    </w:p>
    <w:p w14:paraId="5BD42792">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1.2.2 本招标标段（包）的资金落实情况：见投标人须知前附表。</w:t>
      </w:r>
    </w:p>
    <w:p w14:paraId="23B246B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1.2.3 本招标标段（包）的项目性质：见投标人须知前附表。</w:t>
      </w:r>
    </w:p>
    <w:p w14:paraId="7D86995E">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1.3 招标范围、履约期限、质量要求、资格审查方式和招标方式</w:t>
      </w:r>
    </w:p>
    <w:p w14:paraId="6F7CCEF8">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1.3.1 本次招标范围：见投标人须知前附表。</w:t>
      </w:r>
    </w:p>
    <w:p w14:paraId="5AE85F0E">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1.3.2 本标段（包）的履约期限：见投标人须知前附表。</w:t>
      </w:r>
    </w:p>
    <w:p w14:paraId="4F6B343C">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1.3.3 本标段（包）的质量要求：见投标人须知前附表。</w:t>
      </w:r>
    </w:p>
    <w:p w14:paraId="7DAC17C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1.3.4 本标段（包）的资格审查方式：见投标人须知前附表。</w:t>
      </w:r>
    </w:p>
    <w:p w14:paraId="6F80DAC5">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1.3.5 本标段（包）的招标方式：见投标人须知前附表。</w:t>
      </w:r>
    </w:p>
    <w:p w14:paraId="178AFDA7">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1.3.6本标段（包）的政府采购政策：见投标人须知前附表。</w:t>
      </w:r>
    </w:p>
    <w:p w14:paraId="49BF6E6A">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1.4 投标人资格要求</w:t>
      </w:r>
    </w:p>
    <w:p w14:paraId="0C865270">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1.4.1 投标人的资质条件、能力和信誉以及政府采购特殊资格要求应符合投标人须知前附表的要求。</w:t>
      </w:r>
    </w:p>
    <w:p w14:paraId="1575DD3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 xml:space="preserve">1.4.2 投标人须知前附表规定接受联合体投标的，除应符合本章第1.4.1项和投标人须知前附表的要求外，还应遵守以下规定： </w:t>
      </w:r>
    </w:p>
    <w:p w14:paraId="55E8CF0B">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（1）联合体各方应按招标文件提供的格式签订联合体协议书，明确联合体牵头人和各方的权利义务；</w:t>
      </w:r>
    </w:p>
    <w:p w14:paraId="3BC9A56F">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（2）两个以上资质类别相同但资质等级不同且分工相同的成员组成的联合体，以联合体成员中资质等级较低者的资质等级作为联合体的资质等级。</w:t>
      </w:r>
    </w:p>
    <w:p w14:paraId="248B69CA">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（3）两个以上资质类别不同的成员组成的联合体，按照联合体协议中约定的内部分工分别认定联合体的资质类别和等级。</w:t>
      </w:r>
    </w:p>
    <w:p w14:paraId="5DF5306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（4）联合体各方不得再以自己名义单独或加入其他联合体在同一标段中参加投标。</w:t>
      </w:r>
    </w:p>
    <w:p w14:paraId="36BA0937">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1.4.3 投标人不得存在下列情形之一：</w:t>
      </w:r>
    </w:p>
    <w:p w14:paraId="08D00C23">
      <w:pPr>
        <w:spacing w:line="400" w:lineRule="exact"/>
        <w:ind w:firstLine="482"/>
        <w:rPr>
          <w:rFonts w:hint="default" w:ascii="Times New Roman" w:hAnsi="Times New Roman" w:cs="Times New Roman"/>
          <w:color w:val="000000"/>
          <w:szCs w:val="21"/>
        </w:rPr>
      </w:pPr>
      <w:permStart w:id="90" w:edGrp="everyone"/>
      <w:r>
        <w:rPr>
          <w:rFonts w:hint="default" w:ascii="Times New Roman" w:hAnsi="Times New Roman" w:cs="Times New Roman"/>
          <w:color w:val="000000"/>
          <w:szCs w:val="21"/>
          <w:lang w:bidi="ar"/>
        </w:rPr>
        <w:t>(1)为招标人不具有独立法人资格的附属机构(单位)；</w:t>
      </w:r>
    </w:p>
    <w:p w14:paraId="108E1D05">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(2)与招标人存在利害关系且可能影响招标公正性；</w:t>
      </w:r>
    </w:p>
    <w:p w14:paraId="43D52EDD">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(3)与本标段(包)的其他投标人为同一个单位负责人；</w:t>
      </w:r>
    </w:p>
    <w:p w14:paraId="7F7DF3EF">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(4)与本标段(包)的其他投标人存在控股、管理关系；</w:t>
      </w:r>
    </w:p>
    <w:p w14:paraId="52BE13BF">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(5)为本标段(包)前期准备提供设计或咨询服务的(招标人公开已完成的项目建议书、可行性研究报告、初步设计文件的除外)；</w:t>
      </w:r>
    </w:p>
    <w:p w14:paraId="75E39EDB">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(6)为本标段(包)的监理人、造价咨询单位、项目管理单位；</w:t>
      </w:r>
    </w:p>
    <w:p w14:paraId="5F856CF6">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(7)为本标段(包)的代建人；</w:t>
      </w:r>
    </w:p>
    <w:p w14:paraId="4979C4F8">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(8)为本标段(包)提供招标代理服务；</w:t>
      </w:r>
    </w:p>
    <w:p w14:paraId="4034B8E5">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(9)与本标段(包)的监理人或代建人或招标代理机构同为一个法定代表人；</w:t>
      </w:r>
    </w:p>
    <w:p w14:paraId="4A879DD2">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(10)与本标段(包)的监理人或代建人或招标代理机构相互控股或参股；</w:t>
      </w:r>
    </w:p>
    <w:p w14:paraId="359D4FEA">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(11)与本标段(包)的监理人或代建人或招标代理机构相互任职或工作；</w:t>
      </w:r>
    </w:p>
    <w:p w14:paraId="42BE140E">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(12)被依法暂停或取消投标资格(指被本招标项目所在地县级及以上住房城乡建设主管部门或其他行政主管部门暂停或取消投标资格或禁止进入该区域建设市场且处于有效期内)；</w:t>
      </w:r>
    </w:p>
    <w:p w14:paraId="28C28B55">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(13)被责令停产停业、暂扣或者吊销许可证、暂扣或者吊销执照；</w:t>
      </w:r>
    </w:p>
    <w:p w14:paraId="51A38F54">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(14)进入清算程序，或被宣告破产，或其他丧失履约能力的情形；</w:t>
      </w:r>
    </w:p>
    <w:p w14:paraId="6262DEEA">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(15)在最近三年内发生重大工程质量问题(以相关行业主管部门的行政处罚决定或司法机关出具的有关法律文书为准)；</w:t>
      </w:r>
    </w:p>
    <w:p w14:paraId="4A1A3078">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(16)在“国家企业信用信息公示系统”(www.gsxt.gov.cn)中被列入严重违法失信企业名单；</w:t>
      </w:r>
    </w:p>
    <w:p w14:paraId="36EA01AA">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(17)在近三年内投标人或其法定代表人、拟委任的工程总承包项目负责人、设计负责人、施工负责人有行贿犯罪行为；</w:t>
      </w:r>
    </w:p>
    <w:p w14:paraId="30EB935D">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(18)被列入“湖北公共资源交易电子服务系统-信用信息”重点监管对象；</w:t>
      </w:r>
    </w:p>
    <w:p w14:paraId="41785437">
      <w:pPr>
        <w:spacing w:line="400" w:lineRule="exact"/>
        <w:ind w:firstLine="482"/>
        <w:rPr>
          <w:rFonts w:hint="default" w:ascii="Times New Roman" w:hAnsi="Times New Roman" w:cs="Times New Roman"/>
          <w:color w:val="000000"/>
          <w:szCs w:val="21"/>
        </w:rPr>
      </w:pPr>
      <w:r>
        <w:rPr>
          <w:rFonts w:hint="default" w:ascii="Times New Roman" w:hAnsi="Times New Roman" w:cs="Times New Roman"/>
          <w:color w:val="000000"/>
          <w:szCs w:val="21"/>
          <w:lang w:bidi="ar"/>
        </w:rPr>
        <w:t>(19)法律法规规定的其他情形。</w:t>
      </w:r>
    </w:p>
    <w:permEnd w:id="90"/>
    <w:p w14:paraId="777BD4D6">
      <w:pPr>
        <w:spacing w:line="400" w:lineRule="exact"/>
        <w:ind w:firstLine="482"/>
        <w:rPr>
          <w:rFonts w:hint="default" w:ascii="Times New Roman" w:hAnsi="Times New Roman" w:cs="Times New Roman"/>
          <w:color w:val="000000"/>
        </w:rPr>
      </w:pPr>
    </w:p>
    <w:p w14:paraId="2120DCE0">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1.4.4 投标人存在下列情形之一的，相关投标均无效：</w:t>
      </w:r>
    </w:p>
    <w:p w14:paraId="5A5809E9">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（1）与招标人存在利害关系影响招标公正性的；</w:t>
      </w:r>
    </w:p>
    <w:p w14:paraId="3537A2EB">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（2）单位负责人为同一人或者存在控股、管理关系的不同单位，参加同一标段（包）投标的，共同组成联合体投标的除外。</w:t>
      </w:r>
    </w:p>
    <w:p w14:paraId="4D545DE8">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1.5 费用承担</w:t>
      </w:r>
    </w:p>
    <w:p w14:paraId="097A063A">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投标人准备和参加投标活动发生的费用自理。</w:t>
      </w:r>
    </w:p>
    <w:p w14:paraId="18077463">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1.6 保密</w:t>
      </w:r>
    </w:p>
    <w:p w14:paraId="5676831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 xml:space="preserve">参与招标投标活动的各方应对招标文件和投标文件中的商业和技术等秘密保密，违者应对由此造成的后果承担法律责任。 </w:t>
      </w:r>
    </w:p>
    <w:p w14:paraId="118D0ECE">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1.7 语言文字</w:t>
      </w:r>
    </w:p>
    <w:p w14:paraId="18C2492C">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除专用术语外，与招标投标有关的语言均使用中文。必要时专用术语应附有中文注释。</w:t>
      </w:r>
    </w:p>
    <w:p w14:paraId="361CB07A">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1.8 计量单位</w:t>
      </w:r>
    </w:p>
    <w:p w14:paraId="2E5FCB3F">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所有计量均采用中华人民共和国法定计量单位。</w:t>
      </w:r>
    </w:p>
    <w:p w14:paraId="056FFF53">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1.9 踏勘现场</w:t>
      </w:r>
    </w:p>
    <w:p w14:paraId="246438AD">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 xml:space="preserve">1.9.1 投标人须知前附表规定组织踏勘现场的，招标人按投标人须知前附表规定的时间、地点组织投标人踏勘项目现场。 </w:t>
      </w:r>
    </w:p>
    <w:p w14:paraId="22733E8A">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1.9.2 投标人踏勘现场发生的费用自理。</w:t>
      </w:r>
    </w:p>
    <w:p w14:paraId="5FDC6242">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1.9.3 除招标人的原因外，投标人自行负责在踏勘现场中所发生的人员伤亡和财产损失。</w:t>
      </w:r>
    </w:p>
    <w:p w14:paraId="54F0A7BA">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1.9.4 招标人在踏勘现场中介绍的项目情况，供投标人在编制投标文件时参考，招标人不对投标人据此作出的判断和决策负责。</w:t>
      </w:r>
    </w:p>
    <w:p w14:paraId="6758459D">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1.10 投标预备会</w:t>
      </w:r>
    </w:p>
    <w:p w14:paraId="0954DF68">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1.10.1 投标人须知前附表规定召开投标预备会的，招标人按照投标人须知前附表规定的时间和地点召开投标预备会，澄清投标人提出的问题。</w:t>
      </w:r>
    </w:p>
    <w:p w14:paraId="314419DB">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1.10.2 投标预备会后，招标人按投标人须知表2.2款规定的时间和方式发布澄清文件。</w:t>
      </w:r>
    </w:p>
    <w:p w14:paraId="69B105F7">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1.11 分包</w:t>
      </w:r>
    </w:p>
    <w:p w14:paraId="2A9A922F">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在投标人须知前附表规定允许分包的，分包的内容，分包金额，接受分包的第三人资质要求见投标人须知前附表。</w:t>
      </w:r>
    </w:p>
    <w:p w14:paraId="15FCCA78">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1.12 偏离</w:t>
      </w:r>
    </w:p>
    <w:p w14:paraId="7519F0ED">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投标人须知前附表允许投标文件偏离招标文件某些要求的，偏离应当符合招标文件规定的偏离范围和幅度。</w:t>
      </w:r>
    </w:p>
    <w:p w14:paraId="47BDD21A">
      <w:pPr>
        <w:pStyle w:val="3"/>
        <w:jc w:val="both"/>
        <w:rPr>
          <w:rFonts w:hint="default" w:ascii="Times New Roman" w:hAnsi="Times New Roman" w:cs="Times New Roman"/>
          <w:color w:val="000000"/>
        </w:rPr>
      </w:pPr>
      <w:bookmarkStart w:id="16" w:name="_Toc491075819"/>
      <w:bookmarkStart w:id="17" w:name="_Toc30012"/>
      <w:r>
        <w:rPr>
          <w:rFonts w:hint="default" w:ascii="Times New Roman" w:hAnsi="Times New Roman" w:cs="Times New Roman"/>
          <w:color w:val="000000"/>
        </w:rPr>
        <w:t>2. 招标文件</w:t>
      </w:r>
      <w:bookmarkEnd w:id="16"/>
      <w:bookmarkEnd w:id="17"/>
    </w:p>
    <w:p w14:paraId="125CB622">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2.1 招标文件的组成</w:t>
      </w:r>
    </w:p>
    <w:p w14:paraId="3B5A2DA7">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本招标文件包括：</w:t>
      </w:r>
    </w:p>
    <w:p w14:paraId="18D1DB69">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（1）招标公告（或投标邀请书）；</w:t>
      </w:r>
    </w:p>
    <w:p w14:paraId="1FD8407E">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（2）投标人须知；</w:t>
      </w:r>
    </w:p>
    <w:p w14:paraId="73DA2A4E">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（3）评标办法；</w:t>
      </w:r>
    </w:p>
    <w:p w14:paraId="2D54313D">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（4）合同条款及格式；</w:t>
      </w:r>
    </w:p>
    <w:p w14:paraId="1425EAAC">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 xml:space="preserve">（5）发包人要求； </w:t>
      </w:r>
    </w:p>
    <w:p w14:paraId="60AE3280">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 xml:space="preserve">（6）图纸和资料；  </w:t>
      </w:r>
    </w:p>
    <w:p w14:paraId="402C8DD5">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（7）投标文件格式；</w:t>
      </w:r>
    </w:p>
    <w:p w14:paraId="34452E18">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（8）投标人须知前附表规定的其他材料。</w:t>
      </w:r>
    </w:p>
    <w:p w14:paraId="41217659">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根据本章第1.10款、第2.2款和第2.3款对招标文件所作的澄清、修改，构成招标文件的组成部分。</w:t>
      </w:r>
    </w:p>
    <w:p w14:paraId="0CB22FA1">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2.1.1 最高投标限价</w:t>
      </w:r>
    </w:p>
    <w:p w14:paraId="1146288F">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（1）本工程的计税方法见投标人须知前附表。</w:t>
      </w:r>
    </w:p>
    <w:p w14:paraId="6CB20D11">
      <w:pPr>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rPr>
        <w:t>（2）招标人将设置招标控制价，招标控制价总价见投标人须知前附表，招标控制价明细应随招标文件发给所有下载招标文件的投标人。</w:t>
      </w:r>
      <w:bookmarkStart w:id="18" w:name="_Toc152042320"/>
      <w:bookmarkStart w:id="19" w:name="_Toc144974512"/>
      <w:bookmarkStart w:id="20" w:name="_Toc179632562"/>
      <w:bookmarkStart w:id="21" w:name="_Toc467939778"/>
      <w:bookmarkStart w:id="22" w:name="_Toc152045544"/>
    </w:p>
    <w:p w14:paraId="5AD93216">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2.2 招标文件的澄清</w:t>
      </w:r>
      <w:bookmarkEnd w:id="18"/>
      <w:bookmarkEnd w:id="19"/>
      <w:bookmarkEnd w:id="20"/>
      <w:bookmarkEnd w:id="21"/>
      <w:bookmarkEnd w:id="22"/>
    </w:p>
    <w:p w14:paraId="790C5C89">
      <w:pPr>
        <w:spacing w:line="400" w:lineRule="exact"/>
        <w:ind w:firstLine="420" w:firstLineChars="200"/>
        <w:rPr>
          <w:rFonts w:hint="default" w:ascii="Times New Roman" w:hAnsi="Times New Roman" w:cs="Times New Roman"/>
          <w:color w:val="000000"/>
          <w:szCs w:val="24"/>
        </w:rPr>
      </w:pPr>
      <w:r>
        <w:rPr>
          <w:rFonts w:hint="default" w:ascii="Times New Roman" w:hAnsi="Times New Roman" w:cs="Times New Roman"/>
          <w:color w:val="000000"/>
          <w:szCs w:val="24"/>
        </w:rPr>
        <w:t>2.2.1投标人应仔细阅读和检查招标文件的全部内容。</w:t>
      </w:r>
      <w:r>
        <w:rPr>
          <w:rFonts w:hint="default" w:ascii="Times New Roman" w:hAnsi="Times New Roman" w:cs="Times New Roman"/>
          <w:color w:val="000000"/>
          <w:szCs w:val="21"/>
        </w:rPr>
        <w:t>如对招标文件有</w:t>
      </w:r>
      <w:r>
        <w:rPr>
          <w:rFonts w:hint="default" w:ascii="Times New Roman" w:hAnsi="Times New Roman" w:cs="Times New Roman"/>
          <w:color w:val="000000"/>
          <w:szCs w:val="24"/>
        </w:rPr>
        <w:t>任何疑问，应在投标人须知前附表规定的时间前，使用CA数字证书登录“电子交易平台”，在“我要异议”菜单以书面形式要求招标人对招标文件予以澄清。</w:t>
      </w:r>
    </w:p>
    <w:p w14:paraId="43BFB5FB">
      <w:pPr>
        <w:spacing w:line="400" w:lineRule="exact"/>
        <w:ind w:firstLine="420" w:firstLineChars="200"/>
        <w:rPr>
          <w:rFonts w:hint="default" w:ascii="Times New Roman" w:hAnsi="Times New Roman" w:cs="Times New Roman"/>
          <w:color w:val="000000"/>
          <w:szCs w:val="24"/>
        </w:rPr>
      </w:pPr>
      <w:r>
        <w:rPr>
          <w:rFonts w:hint="default" w:ascii="Times New Roman" w:hAnsi="Times New Roman" w:cs="Times New Roman"/>
          <w:color w:val="000000"/>
          <w:szCs w:val="24"/>
        </w:rPr>
        <w:t>2.2.2 招标人对招标文件的澄清通过“电子交易平台”发出，但不指明澄清问题的来源。如果澄清通知发出的时间距投标人须知前附表第4.2.1项规定的投标截止时间不足15日，并且澄清的内容影响投标文件编制的，相应延长投标截止时间。</w:t>
      </w:r>
    </w:p>
    <w:p w14:paraId="573C599B">
      <w:pPr>
        <w:spacing w:line="400" w:lineRule="exact"/>
        <w:ind w:firstLine="420" w:firstLineChars="200"/>
        <w:rPr>
          <w:rFonts w:hint="default" w:ascii="Times New Roman" w:hAnsi="Times New Roman" w:cs="Times New Roman"/>
          <w:color w:val="000000"/>
          <w:szCs w:val="24"/>
        </w:rPr>
      </w:pPr>
      <w:bookmarkStart w:id="23" w:name="_Toc152042321"/>
      <w:bookmarkStart w:id="24" w:name="_Toc179632563"/>
      <w:bookmarkStart w:id="25" w:name="_Toc144974513"/>
      <w:bookmarkStart w:id="26" w:name="_Toc467939779"/>
      <w:bookmarkStart w:id="27" w:name="_Toc152045545"/>
      <w:r>
        <w:rPr>
          <w:rFonts w:hint="default" w:ascii="Times New Roman" w:hAnsi="Times New Roman" w:cs="Times New Roman"/>
          <w:color w:val="000000"/>
          <w:szCs w:val="24"/>
        </w:rPr>
        <w:t>2.2.3投标人应时时关注“电子交易平台”上发出的澄清通知，因投标人自身原因未及时获知澄清内容而导致的任何后果将由投标人自行承担。</w:t>
      </w:r>
    </w:p>
    <w:p w14:paraId="13337288">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2.3 招标文件的修改</w:t>
      </w:r>
      <w:bookmarkEnd w:id="23"/>
      <w:bookmarkEnd w:id="24"/>
      <w:bookmarkEnd w:id="25"/>
      <w:bookmarkEnd w:id="26"/>
      <w:bookmarkEnd w:id="27"/>
    </w:p>
    <w:p w14:paraId="37E5693C">
      <w:pPr>
        <w:spacing w:line="400" w:lineRule="exact"/>
        <w:ind w:firstLine="420" w:firstLineChars="200"/>
        <w:rPr>
          <w:rFonts w:hint="default" w:ascii="Times New Roman" w:hAnsi="Times New Roman" w:cs="Times New Roman"/>
          <w:color w:val="000000"/>
          <w:szCs w:val="24"/>
        </w:rPr>
      </w:pPr>
      <w:r>
        <w:rPr>
          <w:rFonts w:hint="default" w:ascii="Times New Roman" w:hAnsi="Times New Roman" w:cs="Times New Roman"/>
          <w:color w:val="000000"/>
          <w:szCs w:val="24"/>
        </w:rPr>
        <w:t>2.3.1 招标人可以书面形式修改招标文件，并通过“电子交易平台”发出。如果修改通知发出的时间距投标人须知前附表第4.2.1项规定的投标截止时间不足15日，并且修改的内容影响投标文件编制的，相应延长投标截止时间。</w:t>
      </w:r>
    </w:p>
    <w:p w14:paraId="40867B79">
      <w:pPr>
        <w:spacing w:line="400" w:lineRule="exact"/>
        <w:ind w:firstLine="420" w:firstLineChars="200"/>
        <w:rPr>
          <w:rFonts w:hint="default" w:ascii="Times New Roman" w:hAnsi="Times New Roman" w:cs="Times New Roman"/>
          <w:color w:val="000000"/>
          <w:szCs w:val="24"/>
        </w:rPr>
      </w:pPr>
      <w:r>
        <w:rPr>
          <w:rFonts w:hint="default" w:ascii="Times New Roman" w:hAnsi="Times New Roman" w:cs="Times New Roman"/>
          <w:color w:val="000000"/>
          <w:szCs w:val="24"/>
        </w:rPr>
        <w:t>2.3.2投标人应时时关注“电子交易平台”上发出的修改通知，因投标人自身原因未及时获知修改内容而导致的任何后果将由投标人自行承担。</w:t>
      </w:r>
      <w:bookmarkStart w:id="28" w:name="_Toc467939780"/>
    </w:p>
    <w:p w14:paraId="34378249">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2.4 招标文件的异议</w:t>
      </w:r>
      <w:bookmarkEnd w:id="28"/>
    </w:p>
    <w:p w14:paraId="0B315B5B">
      <w:pPr>
        <w:spacing w:line="400" w:lineRule="exact"/>
        <w:ind w:firstLine="420" w:firstLineChars="200"/>
        <w:rPr>
          <w:rFonts w:hint="default" w:ascii="Times New Roman" w:hAnsi="Times New Roman" w:cs="Times New Roman"/>
          <w:color w:val="000000"/>
          <w:szCs w:val="24"/>
        </w:rPr>
      </w:pPr>
      <w:r>
        <w:rPr>
          <w:rFonts w:hint="default" w:ascii="Times New Roman" w:hAnsi="Times New Roman" w:cs="Times New Roman"/>
          <w:color w:val="000000"/>
          <w:szCs w:val="24"/>
        </w:rPr>
        <w:t>2.4.1投标人或者其他利害关系人对招标文件（包括对招标文件澄清和修改的内容）有异议的，应当在投标人须知前附表第4.2.1项规定的投标截止时间10日前提出。招标人自收到异议之日起3日内作出答复；作出答复前，招标人将暂停招标投标活动。逾期提出的，招标人可不予受理。异议与答复应通过“电子交易平台”在“提出异议”和“异议答复”菜单以书面形式完成。</w:t>
      </w:r>
    </w:p>
    <w:p w14:paraId="3C56603B">
      <w:pPr>
        <w:spacing w:line="400" w:lineRule="exact"/>
        <w:ind w:firstLine="420" w:firstLineChars="200"/>
        <w:rPr>
          <w:rFonts w:hint="default" w:ascii="Times New Roman" w:hAnsi="Times New Roman" w:cs="Times New Roman"/>
          <w:color w:val="000000"/>
          <w:szCs w:val="24"/>
        </w:rPr>
      </w:pPr>
      <w:r>
        <w:rPr>
          <w:rFonts w:hint="default" w:ascii="Times New Roman" w:hAnsi="Times New Roman" w:cs="Times New Roman"/>
          <w:color w:val="000000"/>
          <w:szCs w:val="24"/>
        </w:rPr>
        <w:t>本处所称异议是指投标人或者其他利害关系人认为招标文件的内容违反法律、法规、规章的强制性规定，违反公开、公平、公正和诚实信用原则，影响投标人投标而向招标人提出的质疑。</w:t>
      </w:r>
    </w:p>
    <w:p w14:paraId="222AA810">
      <w:pPr>
        <w:spacing w:line="400" w:lineRule="exact"/>
        <w:ind w:firstLine="420" w:firstLineChars="200"/>
        <w:rPr>
          <w:rFonts w:hint="default" w:ascii="Times New Roman" w:hAnsi="Times New Roman" w:cs="Times New Roman"/>
          <w:color w:val="000000"/>
          <w:szCs w:val="24"/>
        </w:rPr>
      </w:pPr>
      <w:r>
        <w:rPr>
          <w:rFonts w:hint="default" w:ascii="Times New Roman" w:hAnsi="Times New Roman" w:cs="Times New Roman"/>
          <w:color w:val="000000"/>
          <w:szCs w:val="24"/>
        </w:rPr>
        <w:t>2.4.2招标人对异议的答复构成对招标文件澄清或者修改的，招标人将按照本章第2.2款、第2.3款规定办理。</w:t>
      </w:r>
    </w:p>
    <w:p w14:paraId="2AD1088C">
      <w:pPr>
        <w:pStyle w:val="3"/>
        <w:jc w:val="both"/>
        <w:rPr>
          <w:rFonts w:hint="default" w:ascii="Times New Roman" w:hAnsi="Times New Roman" w:cs="Times New Roman"/>
          <w:color w:val="000000"/>
        </w:rPr>
      </w:pPr>
      <w:bookmarkStart w:id="29" w:name="_Toc12816"/>
      <w:bookmarkStart w:id="30" w:name="_Toc491075820"/>
      <w:r>
        <w:rPr>
          <w:rFonts w:hint="default" w:ascii="Times New Roman" w:hAnsi="Times New Roman" w:cs="Times New Roman"/>
          <w:color w:val="000000"/>
        </w:rPr>
        <w:t>3. 投标文件</w:t>
      </w:r>
      <w:bookmarkEnd w:id="29"/>
      <w:bookmarkEnd w:id="30"/>
    </w:p>
    <w:p w14:paraId="5C93DDA2">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3.1 投标文件的组成</w:t>
      </w:r>
    </w:p>
    <w:p w14:paraId="311FC39C">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3.1.1 投标文件应包括但不限于下列内容（详细内容见第七章“投标文件格式”）：</w:t>
      </w:r>
    </w:p>
    <w:p w14:paraId="21107345">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一、封面</w:t>
      </w:r>
    </w:p>
    <w:p w14:paraId="5B22DD40">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二、商务文件</w:t>
      </w:r>
    </w:p>
    <w:p w14:paraId="42B2E75A">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三、投标报价</w:t>
      </w:r>
    </w:p>
    <w:p w14:paraId="49E3CA92">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四、技术文件</w:t>
      </w:r>
    </w:p>
    <w:p w14:paraId="675D3CD7">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五、其他材料</w:t>
      </w:r>
    </w:p>
    <w:p w14:paraId="799399A0">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3.1.2 投标人须知前附表规定不接受联合体投标的，或投标人没有组成联合体的，投标文件中不包括联合体协议书。</w:t>
      </w:r>
    </w:p>
    <w:p w14:paraId="1F386548">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3.2 投标报价</w:t>
      </w:r>
    </w:p>
    <w:p w14:paraId="7EFCBD1B">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3.2.1 投标人应充分了解该项目的总体情况以及影响投标报价的其他要素。</w:t>
      </w:r>
    </w:p>
    <w:p w14:paraId="5547273F">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3.2.2 招标人设有最高投标限价的，投标人的投标报价不得超过最高投标限价，最高投标限价或其计算方法在投标人须知前附表中载明。</w:t>
      </w:r>
    </w:p>
    <w:p w14:paraId="55A79D98">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3.2.3 投标报价的其他要求见投标人须知前附表。</w:t>
      </w:r>
    </w:p>
    <w:p w14:paraId="1203CB44">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3.3 投标有效期</w:t>
      </w:r>
    </w:p>
    <w:p w14:paraId="4E51AEE5">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3.3.1 在投标人须知前附表规定的投标有效期内，投标人不得要求撤销或修改其投标文件。</w:t>
      </w:r>
    </w:p>
    <w:p w14:paraId="063FE60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3.3.2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1DE2B8E3">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3.4 投标保证金</w:t>
      </w:r>
    </w:p>
    <w:p w14:paraId="5802AD8E">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3.4.1 投标人须知前附表规定提交投标保证金的，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14:paraId="322BDC45">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3.4.2 投标人不按本章第3.4.1项要求提交投标保证金的，其投标将被否决。</w:t>
      </w:r>
    </w:p>
    <w:p w14:paraId="1C4F22B3">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3.4.3 招标人最迟在与中标人签订合同后5日内，向未中标的投标人和中标人退还投标保证金。招标人同时退还投标保证金的银行同期存款利息。投标保证金及利息的计息标准见投标人须知前附表。</w:t>
      </w:r>
    </w:p>
    <w:p w14:paraId="73D24BF0">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 xml:space="preserve">3.4.4 有下列情形之一的，投标保证金将不予退还： </w:t>
      </w:r>
    </w:p>
    <w:p w14:paraId="1CDD7F5B">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（1）投标人在规定的投标有效期内撤销或修改其投标文件；</w:t>
      </w:r>
    </w:p>
    <w:p w14:paraId="63A8D368">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（2）中标人在收到中标通知书后，无正当理由拒签合同、在签订合同时向招标人提出附加条件或未按招标文件规定提交履约担保。</w:t>
      </w:r>
    </w:p>
    <w:p w14:paraId="297193CE">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3.5 资格审查资料</w:t>
      </w:r>
    </w:p>
    <w:p w14:paraId="08AC4947">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3.5.1 投标人应按招标文件第七章“投标文件格式”中规定的内容填写，并按具体要求提供相关证件及证明材料。</w:t>
      </w:r>
    </w:p>
    <w:p w14:paraId="32F0CAA0">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本招标文件中“类似项目业绩”的定义见投标人须知前附表。</w:t>
      </w:r>
    </w:p>
    <w:p w14:paraId="4892C9CB">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3.5.2 投标人须知前附表第1.4.2项规定接受联合体投标的，本章第3.5.1项规定的表格和资料应包括联合体各方相关情况。</w:t>
      </w:r>
    </w:p>
    <w:p w14:paraId="39BB02E0">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3.6 备选投标方案</w:t>
      </w:r>
    </w:p>
    <w:p w14:paraId="2087F0DF">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除投标人须知前附表另有规定外，投标人不得递交备选投标方案。允许投标人递交备选投标方案的，只有中标人所递交的备选投标方案方可予以考虑。评标委员会认为中标候选人的备选投标方案优于其按照招标文件要求编制的投标方案的，该中标候选人被确定中标人后，招标人可以接受该备选投标方案。</w:t>
      </w:r>
    </w:p>
    <w:p w14:paraId="1163E4ED">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3.7 投标文件的编制</w:t>
      </w:r>
    </w:p>
    <w:p w14:paraId="4661AA8F">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3.7.1 投标文件应按第七章“投标文件格式”进行编写，如有必要，可以增加附页，作为投标文件的组成部分。其中，投标函附录（如有）在满足招标文件实质性要求的基础上，可以提出比招标文件要求更有利于招标人的承诺。</w:t>
      </w:r>
    </w:p>
    <w:p w14:paraId="5611A1DC">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3.7.2 投标文件应当对招标文件有关履约期限、投标有效期、质量要求、发包人要求、招标范围等实质性内容作出响应。</w:t>
      </w:r>
    </w:p>
    <w:p w14:paraId="2092FD4E">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3.7.3 电子投标文件制作</w:t>
      </w:r>
    </w:p>
    <w:p w14:paraId="1D5AA4C3">
      <w:pPr>
        <w:spacing w:line="360" w:lineRule="auto"/>
        <w:ind w:firstLine="424" w:firstLineChars="202"/>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（1）电子投标文件由投标人使用“电子交易平台”自带的“投标文件制作工具”制作生成。</w:t>
      </w:r>
    </w:p>
    <w:p w14:paraId="4285DDF3">
      <w:pPr>
        <w:spacing w:line="360" w:lineRule="auto"/>
        <w:ind w:firstLine="424" w:firstLineChars="202"/>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（2）投标人在编制电子投标文件时应当建立分级目录，并按照标签提示导入相关内容。</w:t>
      </w:r>
    </w:p>
    <w:p w14:paraId="1B16CDE9">
      <w:pPr>
        <w:spacing w:line="360" w:lineRule="auto"/>
        <w:ind w:firstLine="424" w:firstLineChars="202"/>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（3）第七章投标文件格式文件要求盖单位章和（或）签字的地方，投标人均应使用CA 数字证书加盖投标人的单位电子印章和（或）法定代表人的个人电子印章或电子签名章。</w:t>
      </w:r>
    </w:p>
    <w:p w14:paraId="01DB067B">
      <w:pPr>
        <w:spacing w:line="360" w:lineRule="auto"/>
        <w:ind w:firstLine="424" w:firstLineChars="202"/>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（4）</w:t>
      </w:r>
      <w:r>
        <w:rPr>
          <w:rFonts w:hint="default" w:ascii="Times New Roman" w:hAnsi="Times New Roman" w:cs="Times New Roman"/>
          <w:color w:val="000000"/>
        </w:rPr>
        <w:t>电子投标文件制作完成后，将生成一份加密的电子投标文件（后缀名为*.已加密投标文件）和一份不加密的电子投标文件（后缀名为*.未加密投标文件）。</w:t>
      </w:r>
    </w:p>
    <w:p w14:paraId="34016710">
      <w:pPr>
        <w:spacing w:line="360" w:lineRule="auto"/>
        <w:ind w:firstLine="424" w:firstLineChars="202"/>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（5）电子投标文件制作的具体方法详见“投标文件制作工具”中的帮助文档。</w:t>
      </w:r>
    </w:p>
    <w:p w14:paraId="06A9C410">
      <w:pPr>
        <w:pStyle w:val="3"/>
        <w:jc w:val="both"/>
        <w:rPr>
          <w:rFonts w:hint="default" w:ascii="Times New Roman" w:hAnsi="Times New Roman" w:cs="Times New Roman"/>
          <w:color w:val="000000"/>
        </w:rPr>
      </w:pPr>
      <w:bookmarkStart w:id="31" w:name="_Toc491075821"/>
      <w:bookmarkStart w:id="32" w:name="_Toc24059"/>
      <w:r>
        <w:rPr>
          <w:rFonts w:hint="default" w:ascii="Times New Roman" w:hAnsi="Times New Roman" w:cs="Times New Roman"/>
          <w:color w:val="000000"/>
        </w:rPr>
        <w:t>4. 投标</w:t>
      </w:r>
      <w:bookmarkEnd w:id="31"/>
      <w:bookmarkEnd w:id="32"/>
    </w:p>
    <w:p w14:paraId="611F4D05">
      <w:pPr>
        <w:pStyle w:val="27"/>
        <w:rPr>
          <w:rFonts w:hint="default" w:ascii="Times New Roman" w:hAnsi="Times New Roman" w:cs="Times New Roman"/>
          <w:color w:val="000000"/>
        </w:rPr>
      </w:pPr>
      <w:bookmarkStart w:id="33" w:name="_Toc179632574"/>
      <w:bookmarkStart w:id="34" w:name="_Toc152045556"/>
      <w:bookmarkStart w:id="35" w:name="_Toc144974524"/>
      <w:bookmarkStart w:id="36" w:name="_Toc152042332"/>
      <w:bookmarkStart w:id="37" w:name="_Toc28531709"/>
      <w:r>
        <w:rPr>
          <w:rFonts w:hint="default" w:ascii="Times New Roman" w:hAnsi="Times New Roman" w:cs="Times New Roman"/>
          <w:color w:val="000000"/>
        </w:rPr>
        <w:t>4.1 投标文件的</w:t>
      </w:r>
      <w:bookmarkEnd w:id="33"/>
      <w:bookmarkEnd w:id="34"/>
      <w:bookmarkEnd w:id="35"/>
      <w:bookmarkEnd w:id="36"/>
      <w:r>
        <w:rPr>
          <w:rFonts w:hint="default" w:ascii="Times New Roman" w:hAnsi="Times New Roman" w:cs="Times New Roman"/>
          <w:color w:val="000000"/>
        </w:rPr>
        <w:t>加密</w:t>
      </w:r>
      <w:bookmarkEnd w:id="37"/>
    </w:p>
    <w:p w14:paraId="3392E8CF">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投标人应当按照本章第3.7.3项要求制作电子投标文件，并在投标时上传</w:t>
      </w:r>
      <w:r>
        <w:rPr>
          <w:rFonts w:hint="default" w:ascii="Times New Roman" w:hAnsi="Times New Roman" w:cs="Times New Roman"/>
          <w:b/>
          <w:color w:val="000000"/>
        </w:rPr>
        <w:t>加密的电子投标文件</w:t>
      </w:r>
      <w:r>
        <w:rPr>
          <w:rFonts w:hint="default" w:ascii="Times New Roman" w:hAnsi="Times New Roman" w:cs="Times New Roman"/>
          <w:color w:val="000000"/>
        </w:rPr>
        <w:t>，未加密的电子投标文件，招标人（“电子交易平台”）将拒收并提示。</w:t>
      </w:r>
    </w:p>
    <w:p w14:paraId="05673D5D">
      <w:pPr>
        <w:pStyle w:val="27"/>
        <w:rPr>
          <w:rFonts w:hint="default" w:ascii="Times New Roman" w:hAnsi="Times New Roman" w:cs="Times New Roman"/>
          <w:color w:val="000000"/>
        </w:rPr>
      </w:pPr>
      <w:bookmarkStart w:id="38" w:name="_Toc144974525"/>
      <w:bookmarkStart w:id="39" w:name="_Toc152042333"/>
      <w:bookmarkStart w:id="40" w:name="_Toc152045557"/>
      <w:bookmarkStart w:id="41" w:name="_Toc28531710"/>
      <w:bookmarkStart w:id="42" w:name="_Toc179632575"/>
      <w:r>
        <w:rPr>
          <w:rFonts w:hint="default" w:ascii="Times New Roman" w:hAnsi="Times New Roman" w:cs="Times New Roman"/>
          <w:color w:val="000000"/>
        </w:rPr>
        <w:t>4.2 投标文件的递交</w:t>
      </w:r>
      <w:bookmarkEnd w:id="38"/>
      <w:bookmarkEnd w:id="39"/>
      <w:bookmarkEnd w:id="40"/>
      <w:bookmarkEnd w:id="41"/>
      <w:bookmarkEnd w:id="42"/>
    </w:p>
    <w:p w14:paraId="6D1F97DF">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4.2.1 投标人递交投标文件的截止时间（投标截止时间）：见投标人须知前附表。</w:t>
      </w:r>
    </w:p>
    <w:p w14:paraId="2482DA49">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4.2.2 投标人应当在投标截止时间前，通过互联网使用CA数字证书登录“电子交易平台”，选择所投标段将</w:t>
      </w:r>
      <w:r>
        <w:rPr>
          <w:rFonts w:hint="default" w:ascii="Times New Roman" w:hAnsi="Times New Roman" w:cs="Times New Roman"/>
          <w:b/>
          <w:color w:val="000000"/>
        </w:rPr>
        <w:t>加密的电子投标文件</w:t>
      </w:r>
      <w:r>
        <w:rPr>
          <w:rFonts w:hint="default" w:ascii="Times New Roman" w:hAnsi="Times New Roman" w:cs="Times New Roman"/>
          <w:color w:val="000000"/>
        </w:rPr>
        <w:t>上传。投标人完成投标文件上传后，</w:t>
      </w:r>
      <w:bookmarkStart w:id="43" w:name="_Hlk141277669"/>
      <w:r>
        <w:rPr>
          <w:rFonts w:hint="default" w:ascii="Times New Roman" w:hAnsi="Times New Roman" w:cs="Times New Roman"/>
          <w:color w:val="000000"/>
        </w:rPr>
        <w:t>投标人完成投标文件上传后，系统会生成相应成功二维码</w:t>
      </w:r>
      <w:bookmarkEnd w:id="43"/>
      <w:r>
        <w:rPr>
          <w:rFonts w:hint="default" w:ascii="Times New Roman" w:hAnsi="Times New Roman" w:cs="Times New Roman"/>
          <w:color w:val="000000"/>
        </w:rPr>
        <w:t>。投标人应充分考虑上传文件时的不可预见因素，投标文件未在投标截止时间前完成上传的，视为逾期送达，招标人（“电子交易平台”）将拒收。</w:t>
      </w:r>
    </w:p>
    <w:p w14:paraId="206494A6">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4.2.3 除投标人须知前附表另有规定外，投标人所递交的投标文件不予退还。</w:t>
      </w:r>
    </w:p>
    <w:p w14:paraId="33898A1E">
      <w:pPr>
        <w:pStyle w:val="27"/>
        <w:rPr>
          <w:rFonts w:hint="default" w:ascii="Times New Roman" w:hAnsi="Times New Roman" w:cs="Times New Roman"/>
          <w:color w:val="000000"/>
        </w:rPr>
      </w:pPr>
      <w:bookmarkStart w:id="44" w:name="_Toc152042334"/>
      <w:bookmarkStart w:id="45" w:name="_Toc152045558"/>
      <w:bookmarkStart w:id="46" w:name="_Toc144974526"/>
      <w:bookmarkStart w:id="47" w:name="_Toc28531711"/>
      <w:bookmarkStart w:id="48" w:name="_Toc179632576"/>
      <w:r>
        <w:rPr>
          <w:rFonts w:hint="default" w:ascii="Times New Roman" w:hAnsi="Times New Roman" w:cs="Times New Roman"/>
          <w:color w:val="000000"/>
        </w:rPr>
        <w:t>4.3 投标文件的修改与撤回</w:t>
      </w:r>
      <w:bookmarkEnd w:id="44"/>
      <w:bookmarkEnd w:id="45"/>
      <w:bookmarkEnd w:id="46"/>
      <w:bookmarkEnd w:id="47"/>
      <w:bookmarkEnd w:id="48"/>
    </w:p>
    <w:p w14:paraId="3B918DCF">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4.3.1 在本章第4.2.1项规定的投标截止时间前，投标人可以修改或撤回已递交的投标文件。</w:t>
      </w:r>
    </w:p>
    <w:p w14:paraId="7020D043">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4.3.2 投标人撤回投标文件的，在“电子交易平台”直接进行撤回操作。</w:t>
      </w:r>
    </w:p>
    <w:p w14:paraId="76E200CD">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4.3.3 投标人修改投标文件的，应当先按本章第4.3.2项的规定撤回投标文件，再使用“电子投标文件制作软件”制作成完整的投标文件，并按照本章第3条、第4条规定进行编制和递交。</w:t>
      </w:r>
    </w:p>
    <w:p w14:paraId="63358BD0">
      <w:pPr>
        <w:pStyle w:val="3"/>
        <w:jc w:val="both"/>
        <w:rPr>
          <w:rFonts w:hint="default" w:ascii="Times New Roman" w:hAnsi="Times New Roman" w:cs="Times New Roman"/>
          <w:color w:val="000000"/>
        </w:rPr>
      </w:pPr>
      <w:r>
        <w:rPr>
          <w:rFonts w:hint="default" w:ascii="Times New Roman" w:hAnsi="Times New Roman" w:cs="Times New Roman"/>
          <w:color w:val="000000"/>
        </w:rPr>
        <w:t>5. 开标</w:t>
      </w:r>
    </w:p>
    <w:p w14:paraId="78F8CE30">
      <w:pPr>
        <w:pStyle w:val="27"/>
        <w:rPr>
          <w:rFonts w:hint="default" w:ascii="Times New Roman" w:hAnsi="Times New Roman" w:cs="Times New Roman"/>
          <w:color w:val="000000"/>
        </w:rPr>
      </w:pPr>
      <w:bookmarkStart w:id="49" w:name="_Toc179632578"/>
      <w:bookmarkStart w:id="50" w:name="_Toc28531713"/>
      <w:bookmarkStart w:id="51" w:name="_Toc152045560"/>
      <w:bookmarkStart w:id="52" w:name="_Toc144974528"/>
      <w:bookmarkStart w:id="53" w:name="_Toc152042336"/>
      <w:bookmarkStart w:id="54" w:name="_Toc225566757"/>
      <w:bookmarkStart w:id="55" w:name="_Toc225415512"/>
      <w:bookmarkStart w:id="56" w:name="_Toc225415914"/>
      <w:bookmarkStart w:id="57" w:name="_Toc225412229"/>
      <w:bookmarkStart w:id="58" w:name="_Toc244342927"/>
      <w:bookmarkStart w:id="59" w:name="_Toc468288622"/>
      <w:bookmarkStart w:id="60" w:name="_Toc225566575"/>
      <w:bookmarkStart w:id="61" w:name="_Toc168292966"/>
      <w:bookmarkStart w:id="62" w:name="_Toc225410655"/>
      <w:bookmarkStart w:id="63" w:name="_Toc225409807"/>
      <w:bookmarkStart w:id="64" w:name="_Toc168193867"/>
      <w:bookmarkStart w:id="65" w:name="_Toc225415713"/>
      <w:bookmarkStart w:id="66" w:name="_Toc225412027"/>
      <w:bookmarkStart w:id="67" w:name="_Toc225567355"/>
      <w:bookmarkStart w:id="68" w:name="_Toc225410023"/>
      <w:r>
        <w:rPr>
          <w:rFonts w:hint="default" w:ascii="Times New Roman" w:hAnsi="Times New Roman" w:cs="Times New Roman"/>
          <w:color w:val="000000"/>
        </w:rPr>
        <w:t>5.1 开标时间和地点</w:t>
      </w:r>
      <w:bookmarkEnd w:id="49"/>
      <w:bookmarkEnd w:id="50"/>
      <w:bookmarkEnd w:id="51"/>
      <w:bookmarkEnd w:id="52"/>
      <w:bookmarkEnd w:id="53"/>
    </w:p>
    <w:p w14:paraId="51BEEFAB">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5.1.1 招标人在本章第4.2.1项规定的投标截止时间（开标时间）</w:t>
      </w:r>
      <w:r>
        <w:rPr>
          <w:rFonts w:hint="default" w:ascii="Times New Roman" w:hAnsi="Times New Roman" w:cs="Times New Roman"/>
          <w:bCs/>
          <w:iCs/>
          <w:color w:val="000000"/>
        </w:rPr>
        <w:t>在</w:t>
      </w:r>
      <w:r>
        <w:rPr>
          <w:rFonts w:hint="default" w:ascii="Times New Roman" w:hAnsi="Times New Roman" w:cs="Times New Roman"/>
          <w:color w:val="000000"/>
        </w:rPr>
        <w:t>“电子交易平台”</w:t>
      </w:r>
      <w:r>
        <w:rPr>
          <w:rFonts w:hint="default" w:ascii="Times New Roman" w:hAnsi="Times New Roman" w:cs="Times New Roman"/>
          <w:bCs/>
          <w:iCs/>
          <w:color w:val="000000"/>
        </w:rPr>
        <w:t>上</w:t>
      </w:r>
      <w:r>
        <w:rPr>
          <w:rFonts w:hint="default" w:ascii="Times New Roman" w:hAnsi="Times New Roman" w:cs="Times New Roman"/>
          <w:color w:val="000000"/>
        </w:rPr>
        <w:t>公开进行开标，</w:t>
      </w:r>
      <w:r>
        <w:rPr>
          <w:rFonts w:hint="default" w:ascii="Times New Roman" w:hAnsi="Times New Roman" w:cs="Times New Roman"/>
          <w:bCs/>
          <w:iCs/>
          <w:color w:val="000000"/>
        </w:rPr>
        <w:t>所有投标人均</w:t>
      </w:r>
      <w:r>
        <w:rPr>
          <w:rFonts w:hint="default" w:ascii="Times New Roman" w:hAnsi="Times New Roman" w:cs="Times New Roman"/>
          <w:b/>
          <w:bCs/>
          <w:iCs/>
          <w:color w:val="000000"/>
        </w:rPr>
        <w:t>应当准时在线参加开标</w:t>
      </w:r>
      <w:r>
        <w:rPr>
          <w:rFonts w:hint="default" w:ascii="Times New Roman" w:hAnsi="Times New Roman" w:cs="Times New Roman"/>
          <w:color w:val="000000"/>
        </w:rPr>
        <w:t>。</w:t>
      </w:r>
    </w:p>
    <w:p w14:paraId="062FE4F0">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5.1.2招标人通过互联网在投标人须知前附表规定的地点组织开标，并在投标截止时间30分钟前，使用CA数字证书登录“电子交易平台”，进入“开标大厅”选择相应标段作在线开标的准备工作。</w:t>
      </w:r>
    </w:p>
    <w:p w14:paraId="7E369F81">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5.1.3 投标人应当在能够保证设施设备可靠、互联网畅通的</w:t>
      </w:r>
      <w:r>
        <w:rPr>
          <w:rFonts w:hint="default" w:ascii="Times New Roman" w:hAnsi="Times New Roman" w:cs="Times New Roman"/>
          <w:b/>
          <w:color w:val="000000"/>
        </w:rPr>
        <w:t>任意地点</w:t>
      </w:r>
      <w:r>
        <w:rPr>
          <w:rFonts w:hint="default" w:ascii="Times New Roman" w:hAnsi="Times New Roman" w:cs="Times New Roman"/>
          <w:color w:val="000000"/>
        </w:rPr>
        <w:t>，通过互联网在线参加开标</w:t>
      </w:r>
      <w:r>
        <w:rPr>
          <w:rFonts w:hint="default" w:ascii="Times New Roman" w:hAnsi="Times New Roman" w:cs="Times New Roman"/>
          <w:color w:val="000000"/>
          <w:szCs w:val="21"/>
        </w:rPr>
        <w:t>。在</w:t>
      </w:r>
      <w:r>
        <w:rPr>
          <w:rFonts w:hint="default" w:ascii="Times New Roman" w:hAnsi="Times New Roman" w:cs="Times New Roman"/>
          <w:color w:val="000000"/>
        </w:rPr>
        <w:t>投标截止时间前，</w:t>
      </w:r>
      <w:r>
        <w:rPr>
          <w:rFonts w:hint="default" w:ascii="Times New Roman" w:hAnsi="Times New Roman" w:cs="Times New Roman"/>
          <w:b/>
          <w:color w:val="000000"/>
        </w:rPr>
        <w:t>使用加密其投标文件的CA数字证书</w:t>
      </w:r>
      <w:r>
        <w:rPr>
          <w:rFonts w:hint="default" w:ascii="Times New Roman" w:hAnsi="Times New Roman" w:cs="Times New Roman"/>
          <w:color w:val="000000"/>
        </w:rPr>
        <w:t>登录“电子交易平台”，进入“开标大厅”选择所投标段进行签到，并实时在线关注招标人的操作情况。</w:t>
      </w:r>
    </w:p>
    <w:p w14:paraId="03299C5C">
      <w:pPr>
        <w:pStyle w:val="27"/>
        <w:rPr>
          <w:rFonts w:hint="default" w:ascii="Times New Roman" w:hAnsi="Times New Roman" w:cs="Times New Roman"/>
          <w:color w:val="000000"/>
        </w:rPr>
      </w:pPr>
      <w:bookmarkStart w:id="69" w:name="_Toc28531714"/>
      <w:bookmarkStart w:id="70" w:name="_Toc179632579"/>
      <w:bookmarkStart w:id="71" w:name="_Toc144974529"/>
      <w:bookmarkStart w:id="72" w:name="_Toc152045561"/>
      <w:bookmarkStart w:id="73" w:name="_Toc152042337"/>
      <w:r>
        <w:rPr>
          <w:rFonts w:hint="default" w:ascii="Times New Roman" w:hAnsi="Times New Roman" w:cs="Times New Roman"/>
          <w:color w:val="000000"/>
        </w:rPr>
        <w:t>5.2 开标程序</w:t>
      </w:r>
      <w:bookmarkEnd w:id="69"/>
      <w:bookmarkEnd w:id="70"/>
      <w:bookmarkEnd w:id="71"/>
      <w:bookmarkEnd w:id="72"/>
      <w:bookmarkEnd w:id="73"/>
    </w:p>
    <w:p w14:paraId="54F9E700">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5.2.1 主持人按下列程序在“电子交易平台”的“开标大厅”进行在线开标：</w:t>
      </w:r>
    </w:p>
    <w:p w14:paraId="218FD408">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（1）宣布开标纪律；</w:t>
      </w:r>
    </w:p>
    <w:p w14:paraId="47B9E514">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 xml:space="preserve">（2）公布主持人、招标人代表、监标人等有关人员姓名； </w:t>
      </w:r>
    </w:p>
    <w:p w14:paraId="094A9BF3">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（3）公布在投标截止时间前投标文件的递交情况；</w:t>
      </w:r>
    </w:p>
    <w:p w14:paraId="09F26901">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（4）</w:t>
      </w:r>
      <w:r>
        <w:rPr>
          <w:rFonts w:hint="default" w:ascii="Times New Roman" w:hAnsi="Times New Roman" w:cs="Times New Roman"/>
          <w:color w:val="000000"/>
          <w:szCs w:val="21"/>
        </w:rPr>
        <w:t>公布投标保证金递交情况；</w:t>
      </w:r>
    </w:p>
    <w:p w14:paraId="2573A1E0">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（5）</w:t>
      </w:r>
      <w:r>
        <w:rPr>
          <w:rFonts w:hint="default" w:ascii="Times New Roman" w:hAnsi="Times New Roman" w:cs="Times New Roman"/>
          <w:color w:val="000000"/>
          <w:szCs w:val="21"/>
        </w:rPr>
        <w:t>投标人根据提示在投标人须知前附表规定的时间内解密投标文件；</w:t>
      </w:r>
    </w:p>
    <w:p w14:paraId="32DFF36C">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（6）读取已解密</w:t>
      </w:r>
      <w:r>
        <w:rPr>
          <w:rFonts w:hint="default" w:ascii="Times New Roman" w:hAnsi="Times New Roman" w:cs="Times New Roman"/>
          <w:color w:val="000000"/>
          <w:szCs w:val="21"/>
        </w:rPr>
        <w:t>的投标文件的内容</w:t>
      </w:r>
      <w:r>
        <w:rPr>
          <w:rFonts w:hint="default" w:ascii="Times New Roman" w:hAnsi="Times New Roman" w:cs="Times New Roman"/>
          <w:color w:val="000000"/>
        </w:rPr>
        <w:t>；</w:t>
      </w:r>
    </w:p>
    <w:p w14:paraId="14DBF2CE">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（7）公布投标人名称、标段名称、投标保证金的递交情况、投标报价、项目经理姓名及其他内容，并</w:t>
      </w:r>
      <w:r>
        <w:rPr>
          <w:rFonts w:hint="default" w:ascii="Times New Roman" w:hAnsi="Times New Roman" w:cs="Times New Roman"/>
          <w:bCs/>
          <w:iCs/>
          <w:color w:val="000000"/>
        </w:rPr>
        <w:t>生成开标记录</w:t>
      </w:r>
      <w:r>
        <w:rPr>
          <w:rFonts w:hint="default" w:ascii="Times New Roman" w:hAnsi="Times New Roman" w:cs="Times New Roman"/>
          <w:color w:val="000000"/>
        </w:rPr>
        <w:t>；</w:t>
      </w:r>
    </w:p>
    <w:p w14:paraId="310B70EF">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（8）开标结束。</w:t>
      </w:r>
    </w:p>
    <w:p w14:paraId="222F72C6">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 xml:space="preserve">5.2.2 </w:t>
      </w:r>
      <w:r>
        <w:rPr>
          <w:rFonts w:hint="default" w:ascii="Times New Roman" w:hAnsi="Times New Roman" w:cs="Times New Roman"/>
          <w:bCs/>
          <w:iCs/>
          <w:color w:val="000000"/>
        </w:rPr>
        <w:t>在本章第</w:t>
      </w:r>
      <w:r>
        <w:rPr>
          <w:rFonts w:hint="default" w:ascii="Times New Roman" w:hAnsi="Times New Roman" w:cs="Times New Roman"/>
          <w:color w:val="000000"/>
        </w:rPr>
        <w:t>5.2.1（5）目规定的</w:t>
      </w:r>
      <w:r>
        <w:rPr>
          <w:rFonts w:hint="default" w:ascii="Times New Roman" w:hAnsi="Times New Roman" w:cs="Times New Roman"/>
          <w:color w:val="000000"/>
          <w:szCs w:val="21"/>
        </w:rPr>
        <w:t>时间内</w:t>
      </w:r>
      <w:r>
        <w:rPr>
          <w:rFonts w:hint="default" w:ascii="Times New Roman" w:hAnsi="Times New Roman" w:cs="Times New Roman"/>
          <w:bCs/>
          <w:iCs/>
          <w:color w:val="000000"/>
        </w:rPr>
        <w:t>，非因“电子交易平台”原因造成投标文件未解密的，视为投标人撤回投标文件。已解密的投标文件少于三个的，招标失败；已解密的投标文件不少于三个，开标继续进行。</w:t>
      </w:r>
    </w:p>
    <w:p w14:paraId="681983FA">
      <w:pPr>
        <w:pStyle w:val="27"/>
        <w:rPr>
          <w:rFonts w:hint="default" w:ascii="Times New Roman" w:hAnsi="Times New Roman" w:cs="Times New Roman"/>
          <w:color w:val="000000"/>
        </w:rPr>
      </w:pPr>
      <w:bookmarkStart w:id="74" w:name="_Toc28531715"/>
      <w:bookmarkStart w:id="75" w:name="_Toc300834983"/>
      <w:r>
        <w:rPr>
          <w:rFonts w:hint="default" w:ascii="Times New Roman" w:hAnsi="Times New Roman" w:cs="Times New Roman"/>
          <w:color w:val="000000"/>
        </w:rPr>
        <w:t>5.3 开标异议</w:t>
      </w:r>
      <w:bookmarkEnd w:id="74"/>
      <w:bookmarkEnd w:id="75"/>
    </w:p>
    <w:p w14:paraId="03B0F577">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5.3.1投标人对开标有异议的，应当在开标过程中提出；招标人当场对异议作出答复，并记入开标记录。异议与答复应通过 “开标大厅”在“异议与答复”菜单以书面形式进行。</w:t>
      </w:r>
    </w:p>
    <w:p w14:paraId="2B680AAC">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本处所称异议是指投标人在开标过程中对投标文件提交、投标截止时间、开标程序、开标记录以及投标人和招标人或者投标人相互之间存在利益冲突的情形等提出的质疑。</w:t>
      </w:r>
    </w:p>
    <w:p w14:paraId="4128A2BC">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5.3.2 投标人异议成立的，招标人将及时采取纠正措施，或者提交评标委员会评审确认；投标人异议不成立的，招标人将当场给予解释说明。</w:t>
      </w:r>
    </w:p>
    <w:p w14:paraId="1E97695D">
      <w:pPr>
        <w:pStyle w:val="27"/>
        <w:rPr>
          <w:rFonts w:hint="default" w:ascii="Times New Roman" w:hAnsi="Times New Roman" w:cs="Times New Roman"/>
          <w:color w:val="000000"/>
        </w:rPr>
      </w:pPr>
      <w:bookmarkStart w:id="76" w:name="_Toc28531716"/>
      <w:bookmarkStart w:id="77" w:name="_Toc402465011"/>
      <w:bookmarkStart w:id="78" w:name="_Toc400530224"/>
      <w:r>
        <w:rPr>
          <w:rFonts w:hint="default" w:ascii="Times New Roman" w:hAnsi="Times New Roman" w:cs="Times New Roman"/>
          <w:color w:val="000000"/>
        </w:rPr>
        <w:t>5.4 特殊情况的处置</w:t>
      </w:r>
      <w:bookmarkEnd w:id="76"/>
    </w:p>
    <w:p w14:paraId="6C38E542">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5.4.1因“电子交易平台”系统故障导致无法投标的，交易中心及时通知招标人，招标人视情况决定是否顺延投标截止时间。因投标人自身原因导致无法完成投标的，由投标人自行承担后果。</w:t>
      </w:r>
    </w:p>
    <w:p w14:paraId="3BAC7AB0">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5.4.2 因“电子交易平台”系统故障导致无法正常开标的，招标人将暂停开标，待系统恢复正常后继续开标。</w:t>
      </w:r>
    </w:p>
    <w:p w14:paraId="7679E190">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5.4.3 “电子交易平台”系统故障是指下列情形：</w:t>
      </w:r>
    </w:p>
    <w:p w14:paraId="09E5DE5F">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（1）系统服务器发生故障，无法访问或无法使用系统；</w:t>
      </w:r>
    </w:p>
    <w:p w14:paraId="7D4CAC1F">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（2）系统的软件或数据库出现错误，不能进行正常操作；</w:t>
      </w:r>
    </w:p>
    <w:p w14:paraId="220819A7">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（3）系统发现有安全漏洞，有潜在的泄密危险；</w:t>
      </w:r>
    </w:p>
    <w:p w14:paraId="7E9FF83B">
      <w:pPr>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（4）出现断电、断网事故；</w:t>
      </w:r>
    </w:p>
    <w:p w14:paraId="4F771413">
      <w:pPr>
        <w:spacing w:line="360" w:lineRule="auto"/>
        <w:ind w:firstLine="424" w:firstLineChars="202"/>
        <w:jc w:val="left"/>
        <w:rPr>
          <w:rFonts w:hint="default" w:ascii="Times New Roman" w:hAnsi="Times New Roman" w:cs="Times New Roman"/>
          <w:color w:val="000000"/>
          <w:kern w:val="0"/>
          <w:szCs w:val="21"/>
        </w:rPr>
      </w:pPr>
      <w:r>
        <w:rPr>
          <w:rFonts w:hint="default" w:ascii="Times New Roman" w:hAnsi="Times New Roman" w:cs="Times New Roman"/>
          <w:color w:val="000000"/>
        </w:rPr>
        <w:t>（5）其他无法保证招投标过程正常进行的情形。</w:t>
      </w:r>
      <w:bookmarkEnd w:id="77"/>
      <w:bookmarkEnd w:id="78"/>
    </w:p>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14:paraId="139D8B5A">
      <w:pPr>
        <w:pStyle w:val="3"/>
        <w:jc w:val="both"/>
        <w:rPr>
          <w:rFonts w:hint="default" w:ascii="Times New Roman" w:hAnsi="Times New Roman" w:cs="Times New Roman"/>
          <w:color w:val="000000"/>
        </w:rPr>
      </w:pPr>
      <w:bookmarkStart w:id="79" w:name="_Toc13176"/>
      <w:bookmarkStart w:id="80" w:name="_Toc491075823"/>
      <w:r>
        <w:rPr>
          <w:rFonts w:hint="default" w:ascii="Times New Roman" w:hAnsi="Times New Roman" w:cs="Times New Roman"/>
          <w:color w:val="000000"/>
        </w:rPr>
        <w:t>6. 评标</w:t>
      </w:r>
      <w:bookmarkEnd w:id="79"/>
      <w:bookmarkEnd w:id="80"/>
    </w:p>
    <w:p w14:paraId="6E8BBA7C">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6.1 评标委员会</w:t>
      </w:r>
    </w:p>
    <w:p w14:paraId="15EA45A9">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334B640C">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6.1.2 评标委员会成员有下列情形之一的，应当回避：</w:t>
      </w:r>
    </w:p>
    <w:p w14:paraId="7CB57F38">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（1）招标人或投标人的主要负责人的近亲属；</w:t>
      </w:r>
    </w:p>
    <w:p w14:paraId="75C5ACCA">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（2）项目主管部门或者行政监督部门的人员；</w:t>
      </w:r>
    </w:p>
    <w:p w14:paraId="2F3C5DAA">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（3）与投标人有经济利益关系或其他利害关系，可能影响对投标公正评审的；</w:t>
      </w:r>
    </w:p>
    <w:p w14:paraId="1B75C3F8">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（4）曾因在招标、评标以及其他与招标投标有关活动中从事违法行为而受过行政处罚或刑事处罚的。</w:t>
      </w:r>
    </w:p>
    <w:p w14:paraId="381D98B6">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6.2 评标原则</w:t>
      </w:r>
    </w:p>
    <w:p w14:paraId="188DAE00">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评标活动遵循公平、公正、科学和择优的原则。</w:t>
      </w:r>
    </w:p>
    <w:p w14:paraId="74273ED4">
      <w:pPr>
        <w:spacing w:line="400" w:lineRule="exact"/>
        <w:rPr>
          <w:rFonts w:hint="default" w:ascii="Times New Roman" w:hAnsi="Times New Roman" w:cs="Times New Roman"/>
          <w:b/>
          <w:color w:val="000000"/>
          <w:sz w:val="24"/>
          <w:szCs w:val="24"/>
        </w:rPr>
      </w:pPr>
      <w:bookmarkStart w:id="81" w:name="_Toc468288631"/>
      <w:r>
        <w:rPr>
          <w:rFonts w:hint="default" w:ascii="Times New Roman" w:hAnsi="Times New Roman" w:cs="Times New Roman"/>
          <w:b/>
          <w:color w:val="000000"/>
          <w:kern w:val="0"/>
          <w:sz w:val="24"/>
          <w:szCs w:val="24"/>
        </w:rPr>
        <w:t>6.3评标</w:t>
      </w:r>
      <w:bookmarkEnd w:id="81"/>
    </w:p>
    <w:p w14:paraId="4EE18011">
      <w:pPr>
        <w:spacing w:line="360" w:lineRule="auto"/>
        <w:ind w:firstLine="424" w:firstLineChars="202"/>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6.3.1评标委员会按照第三章“评标办法”规定的方法、评审因素、标准和程序对投标文件进行评审。第三章“评标办法”没有规定的方法、评审因素和标准，不作为评标依据。</w:t>
      </w:r>
    </w:p>
    <w:p w14:paraId="29EAF2DF">
      <w:pPr>
        <w:spacing w:line="360" w:lineRule="auto"/>
        <w:ind w:firstLine="424" w:firstLineChars="202"/>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6.3.2采用加密的电子投标文件进行开标的，以加密的电子投标文件为准进行评审，不加密的电子投标文件不作依据；采用不加密的电子投标文件进行开标的，以不加密的电子投标文件为准进行评审，加密的电子投标文件不作依据。）此条删除</w:t>
      </w:r>
    </w:p>
    <w:p w14:paraId="2C390C6C">
      <w:pPr>
        <w:spacing w:line="360" w:lineRule="auto"/>
        <w:ind w:firstLine="424" w:firstLineChars="202"/>
        <w:jc w:val="left"/>
        <w:rPr>
          <w:rFonts w:hint="default" w:ascii="Times New Roman" w:hAnsi="Times New Roman" w:cs="Times New Roman"/>
          <w:color w:val="000000"/>
          <w:sz w:val="20"/>
        </w:rPr>
      </w:pPr>
      <w:r>
        <w:rPr>
          <w:rFonts w:hint="default" w:ascii="Times New Roman" w:hAnsi="Times New Roman" w:cs="Times New Roman"/>
          <w:color w:val="000000"/>
          <w:kern w:val="0"/>
          <w:szCs w:val="21"/>
        </w:rPr>
        <w:t>6.3.2 如果电子评标过程中出现本章第5.3.2项所列情况，导致无法继续评审工作的，可暂停评标，招标人应当对原有资料及信息作出妥善保密处理，电子评标系统恢复正常之后，重新组织评审。</w:t>
      </w:r>
      <w:r>
        <w:rPr>
          <w:rFonts w:hint="default" w:ascii="Times New Roman" w:hAnsi="Times New Roman" w:cs="Times New Roman"/>
          <w:color w:val="000000"/>
          <w:sz w:val="20"/>
        </w:rPr>
        <w:t xml:space="preserve"> </w:t>
      </w:r>
    </w:p>
    <w:p w14:paraId="512797AF">
      <w:pPr>
        <w:spacing w:line="360" w:lineRule="auto"/>
        <w:jc w:val="left"/>
        <w:rPr>
          <w:rFonts w:hint="default" w:ascii="Times New Roman" w:hAnsi="Times New Roman" w:cs="Times New Roman"/>
          <w:b/>
          <w:color w:val="000000"/>
          <w:kern w:val="0"/>
          <w:sz w:val="24"/>
          <w:szCs w:val="21"/>
        </w:rPr>
      </w:pPr>
      <w:r>
        <w:rPr>
          <w:rFonts w:hint="default" w:ascii="Times New Roman" w:hAnsi="Times New Roman" w:cs="Times New Roman"/>
          <w:b/>
          <w:color w:val="000000"/>
          <w:sz w:val="24"/>
        </w:rPr>
        <w:t xml:space="preserve"> </w:t>
      </w:r>
      <w:bookmarkStart w:id="82" w:name="_Toc429598451"/>
      <w:bookmarkStart w:id="83" w:name="_Toc456175573"/>
      <w:bookmarkStart w:id="84" w:name="_Toc468288632"/>
      <w:r>
        <w:rPr>
          <w:rFonts w:hint="default" w:ascii="Times New Roman" w:hAnsi="Times New Roman" w:cs="Times New Roman"/>
          <w:b/>
          <w:color w:val="000000"/>
          <w:kern w:val="0"/>
          <w:sz w:val="24"/>
          <w:szCs w:val="32"/>
        </w:rPr>
        <w:t>6.4 评标结果公示</w:t>
      </w:r>
      <w:bookmarkEnd w:id="82"/>
      <w:bookmarkEnd w:id="83"/>
      <w:bookmarkEnd w:id="84"/>
    </w:p>
    <w:p w14:paraId="0D9CFA6F">
      <w:pPr>
        <w:spacing w:line="360" w:lineRule="auto"/>
        <w:ind w:firstLine="424" w:firstLineChars="202"/>
        <w:jc w:val="left"/>
        <w:rPr>
          <w:rFonts w:hint="default" w:ascii="Times New Roman" w:hAnsi="Times New Roman" w:cs="Times New Roman"/>
          <w:color w:val="000000"/>
          <w:kern w:val="0"/>
          <w:szCs w:val="21"/>
        </w:rPr>
      </w:pPr>
      <w:bookmarkStart w:id="85" w:name="_Toc461122831"/>
      <w:r>
        <w:rPr>
          <w:rFonts w:hint="default" w:ascii="Times New Roman" w:hAnsi="Times New Roman" w:cs="Times New Roman"/>
          <w:color w:val="000000"/>
          <w:kern w:val="0"/>
          <w:szCs w:val="21"/>
        </w:rPr>
        <w:t>招标人将自收到评标报告之日起3日内，在投标人须知前附表规定的媒介公示中标候选人。公示期不少于3日。</w:t>
      </w:r>
    </w:p>
    <w:p w14:paraId="3A2DD6C4">
      <w:pPr>
        <w:spacing w:line="360" w:lineRule="auto"/>
        <w:ind w:firstLine="424" w:firstLineChars="202"/>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投标人或者其他利害关系人对评标结果有异议的，应当在评标结果公示期间提出（附件九）。招标人自收到异议之日起3日内作出答复；作出答复前，暂停招标投标活动。异议与答复（附件十）应当通过“电子交易平台”在“异议与答复”菜单以书面形式进行。</w:t>
      </w:r>
      <w:bookmarkEnd w:id="85"/>
      <w:bookmarkStart w:id="86" w:name="_Toc400530233"/>
      <w:bookmarkStart w:id="87" w:name="_Toc429598452"/>
      <w:bookmarkStart w:id="88" w:name="_Toc456175574"/>
      <w:bookmarkStart w:id="89" w:name="_Toc468288633"/>
    </w:p>
    <w:bookmarkEnd w:id="86"/>
    <w:bookmarkEnd w:id="87"/>
    <w:bookmarkEnd w:id="88"/>
    <w:bookmarkEnd w:id="89"/>
    <w:p w14:paraId="3DB5657B">
      <w:pPr>
        <w:pStyle w:val="3"/>
        <w:jc w:val="both"/>
        <w:rPr>
          <w:rFonts w:hint="default" w:ascii="Times New Roman" w:hAnsi="Times New Roman" w:cs="Times New Roman"/>
          <w:color w:val="000000"/>
        </w:rPr>
      </w:pPr>
      <w:bookmarkStart w:id="90" w:name="_Toc26097"/>
      <w:bookmarkStart w:id="91" w:name="_Toc491075824"/>
      <w:r>
        <w:rPr>
          <w:rFonts w:hint="default" w:ascii="Times New Roman" w:hAnsi="Times New Roman" w:cs="Times New Roman"/>
          <w:color w:val="000000"/>
        </w:rPr>
        <w:t>7. 合同授予</w:t>
      </w:r>
      <w:bookmarkEnd w:id="90"/>
      <w:bookmarkEnd w:id="91"/>
    </w:p>
    <w:p w14:paraId="491530D0">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7.1 定标方式</w:t>
      </w:r>
    </w:p>
    <w:p w14:paraId="1D8E6A56">
      <w:pPr>
        <w:spacing w:line="400" w:lineRule="exact"/>
        <w:ind w:firstLine="420" w:firstLineChars="200"/>
        <w:rPr>
          <w:rFonts w:hint="default" w:ascii="Times New Roman" w:hAnsi="Times New Roman" w:cs="Times New Roman"/>
          <w:color w:val="000000"/>
          <w:szCs w:val="24"/>
        </w:rPr>
      </w:pPr>
      <w:r>
        <w:rPr>
          <w:rFonts w:hint="default" w:ascii="Times New Roman" w:hAnsi="Times New Roman" w:cs="Times New Roman"/>
          <w:color w:val="000000"/>
          <w:szCs w:val="24"/>
        </w:rPr>
        <w:t>除投标人须知前附表规定评标委员会直接确定中标人外，招标人依据评标委员会推荐的中标候选人确定中标人，评标委员会推荐中标候选人的人数见投标人须知前附表。</w:t>
      </w:r>
    </w:p>
    <w:p w14:paraId="7D291DA1">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7.2 履约能力的审查（如有）</w:t>
      </w:r>
    </w:p>
    <w:p w14:paraId="5EEEAB85">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如果中标候选人的经营、财务状况发生较大变化或者存在违法行为，招标人认为可能影响其履约能力的，将在发出中标通知书前报请行政监督部门后，召集原评标委员会按照招标文件规定的标准和方法审查确认。</w:t>
      </w:r>
      <w:bookmarkStart w:id="92" w:name="_Toc152042344"/>
      <w:bookmarkStart w:id="93" w:name="_Toc467939806"/>
      <w:bookmarkStart w:id="94" w:name="_Toc144974536"/>
      <w:bookmarkStart w:id="95" w:name="_Toc179632586"/>
      <w:bookmarkStart w:id="96" w:name="_Toc152045568"/>
    </w:p>
    <w:p w14:paraId="39B1CF67">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7.3中标通知</w:t>
      </w:r>
      <w:bookmarkEnd w:id="92"/>
      <w:bookmarkEnd w:id="93"/>
      <w:bookmarkEnd w:id="94"/>
      <w:bookmarkEnd w:id="95"/>
      <w:bookmarkEnd w:id="96"/>
    </w:p>
    <w:p w14:paraId="02B0E4FE">
      <w:pPr>
        <w:spacing w:line="400" w:lineRule="exact"/>
        <w:ind w:firstLine="420" w:firstLineChars="200"/>
        <w:rPr>
          <w:rFonts w:hint="default" w:ascii="Times New Roman" w:hAnsi="Times New Roman" w:cs="Times New Roman"/>
          <w:color w:val="000000"/>
          <w:szCs w:val="24"/>
        </w:rPr>
      </w:pPr>
      <w:r>
        <w:rPr>
          <w:rFonts w:hint="default" w:ascii="Times New Roman" w:hAnsi="Times New Roman" w:cs="Times New Roman"/>
          <w:color w:val="000000"/>
          <w:szCs w:val="24"/>
        </w:rPr>
        <w:t>评标结果公示期满后，在本章第3.3款规定的投标有效期内，招标人以书面形式向中标人发出中标通知书（附件十一），同时将中标结果通知未中标的投标人（附件十二）。</w:t>
      </w:r>
    </w:p>
    <w:p w14:paraId="6FE7C3F5">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7.4 履约保证金和工程款支付担保</w:t>
      </w:r>
    </w:p>
    <w:p w14:paraId="3667D323">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7.5.1 在签订合同前，中标人应按投标人须知前附表规定的金额、担保形式和招标文件第四章“合同条款及格式”规定的履约保证金格式或者事先经过招标人书面认可的履约保证金格式向招标人提交履约担保。联合体中标的，其履约保证金由牵头人递交，并应符合投标人须知前附表的规定。</w:t>
      </w:r>
    </w:p>
    <w:p w14:paraId="7040306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7.5.2 中标人不能按本章第7.5.1项要求提交履约保证金的，视为放弃中标，其投标保证金不予退还，给招标人造成的损失超过投标保证金数额的，中标人还应当对超过部分予以赔偿。</w:t>
      </w:r>
    </w:p>
    <w:p w14:paraId="1742BF3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7.5.3在签订合同时， 招标人须按照《湖北省房屋建筑和市政基础设施工程领域工程款支付担保管理实施办法（试行）》的规定，将工程款支付担保文书作为建设工程合同的组成部分。</w:t>
      </w:r>
    </w:p>
    <w:p w14:paraId="0194C52A">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7.5签订合同</w:t>
      </w:r>
    </w:p>
    <w:p w14:paraId="789C9E5D">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 xml:space="preserve">7.6.1 招标人和中标人应当在投标有效期内并自中标通知书发出之日起30日内，根据招标文件和中标人的投标文件订立书面合同。中标人无正当理由拒签合同或在签订合同时向招标人提出附加条件的，招标人取消其中标资格，其投标保证金不予退还；给招标人造成的损失超过投标保证金数额的，中标人还应当对超过部分予以赔偿。 </w:t>
      </w:r>
    </w:p>
    <w:p w14:paraId="5AAE88A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 xml:space="preserve">7.6.2 发出中标通知书后，招标人无正当理由拒签合同的，招标人向中标人退还投标保证金；给中标人造成损失的，还应当赔偿损失。 </w:t>
      </w:r>
    </w:p>
    <w:p w14:paraId="01ADBDCF">
      <w:pPr>
        <w:pStyle w:val="3"/>
        <w:jc w:val="both"/>
        <w:rPr>
          <w:rFonts w:hint="default" w:ascii="Times New Roman" w:hAnsi="Times New Roman" w:cs="Times New Roman"/>
          <w:color w:val="000000"/>
        </w:rPr>
      </w:pPr>
      <w:bookmarkStart w:id="97" w:name="_Toc491075825"/>
      <w:bookmarkStart w:id="98" w:name="_Toc14758"/>
      <w:r>
        <w:rPr>
          <w:rFonts w:hint="default" w:ascii="Times New Roman" w:hAnsi="Times New Roman" w:cs="Times New Roman"/>
          <w:color w:val="000000"/>
        </w:rPr>
        <w:t>8. 重新招标、不再招标和终止招标</w:t>
      </w:r>
      <w:bookmarkEnd w:id="97"/>
      <w:bookmarkEnd w:id="98"/>
    </w:p>
    <w:p w14:paraId="2B4CC5A9">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8.1 重新招标</w:t>
      </w:r>
    </w:p>
    <w:p w14:paraId="226474D3">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有下列情形之一的，招标人将重新招标：</w:t>
      </w:r>
    </w:p>
    <w:p w14:paraId="2E388BBE">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（1）投标截止时间止，投标人少于3个的；</w:t>
      </w:r>
    </w:p>
    <w:p w14:paraId="3E02F84E">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（2）经评标委员会评审后否决所有投标的；</w:t>
      </w:r>
    </w:p>
    <w:p w14:paraId="282734CE">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（3）除非已经产生中标候选人，在投标有效期内同意延长投标有效期的投标人少于三个的；</w:t>
      </w:r>
    </w:p>
    <w:p w14:paraId="790BB175">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（4）第一中标候选人或所有中标候选人均未与招标人签订合同的；</w:t>
      </w:r>
    </w:p>
    <w:p w14:paraId="12F4B48C">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（5）法律、法规规定的其他情形。</w:t>
      </w:r>
    </w:p>
    <w:p w14:paraId="0FC3956F">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8.2 不再招标</w:t>
      </w:r>
    </w:p>
    <w:p w14:paraId="05EA4577">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重新招标后投标人仍少于3个或者所有投标被否决的，属于必须审批或核准的项目，经原审批或核准部门批准后不再进行招标。</w:t>
      </w:r>
    </w:p>
    <w:p w14:paraId="5277F55E">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8.3 终止招标</w:t>
      </w:r>
    </w:p>
    <w:p w14:paraId="458C190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因不可抗力等原因，招标人终止招标的，将及时发布公告，或者以书面形式通知被邀请的或者已经获取招标文件的潜在投标人。已经收取投标保证金的，招标人将及时退还所收取的投标保证金及银行同期存款利息。</w:t>
      </w:r>
    </w:p>
    <w:p w14:paraId="1A04CA32">
      <w:pPr>
        <w:pStyle w:val="3"/>
        <w:jc w:val="both"/>
        <w:rPr>
          <w:rFonts w:hint="default" w:ascii="Times New Roman" w:hAnsi="Times New Roman" w:cs="Times New Roman"/>
          <w:color w:val="000000"/>
        </w:rPr>
      </w:pPr>
      <w:bookmarkStart w:id="99" w:name="_Toc12633"/>
      <w:bookmarkStart w:id="100" w:name="_Toc491075826"/>
      <w:r>
        <w:rPr>
          <w:rFonts w:hint="default" w:ascii="Times New Roman" w:hAnsi="Times New Roman" w:cs="Times New Roman"/>
          <w:color w:val="000000"/>
        </w:rPr>
        <w:t>9. 纪律和监督</w:t>
      </w:r>
      <w:bookmarkEnd w:id="99"/>
      <w:bookmarkEnd w:id="100"/>
    </w:p>
    <w:p w14:paraId="459BB8D0">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9.1 对招标人的纪律要求</w:t>
      </w:r>
    </w:p>
    <w:p w14:paraId="2FCB181E">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招标人不得泄漏招标投标活动中应当保密的情况和资料，不得与投标人串通损害国家利益、社会公共利益或者他人合法权益。</w:t>
      </w:r>
    </w:p>
    <w:p w14:paraId="6F55C965">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9.2 对投标人的纪律要求</w:t>
      </w:r>
    </w:p>
    <w:p w14:paraId="4B20F23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5A3C9F05">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9.3 对评标委员会成员的纪律要求</w:t>
      </w:r>
    </w:p>
    <w:p w14:paraId="13C6975F">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三章“评标办法”没有规定的评审因素和标准进行评标。</w:t>
      </w:r>
    </w:p>
    <w:p w14:paraId="3E9433C0">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9.4 对与评标活动有关的工作人员的纪律要求</w:t>
      </w:r>
    </w:p>
    <w:p w14:paraId="771651D3">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FBF8C4E">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9.5 投诉</w:t>
      </w:r>
    </w:p>
    <w:p w14:paraId="1346D400">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本次招标投标活动及其相关当事人应当接受有关行政监督部门依法实施的监督。</w:t>
      </w:r>
    </w:p>
    <w:p w14:paraId="0319DE0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szCs w:val="21"/>
        </w:rPr>
        <w:t>依据《中华人民共和国招标投标法实施条例》第四条第三款的规定，财政部门依法对实行招标投标的政府采购工程建设项目及工程相关的货物或服务的政府采购政策执行情况实施监督。</w:t>
      </w:r>
    </w:p>
    <w:p w14:paraId="7E247E20">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投标人和其他利害关系人认为本次招标活动违反法律、法规和规章规定的，有权自知道或者应当知道之日起10日内向有关行政监督部门投诉，其中对招标文件的内容、开标、评标结果进行投诉的，应当按本章第2.3款、第3.2.3项、第5.4款、第6.4项的规定先向招标人提出异议后，方可向有关行政监督部门投诉，异议答复期不计算在规定的投诉时效期限内。</w:t>
      </w:r>
    </w:p>
    <w:p w14:paraId="48BD0C09">
      <w:pPr>
        <w:spacing w:line="400" w:lineRule="exact"/>
        <w:ind w:firstLine="420" w:firstLineChars="200"/>
        <w:rPr>
          <w:rFonts w:hint="default" w:ascii="Times New Roman" w:hAnsi="Times New Roman" w:cs="Times New Roman"/>
          <w:color w:val="000000"/>
          <w:spacing w:val="4"/>
          <w:kern w:val="0"/>
          <w:sz w:val="22"/>
        </w:rPr>
      </w:pPr>
      <w:r>
        <w:rPr>
          <w:rFonts w:hint="default" w:ascii="Times New Roman" w:hAnsi="Times New Roman" w:cs="Times New Roman"/>
          <w:color w:val="000000"/>
          <w:szCs w:val="24"/>
        </w:rPr>
        <w:t>投标人和其他利害关系人的</w:t>
      </w:r>
      <w:r>
        <w:rPr>
          <w:rFonts w:hint="default" w:ascii="Times New Roman" w:hAnsi="Times New Roman" w:cs="Times New Roman"/>
          <w:color w:val="000000"/>
          <w:spacing w:val="4"/>
          <w:kern w:val="0"/>
          <w:sz w:val="22"/>
        </w:rPr>
        <w:t>投诉应按照《工程建设项目招标投标活动投诉处理办法》、《湖北省招标投标投诉处理办法》的规定进行。</w:t>
      </w:r>
    </w:p>
    <w:p w14:paraId="6A5EA4F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有关行政监督部门和综合监督管理部门的联系方式见投标人须知前附表。</w:t>
      </w:r>
    </w:p>
    <w:p w14:paraId="02A25255">
      <w:pPr>
        <w:pStyle w:val="3"/>
        <w:jc w:val="both"/>
        <w:rPr>
          <w:rFonts w:hint="default" w:ascii="Times New Roman" w:hAnsi="Times New Roman" w:cs="Times New Roman"/>
          <w:color w:val="000000"/>
        </w:rPr>
      </w:pPr>
      <w:bookmarkStart w:id="101" w:name="_Toc491075827"/>
      <w:bookmarkStart w:id="102" w:name="_Toc5433"/>
      <w:r>
        <w:rPr>
          <w:rFonts w:hint="default" w:ascii="Times New Roman" w:hAnsi="Times New Roman" w:cs="Times New Roman"/>
          <w:color w:val="000000"/>
        </w:rPr>
        <w:t>10. 需要补充的其他内容</w:t>
      </w:r>
      <w:bookmarkEnd w:id="101"/>
      <w:bookmarkEnd w:id="102"/>
    </w:p>
    <w:p w14:paraId="0A564012">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10.1 多标段投标</w:t>
      </w:r>
    </w:p>
    <w:p w14:paraId="6A4923B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多标段投标规定：见投标人须知前附表。</w:t>
      </w:r>
    </w:p>
    <w:p w14:paraId="058E39D3">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10.2 知识产权</w:t>
      </w:r>
    </w:p>
    <w:p w14:paraId="23087E7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有关知识产权的规定：见投标人须知前附表。</w:t>
      </w:r>
    </w:p>
    <w:p w14:paraId="58982FD9">
      <w:pPr>
        <w:pStyle w:val="5"/>
        <w:keepNext w:val="0"/>
        <w:keepLines w:val="0"/>
        <w:jc w:val="both"/>
        <w:rPr>
          <w:rFonts w:hint="default" w:ascii="Times New Roman" w:hAnsi="Times New Roman" w:cs="Times New Roman"/>
          <w:color w:val="000000"/>
        </w:rPr>
      </w:pPr>
      <w:bookmarkStart w:id="103" w:name="_Toc456173253"/>
      <w:bookmarkStart w:id="104" w:name="_Toc387753565"/>
      <w:bookmarkStart w:id="105" w:name="_Toc467939822"/>
      <w:r>
        <w:rPr>
          <w:rFonts w:hint="default" w:ascii="Times New Roman" w:hAnsi="Times New Roman" w:cs="Times New Roman"/>
          <w:color w:val="000000"/>
        </w:rPr>
        <w:t>10.3 中标人的投标文件</w:t>
      </w:r>
      <w:bookmarkEnd w:id="103"/>
      <w:bookmarkEnd w:id="104"/>
      <w:bookmarkEnd w:id="105"/>
    </w:p>
    <w:p w14:paraId="7D8AB15E">
      <w:pPr>
        <w:spacing w:line="360" w:lineRule="auto"/>
        <w:ind w:firstLine="422" w:firstLineChars="200"/>
        <w:rPr>
          <w:rFonts w:hint="default" w:ascii="Times New Roman" w:hAnsi="Times New Roman" w:cs="Times New Roman"/>
          <w:b/>
          <w:bCs/>
          <w:color w:val="000000"/>
          <w:szCs w:val="21"/>
        </w:rPr>
      </w:pPr>
      <w:r>
        <w:rPr>
          <w:rFonts w:hint="default" w:ascii="Times New Roman" w:hAnsi="Times New Roman" w:cs="Times New Roman"/>
          <w:b/>
          <w:bCs/>
          <w:color w:val="000000"/>
          <w:szCs w:val="21"/>
        </w:rPr>
        <w:t>中标人在签订合同前须向招标人另行提交的纸质投标文件份数：见投标人须知前附表。</w:t>
      </w:r>
    </w:p>
    <w:p w14:paraId="6D7668B8">
      <w:pPr>
        <w:pStyle w:val="27"/>
        <w:rPr>
          <w:rFonts w:hint="default" w:ascii="Times New Roman" w:hAnsi="Times New Roman" w:eastAsia="宋体" w:cs="Times New Roman"/>
          <w:b/>
          <w:bCs/>
          <w:color w:val="000000"/>
        </w:rPr>
      </w:pPr>
      <w:bookmarkStart w:id="106" w:name="_Toc4316"/>
      <w:bookmarkStart w:id="107" w:name="_Toc28118"/>
      <w:r>
        <w:rPr>
          <w:rFonts w:hint="default" w:ascii="Times New Roman" w:hAnsi="Times New Roman" w:eastAsia="宋体" w:cs="Times New Roman"/>
          <w:b/>
          <w:bCs/>
          <w:color w:val="000000"/>
        </w:rPr>
        <w:t>10.4 评定分离特别规定</w:t>
      </w:r>
      <w:bookmarkEnd w:id="106"/>
      <w:bookmarkEnd w:id="107"/>
    </w:p>
    <w:p w14:paraId="0591DAB7">
      <w:pPr>
        <w:widowControl/>
        <w:spacing w:line="400" w:lineRule="exact"/>
        <w:ind w:firstLine="420" w:firstLineChars="200"/>
        <w:rPr>
          <w:rFonts w:hint="default" w:ascii="Times New Roman" w:hAnsi="Times New Roman" w:cs="Times New Roman"/>
          <w:color w:val="000000"/>
          <w:szCs w:val="24"/>
        </w:rPr>
      </w:pPr>
      <w:bookmarkStart w:id="108" w:name="_Toc6448"/>
      <w:bookmarkStart w:id="109" w:name="_Hlk141277846"/>
      <w:r>
        <w:rPr>
          <w:rFonts w:hint="default" w:ascii="Times New Roman" w:hAnsi="Times New Roman" w:cs="Times New Roman"/>
          <w:color w:val="000000"/>
          <w:szCs w:val="24"/>
        </w:rPr>
        <w:t>10.4.1 若符合招标文件的中标候选人少于招标文件约定的数量（多于3家），则评标委员会按实际数量推荐；若符合招标文件要求的中标候选人少于3家，由评标委员会作出是否具备竞争性判定，如具备竞争性，可继续推荐中标候选人。否则，招标人应重新招标。</w:t>
      </w:r>
      <w:bookmarkEnd w:id="108"/>
    </w:p>
    <w:p w14:paraId="204D29C9">
      <w:pPr>
        <w:widowControl/>
        <w:spacing w:line="400" w:lineRule="exact"/>
        <w:ind w:firstLine="420" w:firstLineChars="200"/>
        <w:rPr>
          <w:rFonts w:hint="default" w:ascii="Times New Roman" w:hAnsi="Times New Roman" w:cs="Times New Roman"/>
          <w:color w:val="000000"/>
          <w:szCs w:val="24"/>
        </w:rPr>
      </w:pPr>
      <w:r>
        <w:rPr>
          <w:rFonts w:hint="default" w:ascii="Times New Roman" w:hAnsi="Times New Roman" w:cs="Times New Roman"/>
          <w:color w:val="000000"/>
          <w:szCs w:val="24"/>
        </w:rPr>
        <w:t>10.4.2 在评标结果公示期间，中标候选人放弃中标或被查实存在违法违规行为而被取消中标候选人资格的，若剩余中标候选人多于3家时，招标人应继续定标；若少于3家时，招标人可以选择递补至3家后继续定标，也可以重新组织招标。</w:t>
      </w:r>
    </w:p>
    <w:p w14:paraId="4E4CC97C">
      <w:pPr>
        <w:widowControl/>
        <w:spacing w:line="400" w:lineRule="exact"/>
        <w:ind w:firstLine="420" w:firstLineChars="200"/>
        <w:rPr>
          <w:rFonts w:hint="default" w:ascii="Times New Roman" w:hAnsi="Times New Roman" w:cs="Times New Roman"/>
          <w:color w:val="000000"/>
          <w:sz w:val="24"/>
          <w:szCs w:val="24"/>
        </w:rPr>
      </w:pPr>
      <w:r>
        <w:rPr>
          <w:rFonts w:hint="default" w:ascii="Times New Roman" w:hAnsi="Times New Roman" w:cs="Times New Roman"/>
          <w:color w:val="000000"/>
          <w:szCs w:val="21"/>
        </w:rPr>
        <w:t xml:space="preserve">10.4.3 定标委员会代表招标人行使定标权。定标委员会成员原则上由招标人的在职人员组成，数量为5人以上单数。定标委员会应当推荐定标组长，招标人的法定代表人或者主要负责人参加定标委员会的，应由其直接担任定标委员会组长。 </w:t>
      </w:r>
    </w:p>
    <w:p w14:paraId="21404AFC">
      <w:pPr>
        <w:widowControl/>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招标人因专业力量不足，确需委托外单位专业人员参与定标的，外单位专业人员的数量应不超过定标委员会成员总数的三分之一。</w:t>
      </w:r>
    </w:p>
    <w:p w14:paraId="06B43269">
      <w:pPr>
        <w:widowControl/>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定标委员会名单在中标结果公示前应当保密。</w:t>
      </w:r>
    </w:p>
    <w:p w14:paraId="23CAC0DD">
      <w:pPr>
        <w:widowControl/>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10.4.4 在定标活动开展前，定标委员会成员与中标候选人有利害关系的，应当主动回避，回避的具体情形应当包括但不限于以下内容：</w:t>
      </w:r>
    </w:p>
    <w:p w14:paraId="7CF73454">
      <w:pPr>
        <w:widowControl/>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1.中标候选人或者中标候选人主要负责人的近亲属；</w:t>
      </w:r>
    </w:p>
    <w:p w14:paraId="631C0269">
      <w:pPr>
        <w:widowControl/>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2.与中标候选人有直接经济利益关系，可能影响定标公正性的；</w:t>
      </w:r>
    </w:p>
    <w:p w14:paraId="22C0EE71">
      <w:pPr>
        <w:widowControl/>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3.曾因招标投标有关活动中从事违法行为而受过行政处罚或刑事处罚的。</w:t>
      </w:r>
      <w:r>
        <w:rPr>
          <w:rFonts w:hint="default" w:ascii="Times New Roman" w:hAnsi="Times New Roman" w:cs="Times New Roman"/>
          <w:color w:val="000000"/>
          <w:sz w:val="32"/>
          <w:szCs w:val="32"/>
        </w:rPr>
        <w:t xml:space="preserve"> </w:t>
      </w:r>
    </w:p>
    <w:p w14:paraId="608E85D0">
      <w:pPr>
        <w:widowControl/>
        <w:spacing w:line="400" w:lineRule="exact"/>
        <w:ind w:firstLine="420" w:firstLineChars="200"/>
        <w:rPr>
          <w:rFonts w:hint="default" w:ascii="Times New Roman" w:hAnsi="Times New Roman" w:cs="Times New Roman"/>
          <w:color w:val="000000"/>
          <w:szCs w:val="24"/>
        </w:rPr>
      </w:pPr>
      <w:r>
        <w:rPr>
          <w:rFonts w:hint="default" w:ascii="Times New Roman" w:hAnsi="Times New Roman" w:cs="Times New Roman"/>
          <w:color w:val="000000"/>
          <w:szCs w:val="21"/>
        </w:rPr>
        <w:t>10.4.5 招标人应组建不少3人的定标监督小组，对定标委员会组建、定标过程及招标人在定标签的清标环节和对中标候选人的考察等进行全程监督。</w:t>
      </w:r>
    </w:p>
    <w:p w14:paraId="4D658849">
      <w:pPr>
        <w:widowControl/>
        <w:spacing w:line="400" w:lineRule="exact"/>
        <w:ind w:firstLine="420" w:firstLineChars="200"/>
        <w:rPr>
          <w:rFonts w:hint="default" w:ascii="Times New Roman" w:hAnsi="Times New Roman" w:cs="Times New Roman"/>
          <w:color w:val="000000"/>
          <w:szCs w:val="24"/>
        </w:rPr>
      </w:pPr>
      <w:r>
        <w:rPr>
          <w:rFonts w:hint="default" w:ascii="Times New Roman" w:hAnsi="Times New Roman" w:cs="Times New Roman"/>
          <w:color w:val="000000"/>
          <w:szCs w:val="24"/>
        </w:rPr>
        <w:t>10.4.6 定标方法：</w:t>
      </w:r>
      <w:r>
        <w:rPr>
          <w:rFonts w:hint="default" w:ascii="Times New Roman" w:hAnsi="Times New Roman" w:cs="Times New Roman"/>
          <w:b/>
          <w:bCs/>
          <w:color w:val="000000"/>
        </w:rPr>
        <w:t>见投标人须知前附表</w:t>
      </w:r>
    </w:p>
    <w:p w14:paraId="6E6D8F51">
      <w:pPr>
        <w:widowControl/>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 xml:space="preserve">定标方法主要包括：价格竞争定标法、票决定标法、集体议事法或招标文件规定的其它定标方法。 </w:t>
      </w:r>
    </w:p>
    <w:p w14:paraId="53105C29">
      <w:pPr>
        <w:widowControl/>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 xml:space="preserve">1.价格竞争定标法。按照招标文件规定的价格竞争方法确定中标人。可以采用最低投标价法、次低价法、平均值法等确定中标人。服务类项目一般不优先选用最低价投标价法。当选用价格竞争定标法定标时，由定标委员会通过投票从最低投标价法、次低价法、平均值法中确定一种定标办法。   </w:t>
      </w:r>
    </w:p>
    <w:p w14:paraId="1B6E376E">
      <w:pPr>
        <w:widowControl/>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 xml:space="preserve">2.票决定标法。包括：包括票决数量法和票决计分法。 </w:t>
      </w:r>
    </w:p>
    <w:p w14:paraId="2FE67CF1">
      <w:pPr>
        <w:widowControl/>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 xml:space="preserve">①票决数量法。定标委员会成员对中标候选人进行记名投票，得票最高的即为中标人。当最高得票相同时，对得票最高的中标候选人再次进行记名投票，直至选出中标人。 </w:t>
      </w:r>
    </w:p>
    <w:p w14:paraId="1EF109FC">
      <w:pPr>
        <w:widowControl/>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 xml:space="preserve">②票决计分法。定标委员会成员对中标候选人进行投票记分排名。如中标候选人数量为N，则取中标候选人最高得分为N分，其次为N-1 分、最低分为 1 分，汇总定标委员会各成员记名投票打分情况，总得分最高的即为中标人。当最高得分相同时，对得分最高的中标候选人再次进行记名投票打分，直至选出中标人。 </w:t>
      </w:r>
    </w:p>
    <w:p w14:paraId="6BE2792B">
      <w:pPr>
        <w:widowControl/>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 xml:space="preserve">3.集体议事法。由招标人法定代表人或者主要负责人担任定标委员会组长，组建定标委员会进行集体商议，定标委员会成员各自发表意见，最终由定标委员会组长确定中标候选人及排序。集体议事法应当在招标文件中明确议事规则。 </w:t>
      </w:r>
    </w:p>
    <w:p w14:paraId="0BF526C0">
      <w:pPr>
        <w:widowControl/>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4.其他方法。招标人可以将上述定标方法组合使用，也可以结合项目特点和自身实际，本着公平公正的原则，制定其他定标方法，并在投标人须知前附表中明确。</w:t>
      </w:r>
    </w:p>
    <w:p w14:paraId="1DF7F668">
      <w:pPr>
        <w:widowControl/>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rPr>
        <w:t xml:space="preserve">10.4.7 </w:t>
      </w:r>
      <w:r>
        <w:rPr>
          <w:rFonts w:hint="default" w:ascii="Times New Roman" w:hAnsi="Times New Roman" w:cs="Times New Roman"/>
          <w:color w:val="000000"/>
          <w:szCs w:val="24"/>
        </w:rPr>
        <w:t>定标</w:t>
      </w:r>
      <w:r>
        <w:rPr>
          <w:rFonts w:hint="default" w:ascii="Times New Roman" w:hAnsi="Times New Roman" w:cs="Times New Roman"/>
          <w:color w:val="000000"/>
          <w:szCs w:val="21"/>
        </w:rPr>
        <w:t>前清标与考察的内容和方法：</w:t>
      </w:r>
      <w:r>
        <w:rPr>
          <w:rFonts w:hint="default" w:ascii="Times New Roman" w:hAnsi="Times New Roman" w:cs="Times New Roman"/>
          <w:b/>
          <w:bCs/>
          <w:color w:val="000000"/>
          <w:szCs w:val="21"/>
        </w:rPr>
        <w:t>见投标人须知前附表</w:t>
      </w:r>
    </w:p>
    <w:p w14:paraId="0319BB33">
      <w:pPr>
        <w:widowControl/>
        <w:spacing w:line="400" w:lineRule="exact"/>
        <w:ind w:firstLine="420"/>
        <w:rPr>
          <w:rFonts w:hint="default" w:ascii="Times New Roman" w:hAnsi="Times New Roman" w:cs="Times New Roman"/>
          <w:color w:val="000000"/>
          <w:szCs w:val="24"/>
        </w:rPr>
      </w:pPr>
      <w:r>
        <w:rPr>
          <w:rFonts w:hint="default" w:ascii="Times New Roman" w:hAnsi="Times New Roman" w:cs="Times New Roman"/>
          <w:color w:val="000000"/>
          <w:szCs w:val="24"/>
        </w:rPr>
        <w:t>招标人定标前开展清标与考察的，应当按照</w:t>
      </w:r>
      <w:r>
        <w:rPr>
          <w:rFonts w:hint="default" w:ascii="Times New Roman" w:hAnsi="Times New Roman" w:cs="Times New Roman"/>
          <w:color w:val="000000"/>
          <w:szCs w:val="21"/>
        </w:rPr>
        <w:t>投标人须知前附表</w:t>
      </w:r>
      <w:r>
        <w:rPr>
          <w:rFonts w:hint="default" w:ascii="Times New Roman" w:hAnsi="Times New Roman" w:cs="Times New Roman"/>
          <w:color w:val="000000"/>
          <w:szCs w:val="24"/>
        </w:rPr>
        <w:t>中明确的清标与考察内容和方法进行，并出具清标和考察的书面报告提交定标委员会作为定标参考因素。招标人的清标和考察报告应当实事求是，客观公正，不得有明示或暗示的倾向性意见。</w:t>
      </w:r>
    </w:p>
    <w:p w14:paraId="46619B07">
      <w:pPr>
        <w:widowControl/>
        <w:spacing w:line="400" w:lineRule="exact"/>
        <w:ind w:firstLine="420"/>
        <w:rPr>
          <w:rFonts w:hint="default" w:ascii="Times New Roman" w:hAnsi="Times New Roman" w:cs="Times New Roman"/>
          <w:color w:val="000000"/>
          <w:szCs w:val="24"/>
        </w:rPr>
      </w:pPr>
      <w:r>
        <w:rPr>
          <w:rFonts w:hint="default" w:ascii="Times New Roman" w:hAnsi="Times New Roman" w:cs="Times New Roman"/>
          <w:color w:val="000000"/>
          <w:szCs w:val="24"/>
        </w:rPr>
        <w:t>参与清标和考察的人员应为招标人的在职人员。在职人员无法满足专业需要的，可以邀请第三方机构人员或相关领域专家参与清标和考察。</w:t>
      </w:r>
    </w:p>
    <w:p w14:paraId="649C02A6">
      <w:pPr>
        <w:widowControl/>
        <w:spacing w:line="400" w:lineRule="exact"/>
        <w:ind w:firstLine="420"/>
        <w:rPr>
          <w:rFonts w:hint="default" w:ascii="Times New Roman" w:hAnsi="Times New Roman" w:cs="Times New Roman"/>
          <w:color w:val="000000"/>
          <w:szCs w:val="24"/>
        </w:rPr>
      </w:pPr>
      <w:r>
        <w:rPr>
          <w:rFonts w:hint="default" w:ascii="Times New Roman" w:hAnsi="Times New Roman" w:cs="Times New Roman"/>
          <w:color w:val="000000"/>
          <w:szCs w:val="24"/>
        </w:rPr>
        <w:t>招标人组织清标的，应针对所有中标候选人的投标文件进行。清标内容包括中标候选人报价合理性分析（含不平衡报价分析和低于成本价分析）、信用信息、资质业绩、履约能力、拟派项目经理情况以及招标人认为需要核实的其他内容的真实性、一致性进行清查核实。</w:t>
      </w:r>
    </w:p>
    <w:p w14:paraId="13DFCE5D">
      <w:pPr>
        <w:widowControl/>
        <w:spacing w:line="400" w:lineRule="exact"/>
        <w:ind w:firstLine="420"/>
        <w:rPr>
          <w:rFonts w:hint="default" w:ascii="Times New Roman" w:hAnsi="Times New Roman" w:cs="Times New Roman"/>
          <w:color w:val="000000"/>
          <w:szCs w:val="24"/>
        </w:rPr>
      </w:pPr>
      <w:r>
        <w:rPr>
          <w:rFonts w:hint="default" w:ascii="Times New Roman" w:hAnsi="Times New Roman" w:cs="Times New Roman"/>
          <w:color w:val="000000"/>
          <w:szCs w:val="24"/>
        </w:rPr>
        <w:t xml:space="preserve">招标人组织考察的，应对所有中标候选人进行，招标人在考察时不得与中标候选人就投标价格、投标方案等实质性内容进行谈判。 </w:t>
      </w:r>
    </w:p>
    <w:p w14:paraId="1FED9DB4">
      <w:pPr>
        <w:widowControl/>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10.4.8 定标会中标候选人答辩要求：</w:t>
      </w:r>
      <w:r>
        <w:rPr>
          <w:rFonts w:hint="default" w:ascii="Times New Roman" w:hAnsi="Times New Roman" w:cs="Times New Roman"/>
          <w:b/>
          <w:bCs/>
          <w:color w:val="000000"/>
          <w:szCs w:val="21"/>
        </w:rPr>
        <w:t>见投标人须知前附表</w:t>
      </w:r>
    </w:p>
    <w:p w14:paraId="06603C39">
      <w:pPr>
        <w:widowControl/>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定标委员会可以要求中标候选人拟派的项目负责人或技术负责人在定标会议现场进行答辩，但相关要求招标人应在投标人须知前附表中明确。答辩的内容应当限于与招标项目合同履行有关的技术和商务内容。答辩过程中，定标委员会不得与中标候选人就投标价格、投标方案等实质性内容进行谈判。</w:t>
      </w:r>
    </w:p>
    <w:p w14:paraId="471D8A87">
      <w:pPr>
        <w:widowControl/>
        <w:spacing w:line="400" w:lineRule="exact"/>
        <w:ind w:firstLine="420"/>
        <w:rPr>
          <w:rFonts w:hint="default" w:ascii="Times New Roman" w:hAnsi="Times New Roman" w:cs="Times New Roman"/>
          <w:color w:val="000000"/>
          <w:szCs w:val="21"/>
        </w:rPr>
      </w:pPr>
      <w:r>
        <w:rPr>
          <w:rFonts w:hint="default" w:ascii="Times New Roman" w:hAnsi="Times New Roman" w:cs="Times New Roman"/>
          <w:color w:val="000000"/>
          <w:szCs w:val="21"/>
        </w:rPr>
        <w:t>10.4.9  定标委员会应结合项目实际和评标委员会的评审意见，可以根据投标报价、企业实力、企业信誉、项目管理机构、支持中小企业发展等要素，采用择优方式比选定标：</w:t>
      </w:r>
    </w:p>
    <w:p w14:paraId="65FAF5A2">
      <w:pPr>
        <w:widowControl/>
        <w:spacing w:line="400" w:lineRule="exact"/>
        <w:ind w:firstLine="420"/>
        <w:rPr>
          <w:rFonts w:hint="default" w:ascii="Times New Roman" w:hAnsi="Times New Roman" w:cs="Times New Roman"/>
          <w:color w:val="000000"/>
          <w:szCs w:val="21"/>
        </w:rPr>
      </w:pPr>
      <w:r>
        <w:rPr>
          <w:rFonts w:hint="default" w:ascii="Times New Roman" w:hAnsi="Times New Roman" w:cs="Times New Roman"/>
          <w:color w:val="000000"/>
          <w:szCs w:val="21"/>
        </w:rPr>
        <w:t>1.投标报价：按照招标文件规定的报价竞争方法，重点关注投标报价的合理性。</w:t>
      </w:r>
    </w:p>
    <w:p w14:paraId="23594E95">
      <w:pPr>
        <w:widowControl/>
        <w:spacing w:line="400" w:lineRule="exact"/>
        <w:ind w:firstLine="420"/>
        <w:rPr>
          <w:rFonts w:hint="default" w:ascii="Times New Roman" w:hAnsi="Times New Roman" w:cs="Times New Roman"/>
          <w:color w:val="000000"/>
          <w:szCs w:val="21"/>
        </w:rPr>
      </w:pPr>
      <w:r>
        <w:rPr>
          <w:rFonts w:hint="default" w:ascii="Times New Roman" w:hAnsi="Times New Roman" w:cs="Times New Roman"/>
          <w:color w:val="000000"/>
          <w:szCs w:val="21"/>
        </w:rPr>
        <w:t>2.企业实力（1-3年）：企业综合（资质等级、售后服务、科技创新）、业绩奖项（项目业绩、市级以上优质工程奖、结构优质工程、安全文明施工现场）、财务状况（企业营业额、流动比率、资产负债率、净资产、流动资金、项目资金保障）等。</w:t>
      </w:r>
    </w:p>
    <w:p w14:paraId="1676BAE8">
      <w:pPr>
        <w:widowControl/>
        <w:spacing w:line="400" w:lineRule="exact"/>
        <w:ind w:firstLine="420"/>
        <w:rPr>
          <w:rFonts w:hint="default" w:ascii="Times New Roman" w:hAnsi="Times New Roman" w:cs="Times New Roman"/>
          <w:color w:val="000000"/>
          <w:szCs w:val="21"/>
        </w:rPr>
      </w:pPr>
      <w:r>
        <w:rPr>
          <w:rFonts w:hint="default" w:ascii="Times New Roman" w:hAnsi="Times New Roman" w:cs="Times New Roman"/>
          <w:color w:val="000000"/>
          <w:szCs w:val="21"/>
        </w:rPr>
        <w:t>3.企业信誉（1-3年）：信用情况（重点关注建设行政主管部门、政府采购管理部门、招投标综合监管机构作出的各种行政处罚（处理）、失信记录）、企业获得荣誉和表彰表扬（县级以上政府、相关行政主管部门、行业协会颁发的表彰表扬通报）、履约情况（过往履约记录、建设单位履约评价）等。</w:t>
      </w:r>
    </w:p>
    <w:p w14:paraId="38E7610B">
      <w:pPr>
        <w:widowControl/>
        <w:spacing w:line="400" w:lineRule="exact"/>
        <w:ind w:firstLine="420"/>
        <w:rPr>
          <w:rFonts w:hint="default" w:ascii="Times New Roman" w:hAnsi="Times New Roman" w:cs="Times New Roman"/>
          <w:color w:val="000000"/>
          <w:szCs w:val="21"/>
        </w:rPr>
      </w:pPr>
      <w:r>
        <w:rPr>
          <w:rFonts w:hint="default" w:ascii="Times New Roman" w:hAnsi="Times New Roman" w:cs="Times New Roman"/>
          <w:color w:val="000000"/>
          <w:szCs w:val="21"/>
        </w:rPr>
        <w:t>4.项目管理机构：项目负责人履历（项目负责人业绩、荣誉、从业年限、职称以及在企业任职情况）、项目机构成员配置（专业配置齐全程度及合理性，技术负责人职称、业绩、从业年限，项目管理人员的证书、职称）、质量安全管理措施等。</w:t>
      </w:r>
    </w:p>
    <w:p w14:paraId="34A3D7E8">
      <w:pPr>
        <w:widowControl/>
        <w:spacing w:line="400" w:lineRule="exact"/>
        <w:ind w:firstLine="420"/>
        <w:rPr>
          <w:rFonts w:hint="default" w:ascii="Times New Roman" w:hAnsi="Times New Roman" w:cs="Times New Roman"/>
          <w:color w:val="000000"/>
          <w:szCs w:val="21"/>
        </w:rPr>
      </w:pPr>
      <w:r>
        <w:rPr>
          <w:rFonts w:hint="default" w:ascii="Times New Roman" w:hAnsi="Times New Roman" w:cs="Times New Roman"/>
          <w:color w:val="000000"/>
          <w:szCs w:val="21"/>
        </w:rPr>
        <w:t>5.支持中小企业发展。大型企业与中小微企业组成联合体（重点关注中小微企业联合体中所承担的任务及占总合同金额的比例）、大型企业向中小微企业进行分包（重点关注依法分包和中小微企业分包合同份额占合同总金额的比例）。</w:t>
      </w:r>
    </w:p>
    <w:p w14:paraId="589E36AE">
      <w:pPr>
        <w:widowControl/>
        <w:spacing w:line="400" w:lineRule="exact"/>
        <w:ind w:firstLine="420"/>
        <w:rPr>
          <w:rFonts w:hint="default" w:ascii="Times New Roman" w:hAnsi="Times New Roman" w:cs="Times New Roman"/>
          <w:color w:val="000000"/>
          <w:szCs w:val="21"/>
        </w:rPr>
      </w:pPr>
      <w:r>
        <w:rPr>
          <w:rFonts w:hint="default" w:ascii="Times New Roman" w:hAnsi="Times New Roman" w:cs="Times New Roman"/>
          <w:color w:val="000000"/>
          <w:szCs w:val="21"/>
        </w:rPr>
        <w:t>6.其他：招标人认为必要的其他定标要素。</w:t>
      </w:r>
    </w:p>
    <w:p w14:paraId="4B805DCF">
      <w:pPr>
        <w:widowControl/>
        <w:spacing w:line="400" w:lineRule="exact"/>
        <w:ind w:firstLine="420"/>
        <w:rPr>
          <w:rFonts w:hint="default" w:ascii="Times New Roman" w:hAnsi="Times New Roman" w:cs="Times New Roman"/>
          <w:color w:val="000000"/>
          <w:szCs w:val="21"/>
        </w:rPr>
      </w:pPr>
      <w:r>
        <w:rPr>
          <w:rFonts w:hint="default" w:ascii="Times New Roman" w:hAnsi="Times New Roman" w:cs="Times New Roman"/>
          <w:color w:val="000000"/>
          <w:szCs w:val="21"/>
        </w:rPr>
        <w:t>定标委员会也可以对中标候选人是否发生或存在质量安全事故、不良行为记录或违法违规行为等要素，采用比劣方式比选定标：</w:t>
      </w:r>
    </w:p>
    <w:p w14:paraId="1905DC0A">
      <w:pPr>
        <w:widowControl/>
        <w:spacing w:line="400" w:lineRule="exact"/>
        <w:ind w:firstLine="420"/>
        <w:rPr>
          <w:rFonts w:hint="default" w:ascii="Times New Roman" w:hAnsi="Times New Roman" w:cs="Times New Roman"/>
          <w:color w:val="000000"/>
          <w:szCs w:val="21"/>
        </w:rPr>
      </w:pPr>
      <w:r>
        <w:rPr>
          <w:rFonts w:hint="default" w:ascii="Times New Roman" w:hAnsi="Times New Roman" w:cs="Times New Roman"/>
          <w:color w:val="000000"/>
          <w:szCs w:val="21"/>
        </w:rPr>
        <w:t>1.质量安全事故（1-3年）：企业发生过一般及以上工程质量、安全事故。</w:t>
      </w:r>
    </w:p>
    <w:p w14:paraId="554D2310">
      <w:pPr>
        <w:widowControl/>
        <w:spacing w:line="400" w:lineRule="exact"/>
        <w:ind w:firstLine="420"/>
        <w:rPr>
          <w:rFonts w:hint="default" w:ascii="Times New Roman" w:hAnsi="Times New Roman" w:cs="Times New Roman"/>
          <w:color w:val="000000"/>
          <w:szCs w:val="21"/>
        </w:rPr>
      </w:pPr>
      <w:r>
        <w:rPr>
          <w:rFonts w:hint="default" w:ascii="Times New Roman" w:hAnsi="Times New Roman" w:cs="Times New Roman"/>
          <w:color w:val="000000"/>
          <w:szCs w:val="21"/>
        </w:rPr>
        <w:t>2.不良行为记录（1-3年）：企业或其法定代表人、企业主要负责人、拟派的项目负责人受到县级及以上建设行业主管部门、政府采购管理部门、公共资源交易综合监管机构记录的不良行为信息；企业受到建设单位履约负面评价；在“信用中国”“国家企业信用信息公示系统”“湖北省公共资源交易信用信息平台”等平台查询到的企业失信信息。</w:t>
      </w:r>
    </w:p>
    <w:p w14:paraId="2E8F3992">
      <w:pPr>
        <w:widowControl/>
        <w:spacing w:line="400" w:lineRule="exact"/>
        <w:ind w:firstLine="420"/>
        <w:rPr>
          <w:rFonts w:hint="default" w:ascii="Times New Roman" w:hAnsi="Times New Roman" w:cs="Times New Roman"/>
          <w:color w:val="000000"/>
          <w:szCs w:val="21"/>
        </w:rPr>
      </w:pPr>
      <w:r>
        <w:rPr>
          <w:rFonts w:hint="default" w:ascii="Times New Roman" w:hAnsi="Times New Roman" w:cs="Times New Roman"/>
          <w:color w:val="000000"/>
          <w:szCs w:val="21"/>
        </w:rPr>
        <w:t>3.违法违规行为（1-3年）：企业存在围标串标、转包挂靠、弄虚作假、以他人名义投标、出借资质等违法违规行为。</w:t>
      </w:r>
    </w:p>
    <w:p w14:paraId="5493680A">
      <w:pPr>
        <w:widowControl/>
        <w:spacing w:line="400" w:lineRule="exact"/>
        <w:ind w:firstLine="420"/>
        <w:rPr>
          <w:rFonts w:hint="default" w:ascii="Times New Roman" w:hAnsi="Times New Roman" w:cs="Times New Roman"/>
          <w:color w:val="000000"/>
          <w:szCs w:val="21"/>
        </w:rPr>
      </w:pPr>
      <w:r>
        <w:rPr>
          <w:rFonts w:hint="default" w:ascii="Times New Roman" w:hAnsi="Times New Roman" w:cs="Times New Roman"/>
          <w:color w:val="000000"/>
          <w:szCs w:val="21"/>
        </w:rPr>
        <w:t>4.其他：招标人认为必要的其他定标要素。</w:t>
      </w:r>
    </w:p>
    <w:p w14:paraId="480D0B1C">
      <w:pPr>
        <w:widowControl/>
        <w:spacing w:line="400" w:lineRule="exact"/>
        <w:ind w:firstLine="420" w:firstLineChars="200"/>
        <w:jc w:val="left"/>
        <w:rPr>
          <w:rFonts w:hint="default" w:ascii="Times New Roman" w:hAnsi="Times New Roman" w:cs="Times New Roman"/>
          <w:color w:val="000000"/>
          <w:szCs w:val="21"/>
        </w:rPr>
      </w:pPr>
      <w:r>
        <w:rPr>
          <w:rFonts w:hint="default" w:ascii="Times New Roman" w:hAnsi="Times New Roman" w:cs="Times New Roman"/>
          <w:color w:val="000000"/>
          <w:szCs w:val="21"/>
        </w:rPr>
        <w:t xml:space="preserve">10.4.10 </w:t>
      </w:r>
      <w:r>
        <w:rPr>
          <w:rFonts w:hint="default" w:ascii="Times New Roman" w:hAnsi="Times New Roman" w:cs="Times New Roman"/>
          <w:color w:val="000000"/>
          <w:szCs w:val="21"/>
          <w:lang w:bidi="ar"/>
        </w:rPr>
        <w:t>中标候选人被列为“信用中国”（www.creditchina.gov.cn）失信惩戒对象、“信用湖北”（http://credit.hubei.gov.cn/）信用黑名单、湖北省公共资源交易信用信息平台（http://www.hbcxpt.cn/）重点监管对象，全国、全省建筑市场主体“黑名单”的，以及发生安全生产事故在处罚期内的企业，不得被确定为中标人。</w:t>
      </w:r>
    </w:p>
    <w:p w14:paraId="0D2BD528">
      <w:pPr>
        <w:widowControl/>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10.4.11 定标会原则上应在评标结束后的</w:t>
      </w:r>
      <w:r>
        <w:rPr>
          <w:rStyle w:val="28"/>
          <w:rFonts w:hint="default" w:ascii="Times New Roman" w:hAnsi="Times New Roman" w:eastAsia="宋体" w:cs="Times New Roman"/>
          <w:szCs w:val="21"/>
        </w:rPr>
        <w:t>5</w:t>
      </w:r>
      <w:r>
        <w:rPr>
          <w:rFonts w:hint="default" w:ascii="Times New Roman" w:hAnsi="Times New Roman" w:cs="Times New Roman"/>
          <w:color w:val="000000"/>
          <w:szCs w:val="21"/>
        </w:rPr>
        <w:t>个工作日内召开。若招标人需要对中标候选人或拟派项目负责人进行考察或广泛征求意见而需延期进行的，原则上在评标结束后的</w:t>
      </w:r>
      <w:r>
        <w:rPr>
          <w:rStyle w:val="28"/>
          <w:rFonts w:hint="default" w:ascii="Times New Roman" w:hAnsi="Times New Roman" w:eastAsia="宋体" w:cs="Times New Roman"/>
          <w:szCs w:val="21"/>
        </w:rPr>
        <w:t>10</w:t>
      </w:r>
      <w:r>
        <w:rPr>
          <w:rFonts w:hint="default" w:ascii="Times New Roman" w:hAnsi="Times New Roman" w:cs="Times New Roman"/>
          <w:color w:val="000000"/>
          <w:szCs w:val="21"/>
        </w:rPr>
        <w:t>个工作日内召开。定标委员会应当按照招标文件规定的定标方法，在评标委员会推荐的中标候选人中择优确定中标人。</w:t>
      </w:r>
    </w:p>
    <w:p w14:paraId="0915EB35">
      <w:pPr>
        <w:widowControl/>
        <w:spacing w:line="400" w:lineRule="exact"/>
        <w:ind w:firstLine="420" w:firstLineChars="200"/>
        <w:rPr>
          <w:rFonts w:hint="default" w:ascii="Times New Roman" w:hAnsi="Times New Roman" w:cs="Times New Roman"/>
          <w:color w:val="000000"/>
        </w:rPr>
      </w:pPr>
      <w:r>
        <w:rPr>
          <w:rFonts w:hint="default" w:ascii="Times New Roman" w:hAnsi="Times New Roman" w:cs="Times New Roman"/>
          <w:color w:val="000000"/>
        </w:rPr>
        <w:t>10.4.12 定标会原则上应在公共资源交易中心进行，并全程录音录像，录音录像应当清晰可辨。</w:t>
      </w:r>
    </w:p>
    <w:p w14:paraId="4308FE30">
      <w:pPr>
        <w:widowControl/>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10.4.13 定标委员会应当将定标工作情况形成定标报告。定标报告应当记录定标委员会成员名单、定标监督小组名单、定标办法、答辩情况（如有）、定标工作情况、定标结果，并由定标委员会成员、定标监督小组成员集体签字。</w:t>
      </w:r>
    </w:p>
    <w:p w14:paraId="47F76F20">
      <w:pPr>
        <w:widowControl/>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10.4.14 招标人应当在定标工作完成后的</w:t>
      </w:r>
      <w:r>
        <w:rPr>
          <w:rStyle w:val="29"/>
          <w:rFonts w:hint="default" w:ascii="Times New Roman" w:hAnsi="Times New Roman" w:eastAsia="宋体" w:cs="Times New Roman"/>
          <w:szCs w:val="21"/>
        </w:rPr>
        <w:t>3</w:t>
      </w:r>
      <w:r>
        <w:rPr>
          <w:rFonts w:hint="default" w:ascii="Times New Roman" w:hAnsi="Times New Roman" w:cs="Times New Roman"/>
          <w:color w:val="000000"/>
          <w:szCs w:val="21"/>
        </w:rPr>
        <w:t>日内向中标人发出中标通知书，同时发布中标结果公示。</w:t>
      </w:r>
    </w:p>
    <w:p w14:paraId="4361AB7F">
      <w:pPr>
        <w:widowControl/>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10.4.15 中标人不得无故放弃中标，中标人放弃中标、不可抗力不能履行合同、不按照招标文件要求提交履约保证金或因异议、投诉查实被取消中标资格的，招标人可以在剩余中标候选人中，按照原定标程序和方法，组织原定标委员会重新定标，也可以重新招标。</w:t>
      </w:r>
    </w:p>
    <w:bookmarkEnd w:id="109"/>
    <w:p w14:paraId="3123E269">
      <w:pPr>
        <w:pStyle w:val="5"/>
        <w:keepNext w:val="0"/>
        <w:keepLines w:val="0"/>
        <w:jc w:val="both"/>
        <w:rPr>
          <w:rFonts w:hint="default" w:ascii="Times New Roman" w:hAnsi="Times New Roman" w:cs="Times New Roman"/>
          <w:color w:val="000000"/>
        </w:rPr>
      </w:pPr>
      <w:r>
        <w:rPr>
          <w:rFonts w:hint="default" w:ascii="Times New Roman" w:hAnsi="Times New Roman" w:cs="Times New Roman"/>
          <w:color w:val="000000"/>
        </w:rPr>
        <w:t>10.5招标人补充的其他内容</w:t>
      </w:r>
    </w:p>
    <w:p w14:paraId="3C12A281">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招标人补充的其他内容：见投标人须知前附表。</w:t>
      </w:r>
    </w:p>
    <w:p w14:paraId="1440EACE">
      <w:pPr>
        <w:pStyle w:val="3"/>
        <w:wordWrap w:val="0"/>
        <w:jc w:val="both"/>
        <w:rPr>
          <w:rFonts w:hint="default" w:ascii="Times New Roman" w:hAnsi="Times New Roman" w:eastAsia="黑体" w:cs="Times New Roman"/>
          <w:b w:val="0"/>
          <w:color w:val="000000"/>
          <w:sz w:val="24"/>
          <w:szCs w:val="24"/>
        </w:rPr>
      </w:pPr>
      <w:r>
        <w:rPr>
          <w:rFonts w:hint="default" w:ascii="Times New Roman" w:hAnsi="Times New Roman" w:cs="Times New Roman"/>
          <w:b w:val="0"/>
          <w:bCs w:val="0"/>
          <w:color w:val="000000"/>
          <w:sz w:val="21"/>
          <w:szCs w:val="24"/>
        </w:rPr>
        <w:br w:type="page"/>
      </w:r>
      <w:bookmarkStart w:id="110" w:name="_Toc491075828"/>
      <w:bookmarkStart w:id="111" w:name="_Toc467365444"/>
      <w:bookmarkStart w:id="112" w:name="_Toc24156"/>
      <w:bookmarkStart w:id="113" w:name="_Toc468288654"/>
      <w:bookmarkStart w:id="114" w:name="_Toc475715860"/>
      <w:r>
        <w:rPr>
          <w:rFonts w:hint="default" w:ascii="Times New Roman" w:hAnsi="Times New Roman" w:cs="Times New Roman"/>
          <w:color w:val="000000"/>
        </w:rPr>
        <w:t>附件一：投标确认书</w:t>
      </w:r>
      <w:bookmarkEnd w:id="110"/>
      <w:bookmarkEnd w:id="111"/>
      <w:bookmarkEnd w:id="112"/>
    </w:p>
    <w:p w14:paraId="108F6827">
      <w:pPr>
        <w:rPr>
          <w:rFonts w:hint="default" w:ascii="Times New Roman" w:hAnsi="Times New Roman" w:cs="Times New Roman"/>
          <w:color w:val="000000"/>
          <w:szCs w:val="24"/>
        </w:rPr>
      </w:pPr>
    </w:p>
    <w:p w14:paraId="069D55E5">
      <w:pPr>
        <w:jc w:val="center"/>
        <w:rPr>
          <w:rFonts w:hint="default" w:ascii="Times New Roman" w:hAnsi="Times New Roman" w:eastAsia="黑体" w:cs="Times New Roman"/>
          <w:b/>
          <w:color w:val="000000"/>
          <w:sz w:val="32"/>
          <w:szCs w:val="32"/>
        </w:rPr>
      </w:pPr>
    </w:p>
    <w:p w14:paraId="4CADCE86">
      <w:pPr>
        <w:jc w:val="center"/>
        <w:rPr>
          <w:rFonts w:hint="default" w:ascii="Times New Roman" w:hAnsi="Times New Roman" w:eastAsia="黑体" w:cs="Times New Roman"/>
          <w:b/>
          <w:color w:val="000000"/>
          <w:sz w:val="32"/>
          <w:szCs w:val="32"/>
        </w:rPr>
      </w:pPr>
    </w:p>
    <w:p w14:paraId="1E07F496">
      <w:pPr>
        <w:jc w:val="center"/>
        <w:rPr>
          <w:rFonts w:hint="default" w:ascii="Times New Roman" w:hAnsi="Times New Roman" w:eastAsia="黑体" w:cs="Times New Roman"/>
          <w:b/>
          <w:color w:val="000000"/>
          <w:sz w:val="28"/>
          <w:szCs w:val="28"/>
        </w:rPr>
      </w:pPr>
      <w:r>
        <w:rPr>
          <w:rFonts w:hint="default" w:ascii="Times New Roman" w:hAnsi="Times New Roman" w:eastAsia="黑体" w:cs="Times New Roman"/>
          <w:b/>
          <w:color w:val="000000"/>
          <w:sz w:val="28"/>
          <w:szCs w:val="28"/>
        </w:rPr>
        <w:t>投标确认书</w:t>
      </w:r>
    </w:p>
    <w:p w14:paraId="67931F1A">
      <w:pPr>
        <w:jc w:val="left"/>
        <w:rPr>
          <w:rFonts w:hint="default" w:ascii="Times New Roman" w:hAnsi="Times New Roman" w:cs="Times New Roman"/>
          <w:color w:val="000000"/>
          <w:szCs w:val="24"/>
        </w:rPr>
      </w:pPr>
    </w:p>
    <w:p w14:paraId="464B0395">
      <w:pPr>
        <w:jc w:val="left"/>
        <w:rPr>
          <w:rFonts w:hint="default" w:ascii="Times New Roman" w:hAnsi="Times New Roman" w:cs="Times New Roman"/>
          <w:color w:val="000000"/>
          <w:szCs w:val="24"/>
        </w:rPr>
      </w:pPr>
      <w:r>
        <w:rPr>
          <w:rFonts w:hint="default" w:ascii="Times New Roman" w:hAnsi="Times New Roman" w:cs="Times New Roman"/>
          <w:color w:val="000000"/>
          <w:szCs w:val="24"/>
        </w:rPr>
        <w:t xml:space="preserve">                                                  编号：</w:t>
      </w:r>
      <w:r>
        <w:rPr>
          <w:rFonts w:hint="default" w:ascii="Times New Roman" w:hAnsi="Times New Roman" w:cs="Times New Roman"/>
          <w:color w:val="000000"/>
          <w:szCs w:val="24"/>
          <w:u w:val="single"/>
        </w:rPr>
        <w:t>　       　</w:t>
      </w:r>
    </w:p>
    <w:p w14:paraId="20FF4AB4">
      <w:pPr>
        <w:spacing w:line="560" w:lineRule="exact"/>
        <w:rPr>
          <w:rFonts w:hint="default" w:ascii="Times New Roman" w:hAnsi="Times New Roman" w:cs="Times New Roman"/>
          <w:color w:val="000000"/>
          <w:szCs w:val="24"/>
        </w:rPr>
      </w:pPr>
      <w:r>
        <w:rPr>
          <w:rFonts w:hint="default" w:ascii="Times New Roman" w:hAnsi="Times New Roman" w:cs="Times New Roman"/>
          <w:color w:val="000000"/>
          <w:szCs w:val="24"/>
          <w:u w:val="single"/>
        </w:rPr>
        <w:t>　　           　　</w:t>
      </w:r>
      <w:r>
        <w:rPr>
          <w:rFonts w:hint="default" w:ascii="Times New Roman" w:hAnsi="Times New Roman" w:cs="Times New Roman"/>
          <w:color w:val="000000"/>
          <w:szCs w:val="24"/>
        </w:rPr>
        <w:t>(招标人名称)：</w:t>
      </w:r>
    </w:p>
    <w:p w14:paraId="445941F6">
      <w:pPr>
        <w:spacing w:line="560" w:lineRule="exact"/>
        <w:rPr>
          <w:rFonts w:hint="default" w:ascii="Times New Roman" w:hAnsi="Times New Roman" w:cs="Times New Roman"/>
          <w:color w:val="000000"/>
          <w:szCs w:val="24"/>
        </w:rPr>
      </w:pPr>
      <w:r>
        <w:rPr>
          <w:rFonts w:hint="default" w:ascii="Times New Roman" w:hAnsi="Times New Roman" w:cs="Times New Roman"/>
          <w:color w:val="000000"/>
          <w:szCs w:val="24"/>
        </w:rPr>
        <w:t>　　我方已收到你方发送的</w:t>
      </w:r>
      <w:r>
        <w:rPr>
          <w:rFonts w:hint="default" w:ascii="Times New Roman" w:hAnsi="Times New Roman" w:cs="Times New Roman"/>
          <w:color w:val="000000"/>
          <w:szCs w:val="24"/>
          <w:u w:val="single"/>
        </w:rPr>
        <w:t>投标邀请书</w:t>
      </w:r>
      <w:r>
        <w:rPr>
          <w:rFonts w:hint="default" w:ascii="Times New Roman" w:hAnsi="Times New Roman" w:cs="Times New Roman"/>
          <w:color w:val="000000"/>
          <w:szCs w:val="24"/>
        </w:rPr>
        <w:t>，我方将</w:t>
      </w:r>
      <w:r>
        <w:rPr>
          <w:rFonts w:hint="default" w:ascii="Times New Roman" w:hAnsi="Times New Roman" w:cs="Times New Roman"/>
          <w:color w:val="000000"/>
          <w:szCs w:val="24"/>
          <w:u w:val="single"/>
        </w:rPr>
        <w:t>　      　</w:t>
      </w:r>
      <w:r>
        <w:rPr>
          <w:rFonts w:hint="default" w:ascii="Times New Roman" w:hAnsi="Times New Roman" w:cs="Times New Roman"/>
          <w:color w:val="000000"/>
          <w:szCs w:val="24"/>
        </w:rPr>
        <w:t>(参加/不参加)</w:t>
      </w:r>
      <w:r>
        <w:rPr>
          <w:rFonts w:hint="default" w:ascii="Times New Roman" w:hAnsi="Times New Roman" w:cs="Times New Roman"/>
          <w:color w:val="000000"/>
          <w:szCs w:val="24"/>
          <w:u w:val="single"/>
        </w:rPr>
        <w:t>　　      　　</w:t>
      </w:r>
      <w:r>
        <w:rPr>
          <w:rFonts w:hint="default" w:ascii="Times New Roman" w:hAnsi="Times New Roman" w:cs="Times New Roman"/>
          <w:color w:val="000000"/>
          <w:szCs w:val="24"/>
        </w:rPr>
        <w:t>（项目名称）</w:t>
      </w:r>
      <w:r>
        <w:rPr>
          <w:rFonts w:hint="default" w:ascii="Times New Roman" w:hAnsi="Times New Roman" w:cs="Times New Roman"/>
          <w:color w:val="000000"/>
          <w:szCs w:val="24"/>
          <w:u w:val="single"/>
        </w:rPr>
        <w:t>　　　　</w:t>
      </w:r>
      <w:r>
        <w:rPr>
          <w:rFonts w:hint="default" w:ascii="Times New Roman" w:hAnsi="Times New Roman" w:cs="Times New Roman"/>
          <w:color w:val="000000"/>
          <w:szCs w:val="24"/>
        </w:rPr>
        <w:t>（标段/包名称）投标。</w:t>
      </w:r>
    </w:p>
    <w:p w14:paraId="643DB42A">
      <w:pPr>
        <w:spacing w:line="560" w:lineRule="exact"/>
        <w:rPr>
          <w:rFonts w:hint="default" w:ascii="Times New Roman" w:hAnsi="Times New Roman" w:cs="Times New Roman"/>
          <w:color w:val="000000"/>
          <w:szCs w:val="24"/>
        </w:rPr>
      </w:pPr>
      <w:r>
        <w:rPr>
          <w:rFonts w:hint="default" w:ascii="Times New Roman" w:hAnsi="Times New Roman" w:cs="Times New Roman"/>
          <w:color w:val="000000"/>
          <w:szCs w:val="24"/>
        </w:rPr>
        <w:t>　　特此确认。</w:t>
      </w:r>
    </w:p>
    <w:p w14:paraId="1D5FACDB">
      <w:pPr>
        <w:spacing w:line="560" w:lineRule="exact"/>
        <w:rPr>
          <w:rFonts w:hint="default" w:ascii="Times New Roman" w:hAnsi="Times New Roman" w:cs="Times New Roman"/>
          <w:color w:val="000000"/>
          <w:szCs w:val="24"/>
        </w:rPr>
      </w:pPr>
    </w:p>
    <w:p w14:paraId="53A96784">
      <w:pPr>
        <w:spacing w:line="560" w:lineRule="exact"/>
        <w:rPr>
          <w:rFonts w:hint="default" w:ascii="Times New Roman" w:hAnsi="Times New Roman" w:cs="Times New Roman"/>
          <w:color w:val="000000"/>
          <w:szCs w:val="24"/>
          <w:u w:val="single"/>
        </w:rPr>
      </w:pPr>
    </w:p>
    <w:p w14:paraId="08E695F7">
      <w:pPr>
        <w:spacing w:line="560" w:lineRule="exact"/>
        <w:rPr>
          <w:rFonts w:hint="default" w:ascii="Times New Roman" w:hAnsi="Times New Roman" w:cs="Times New Roman"/>
          <w:color w:val="000000"/>
          <w:szCs w:val="21"/>
        </w:rPr>
      </w:pPr>
      <w:r>
        <w:rPr>
          <w:rFonts w:hint="default" w:ascii="Times New Roman" w:hAnsi="Times New Roman" w:cs="Times New Roman"/>
          <w:color w:val="000000"/>
          <w:szCs w:val="24"/>
        </w:rPr>
        <w:t>　　　　　　　　　　　　　　　　　</w:t>
      </w:r>
      <w:r>
        <w:rPr>
          <w:rFonts w:hint="default" w:ascii="Times New Roman" w:hAnsi="Times New Roman" w:cs="Times New Roman"/>
          <w:color w:val="000000"/>
          <w:szCs w:val="21"/>
        </w:rPr>
        <w:t>申请人：</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 xml:space="preserve"> (盖单位章)</w:t>
      </w:r>
    </w:p>
    <w:p w14:paraId="777F3016">
      <w:pPr>
        <w:spacing w:line="560" w:lineRule="exact"/>
        <w:rPr>
          <w:rFonts w:hint="default" w:ascii="Times New Roman" w:hAnsi="Times New Roman" w:cs="Times New Roman"/>
          <w:color w:val="000000"/>
          <w:szCs w:val="21"/>
        </w:rPr>
      </w:pPr>
      <w:r>
        <w:rPr>
          <w:rFonts w:hint="default" w:ascii="Times New Roman" w:hAnsi="Times New Roman" w:cs="Times New Roman"/>
          <w:color w:val="000000"/>
          <w:szCs w:val="21"/>
        </w:rPr>
        <w:t>　　　　　　　　　　　　　　　　　法定代表人或其委托代理人：</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(签字)</w:t>
      </w:r>
    </w:p>
    <w:p w14:paraId="3FA360BC">
      <w:pPr>
        <w:spacing w:line="560" w:lineRule="exact"/>
        <w:rPr>
          <w:rFonts w:hint="default" w:ascii="Times New Roman" w:hAnsi="Times New Roman" w:cs="Times New Roman"/>
          <w:color w:val="000000"/>
          <w:szCs w:val="24"/>
          <w:u w:val="single"/>
        </w:rPr>
      </w:pPr>
      <w:r>
        <w:rPr>
          <w:rFonts w:hint="default" w:ascii="Times New Roman" w:hAnsi="Times New Roman" w:cs="Times New Roman"/>
          <w:color w:val="000000"/>
          <w:szCs w:val="21"/>
        </w:rPr>
        <w:t>　　　　　　　　　　　　　　　　　　　　　　　　　　　　</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年</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月</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日</w:t>
      </w:r>
    </w:p>
    <w:p w14:paraId="6CCCFC40">
      <w:pPr>
        <w:jc w:val="left"/>
        <w:rPr>
          <w:rFonts w:hint="default" w:ascii="Times New Roman" w:hAnsi="Times New Roman" w:cs="Times New Roman"/>
          <w:color w:val="000000"/>
          <w:szCs w:val="24"/>
        </w:rPr>
      </w:pPr>
    </w:p>
    <w:p w14:paraId="05B4904C">
      <w:pPr>
        <w:jc w:val="left"/>
        <w:rPr>
          <w:rFonts w:hint="default" w:ascii="Times New Roman" w:hAnsi="Times New Roman" w:cs="Times New Roman"/>
          <w:color w:val="000000"/>
          <w:szCs w:val="24"/>
        </w:rPr>
      </w:pPr>
    </w:p>
    <w:p w14:paraId="5ADCC4F4">
      <w:pPr>
        <w:jc w:val="left"/>
        <w:rPr>
          <w:rFonts w:hint="default" w:ascii="Times New Roman" w:hAnsi="Times New Roman" w:cs="Times New Roman"/>
          <w:color w:val="000000"/>
          <w:szCs w:val="24"/>
        </w:rPr>
      </w:pPr>
    </w:p>
    <w:p w14:paraId="09279425">
      <w:pPr>
        <w:jc w:val="left"/>
        <w:rPr>
          <w:rFonts w:hint="default" w:ascii="Times New Roman" w:hAnsi="Times New Roman" w:cs="Times New Roman"/>
          <w:color w:val="000000"/>
          <w:szCs w:val="24"/>
        </w:rPr>
      </w:pPr>
    </w:p>
    <w:p w14:paraId="52DC493E">
      <w:pPr>
        <w:jc w:val="left"/>
        <w:rPr>
          <w:rFonts w:hint="default" w:ascii="Times New Roman" w:hAnsi="Times New Roman" w:cs="Times New Roman"/>
          <w:color w:val="000000"/>
          <w:szCs w:val="24"/>
        </w:rPr>
      </w:pPr>
    </w:p>
    <w:p w14:paraId="32D3E0B9">
      <w:pPr>
        <w:jc w:val="left"/>
        <w:rPr>
          <w:rFonts w:hint="default" w:ascii="Times New Roman" w:hAnsi="Times New Roman" w:cs="Times New Roman"/>
          <w:color w:val="000000"/>
          <w:szCs w:val="24"/>
        </w:rPr>
      </w:pPr>
    </w:p>
    <w:p w14:paraId="5EDB2989">
      <w:pPr>
        <w:jc w:val="left"/>
        <w:rPr>
          <w:rFonts w:hint="default" w:ascii="Times New Roman" w:hAnsi="Times New Roman" w:cs="Times New Roman"/>
          <w:color w:val="000000"/>
          <w:szCs w:val="24"/>
        </w:rPr>
      </w:pPr>
    </w:p>
    <w:p w14:paraId="0DB8D4B1">
      <w:pPr>
        <w:jc w:val="left"/>
        <w:rPr>
          <w:rFonts w:hint="default" w:ascii="Times New Roman" w:hAnsi="Times New Roman" w:cs="Times New Roman"/>
          <w:color w:val="000000"/>
          <w:szCs w:val="24"/>
        </w:rPr>
      </w:pPr>
    </w:p>
    <w:p w14:paraId="43DEEBE2">
      <w:pPr>
        <w:jc w:val="left"/>
        <w:rPr>
          <w:rFonts w:hint="default" w:ascii="Times New Roman" w:hAnsi="Times New Roman" w:cs="Times New Roman"/>
          <w:color w:val="000000"/>
          <w:szCs w:val="24"/>
        </w:rPr>
      </w:pPr>
    </w:p>
    <w:p w14:paraId="5B71D87C">
      <w:pPr>
        <w:jc w:val="left"/>
        <w:rPr>
          <w:rFonts w:hint="default" w:ascii="Times New Roman" w:hAnsi="Times New Roman" w:cs="Times New Roman"/>
          <w:color w:val="000000"/>
          <w:szCs w:val="24"/>
        </w:rPr>
      </w:pPr>
    </w:p>
    <w:p w14:paraId="12D4BDE9">
      <w:pPr>
        <w:jc w:val="left"/>
        <w:rPr>
          <w:rFonts w:hint="default" w:ascii="Times New Roman" w:hAnsi="Times New Roman" w:cs="Times New Roman"/>
          <w:color w:val="000000"/>
          <w:szCs w:val="24"/>
        </w:rPr>
      </w:pPr>
    </w:p>
    <w:p w14:paraId="5E4ABBA5">
      <w:pPr>
        <w:jc w:val="left"/>
        <w:rPr>
          <w:rFonts w:hint="default" w:ascii="Times New Roman" w:hAnsi="Times New Roman" w:cs="Times New Roman"/>
          <w:color w:val="000000"/>
          <w:szCs w:val="24"/>
        </w:rPr>
      </w:pPr>
    </w:p>
    <w:p w14:paraId="04495F41">
      <w:pPr>
        <w:ind w:left="630" w:hanging="630" w:hangingChars="300"/>
        <w:jc w:val="left"/>
        <w:rPr>
          <w:rFonts w:hint="default" w:ascii="Times New Roman" w:hAnsi="Times New Roman" w:cs="Times New Roman"/>
          <w:color w:val="000000"/>
          <w:szCs w:val="24"/>
        </w:rPr>
      </w:pPr>
      <w:r>
        <w:rPr>
          <w:rFonts w:hint="default" w:ascii="Times New Roman" w:hAnsi="Times New Roman" w:cs="Times New Roman"/>
          <w:color w:val="000000"/>
          <w:szCs w:val="24"/>
        </w:rPr>
        <w:t>备注：申请人收到投标邀请书并向招标人确认是否继续参加投标时，适用于本格式。</w:t>
      </w:r>
    </w:p>
    <w:p w14:paraId="5733018D">
      <w:pPr>
        <w:rPr>
          <w:rFonts w:hint="default" w:ascii="Times New Roman" w:hAnsi="Times New Roman" w:cs="Times New Roman"/>
          <w:color w:val="000000"/>
        </w:rPr>
      </w:pPr>
      <w:r>
        <w:rPr>
          <w:rFonts w:hint="default" w:ascii="Times New Roman" w:hAnsi="Times New Roman" w:cs="Times New Roman"/>
          <w:color w:val="000000"/>
        </w:rPr>
        <w:br w:type="page"/>
      </w:r>
    </w:p>
    <w:p w14:paraId="59C95D23">
      <w:pPr>
        <w:pStyle w:val="3"/>
        <w:wordWrap w:val="0"/>
        <w:rPr>
          <w:rFonts w:hint="default" w:ascii="Times New Roman" w:hAnsi="Times New Roman" w:cs="Times New Roman"/>
          <w:color w:val="000000"/>
        </w:rPr>
      </w:pPr>
      <w:bookmarkStart w:id="115" w:name="_Toc25498"/>
      <w:bookmarkStart w:id="116" w:name="_Toc491075829"/>
      <w:r>
        <w:rPr>
          <w:rFonts w:hint="default" w:ascii="Times New Roman" w:hAnsi="Times New Roman" w:cs="Times New Roman"/>
          <w:color w:val="000000"/>
        </w:rPr>
        <w:t>附件二  招标文件澄清申请函</w:t>
      </w:r>
      <w:bookmarkEnd w:id="113"/>
      <w:bookmarkEnd w:id="115"/>
      <w:bookmarkEnd w:id="116"/>
    </w:p>
    <w:p w14:paraId="4F4333B5">
      <w:pPr>
        <w:wordWrap w:val="0"/>
        <w:rPr>
          <w:rFonts w:hint="default" w:ascii="Times New Roman" w:hAnsi="Times New Roman" w:cs="Times New Roman"/>
          <w:color w:val="000000"/>
        </w:rPr>
      </w:pPr>
    </w:p>
    <w:p w14:paraId="375EED7E">
      <w:pPr>
        <w:wordWrap w:val="0"/>
        <w:spacing w:before="120" w:beforeLines="50" w:after="120" w:afterLines="50"/>
        <w:jc w:val="center"/>
        <w:rPr>
          <w:rFonts w:hint="default" w:ascii="Times New Roman" w:hAnsi="Times New Roman" w:eastAsia="黑体" w:cs="Times New Roman"/>
          <w:color w:val="000000"/>
          <w:sz w:val="28"/>
          <w:szCs w:val="28"/>
        </w:rPr>
      </w:pPr>
    </w:p>
    <w:p w14:paraId="7697CF3C">
      <w:pPr>
        <w:wordWrap w:val="0"/>
        <w:jc w:val="center"/>
        <w:rPr>
          <w:rFonts w:hint="default" w:ascii="Times New Roman" w:hAnsi="Times New Roman" w:cs="Times New Roman"/>
          <w:b/>
          <w:color w:val="000000"/>
          <w:sz w:val="28"/>
        </w:rPr>
      </w:pPr>
      <w:r>
        <w:rPr>
          <w:rFonts w:hint="default" w:ascii="Times New Roman" w:hAnsi="Times New Roman" w:cs="Times New Roman"/>
          <w:b/>
          <w:color w:val="000000"/>
          <w:sz w:val="28"/>
        </w:rPr>
        <w:t>招标文件澄清申请函</w:t>
      </w:r>
    </w:p>
    <w:p w14:paraId="15A4A3E5">
      <w:pPr>
        <w:wordWrap w:val="0"/>
        <w:rPr>
          <w:rFonts w:hint="default" w:ascii="Times New Roman" w:hAnsi="Times New Roman" w:cs="Times New Roman"/>
          <w:color w:val="000000"/>
        </w:rPr>
      </w:pPr>
    </w:p>
    <w:p w14:paraId="45B00E06">
      <w:pPr>
        <w:wordWrap w:val="0"/>
        <w:ind w:firstLine="6195" w:firstLineChars="2950"/>
        <w:rPr>
          <w:rFonts w:hint="default" w:ascii="Times New Roman" w:hAnsi="Times New Roman" w:cs="Times New Roman"/>
          <w:color w:val="000000"/>
          <w:szCs w:val="21"/>
        </w:rPr>
      </w:pPr>
      <w:r>
        <w:rPr>
          <w:rFonts w:hint="default" w:ascii="Times New Roman" w:hAnsi="Times New Roman" w:cs="Times New Roman"/>
          <w:color w:val="000000"/>
          <w:szCs w:val="21"/>
        </w:rPr>
        <w:t>编号：</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 xml:space="preserve"> </w:t>
      </w:r>
    </w:p>
    <w:p w14:paraId="69265086">
      <w:pPr>
        <w:wordWrap w:val="0"/>
        <w:spacing w:line="560" w:lineRule="exact"/>
        <w:ind w:firstLine="420" w:firstLineChars="200"/>
        <w:rPr>
          <w:rFonts w:hint="default" w:ascii="Times New Roman" w:hAnsi="Times New Roman" w:cs="Times New Roman"/>
          <w:color w:val="000000"/>
          <w:szCs w:val="21"/>
          <w:u w:val="single"/>
        </w:rPr>
      </w:pPr>
    </w:p>
    <w:p w14:paraId="58A03AEC">
      <w:pPr>
        <w:wordWrap w:val="0"/>
        <w:spacing w:line="560" w:lineRule="exact"/>
        <w:rPr>
          <w:rFonts w:hint="default" w:ascii="Times New Roman" w:hAnsi="Times New Roman" w:cs="Times New Roman"/>
          <w:color w:val="000000"/>
          <w:szCs w:val="21"/>
        </w:rPr>
      </w:pP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（招标人名称）：</w:t>
      </w:r>
    </w:p>
    <w:p w14:paraId="09E8A35C">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经过仔细阅读</w:t>
      </w:r>
      <w:r>
        <w:rPr>
          <w:rFonts w:hint="default" w:ascii="Times New Roman" w:hAnsi="Times New Roman" w:cs="Times New Roman"/>
          <w:bCs/>
          <w:color w:val="000000"/>
          <w:szCs w:val="21"/>
          <w:u w:val="single"/>
        </w:rPr>
        <w:t xml:space="preserve">             </w:t>
      </w:r>
      <w:r>
        <w:rPr>
          <w:rFonts w:hint="default" w:ascii="Times New Roman" w:hAnsi="Times New Roman" w:cs="Times New Roman"/>
          <w:bCs/>
          <w:color w:val="000000"/>
          <w:szCs w:val="21"/>
        </w:rPr>
        <w:t>（项目名称）</w:t>
      </w:r>
      <w:r>
        <w:rPr>
          <w:rFonts w:hint="default" w:ascii="Times New Roman" w:hAnsi="Times New Roman" w:cs="Times New Roman"/>
          <w:color w:val="000000"/>
          <w:kern w:val="0"/>
          <w:szCs w:val="21"/>
          <w:u w:val="single"/>
        </w:rPr>
        <w:t xml:space="preserve">              </w:t>
      </w:r>
      <w:r>
        <w:rPr>
          <w:rFonts w:hint="default" w:ascii="Times New Roman" w:hAnsi="Times New Roman" w:cs="Times New Roman"/>
          <w:color w:val="000000"/>
        </w:rPr>
        <w:t>（招标编号）</w:t>
      </w:r>
      <w:r>
        <w:rPr>
          <w:rFonts w:hint="default" w:ascii="Times New Roman" w:hAnsi="Times New Roman" w:cs="Times New Roman"/>
          <w:color w:val="000000"/>
          <w:kern w:val="0"/>
          <w:u w:val="single"/>
        </w:rPr>
        <w:t xml:space="preserve">    </w:t>
      </w:r>
      <w:r>
        <w:rPr>
          <w:rFonts w:hint="default" w:ascii="Times New Roman" w:hAnsi="Times New Roman" w:cs="Times New Roman"/>
          <w:color w:val="000000"/>
        </w:rPr>
        <w:t>（</w:t>
      </w:r>
      <w:r>
        <w:rPr>
          <w:rFonts w:hint="default" w:ascii="Times New Roman" w:hAnsi="Times New Roman" w:cs="Times New Roman"/>
          <w:color w:val="000000"/>
          <w:szCs w:val="24"/>
        </w:rPr>
        <w:t>标段/包名称</w:t>
      </w:r>
      <w:r>
        <w:rPr>
          <w:rFonts w:hint="default" w:ascii="Times New Roman" w:hAnsi="Times New Roman" w:cs="Times New Roman"/>
          <w:color w:val="000000"/>
        </w:rPr>
        <w:t>）</w:t>
      </w:r>
      <w:r>
        <w:rPr>
          <w:rFonts w:hint="default" w:ascii="Times New Roman" w:hAnsi="Times New Roman" w:cs="Times New Roman"/>
          <w:color w:val="000000"/>
          <w:szCs w:val="21"/>
        </w:rPr>
        <w:t>招标文件后，我方申请对以下问题予以澄清：</w:t>
      </w:r>
    </w:p>
    <w:p w14:paraId="6E5BDE34">
      <w:pPr>
        <w:wordWrap w:val="0"/>
        <w:spacing w:line="560" w:lineRule="exact"/>
        <w:ind w:firstLine="105" w:firstLineChars="50"/>
        <w:rPr>
          <w:rFonts w:hint="default" w:ascii="Times New Roman" w:hAnsi="Times New Roman" w:cs="Times New Roman"/>
          <w:color w:val="000000"/>
          <w:szCs w:val="21"/>
        </w:rPr>
      </w:pPr>
      <w:bookmarkStart w:id="117" w:name="_Hlt269064826"/>
      <w:r>
        <w:rPr>
          <w:rFonts w:hint="default" w:ascii="Times New Roman" w:hAnsi="Times New Roman" w:cs="Times New Roman"/>
          <w:color w:val="000000"/>
          <w:szCs w:val="21"/>
        </w:rPr>
        <w:t>　1.……</w:t>
      </w:r>
    </w:p>
    <w:p w14:paraId="10000667">
      <w:pPr>
        <w:wordWrap w:val="0"/>
        <w:spacing w:line="560" w:lineRule="exact"/>
        <w:ind w:firstLine="315" w:firstLineChars="150"/>
        <w:rPr>
          <w:rFonts w:hint="default" w:ascii="Times New Roman" w:hAnsi="Times New Roman" w:cs="Times New Roman"/>
          <w:color w:val="000000"/>
          <w:szCs w:val="21"/>
        </w:rPr>
      </w:pPr>
      <w:r>
        <w:rPr>
          <w:rFonts w:hint="default" w:ascii="Times New Roman" w:hAnsi="Times New Roman" w:cs="Times New Roman"/>
          <w:color w:val="000000"/>
          <w:szCs w:val="21"/>
        </w:rPr>
        <w:t>2.……</w:t>
      </w:r>
    </w:p>
    <w:p w14:paraId="062A2E79">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w:t>
      </w:r>
    </w:p>
    <w:p w14:paraId="2953F811">
      <w:pPr>
        <w:wordWrap w:val="0"/>
        <w:spacing w:line="560" w:lineRule="exact"/>
        <w:ind w:firstLine="420" w:firstLineChars="200"/>
        <w:rPr>
          <w:rFonts w:hint="default" w:ascii="Times New Roman" w:hAnsi="Times New Roman" w:cs="Times New Roman"/>
          <w:color w:val="000000"/>
          <w:szCs w:val="21"/>
        </w:rPr>
      </w:pPr>
    </w:p>
    <w:bookmarkEnd w:id="117"/>
    <w:p w14:paraId="4901FE32">
      <w:pPr>
        <w:wordWrap w:val="0"/>
        <w:spacing w:line="560" w:lineRule="exact"/>
        <w:ind w:firstLine="420" w:firstLineChars="200"/>
        <w:rPr>
          <w:rFonts w:hint="default" w:ascii="Times New Roman" w:hAnsi="Times New Roman" w:cs="Times New Roman"/>
          <w:color w:val="000000"/>
          <w:szCs w:val="21"/>
        </w:rPr>
      </w:pPr>
    </w:p>
    <w:p w14:paraId="332AED22">
      <w:pPr>
        <w:wordWrap w:val="0"/>
        <w:jc w:val="right"/>
        <w:rPr>
          <w:rFonts w:hint="default" w:ascii="Times New Roman" w:hAnsi="Times New Roman" w:cs="Times New Roman"/>
          <w:color w:val="000000"/>
        </w:rPr>
      </w:pPr>
      <w:r>
        <w:rPr>
          <w:rFonts w:hint="default" w:ascii="Times New Roman" w:hAnsi="Times New Roman" w:cs="Times New Roman"/>
          <w:color w:val="000000"/>
          <w:szCs w:val="21"/>
        </w:rPr>
        <w:t xml:space="preserve">　　　　　　　　　　　　　　　  </w:t>
      </w:r>
      <w:r>
        <w:rPr>
          <w:rFonts w:hint="default" w:ascii="Times New Roman" w:hAnsi="Times New Roman" w:cs="Times New Roman"/>
          <w:color w:val="000000"/>
        </w:rPr>
        <w:t>投标人：</w:t>
      </w:r>
      <w:r>
        <w:rPr>
          <w:rFonts w:hint="default" w:ascii="Times New Roman" w:hAnsi="Times New Roman" w:cs="Times New Roman"/>
          <w:color w:val="000000"/>
          <w:u w:val="single"/>
        </w:rPr>
        <w:t xml:space="preserve">                </w:t>
      </w:r>
      <w:r>
        <w:rPr>
          <w:rFonts w:hint="default" w:ascii="Times New Roman" w:hAnsi="Times New Roman" w:cs="Times New Roman"/>
          <w:color w:val="000000"/>
        </w:rPr>
        <w:t xml:space="preserve"> （盖单位章）</w:t>
      </w:r>
    </w:p>
    <w:p w14:paraId="64FC534D">
      <w:pPr>
        <w:wordWrap w:val="0"/>
        <w:jc w:val="right"/>
        <w:rPr>
          <w:rFonts w:hint="default" w:ascii="Times New Roman" w:hAnsi="Times New Roman" w:eastAsia="黑体" w:cs="Times New Roman"/>
          <w:color w:val="000000"/>
        </w:rPr>
      </w:pPr>
    </w:p>
    <w:p w14:paraId="30B19ADB">
      <w:pPr>
        <w:pStyle w:val="30"/>
        <w:wordWrap w:val="0"/>
        <w:spacing w:before="120" w:beforeLines="50" w:after="120" w:afterLines="50"/>
        <w:outlineLvl w:val="9"/>
        <w:rPr>
          <w:rFonts w:hint="default" w:ascii="Times New Roman" w:hAnsi="Times New Roman" w:cs="Times New Roman"/>
          <w:b w:val="0"/>
          <w:sz w:val="21"/>
          <w:szCs w:val="21"/>
        </w:rPr>
      </w:pPr>
      <w:r>
        <w:rPr>
          <w:rFonts w:hint="default" w:ascii="Times New Roman" w:hAnsi="Times New Roman" w:eastAsia="黑体" w:cs="Times New Roman"/>
        </w:rPr>
        <w:t xml:space="preserve">                                               </w:t>
      </w:r>
      <w:r>
        <w:rPr>
          <w:rFonts w:hint="default" w:ascii="Times New Roman" w:hAnsi="Times New Roman" w:cs="Times New Roman"/>
          <w:b w:val="0"/>
          <w:sz w:val="21"/>
          <w:szCs w:val="21"/>
        </w:rPr>
        <w:t xml:space="preserve">  </w:t>
      </w:r>
      <w:r>
        <w:rPr>
          <w:rFonts w:hint="default" w:ascii="Times New Roman" w:hAnsi="Times New Roman" w:cs="Times New Roman"/>
          <w:b w:val="0"/>
          <w:sz w:val="21"/>
          <w:szCs w:val="21"/>
          <w:u w:val="single"/>
        </w:rPr>
        <w:t xml:space="preserve">         </w:t>
      </w:r>
      <w:bookmarkStart w:id="118" w:name="_Toc28365"/>
      <w:bookmarkStart w:id="119" w:name="_Toc13595"/>
      <w:bookmarkStart w:id="120" w:name="_Toc461122851"/>
      <w:r>
        <w:rPr>
          <w:rFonts w:hint="default" w:ascii="Times New Roman" w:hAnsi="Times New Roman" w:cs="Times New Roman"/>
          <w:b w:val="0"/>
          <w:sz w:val="21"/>
          <w:szCs w:val="21"/>
        </w:rPr>
        <w:t>年</w:t>
      </w:r>
      <w:r>
        <w:rPr>
          <w:rFonts w:hint="default" w:ascii="Times New Roman" w:hAnsi="Times New Roman" w:cs="Times New Roman"/>
          <w:b w:val="0"/>
          <w:sz w:val="21"/>
          <w:szCs w:val="21"/>
          <w:u w:val="single"/>
        </w:rPr>
        <w:t xml:space="preserve">    </w:t>
      </w:r>
      <w:r>
        <w:rPr>
          <w:rFonts w:hint="default" w:ascii="Times New Roman" w:hAnsi="Times New Roman" w:cs="Times New Roman"/>
          <w:b w:val="0"/>
          <w:sz w:val="21"/>
          <w:szCs w:val="21"/>
        </w:rPr>
        <w:t>月</w:t>
      </w:r>
      <w:r>
        <w:rPr>
          <w:rFonts w:hint="default" w:ascii="Times New Roman" w:hAnsi="Times New Roman" w:cs="Times New Roman"/>
          <w:b w:val="0"/>
          <w:sz w:val="21"/>
          <w:szCs w:val="21"/>
          <w:u w:val="single"/>
        </w:rPr>
        <w:t xml:space="preserve">    </w:t>
      </w:r>
      <w:r>
        <w:rPr>
          <w:rFonts w:hint="default" w:ascii="Times New Roman" w:hAnsi="Times New Roman" w:cs="Times New Roman"/>
          <w:b w:val="0"/>
          <w:sz w:val="21"/>
          <w:szCs w:val="21"/>
        </w:rPr>
        <w:t>日</w:t>
      </w:r>
      <w:bookmarkEnd w:id="118"/>
      <w:bookmarkEnd w:id="119"/>
      <w:bookmarkEnd w:id="120"/>
      <w:r>
        <w:rPr>
          <w:rFonts w:hint="default" w:ascii="Times New Roman" w:hAnsi="Times New Roman" w:cs="Times New Roman"/>
          <w:b w:val="0"/>
          <w:sz w:val="21"/>
          <w:szCs w:val="21"/>
        </w:rPr>
        <w:t xml:space="preserve">                     </w:t>
      </w:r>
    </w:p>
    <w:p w14:paraId="3D6EB59E">
      <w:pPr>
        <w:widowControl/>
        <w:jc w:val="left"/>
        <w:rPr>
          <w:rFonts w:hint="default" w:ascii="Times New Roman" w:hAnsi="Times New Roman" w:cs="Times New Roman"/>
          <w:color w:val="000000"/>
          <w:kern w:val="20"/>
          <w:szCs w:val="28"/>
        </w:rPr>
        <w:sectPr>
          <w:footerReference r:id="rId4" w:type="default"/>
          <w:pgSz w:w="11906" w:h="16838"/>
          <w:pgMar w:top="1440" w:right="1797" w:bottom="1440" w:left="1797" w:header="851" w:footer="992" w:gutter="0"/>
          <w:cols w:space="720" w:num="1"/>
        </w:sectPr>
      </w:pPr>
    </w:p>
    <w:p w14:paraId="600B2308">
      <w:pPr>
        <w:pStyle w:val="3"/>
        <w:wordWrap w:val="0"/>
        <w:rPr>
          <w:rFonts w:hint="default" w:ascii="Times New Roman" w:hAnsi="Times New Roman" w:cs="Times New Roman"/>
          <w:color w:val="000000"/>
          <w:szCs w:val="32"/>
        </w:rPr>
      </w:pPr>
      <w:bookmarkStart w:id="121" w:name="_Toc468288655"/>
      <w:bookmarkStart w:id="122" w:name="_Toc21336"/>
      <w:bookmarkStart w:id="123" w:name="_Toc491075830"/>
      <w:bookmarkStart w:id="124" w:name="_Toc218828568"/>
      <w:bookmarkStart w:id="125" w:name="_Toc225409832"/>
      <w:bookmarkStart w:id="126" w:name="_Toc210327518"/>
      <w:bookmarkStart w:id="127" w:name="_Toc225412052"/>
      <w:bookmarkStart w:id="128" w:name="_Toc162622246"/>
      <w:bookmarkStart w:id="129" w:name="_Toc225415939"/>
      <w:bookmarkStart w:id="130" w:name="_Toc225409567"/>
      <w:bookmarkStart w:id="131" w:name="_Toc225409716"/>
      <w:bookmarkStart w:id="132" w:name="_Toc244342952"/>
      <w:bookmarkStart w:id="133" w:name="_Toc225396599"/>
      <w:bookmarkStart w:id="134" w:name="_Toc225411456"/>
      <w:bookmarkStart w:id="135" w:name="_Toc225410680"/>
      <w:bookmarkStart w:id="136" w:name="_Toc162619011"/>
      <w:bookmarkStart w:id="137" w:name="_Toc225410048"/>
      <w:bookmarkStart w:id="138" w:name="_Toc210355380"/>
      <w:bookmarkStart w:id="139" w:name="_Toc225415537"/>
      <w:bookmarkStart w:id="140" w:name="_Toc225411534"/>
      <w:bookmarkStart w:id="141" w:name="_Toc210364704"/>
      <w:bookmarkStart w:id="142" w:name="_Toc168286982"/>
      <w:bookmarkStart w:id="143" w:name="_Toc225412254"/>
      <w:bookmarkStart w:id="144" w:name="_Toc225415738"/>
      <w:r>
        <w:rPr>
          <w:rFonts w:hint="default" w:ascii="Times New Roman" w:hAnsi="Times New Roman" w:cs="Times New Roman"/>
          <w:color w:val="000000"/>
        </w:rPr>
        <w:t>附件三 招标文件文件澄清通知</w:t>
      </w:r>
      <w:bookmarkEnd w:id="121"/>
      <w:bookmarkEnd w:id="122"/>
      <w:bookmarkEnd w:id="123"/>
    </w:p>
    <w:p w14:paraId="6BFF989A">
      <w:pPr>
        <w:wordWrap w:val="0"/>
        <w:spacing w:line="560" w:lineRule="exact"/>
        <w:ind w:right="840" w:rightChars="400"/>
        <w:rPr>
          <w:rFonts w:hint="default" w:ascii="Times New Roman" w:hAnsi="Times New Roman" w:eastAsia="黑体" w:cs="Times New Roman"/>
          <w:color w:val="000000"/>
          <w:sz w:val="24"/>
        </w:rPr>
      </w:pPr>
    </w:p>
    <w:p w14:paraId="010C8DD6">
      <w:pPr>
        <w:wordWrap w:val="0"/>
        <w:rPr>
          <w:rFonts w:hint="default" w:ascii="Times New Roman" w:hAnsi="Times New Roman" w:cs="Times New Roman"/>
          <w:color w:val="000000"/>
        </w:rPr>
      </w:pPr>
    </w:p>
    <w:p w14:paraId="1A7DAC00">
      <w:pPr>
        <w:wordWrap w:val="0"/>
        <w:jc w:val="center"/>
        <w:rPr>
          <w:rFonts w:hint="default" w:ascii="Times New Roman" w:hAnsi="Times New Roman" w:cs="Times New Roman"/>
          <w:b/>
          <w:color w:val="000000"/>
          <w:sz w:val="28"/>
        </w:rPr>
      </w:pPr>
      <w:r>
        <w:rPr>
          <w:rFonts w:hint="default" w:ascii="Times New Roman" w:hAnsi="Times New Roman" w:cs="Times New Roman"/>
          <w:b/>
          <w:color w:val="000000"/>
          <w:sz w:val="28"/>
        </w:rPr>
        <w:t>招标文件澄清通知</w:t>
      </w:r>
    </w:p>
    <w:p w14:paraId="6090F57F">
      <w:pPr>
        <w:wordWrap w:val="0"/>
        <w:rPr>
          <w:rFonts w:hint="default" w:ascii="Times New Roman" w:hAnsi="Times New Roman" w:cs="Times New Roman"/>
          <w:color w:val="000000"/>
        </w:rPr>
      </w:pPr>
    </w:p>
    <w:p w14:paraId="5F5E61A2">
      <w:pPr>
        <w:wordWrap w:val="0"/>
        <w:ind w:firstLine="5985" w:firstLineChars="2850"/>
        <w:rPr>
          <w:rFonts w:hint="default" w:ascii="Times New Roman" w:hAnsi="Times New Roman" w:cs="Times New Roman"/>
          <w:color w:val="000000"/>
        </w:rPr>
      </w:pPr>
      <w:r>
        <w:rPr>
          <w:rFonts w:hint="default" w:ascii="Times New Roman" w:hAnsi="Times New Roman" w:cs="Times New Roman"/>
          <w:color w:val="000000"/>
        </w:rPr>
        <w:t>编号：</w:t>
      </w:r>
      <w:r>
        <w:rPr>
          <w:rFonts w:hint="default" w:ascii="Times New Roman" w:hAnsi="Times New Roman" w:cs="Times New Roman"/>
          <w:color w:val="000000"/>
          <w:u w:val="single"/>
        </w:rPr>
        <w:t>　        　</w:t>
      </w:r>
    </w:p>
    <w:p w14:paraId="45038241">
      <w:pPr>
        <w:wordWrap w:val="0"/>
        <w:rPr>
          <w:rFonts w:hint="default" w:ascii="Times New Roman" w:hAnsi="Times New Roman" w:cs="Times New Roman"/>
          <w:color w:val="000000"/>
        </w:rPr>
      </w:pPr>
    </w:p>
    <w:p w14:paraId="15266BC6">
      <w:pPr>
        <w:wordWrap w:val="0"/>
        <w:spacing w:line="560" w:lineRule="exact"/>
        <w:rPr>
          <w:rFonts w:hint="default" w:ascii="Times New Roman" w:hAnsi="Times New Roman" w:cs="Times New Roman"/>
          <w:color w:val="000000"/>
          <w:szCs w:val="21"/>
        </w:rPr>
      </w:pPr>
      <w:r>
        <w:rPr>
          <w:rFonts w:hint="default" w:ascii="Times New Roman" w:hAnsi="Times New Roman" w:cs="Times New Roman"/>
          <w:color w:val="000000"/>
        </w:rPr>
        <w:t>各</w:t>
      </w:r>
      <w:r>
        <w:rPr>
          <w:rFonts w:hint="default" w:ascii="Times New Roman" w:hAnsi="Times New Roman" w:cs="Times New Roman"/>
          <w:color w:val="000000"/>
          <w:szCs w:val="21"/>
        </w:rPr>
        <w:t>投标人：</w:t>
      </w:r>
    </w:p>
    <w:p w14:paraId="2D6B8715">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经研究，对</w:t>
      </w:r>
      <w:r>
        <w:rPr>
          <w:rFonts w:hint="default" w:ascii="Times New Roman" w:hAnsi="Times New Roman" w:cs="Times New Roman"/>
          <w:bCs/>
          <w:color w:val="000000"/>
          <w:szCs w:val="21"/>
          <w:u w:val="single"/>
        </w:rPr>
        <w:t xml:space="preserve">             </w:t>
      </w:r>
      <w:r>
        <w:rPr>
          <w:rFonts w:hint="default" w:ascii="Times New Roman" w:hAnsi="Times New Roman" w:cs="Times New Roman"/>
          <w:bCs/>
          <w:color w:val="000000"/>
          <w:szCs w:val="21"/>
        </w:rPr>
        <w:t>（项目名称）</w:t>
      </w:r>
      <w:r>
        <w:rPr>
          <w:rFonts w:hint="default" w:ascii="Times New Roman" w:hAnsi="Times New Roman" w:cs="Times New Roman"/>
          <w:color w:val="000000"/>
          <w:kern w:val="0"/>
          <w:szCs w:val="21"/>
          <w:u w:val="single"/>
        </w:rPr>
        <w:t xml:space="preserve">              </w:t>
      </w:r>
      <w:r>
        <w:rPr>
          <w:rFonts w:hint="default" w:ascii="Times New Roman" w:hAnsi="Times New Roman" w:cs="Times New Roman"/>
          <w:color w:val="000000"/>
        </w:rPr>
        <w:t>（招标编号）</w:t>
      </w:r>
      <w:r>
        <w:rPr>
          <w:rFonts w:hint="default" w:ascii="Times New Roman" w:hAnsi="Times New Roman" w:cs="Times New Roman"/>
          <w:color w:val="000000"/>
          <w:kern w:val="0"/>
          <w:u w:val="single"/>
        </w:rPr>
        <w:t xml:space="preserve">    </w:t>
      </w:r>
      <w:r>
        <w:rPr>
          <w:rFonts w:hint="default" w:ascii="Times New Roman" w:hAnsi="Times New Roman" w:cs="Times New Roman"/>
          <w:color w:val="000000"/>
        </w:rPr>
        <w:t>（</w:t>
      </w:r>
      <w:r>
        <w:rPr>
          <w:rFonts w:hint="default" w:ascii="Times New Roman" w:hAnsi="Times New Roman" w:cs="Times New Roman"/>
          <w:color w:val="000000"/>
          <w:szCs w:val="24"/>
        </w:rPr>
        <w:t>标段/包名称</w:t>
      </w:r>
      <w:r>
        <w:rPr>
          <w:rFonts w:hint="default" w:ascii="Times New Roman" w:hAnsi="Times New Roman" w:cs="Times New Roman"/>
          <w:color w:val="000000"/>
        </w:rPr>
        <w:t>）</w:t>
      </w:r>
      <w:r>
        <w:rPr>
          <w:rFonts w:hint="default" w:ascii="Times New Roman" w:hAnsi="Times New Roman" w:cs="Times New Roman"/>
          <w:color w:val="000000"/>
          <w:szCs w:val="21"/>
        </w:rPr>
        <w:t>招标文件，作如下澄清：</w:t>
      </w:r>
    </w:p>
    <w:p w14:paraId="45D6714A">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1.……</w:t>
      </w:r>
    </w:p>
    <w:p w14:paraId="7FE47C26">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2.……</w:t>
      </w:r>
    </w:p>
    <w:p w14:paraId="487E479F">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w:t>
      </w:r>
    </w:p>
    <w:p w14:paraId="622A679E">
      <w:pPr>
        <w:wordWrap w:val="0"/>
        <w:spacing w:line="560" w:lineRule="exact"/>
        <w:rPr>
          <w:rFonts w:hint="default" w:ascii="Times New Roman" w:hAnsi="Times New Roman" w:cs="Times New Roman"/>
          <w:color w:val="000000"/>
          <w:szCs w:val="21"/>
        </w:rPr>
      </w:pPr>
    </w:p>
    <w:p w14:paraId="1EEFA1F8">
      <w:pPr>
        <w:wordWrap w:val="0"/>
        <w:jc w:val="right"/>
        <w:rPr>
          <w:rFonts w:hint="default" w:ascii="Times New Roman" w:hAnsi="Times New Roman" w:cs="Times New Roman"/>
          <w:color w:val="000000"/>
        </w:rPr>
      </w:pPr>
      <w:r>
        <w:rPr>
          <w:rFonts w:hint="default" w:ascii="Times New Roman" w:hAnsi="Times New Roman" w:cs="Times New Roman"/>
          <w:color w:val="000000"/>
          <w:szCs w:val="21"/>
        </w:rPr>
        <w:t>　　　　　　　　　　　　　　　</w:t>
      </w:r>
      <w:r>
        <w:rPr>
          <w:rFonts w:hint="default" w:ascii="Times New Roman" w:hAnsi="Times New Roman" w:cs="Times New Roman"/>
          <w:color w:val="000000"/>
        </w:rPr>
        <w:t>招标人：</w:t>
      </w:r>
      <w:r>
        <w:rPr>
          <w:rFonts w:hint="default" w:ascii="Times New Roman" w:hAnsi="Times New Roman" w:cs="Times New Roman"/>
          <w:color w:val="000000"/>
          <w:u w:val="single"/>
        </w:rPr>
        <w:t xml:space="preserve">                  </w:t>
      </w:r>
      <w:r>
        <w:rPr>
          <w:rFonts w:hint="default" w:ascii="Times New Roman" w:hAnsi="Times New Roman" w:cs="Times New Roman"/>
          <w:color w:val="000000"/>
        </w:rPr>
        <w:t xml:space="preserve"> （盖单位章）</w:t>
      </w:r>
    </w:p>
    <w:p w14:paraId="466EF7FC">
      <w:pPr>
        <w:wordWrap w:val="0"/>
        <w:spacing w:line="560" w:lineRule="exact"/>
        <w:ind w:firstLine="420" w:firstLineChars="200"/>
        <w:rPr>
          <w:rFonts w:hint="default" w:ascii="Times New Roman" w:hAnsi="Times New Roman" w:eastAsia="黑体" w:cs="Times New Roman"/>
          <w:color w:val="000000"/>
        </w:rPr>
      </w:pPr>
    </w:p>
    <w:p w14:paraId="56109C84">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eastAsia="黑体" w:cs="Times New Roman"/>
          <w:color w:val="000000"/>
        </w:rPr>
        <w:t xml:space="preserve">                                                    </w:t>
      </w:r>
      <w:r>
        <w:rPr>
          <w:rFonts w:hint="default" w:ascii="Times New Roman" w:hAnsi="Times New Roman" w:eastAsia="黑体" w:cs="Times New Roman"/>
          <w:color w:val="000000"/>
          <w:u w:val="single"/>
        </w:rPr>
        <w:t xml:space="preserve">         </w:t>
      </w:r>
      <w:r>
        <w:rPr>
          <w:rFonts w:hint="default" w:ascii="Times New Roman" w:hAnsi="Times New Roman" w:eastAsia="黑体" w:cs="Times New Roman"/>
          <w:color w:val="000000"/>
        </w:rPr>
        <w:t>年</w:t>
      </w:r>
      <w:r>
        <w:rPr>
          <w:rFonts w:hint="default" w:ascii="Times New Roman" w:hAnsi="Times New Roman" w:eastAsia="黑体" w:cs="Times New Roman"/>
          <w:color w:val="000000"/>
          <w:u w:val="single"/>
        </w:rPr>
        <w:t xml:space="preserve">    </w:t>
      </w:r>
      <w:r>
        <w:rPr>
          <w:rFonts w:hint="default" w:ascii="Times New Roman" w:hAnsi="Times New Roman" w:eastAsia="黑体" w:cs="Times New Roman"/>
          <w:color w:val="000000"/>
        </w:rPr>
        <w:t>月</w:t>
      </w:r>
      <w:r>
        <w:rPr>
          <w:rFonts w:hint="default" w:ascii="Times New Roman" w:hAnsi="Times New Roman" w:eastAsia="黑体" w:cs="Times New Roman"/>
          <w:color w:val="000000"/>
          <w:u w:val="single"/>
        </w:rPr>
        <w:t xml:space="preserve">    </w:t>
      </w:r>
      <w:r>
        <w:rPr>
          <w:rFonts w:hint="default" w:ascii="Times New Roman" w:hAnsi="Times New Roman" w:eastAsia="黑体" w:cs="Times New Roman"/>
          <w:color w:val="000000"/>
        </w:rPr>
        <w:t>日</w:t>
      </w:r>
    </w:p>
    <w:p w14:paraId="29A01D97">
      <w:pPr>
        <w:wordWrap w:val="0"/>
        <w:spacing w:line="560" w:lineRule="exact"/>
        <w:rPr>
          <w:rFonts w:hint="default" w:ascii="Times New Roman" w:hAnsi="Times New Roman" w:cs="Times New Roman"/>
          <w:color w:val="000000"/>
          <w:szCs w:val="21"/>
        </w:rPr>
      </w:pPr>
      <w:r>
        <w:rPr>
          <w:rFonts w:hint="default" w:ascii="Times New Roman" w:hAnsi="Times New Roman" w:cs="Times New Roman"/>
          <w:color w:val="000000"/>
          <w:szCs w:val="21"/>
        </w:rPr>
        <w:t>备注：招标人对招标文件有关问题澄清时，适用本格式。招标人可根据需要将附件三与附件四内容合并发出。</w:t>
      </w:r>
    </w:p>
    <w:p w14:paraId="33B17CAE">
      <w:pPr>
        <w:rPr>
          <w:rFonts w:hint="default" w:ascii="Times New Roman" w:hAnsi="Times New Roman" w:cs="Times New Roman"/>
          <w:color w:val="000000"/>
        </w:rPr>
      </w:pPr>
      <w:r>
        <w:rPr>
          <w:rFonts w:hint="default" w:ascii="Times New Roman" w:hAnsi="Times New Roman" w:cs="Times New Roman"/>
          <w:color w:val="000000"/>
        </w:rPr>
        <w:br w:type="page"/>
      </w:r>
    </w:p>
    <w:p w14:paraId="5B069216">
      <w:pPr>
        <w:pStyle w:val="3"/>
        <w:wordWrap w:val="0"/>
        <w:rPr>
          <w:rFonts w:hint="default" w:ascii="Times New Roman" w:hAnsi="Times New Roman" w:cs="Times New Roman"/>
          <w:color w:val="000000"/>
        </w:rPr>
      </w:pPr>
      <w:bookmarkStart w:id="145" w:name="_Toc23828"/>
      <w:bookmarkStart w:id="146" w:name="_Toc402465040"/>
      <w:bookmarkStart w:id="147" w:name="_Toc468288656"/>
      <w:bookmarkStart w:id="148" w:name="_Toc491075831"/>
      <w:bookmarkStart w:id="149" w:name="_Toc387647222"/>
      <w:r>
        <w:rPr>
          <w:rFonts w:hint="default" w:ascii="Times New Roman" w:hAnsi="Times New Roman" w:cs="Times New Roman"/>
          <w:color w:val="000000"/>
        </w:rPr>
        <w:t>附件四  招标文件文件修改通知</w:t>
      </w:r>
      <w:bookmarkEnd w:id="145"/>
      <w:bookmarkEnd w:id="146"/>
      <w:bookmarkEnd w:id="147"/>
      <w:bookmarkEnd w:id="148"/>
      <w:bookmarkEnd w:id="149"/>
    </w:p>
    <w:p w14:paraId="63F34273">
      <w:pPr>
        <w:wordWrap w:val="0"/>
        <w:spacing w:line="560" w:lineRule="exact"/>
        <w:ind w:right="840" w:rightChars="400"/>
        <w:rPr>
          <w:rFonts w:hint="default" w:ascii="Times New Roman" w:hAnsi="Times New Roman" w:eastAsia="黑体" w:cs="Times New Roman"/>
          <w:color w:val="000000"/>
          <w:sz w:val="24"/>
        </w:rPr>
      </w:pPr>
    </w:p>
    <w:p w14:paraId="6A3B9009">
      <w:pPr>
        <w:wordWrap w:val="0"/>
        <w:rPr>
          <w:rFonts w:hint="default" w:ascii="Times New Roman" w:hAnsi="Times New Roman" w:cs="Times New Roman"/>
          <w:color w:val="000000"/>
        </w:rPr>
      </w:pPr>
    </w:p>
    <w:p w14:paraId="403D5201">
      <w:pPr>
        <w:wordWrap w:val="0"/>
        <w:jc w:val="center"/>
        <w:rPr>
          <w:rFonts w:hint="default" w:ascii="Times New Roman" w:hAnsi="Times New Roman" w:cs="Times New Roman"/>
          <w:b/>
          <w:color w:val="000000"/>
          <w:sz w:val="28"/>
        </w:rPr>
      </w:pPr>
      <w:r>
        <w:rPr>
          <w:rFonts w:hint="default" w:ascii="Times New Roman" w:hAnsi="Times New Roman" w:cs="Times New Roman"/>
          <w:b/>
          <w:color w:val="000000"/>
          <w:sz w:val="28"/>
        </w:rPr>
        <w:t>招标文件修改通知</w:t>
      </w:r>
    </w:p>
    <w:p w14:paraId="551A8618">
      <w:pPr>
        <w:wordWrap w:val="0"/>
        <w:rPr>
          <w:rFonts w:hint="default" w:ascii="Times New Roman" w:hAnsi="Times New Roman" w:cs="Times New Roman"/>
          <w:color w:val="000000"/>
        </w:rPr>
      </w:pPr>
    </w:p>
    <w:p w14:paraId="123BE366">
      <w:pPr>
        <w:wordWrap w:val="0"/>
        <w:ind w:left="5985" w:leftChars="2850"/>
        <w:rPr>
          <w:rFonts w:hint="default" w:ascii="Times New Roman" w:hAnsi="Times New Roman" w:cs="Times New Roman"/>
          <w:color w:val="000000"/>
        </w:rPr>
      </w:pPr>
      <w:r>
        <w:rPr>
          <w:rFonts w:hint="default" w:ascii="Times New Roman" w:hAnsi="Times New Roman" w:cs="Times New Roman"/>
          <w:color w:val="000000"/>
        </w:rPr>
        <w:t xml:space="preserve">                                   编号：</w:t>
      </w:r>
      <w:r>
        <w:rPr>
          <w:rFonts w:hint="default" w:ascii="Times New Roman" w:hAnsi="Times New Roman" w:cs="Times New Roman"/>
          <w:color w:val="000000"/>
          <w:u w:val="single"/>
        </w:rPr>
        <w:t>　        　</w:t>
      </w:r>
    </w:p>
    <w:p w14:paraId="2C903225">
      <w:pPr>
        <w:wordWrap w:val="0"/>
        <w:rPr>
          <w:rFonts w:hint="default" w:ascii="Times New Roman" w:hAnsi="Times New Roman" w:cs="Times New Roman"/>
          <w:color w:val="000000"/>
        </w:rPr>
      </w:pPr>
    </w:p>
    <w:p w14:paraId="2FD3B1A6">
      <w:pPr>
        <w:wordWrap w:val="0"/>
        <w:spacing w:line="560" w:lineRule="exact"/>
        <w:rPr>
          <w:rFonts w:hint="default" w:ascii="Times New Roman" w:hAnsi="Times New Roman" w:cs="Times New Roman"/>
          <w:color w:val="000000"/>
          <w:szCs w:val="21"/>
        </w:rPr>
      </w:pPr>
      <w:r>
        <w:rPr>
          <w:rFonts w:hint="default" w:ascii="Times New Roman" w:hAnsi="Times New Roman" w:cs="Times New Roman"/>
          <w:color w:val="000000"/>
        </w:rPr>
        <w:t>各</w:t>
      </w:r>
      <w:r>
        <w:rPr>
          <w:rFonts w:hint="default" w:ascii="Times New Roman" w:hAnsi="Times New Roman" w:cs="Times New Roman"/>
          <w:color w:val="000000"/>
          <w:szCs w:val="21"/>
        </w:rPr>
        <w:t>投标人：</w:t>
      </w:r>
    </w:p>
    <w:p w14:paraId="20818A25">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经研究，对</w:t>
      </w:r>
      <w:r>
        <w:rPr>
          <w:rFonts w:hint="default" w:ascii="Times New Roman" w:hAnsi="Times New Roman" w:cs="Times New Roman"/>
          <w:bCs/>
          <w:color w:val="000000"/>
          <w:szCs w:val="21"/>
          <w:u w:val="single"/>
        </w:rPr>
        <w:t xml:space="preserve">             </w:t>
      </w:r>
      <w:r>
        <w:rPr>
          <w:rFonts w:hint="default" w:ascii="Times New Roman" w:hAnsi="Times New Roman" w:cs="Times New Roman"/>
          <w:bCs/>
          <w:color w:val="000000"/>
          <w:szCs w:val="21"/>
        </w:rPr>
        <w:t>（项目名称）</w:t>
      </w:r>
      <w:r>
        <w:rPr>
          <w:rFonts w:hint="default" w:ascii="Times New Roman" w:hAnsi="Times New Roman" w:cs="Times New Roman"/>
          <w:color w:val="000000"/>
          <w:kern w:val="0"/>
          <w:szCs w:val="21"/>
          <w:u w:val="single"/>
        </w:rPr>
        <w:t xml:space="preserve">              </w:t>
      </w:r>
      <w:r>
        <w:rPr>
          <w:rFonts w:hint="default" w:ascii="Times New Roman" w:hAnsi="Times New Roman" w:cs="Times New Roman"/>
          <w:color w:val="000000"/>
        </w:rPr>
        <w:t>（招标编号）</w:t>
      </w:r>
      <w:r>
        <w:rPr>
          <w:rFonts w:hint="default" w:ascii="Times New Roman" w:hAnsi="Times New Roman" w:cs="Times New Roman"/>
          <w:color w:val="000000"/>
          <w:kern w:val="0"/>
          <w:u w:val="single"/>
        </w:rPr>
        <w:t xml:space="preserve">    </w:t>
      </w:r>
      <w:r>
        <w:rPr>
          <w:rFonts w:hint="default" w:ascii="Times New Roman" w:hAnsi="Times New Roman" w:cs="Times New Roman"/>
          <w:color w:val="000000"/>
        </w:rPr>
        <w:t>（</w:t>
      </w:r>
      <w:r>
        <w:rPr>
          <w:rFonts w:hint="default" w:ascii="Times New Roman" w:hAnsi="Times New Roman" w:cs="Times New Roman"/>
          <w:color w:val="000000"/>
          <w:szCs w:val="24"/>
        </w:rPr>
        <w:t>标段/包名称</w:t>
      </w:r>
      <w:r>
        <w:rPr>
          <w:rFonts w:hint="default" w:ascii="Times New Roman" w:hAnsi="Times New Roman" w:cs="Times New Roman"/>
          <w:color w:val="000000"/>
        </w:rPr>
        <w:t>）</w:t>
      </w:r>
      <w:r>
        <w:rPr>
          <w:rFonts w:hint="default" w:ascii="Times New Roman" w:hAnsi="Times New Roman" w:cs="Times New Roman"/>
          <w:color w:val="000000"/>
          <w:szCs w:val="21"/>
        </w:rPr>
        <w:t>招标文件，作如下修改：</w:t>
      </w:r>
    </w:p>
    <w:p w14:paraId="63C3E3CE">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1.……</w:t>
      </w:r>
    </w:p>
    <w:p w14:paraId="47CD0336">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2.……</w:t>
      </w:r>
    </w:p>
    <w:p w14:paraId="55E7F679">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w:t>
      </w:r>
    </w:p>
    <w:p w14:paraId="465ADD64">
      <w:pPr>
        <w:wordWrap w:val="0"/>
        <w:spacing w:line="560" w:lineRule="exact"/>
        <w:rPr>
          <w:rFonts w:hint="default" w:ascii="Times New Roman" w:hAnsi="Times New Roman" w:cs="Times New Roman"/>
          <w:color w:val="000000"/>
          <w:szCs w:val="21"/>
        </w:rPr>
      </w:pPr>
    </w:p>
    <w:p w14:paraId="645CF9A6">
      <w:pPr>
        <w:wordWrap w:val="0"/>
        <w:jc w:val="right"/>
        <w:rPr>
          <w:rFonts w:hint="default" w:ascii="Times New Roman" w:hAnsi="Times New Roman" w:cs="Times New Roman"/>
          <w:color w:val="000000"/>
        </w:rPr>
      </w:pPr>
      <w:r>
        <w:rPr>
          <w:rFonts w:hint="default" w:ascii="Times New Roman" w:hAnsi="Times New Roman" w:cs="Times New Roman"/>
          <w:color w:val="000000"/>
          <w:szCs w:val="21"/>
        </w:rPr>
        <w:t>　　　　　　　　　　　　　　　　</w:t>
      </w:r>
      <w:r>
        <w:rPr>
          <w:rFonts w:hint="default" w:ascii="Times New Roman" w:hAnsi="Times New Roman" w:cs="Times New Roman"/>
          <w:color w:val="000000"/>
        </w:rPr>
        <w:t>招标人：</w:t>
      </w:r>
      <w:r>
        <w:rPr>
          <w:rFonts w:hint="default" w:ascii="Times New Roman" w:hAnsi="Times New Roman" w:cs="Times New Roman"/>
          <w:color w:val="000000"/>
          <w:u w:val="single"/>
        </w:rPr>
        <w:t xml:space="preserve">                  </w:t>
      </w:r>
      <w:r>
        <w:rPr>
          <w:rFonts w:hint="default" w:ascii="Times New Roman" w:hAnsi="Times New Roman" w:cs="Times New Roman"/>
          <w:color w:val="000000"/>
        </w:rPr>
        <w:t xml:space="preserve"> （盖单位章）</w:t>
      </w:r>
    </w:p>
    <w:p w14:paraId="482A894A">
      <w:pPr>
        <w:wordWrap w:val="0"/>
        <w:spacing w:line="560" w:lineRule="exact"/>
        <w:ind w:firstLine="420" w:firstLineChars="200"/>
        <w:rPr>
          <w:rFonts w:hint="default" w:ascii="Times New Roman" w:hAnsi="Times New Roman" w:eastAsia="黑体" w:cs="Times New Roman"/>
          <w:color w:val="000000"/>
        </w:rPr>
      </w:pPr>
    </w:p>
    <w:p w14:paraId="1C1C5BA4">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eastAsia="黑体" w:cs="Times New Roman"/>
          <w:color w:val="000000"/>
        </w:rPr>
        <w:t xml:space="preserve">                                                    </w:t>
      </w:r>
      <w:r>
        <w:rPr>
          <w:rFonts w:hint="default" w:ascii="Times New Roman" w:hAnsi="Times New Roman" w:eastAsia="黑体" w:cs="Times New Roman"/>
          <w:color w:val="000000"/>
          <w:u w:val="single"/>
        </w:rPr>
        <w:t xml:space="preserve">         </w:t>
      </w:r>
      <w:r>
        <w:rPr>
          <w:rFonts w:hint="default" w:ascii="Times New Roman" w:hAnsi="Times New Roman" w:eastAsia="黑体" w:cs="Times New Roman"/>
          <w:color w:val="000000"/>
        </w:rPr>
        <w:t>年</w:t>
      </w:r>
      <w:r>
        <w:rPr>
          <w:rFonts w:hint="default" w:ascii="Times New Roman" w:hAnsi="Times New Roman" w:eastAsia="黑体" w:cs="Times New Roman"/>
          <w:color w:val="000000"/>
          <w:u w:val="single"/>
        </w:rPr>
        <w:t xml:space="preserve">    </w:t>
      </w:r>
      <w:r>
        <w:rPr>
          <w:rFonts w:hint="default" w:ascii="Times New Roman" w:hAnsi="Times New Roman" w:eastAsia="黑体" w:cs="Times New Roman"/>
          <w:color w:val="000000"/>
        </w:rPr>
        <w:t>月</w:t>
      </w:r>
      <w:r>
        <w:rPr>
          <w:rFonts w:hint="default" w:ascii="Times New Roman" w:hAnsi="Times New Roman" w:eastAsia="黑体" w:cs="Times New Roman"/>
          <w:color w:val="000000"/>
          <w:u w:val="single"/>
        </w:rPr>
        <w:t xml:space="preserve">    </w:t>
      </w:r>
      <w:r>
        <w:rPr>
          <w:rFonts w:hint="default" w:ascii="Times New Roman" w:hAnsi="Times New Roman" w:eastAsia="黑体" w:cs="Times New Roman"/>
          <w:color w:val="000000"/>
        </w:rPr>
        <w:t>日</w:t>
      </w:r>
    </w:p>
    <w:p w14:paraId="34055FDF">
      <w:pPr>
        <w:wordWrap w:val="0"/>
        <w:spacing w:line="560" w:lineRule="exact"/>
        <w:rPr>
          <w:rFonts w:hint="default" w:ascii="Times New Roman" w:hAnsi="Times New Roman" w:cs="Times New Roman"/>
          <w:color w:val="000000"/>
          <w:szCs w:val="21"/>
        </w:rPr>
      </w:pPr>
    </w:p>
    <w:p w14:paraId="6016F93E">
      <w:pPr>
        <w:wordWrap w:val="0"/>
        <w:spacing w:line="560" w:lineRule="exact"/>
        <w:rPr>
          <w:rFonts w:hint="default" w:ascii="Times New Roman" w:hAnsi="Times New Roman" w:cs="Times New Roman"/>
          <w:color w:val="000000"/>
          <w:szCs w:val="21"/>
        </w:rPr>
      </w:pPr>
    </w:p>
    <w:p w14:paraId="52F4A383">
      <w:pPr>
        <w:wordWrap w:val="0"/>
        <w:spacing w:line="560" w:lineRule="exact"/>
        <w:rPr>
          <w:rFonts w:hint="default" w:ascii="Times New Roman" w:hAnsi="Times New Roman" w:cs="Times New Roman"/>
          <w:color w:val="000000"/>
          <w:szCs w:val="21"/>
        </w:rPr>
        <w:sectPr>
          <w:footerReference r:id="rId5" w:type="default"/>
          <w:pgSz w:w="11907" w:h="16840"/>
          <w:pgMar w:top="1701" w:right="1531" w:bottom="1588" w:left="1474" w:header="851" w:footer="992" w:gutter="0"/>
          <w:cols w:space="720" w:num="1"/>
          <w:docGrid w:linePitch="312" w:charSpace="0"/>
        </w:sectPr>
      </w:pPr>
      <w:r>
        <w:rPr>
          <w:rFonts w:hint="default" w:ascii="Times New Roman" w:hAnsi="Times New Roman" w:cs="Times New Roman"/>
          <w:color w:val="000000"/>
          <w:szCs w:val="21"/>
        </w:rPr>
        <w:t>备注：招标人对招标文件有关问题修改时，适用本格式。</w:t>
      </w:r>
    </w:p>
    <w:p w14:paraId="2BA59CDE">
      <w:pPr>
        <w:spacing w:line="20" w:lineRule="exact"/>
        <w:rPr>
          <w:rFonts w:hint="default" w:ascii="Times New Roman" w:hAnsi="Times New Roman" w:cs="Times New Roman"/>
          <w:color w:val="000000"/>
        </w:rPr>
      </w:pPr>
    </w:p>
    <w:p w14:paraId="2CC1557C">
      <w:pPr>
        <w:pStyle w:val="3"/>
        <w:wordWrap w:val="0"/>
        <w:rPr>
          <w:rFonts w:hint="default" w:ascii="Times New Roman" w:hAnsi="Times New Roman" w:cs="Times New Roman"/>
          <w:color w:val="000000"/>
          <w:szCs w:val="32"/>
        </w:rPr>
      </w:pPr>
      <w:bookmarkStart w:id="150" w:name="_Toc31867"/>
      <w:bookmarkStart w:id="151" w:name="_Toc491075832"/>
      <w:bookmarkStart w:id="152" w:name="_Toc353544004"/>
      <w:bookmarkStart w:id="153" w:name="_Toc468288657"/>
      <w:bookmarkStart w:id="154" w:name="_Toc456556940"/>
      <w:r>
        <w:rPr>
          <w:rFonts w:hint="default" w:ascii="Times New Roman" w:hAnsi="Times New Roman" w:cs="Times New Roman"/>
          <w:color w:val="000000"/>
        </w:rPr>
        <w:t>附表五  投标文件递交签收凭证</w:t>
      </w:r>
      <w:bookmarkEnd w:id="150"/>
      <w:bookmarkEnd w:id="151"/>
      <w:bookmarkEnd w:id="152"/>
      <w:bookmarkEnd w:id="153"/>
      <w:bookmarkEnd w:id="154"/>
    </w:p>
    <w:p w14:paraId="640FCACF">
      <w:pPr>
        <w:wordWrap w:val="0"/>
        <w:jc w:val="center"/>
        <w:rPr>
          <w:rFonts w:hint="default" w:ascii="Times New Roman" w:hAnsi="Times New Roman" w:cs="Times New Roman"/>
          <w:b/>
          <w:color w:val="000000"/>
          <w:sz w:val="28"/>
        </w:rPr>
      </w:pPr>
      <w:r>
        <w:rPr>
          <w:rFonts w:hint="default" w:ascii="Times New Roman" w:hAnsi="Times New Roman" w:cs="Times New Roman"/>
          <w:b/>
          <w:color w:val="000000"/>
          <w:sz w:val="28"/>
        </w:rPr>
        <w:t>投标文件递交签收凭证</w:t>
      </w:r>
    </w:p>
    <w:p w14:paraId="42882C06">
      <w:pPr>
        <w:ind w:firstLine="6405" w:firstLineChars="3050"/>
        <w:rPr>
          <w:rFonts w:hint="default" w:ascii="Times New Roman" w:hAnsi="Times New Roman" w:cs="Times New Roman"/>
          <w:color w:val="000000"/>
          <w:sz w:val="28"/>
          <w:szCs w:val="28"/>
        </w:rPr>
      </w:pPr>
      <w:r>
        <w:rPr>
          <w:rFonts w:hint="default" w:ascii="Times New Roman" w:hAnsi="Times New Roman" w:cs="Times New Roman"/>
          <w:color w:val="000000"/>
        </w:rPr>
        <w:t>编号：</w:t>
      </w:r>
      <w:r>
        <w:rPr>
          <w:rFonts w:hint="default" w:ascii="Times New Roman" w:hAnsi="Times New Roman" w:cs="Times New Roman"/>
          <w:color w:val="000000"/>
          <w:u w:val="single"/>
        </w:rPr>
        <w:t xml:space="preserve">           </w:t>
      </w:r>
    </w:p>
    <w:tbl>
      <w:tblPr>
        <w:tblStyle w:val="17"/>
        <w:tblW w:w="132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913"/>
        <w:gridCol w:w="1348"/>
        <w:gridCol w:w="6900"/>
      </w:tblGrid>
      <w:tr w14:paraId="266F4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130" w:type="dxa"/>
            <w:tcBorders>
              <w:top w:val="single" w:color="auto" w:sz="4" w:space="0"/>
              <w:left w:val="single" w:color="auto" w:sz="4" w:space="0"/>
              <w:bottom w:val="single" w:color="auto" w:sz="4" w:space="0"/>
              <w:right w:val="single" w:color="auto" w:sz="4" w:space="0"/>
            </w:tcBorders>
            <w:vAlign w:val="center"/>
          </w:tcPr>
          <w:p w14:paraId="2FABBD4A">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工程名称</w:t>
            </w:r>
          </w:p>
        </w:tc>
        <w:tc>
          <w:tcPr>
            <w:tcW w:w="11161" w:type="dxa"/>
            <w:gridSpan w:val="3"/>
            <w:tcBorders>
              <w:top w:val="single" w:color="auto" w:sz="4" w:space="0"/>
              <w:left w:val="single" w:color="auto" w:sz="4" w:space="0"/>
              <w:bottom w:val="single" w:color="auto" w:sz="4" w:space="0"/>
              <w:right w:val="single" w:color="auto" w:sz="4" w:space="0"/>
            </w:tcBorders>
            <w:vAlign w:val="center"/>
          </w:tcPr>
          <w:p w14:paraId="5ECAF46F">
            <w:pPr>
              <w:spacing w:line="360" w:lineRule="auto"/>
              <w:rPr>
                <w:rFonts w:hint="default" w:ascii="Times New Roman" w:hAnsi="Times New Roman" w:cs="Times New Roman"/>
                <w:color w:val="000000"/>
              </w:rPr>
            </w:pPr>
            <w:r>
              <w:rPr>
                <w:rFonts w:hint="default" w:ascii="Times New Roman" w:hAnsi="Times New Roman" w:cs="Times New Roman"/>
                <w:bCs/>
                <w:color w:val="000000"/>
                <w:szCs w:val="21"/>
                <w:u w:val="single"/>
              </w:rPr>
              <w:t xml:space="preserve">          </w:t>
            </w:r>
            <w:r>
              <w:rPr>
                <w:rFonts w:hint="default" w:ascii="Times New Roman" w:hAnsi="Times New Roman" w:cs="Times New Roman"/>
                <w:bCs/>
                <w:color w:val="000000"/>
                <w:szCs w:val="21"/>
              </w:rPr>
              <w:t>（项目名称）</w:t>
            </w:r>
            <w:r>
              <w:rPr>
                <w:rFonts w:hint="default" w:ascii="Times New Roman" w:hAnsi="Times New Roman" w:cs="Times New Roman"/>
                <w:color w:val="000000"/>
                <w:kern w:val="0"/>
                <w:szCs w:val="21"/>
                <w:u w:val="single"/>
              </w:rPr>
              <w:t xml:space="preserve">      </w:t>
            </w:r>
            <w:r>
              <w:rPr>
                <w:rFonts w:hint="default" w:ascii="Times New Roman" w:hAnsi="Times New Roman" w:cs="Times New Roman"/>
                <w:color w:val="000000"/>
              </w:rPr>
              <w:t>（招标编号）</w:t>
            </w:r>
            <w:r>
              <w:rPr>
                <w:rFonts w:hint="default" w:ascii="Times New Roman" w:hAnsi="Times New Roman" w:cs="Times New Roman"/>
                <w:color w:val="000000"/>
                <w:kern w:val="0"/>
                <w:u w:val="single"/>
              </w:rPr>
              <w:t xml:space="preserve">    </w:t>
            </w:r>
            <w:r>
              <w:rPr>
                <w:rFonts w:hint="default" w:ascii="Times New Roman" w:hAnsi="Times New Roman" w:cs="Times New Roman"/>
                <w:color w:val="000000"/>
              </w:rPr>
              <w:t>（</w:t>
            </w:r>
            <w:r>
              <w:rPr>
                <w:rFonts w:hint="default" w:ascii="Times New Roman" w:hAnsi="Times New Roman" w:cs="Times New Roman"/>
                <w:color w:val="000000"/>
                <w:szCs w:val="24"/>
              </w:rPr>
              <w:t>标段/包</w:t>
            </w:r>
            <w:r>
              <w:rPr>
                <w:rFonts w:hint="default" w:ascii="Times New Roman" w:hAnsi="Times New Roman" w:cs="Times New Roman"/>
                <w:color w:val="000000"/>
              </w:rPr>
              <w:t>名称）</w:t>
            </w:r>
          </w:p>
        </w:tc>
      </w:tr>
      <w:tr w14:paraId="5C7B4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130" w:type="dxa"/>
            <w:tcBorders>
              <w:top w:val="single" w:color="auto" w:sz="4" w:space="0"/>
              <w:left w:val="single" w:color="auto" w:sz="4" w:space="0"/>
              <w:bottom w:val="single" w:color="auto" w:sz="4" w:space="0"/>
              <w:right w:val="single" w:color="auto" w:sz="4" w:space="0"/>
            </w:tcBorders>
            <w:vAlign w:val="center"/>
          </w:tcPr>
          <w:p w14:paraId="18FC1FE1">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招标人</w:t>
            </w:r>
          </w:p>
        </w:tc>
        <w:tc>
          <w:tcPr>
            <w:tcW w:w="11161" w:type="dxa"/>
            <w:gridSpan w:val="3"/>
            <w:tcBorders>
              <w:top w:val="single" w:color="auto" w:sz="4" w:space="0"/>
              <w:left w:val="single" w:color="auto" w:sz="4" w:space="0"/>
              <w:bottom w:val="single" w:color="auto" w:sz="4" w:space="0"/>
              <w:right w:val="single" w:color="auto" w:sz="4" w:space="0"/>
            </w:tcBorders>
            <w:vAlign w:val="center"/>
          </w:tcPr>
          <w:p w14:paraId="56C0DC41">
            <w:pPr>
              <w:spacing w:line="360" w:lineRule="auto"/>
              <w:jc w:val="center"/>
              <w:rPr>
                <w:rFonts w:hint="default" w:ascii="Times New Roman" w:hAnsi="Times New Roman" w:cs="Times New Roman"/>
                <w:color w:val="000000"/>
              </w:rPr>
            </w:pPr>
          </w:p>
        </w:tc>
      </w:tr>
      <w:tr w14:paraId="5C596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130" w:type="dxa"/>
            <w:tcBorders>
              <w:top w:val="single" w:color="auto" w:sz="4" w:space="0"/>
              <w:left w:val="single" w:color="auto" w:sz="4" w:space="0"/>
              <w:bottom w:val="single" w:color="auto" w:sz="4" w:space="0"/>
              <w:right w:val="single" w:color="auto" w:sz="4" w:space="0"/>
            </w:tcBorders>
            <w:vAlign w:val="center"/>
          </w:tcPr>
          <w:p w14:paraId="032A3C37">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招标代理机构</w:t>
            </w:r>
          </w:p>
        </w:tc>
        <w:tc>
          <w:tcPr>
            <w:tcW w:w="11161" w:type="dxa"/>
            <w:gridSpan w:val="3"/>
            <w:tcBorders>
              <w:top w:val="single" w:color="auto" w:sz="4" w:space="0"/>
              <w:left w:val="single" w:color="auto" w:sz="4" w:space="0"/>
              <w:bottom w:val="single" w:color="auto" w:sz="4" w:space="0"/>
              <w:right w:val="single" w:color="auto" w:sz="4" w:space="0"/>
            </w:tcBorders>
            <w:vAlign w:val="center"/>
          </w:tcPr>
          <w:p w14:paraId="612BFA1C">
            <w:pPr>
              <w:spacing w:line="360" w:lineRule="auto"/>
              <w:jc w:val="center"/>
              <w:rPr>
                <w:rFonts w:hint="default" w:ascii="Times New Roman" w:hAnsi="Times New Roman" w:cs="Times New Roman"/>
                <w:color w:val="000000"/>
              </w:rPr>
            </w:pPr>
          </w:p>
        </w:tc>
      </w:tr>
      <w:tr w14:paraId="57817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130" w:type="dxa"/>
            <w:tcBorders>
              <w:top w:val="single" w:color="auto" w:sz="4" w:space="0"/>
              <w:left w:val="single" w:color="auto" w:sz="4" w:space="0"/>
              <w:bottom w:val="single" w:color="auto" w:sz="4" w:space="0"/>
              <w:right w:val="single" w:color="auto" w:sz="4" w:space="0"/>
            </w:tcBorders>
            <w:vAlign w:val="center"/>
          </w:tcPr>
          <w:p w14:paraId="3988F72E">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投标人</w:t>
            </w:r>
          </w:p>
        </w:tc>
        <w:tc>
          <w:tcPr>
            <w:tcW w:w="11161" w:type="dxa"/>
            <w:gridSpan w:val="3"/>
            <w:tcBorders>
              <w:top w:val="single" w:color="auto" w:sz="4" w:space="0"/>
              <w:left w:val="single" w:color="auto" w:sz="4" w:space="0"/>
              <w:bottom w:val="single" w:color="auto" w:sz="4" w:space="0"/>
              <w:right w:val="single" w:color="auto" w:sz="4" w:space="0"/>
            </w:tcBorders>
            <w:vAlign w:val="center"/>
          </w:tcPr>
          <w:p w14:paraId="48BF686C">
            <w:pPr>
              <w:spacing w:line="360" w:lineRule="auto"/>
              <w:jc w:val="center"/>
              <w:rPr>
                <w:rFonts w:hint="default" w:ascii="Times New Roman" w:hAnsi="Times New Roman" w:cs="Times New Roman"/>
                <w:color w:val="000000"/>
              </w:rPr>
            </w:pPr>
          </w:p>
        </w:tc>
      </w:tr>
      <w:tr w14:paraId="7A4C4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130" w:type="dxa"/>
            <w:tcBorders>
              <w:top w:val="single" w:color="auto" w:sz="4" w:space="0"/>
              <w:left w:val="single" w:color="auto" w:sz="4" w:space="0"/>
              <w:bottom w:val="single" w:color="auto" w:sz="4" w:space="0"/>
              <w:right w:val="single" w:color="auto" w:sz="4" w:space="0"/>
            </w:tcBorders>
            <w:vAlign w:val="center"/>
          </w:tcPr>
          <w:p w14:paraId="328247AD">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投标文件递交时间</w:t>
            </w:r>
          </w:p>
        </w:tc>
        <w:tc>
          <w:tcPr>
            <w:tcW w:w="11161" w:type="dxa"/>
            <w:gridSpan w:val="3"/>
            <w:tcBorders>
              <w:top w:val="single" w:color="auto" w:sz="4" w:space="0"/>
              <w:left w:val="single" w:color="auto" w:sz="4" w:space="0"/>
              <w:bottom w:val="single" w:color="auto" w:sz="4" w:space="0"/>
              <w:right w:val="single" w:color="auto" w:sz="4" w:space="0"/>
            </w:tcBorders>
            <w:vAlign w:val="center"/>
          </w:tcPr>
          <w:p w14:paraId="7CFFEB4C">
            <w:pPr>
              <w:spacing w:line="360" w:lineRule="auto"/>
              <w:rPr>
                <w:rFonts w:hint="default" w:ascii="Times New Roman" w:hAnsi="Times New Roman" w:cs="Times New Roman"/>
                <w:color w:val="000000"/>
              </w:rPr>
            </w:pPr>
            <w:r>
              <w:rPr>
                <w:rFonts w:hint="default" w:ascii="Times New Roman" w:hAnsi="Times New Roman" w:cs="Times New Roman"/>
                <w:color w:val="000000"/>
                <w:u w:val="single"/>
              </w:rPr>
              <w:t xml:space="preserve">         </w:t>
            </w:r>
            <w:r>
              <w:rPr>
                <w:rFonts w:hint="default" w:ascii="Times New Roman" w:hAnsi="Times New Roman" w:cs="Times New Roman"/>
                <w:color w:val="000000"/>
              </w:rPr>
              <w:t>年</w:t>
            </w:r>
            <w:r>
              <w:rPr>
                <w:rFonts w:hint="default" w:ascii="Times New Roman" w:hAnsi="Times New Roman" w:cs="Times New Roman"/>
                <w:color w:val="000000"/>
                <w:u w:val="single"/>
              </w:rPr>
              <w:t xml:space="preserve">    </w:t>
            </w:r>
            <w:r>
              <w:rPr>
                <w:rFonts w:hint="default" w:ascii="Times New Roman" w:hAnsi="Times New Roman" w:cs="Times New Roman"/>
                <w:color w:val="000000"/>
              </w:rPr>
              <w:t>月</w:t>
            </w:r>
            <w:r>
              <w:rPr>
                <w:rFonts w:hint="default" w:ascii="Times New Roman" w:hAnsi="Times New Roman" w:cs="Times New Roman"/>
                <w:color w:val="000000"/>
                <w:u w:val="single"/>
              </w:rPr>
              <w:t xml:space="preserve">    </w:t>
            </w:r>
            <w:r>
              <w:rPr>
                <w:rFonts w:hint="default" w:ascii="Times New Roman" w:hAnsi="Times New Roman" w:cs="Times New Roman"/>
                <w:color w:val="000000"/>
              </w:rPr>
              <w:t>日</w:t>
            </w:r>
            <w:r>
              <w:rPr>
                <w:rFonts w:hint="default" w:ascii="Times New Roman" w:hAnsi="Times New Roman" w:cs="Times New Roman"/>
                <w:color w:val="000000"/>
                <w:u w:val="single"/>
              </w:rPr>
              <w:t xml:space="preserve">    </w:t>
            </w:r>
            <w:r>
              <w:rPr>
                <w:rFonts w:hint="default" w:ascii="Times New Roman" w:hAnsi="Times New Roman" w:cs="Times New Roman"/>
                <w:color w:val="000000"/>
              </w:rPr>
              <w:t>时</w:t>
            </w:r>
            <w:r>
              <w:rPr>
                <w:rFonts w:hint="default" w:ascii="Times New Roman" w:hAnsi="Times New Roman" w:cs="Times New Roman"/>
                <w:color w:val="000000"/>
                <w:u w:val="single"/>
              </w:rPr>
              <w:t xml:space="preserve">    </w:t>
            </w:r>
            <w:r>
              <w:rPr>
                <w:rFonts w:hint="default" w:ascii="Times New Roman" w:hAnsi="Times New Roman" w:cs="Times New Roman"/>
                <w:color w:val="000000"/>
              </w:rPr>
              <w:t>分</w:t>
            </w:r>
          </w:p>
        </w:tc>
      </w:tr>
      <w:tr w14:paraId="6E1B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130" w:type="dxa"/>
            <w:tcBorders>
              <w:top w:val="single" w:color="auto" w:sz="4" w:space="0"/>
              <w:left w:val="single" w:color="auto" w:sz="4" w:space="0"/>
              <w:bottom w:val="single" w:color="auto" w:sz="4" w:space="0"/>
              <w:right w:val="single" w:color="auto" w:sz="4" w:space="0"/>
            </w:tcBorders>
            <w:vAlign w:val="center"/>
          </w:tcPr>
          <w:p w14:paraId="146351B9">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投标文件递交地点</w:t>
            </w:r>
          </w:p>
        </w:tc>
        <w:tc>
          <w:tcPr>
            <w:tcW w:w="11161" w:type="dxa"/>
            <w:gridSpan w:val="3"/>
            <w:tcBorders>
              <w:top w:val="single" w:color="auto" w:sz="4" w:space="0"/>
              <w:left w:val="single" w:color="auto" w:sz="4" w:space="0"/>
              <w:bottom w:val="single" w:color="auto" w:sz="4" w:space="0"/>
              <w:right w:val="single" w:color="auto" w:sz="4" w:space="0"/>
            </w:tcBorders>
            <w:vAlign w:val="center"/>
          </w:tcPr>
          <w:p w14:paraId="305DB278">
            <w:pPr>
              <w:spacing w:line="360" w:lineRule="auto"/>
              <w:jc w:val="center"/>
              <w:rPr>
                <w:rFonts w:hint="default" w:ascii="Times New Roman" w:hAnsi="Times New Roman" w:cs="Times New Roman"/>
                <w:color w:val="000000"/>
              </w:rPr>
            </w:pPr>
          </w:p>
        </w:tc>
      </w:tr>
      <w:tr w14:paraId="7980F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130" w:type="dxa"/>
            <w:tcBorders>
              <w:top w:val="single" w:color="auto" w:sz="4" w:space="0"/>
              <w:left w:val="single" w:color="auto" w:sz="4" w:space="0"/>
              <w:bottom w:val="single" w:color="auto" w:sz="4" w:space="0"/>
              <w:right w:val="single" w:color="auto" w:sz="4" w:space="0"/>
            </w:tcBorders>
            <w:vAlign w:val="center"/>
          </w:tcPr>
          <w:p w14:paraId="5AF6D6C2">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密封检查情况</w:t>
            </w:r>
          </w:p>
        </w:tc>
        <w:tc>
          <w:tcPr>
            <w:tcW w:w="2913" w:type="dxa"/>
            <w:tcBorders>
              <w:top w:val="single" w:color="auto" w:sz="4" w:space="0"/>
              <w:left w:val="single" w:color="auto" w:sz="4" w:space="0"/>
              <w:bottom w:val="single" w:color="auto" w:sz="4" w:space="0"/>
              <w:right w:val="single" w:color="auto" w:sz="4" w:space="0"/>
            </w:tcBorders>
            <w:vAlign w:val="center"/>
          </w:tcPr>
          <w:p w14:paraId="3A0336FE">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是否符合招标文件要求</w:t>
            </w:r>
          </w:p>
        </w:tc>
        <w:tc>
          <w:tcPr>
            <w:tcW w:w="8248" w:type="dxa"/>
            <w:gridSpan w:val="2"/>
            <w:tcBorders>
              <w:top w:val="single" w:color="auto" w:sz="4" w:space="0"/>
              <w:left w:val="single" w:color="auto" w:sz="4" w:space="0"/>
              <w:bottom w:val="single" w:color="auto" w:sz="4" w:space="0"/>
              <w:right w:val="single" w:color="auto" w:sz="4" w:space="0"/>
            </w:tcBorders>
            <w:vAlign w:val="center"/>
          </w:tcPr>
          <w:p w14:paraId="26C3BF53">
            <w:pPr>
              <w:spacing w:line="360" w:lineRule="auto"/>
              <w:jc w:val="center"/>
              <w:rPr>
                <w:rFonts w:hint="default" w:ascii="Times New Roman" w:hAnsi="Times New Roman" w:cs="Times New Roman"/>
                <w:color w:val="000000"/>
              </w:rPr>
            </w:pPr>
          </w:p>
        </w:tc>
      </w:tr>
      <w:tr w14:paraId="2764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2130" w:type="dxa"/>
            <w:tcBorders>
              <w:top w:val="single" w:color="auto" w:sz="4" w:space="0"/>
              <w:left w:val="single" w:color="auto" w:sz="4" w:space="0"/>
              <w:bottom w:val="single" w:color="auto" w:sz="4" w:space="0"/>
              <w:right w:val="single" w:color="auto" w:sz="4" w:space="0"/>
            </w:tcBorders>
            <w:vAlign w:val="center"/>
          </w:tcPr>
          <w:p w14:paraId="56037042">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标识检查情况</w:t>
            </w:r>
          </w:p>
        </w:tc>
        <w:tc>
          <w:tcPr>
            <w:tcW w:w="2913" w:type="dxa"/>
            <w:tcBorders>
              <w:top w:val="single" w:color="auto" w:sz="4" w:space="0"/>
              <w:left w:val="single" w:color="auto" w:sz="4" w:space="0"/>
              <w:bottom w:val="single" w:color="auto" w:sz="4" w:space="0"/>
              <w:right w:val="single" w:color="auto" w:sz="4" w:space="0"/>
            </w:tcBorders>
            <w:vAlign w:val="center"/>
          </w:tcPr>
          <w:p w14:paraId="0B2D05C4">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是否符合招标文件要求</w:t>
            </w:r>
          </w:p>
        </w:tc>
        <w:tc>
          <w:tcPr>
            <w:tcW w:w="8248" w:type="dxa"/>
            <w:gridSpan w:val="2"/>
            <w:tcBorders>
              <w:top w:val="single" w:color="auto" w:sz="4" w:space="0"/>
              <w:left w:val="single" w:color="auto" w:sz="4" w:space="0"/>
              <w:bottom w:val="single" w:color="auto" w:sz="4" w:space="0"/>
              <w:right w:val="single" w:color="auto" w:sz="4" w:space="0"/>
            </w:tcBorders>
            <w:vAlign w:val="center"/>
          </w:tcPr>
          <w:p w14:paraId="1F1386CD">
            <w:pPr>
              <w:spacing w:line="360" w:lineRule="auto"/>
              <w:jc w:val="center"/>
              <w:rPr>
                <w:rFonts w:hint="default" w:ascii="Times New Roman" w:hAnsi="Times New Roman" w:cs="Times New Roman"/>
                <w:color w:val="000000"/>
              </w:rPr>
            </w:pPr>
          </w:p>
        </w:tc>
      </w:tr>
      <w:tr w14:paraId="1EA34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130" w:type="dxa"/>
            <w:tcBorders>
              <w:top w:val="single" w:color="auto" w:sz="4" w:space="0"/>
              <w:left w:val="single" w:color="auto" w:sz="4" w:space="0"/>
              <w:bottom w:val="single" w:color="auto" w:sz="4" w:space="0"/>
              <w:right w:val="single" w:color="auto" w:sz="4" w:space="0"/>
            </w:tcBorders>
            <w:vAlign w:val="center"/>
          </w:tcPr>
          <w:p w14:paraId="48073034">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投标人代表</w:t>
            </w:r>
          </w:p>
        </w:tc>
        <w:tc>
          <w:tcPr>
            <w:tcW w:w="2913" w:type="dxa"/>
            <w:tcBorders>
              <w:top w:val="single" w:color="auto" w:sz="4" w:space="0"/>
              <w:left w:val="single" w:color="auto" w:sz="4" w:space="0"/>
              <w:bottom w:val="single" w:color="auto" w:sz="4" w:space="0"/>
              <w:right w:val="single" w:color="auto" w:sz="4" w:space="0"/>
            </w:tcBorders>
            <w:vAlign w:val="center"/>
          </w:tcPr>
          <w:p w14:paraId="53D67D84">
            <w:pPr>
              <w:spacing w:line="360" w:lineRule="auto"/>
              <w:jc w:val="right"/>
              <w:rPr>
                <w:rFonts w:hint="default" w:ascii="Times New Roman" w:hAnsi="Times New Roman" w:cs="Times New Roman"/>
                <w:color w:val="000000"/>
              </w:rPr>
            </w:pPr>
            <w:r>
              <w:rPr>
                <w:rFonts w:hint="default" w:ascii="Times New Roman" w:hAnsi="Times New Roman" w:cs="Times New Roman"/>
                <w:color w:val="000000"/>
              </w:rPr>
              <w:t>（签字）</w:t>
            </w:r>
          </w:p>
        </w:tc>
        <w:tc>
          <w:tcPr>
            <w:tcW w:w="1348" w:type="dxa"/>
            <w:tcBorders>
              <w:top w:val="single" w:color="auto" w:sz="4" w:space="0"/>
              <w:left w:val="single" w:color="auto" w:sz="4" w:space="0"/>
              <w:bottom w:val="single" w:color="auto" w:sz="4" w:space="0"/>
              <w:right w:val="single" w:color="auto" w:sz="4" w:space="0"/>
            </w:tcBorders>
            <w:vAlign w:val="center"/>
          </w:tcPr>
          <w:p w14:paraId="7CCBCA32">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日期</w:t>
            </w:r>
          </w:p>
        </w:tc>
        <w:tc>
          <w:tcPr>
            <w:tcW w:w="6900" w:type="dxa"/>
            <w:tcBorders>
              <w:top w:val="single" w:color="auto" w:sz="4" w:space="0"/>
              <w:left w:val="single" w:color="auto" w:sz="4" w:space="0"/>
              <w:bottom w:val="single" w:color="auto" w:sz="4" w:space="0"/>
              <w:right w:val="single" w:color="auto" w:sz="4" w:space="0"/>
            </w:tcBorders>
            <w:vAlign w:val="center"/>
          </w:tcPr>
          <w:p w14:paraId="5ABB3C31">
            <w:pPr>
              <w:spacing w:line="360" w:lineRule="auto"/>
              <w:jc w:val="center"/>
              <w:rPr>
                <w:rFonts w:hint="default" w:ascii="Times New Roman" w:hAnsi="Times New Roman" w:cs="Times New Roman"/>
                <w:color w:val="000000"/>
              </w:rPr>
            </w:pPr>
          </w:p>
        </w:tc>
      </w:tr>
      <w:tr w14:paraId="6008D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130" w:type="dxa"/>
            <w:tcBorders>
              <w:top w:val="single" w:color="auto" w:sz="4" w:space="0"/>
              <w:left w:val="single" w:color="auto" w:sz="4" w:space="0"/>
              <w:bottom w:val="single" w:color="auto" w:sz="4" w:space="0"/>
              <w:right w:val="single" w:color="auto" w:sz="4" w:space="0"/>
            </w:tcBorders>
            <w:vAlign w:val="center"/>
          </w:tcPr>
          <w:p w14:paraId="2541E58A">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招标人代表</w:t>
            </w:r>
          </w:p>
        </w:tc>
        <w:tc>
          <w:tcPr>
            <w:tcW w:w="2913" w:type="dxa"/>
            <w:tcBorders>
              <w:top w:val="single" w:color="auto" w:sz="4" w:space="0"/>
              <w:left w:val="single" w:color="auto" w:sz="4" w:space="0"/>
              <w:bottom w:val="single" w:color="auto" w:sz="4" w:space="0"/>
              <w:right w:val="single" w:color="auto" w:sz="4" w:space="0"/>
            </w:tcBorders>
            <w:vAlign w:val="center"/>
          </w:tcPr>
          <w:p w14:paraId="21E66652">
            <w:pPr>
              <w:spacing w:line="360" w:lineRule="auto"/>
              <w:jc w:val="right"/>
              <w:rPr>
                <w:rFonts w:hint="default" w:ascii="Times New Roman" w:hAnsi="Times New Roman" w:cs="Times New Roman"/>
                <w:color w:val="000000"/>
              </w:rPr>
            </w:pPr>
            <w:r>
              <w:rPr>
                <w:rFonts w:hint="default" w:ascii="Times New Roman" w:hAnsi="Times New Roman" w:cs="Times New Roman"/>
                <w:color w:val="000000"/>
              </w:rPr>
              <w:t>（签字）</w:t>
            </w:r>
          </w:p>
        </w:tc>
        <w:tc>
          <w:tcPr>
            <w:tcW w:w="1348" w:type="dxa"/>
            <w:tcBorders>
              <w:top w:val="single" w:color="auto" w:sz="4" w:space="0"/>
              <w:left w:val="single" w:color="auto" w:sz="4" w:space="0"/>
              <w:bottom w:val="single" w:color="auto" w:sz="4" w:space="0"/>
              <w:right w:val="single" w:color="auto" w:sz="4" w:space="0"/>
            </w:tcBorders>
            <w:vAlign w:val="center"/>
          </w:tcPr>
          <w:p w14:paraId="4AA71E73">
            <w:pPr>
              <w:spacing w:line="360" w:lineRule="auto"/>
              <w:jc w:val="center"/>
              <w:rPr>
                <w:rFonts w:hint="default" w:ascii="Times New Roman" w:hAnsi="Times New Roman" w:cs="Times New Roman"/>
                <w:color w:val="000000"/>
              </w:rPr>
            </w:pPr>
            <w:r>
              <w:rPr>
                <w:rFonts w:hint="default" w:ascii="Times New Roman" w:hAnsi="Times New Roman" w:cs="Times New Roman"/>
                <w:color w:val="000000"/>
              </w:rPr>
              <w:t>日期</w:t>
            </w:r>
          </w:p>
        </w:tc>
        <w:tc>
          <w:tcPr>
            <w:tcW w:w="6900" w:type="dxa"/>
            <w:tcBorders>
              <w:top w:val="single" w:color="auto" w:sz="4" w:space="0"/>
              <w:left w:val="single" w:color="auto" w:sz="4" w:space="0"/>
              <w:bottom w:val="single" w:color="auto" w:sz="4" w:space="0"/>
              <w:right w:val="single" w:color="auto" w:sz="4" w:space="0"/>
            </w:tcBorders>
            <w:vAlign w:val="center"/>
          </w:tcPr>
          <w:p w14:paraId="2EB82B34">
            <w:pPr>
              <w:spacing w:line="360" w:lineRule="auto"/>
              <w:jc w:val="center"/>
              <w:rPr>
                <w:rFonts w:hint="default" w:ascii="Times New Roman" w:hAnsi="Times New Roman" w:cs="Times New Roman"/>
                <w:color w:val="000000"/>
              </w:rPr>
            </w:pPr>
          </w:p>
        </w:tc>
      </w:tr>
    </w:tbl>
    <w:p w14:paraId="494A1CBE">
      <w:pPr>
        <w:spacing w:before="72" w:beforeLines="30"/>
        <w:ind w:right="420"/>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招标人：</w:t>
      </w:r>
      <w:r>
        <w:rPr>
          <w:rFonts w:hint="default" w:ascii="Times New Roman" w:hAnsi="Times New Roman" w:cs="Times New Roman"/>
          <w:color w:val="000000"/>
          <w:kern w:val="0"/>
          <w:szCs w:val="21"/>
          <w:u w:val="single"/>
        </w:rPr>
        <w:t xml:space="preserve">        </w:t>
      </w:r>
      <w:r>
        <w:rPr>
          <w:rFonts w:hint="default" w:ascii="Times New Roman" w:hAnsi="Times New Roman" w:cs="Times New Roman"/>
          <w:color w:val="000000"/>
          <w:kern w:val="0"/>
          <w:szCs w:val="21"/>
        </w:rPr>
        <w:t>(盖单位章)</w:t>
      </w:r>
    </w:p>
    <w:p w14:paraId="53910726">
      <w:pPr>
        <w:spacing w:line="400" w:lineRule="exact"/>
        <w:rPr>
          <w:rFonts w:hint="default" w:ascii="Times New Roman" w:hAnsi="Times New Roman" w:cs="Times New Roman"/>
          <w:color w:val="000000"/>
        </w:rPr>
      </w:pPr>
      <w:r>
        <w:rPr>
          <w:rFonts w:hint="default" w:ascii="Times New Roman" w:hAnsi="Times New Roman" w:cs="Times New Roman"/>
          <w:color w:val="000000"/>
        </w:rPr>
        <w:t>备注：现场递交投标文件时使用，本表一式两份，招标人和投标人各留存一份备查。</w:t>
      </w:r>
    </w:p>
    <w:p w14:paraId="7EAB23A9">
      <w:pPr>
        <w:rPr>
          <w:rFonts w:hint="default" w:ascii="Times New Roman" w:hAnsi="Times New Roman" w:cs="Times New Roman"/>
          <w:color w:val="000000"/>
        </w:rPr>
      </w:pPr>
      <w:r>
        <w:rPr>
          <w:rFonts w:hint="default" w:ascii="Times New Roman" w:hAnsi="Times New Roman" w:cs="Times New Roman"/>
          <w:color w:val="000000"/>
        </w:rPr>
        <w:br w:type="page"/>
      </w:r>
    </w:p>
    <w:p w14:paraId="3CB8CF79">
      <w:pPr>
        <w:pStyle w:val="3"/>
        <w:wordWrap w:val="0"/>
        <w:rPr>
          <w:rFonts w:hint="default" w:ascii="Times New Roman" w:hAnsi="Times New Roman" w:cs="Times New Roman"/>
          <w:color w:val="000000"/>
        </w:rPr>
      </w:pPr>
      <w:bookmarkStart w:id="155" w:name="_Toc27301"/>
      <w:bookmarkStart w:id="156" w:name="_Toc491075833"/>
      <w:bookmarkStart w:id="157" w:name="_Toc144974549"/>
      <w:bookmarkStart w:id="158" w:name="_Toc152045582"/>
      <w:bookmarkStart w:id="159" w:name="_Toc152042359"/>
      <w:bookmarkStart w:id="160" w:name="_Toc402465043"/>
      <w:bookmarkStart w:id="161" w:name="_Toc179632600"/>
      <w:bookmarkStart w:id="162" w:name="_Toc468288659"/>
      <w:r>
        <w:rPr>
          <w:rFonts w:hint="default" w:ascii="Times New Roman" w:hAnsi="Times New Roman" w:cs="Times New Roman"/>
          <w:color w:val="000000"/>
        </w:rPr>
        <w:t>附件六  开标记录表</w:t>
      </w:r>
      <w:bookmarkEnd w:id="155"/>
      <w:bookmarkEnd w:id="156"/>
    </w:p>
    <w:p w14:paraId="2C164012">
      <w:pPr>
        <w:wordWrap w:val="0"/>
        <w:rPr>
          <w:rFonts w:hint="default" w:ascii="Times New Roman" w:hAnsi="Times New Roman" w:cs="Times New Roman"/>
          <w:color w:val="000000"/>
          <w:szCs w:val="21"/>
        </w:rPr>
      </w:pP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（项目名称）</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 xml:space="preserve">（标段/包名称）开标记录表 </w:t>
      </w:r>
    </w:p>
    <w:p w14:paraId="726B7633">
      <w:pPr>
        <w:pStyle w:val="31"/>
        <w:wordWrap w:val="0"/>
        <w:ind w:firstLine="0" w:firstLineChars="0"/>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招标编号：</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 xml:space="preserve">               开标时间：</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年</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月</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日</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时</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分                      开标地点：</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 xml:space="preserve">    </w:t>
      </w:r>
    </w:p>
    <w:tbl>
      <w:tblPr>
        <w:tblStyle w:val="17"/>
        <w:tblW w:w="14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652"/>
        <w:gridCol w:w="1134"/>
        <w:gridCol w:w="1984"/>
        <w:gridCol w:w="1521"/>
        <w:gridCol w:w="1456"/>
        <w:gridCol w:w="1418"/>
        <w:gridCol w:w="1134"/>
        <w:gridCol w:w="861"/>
        <w:gridCol w:w="1980"/>
      </w:tblGrid>
      <w:tr w14:paraId="77021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jc w:val="center"/>
        </w:trPr>
        <w:tc>
          <w:tcPr>
            <w:tcW w:w="900" w:type="dxa"/>
            <w:vAlign w:val="center"/>
          </w:tcPr>
          <w:p w14:paraId="5F767C01">
            <w:pPr>
              <w:ind w:firstLine="105" w:firstLineChars="50"/>
              <w:jc w:val="center"/>
              <w:rPr>
                <w:rFonts w:hint="default" w:ascii="Times New Roman" w:hAnsi="Times New Roman" w:cs="Times New Roman"/>
                <w:color w:val="000000"/>
                <w:szCs w:val="21"/>
              </w:rPr>
            </w:pPr>
            <w:r>
              <w:rPr>
                <w:rFonts w:hint="default" w:ascii="Times New Roman" w:hAnsi="Times New Roman" w:cs="Times New Roman"/>
                <w:color w:val="000000"/>
                <w:szCs w:val="21"/>
              </w:rPr>
              <w:t>序号</w:t>
            </w:r>
          </w:p>
        </w:tc>
        <w:tc>
          <w:tcPr>
            <w:tcW w:w="2786" w:type="dxa"/>
            <w:gridSpan w:val="2"/>
            <w:vAlign w:val="center"/>
          </w:tcPr>
          <w:p w14:paraId="34B3D3B0">
            <w:pPr>
              <w:spacing w:line="400" w:lineRule="exact"/>
              <w:jc w:val="center"/>
              <w:rPr>
                <w:rFonts w:hint="default" w:ascii="Times New Roman" w:hAnsi="Times New Roman" w:cs="Times New Roman"/>
                <w:color w:val="000000"/>
                <w:szCs w:val="21"/>
              </w:rPr>
            </w:pPr>
            <w:r>
              <w:rPr>
                <w:rFonts w:hint="default" w:ascii="Times New Roman" w:hAnsi="Times New Roman" w:cs="Times New Roman"/>
                <w:color w:val="000000"/>
                <w:szCs w:val="21"/>
              </w:rPr>
              <w:t>投标单位名称</w:t>
            </w:r>
          </w:p>
        </w:tc>
        <w:tc>
          <w:tcPr>
            <w:tcW w:w="1984" w:type="dxa"/>
            <w:vAlign w:val="center"/>
          </w:tcPr>
          <w:p w14:paraId="26A3746B">
            <w:pPr>
              <w:spacing w:line="400" w:lineRule="exact"/>
              <w:jc w:val="center"/>
              <w:rPr>
                <w:rFonts w:hint="default" w:ascii="Times New Roman" w:hAnsi="Times New Roman" w:cs="Times New Roman"/>
                <w:color w:val="000000"/>
                <w:szCs w:val="21"/>
              </w:rPr>
            </w:pPr>
            <w:r>
              <w:rPr>
                <w:rFonts w:hint="default" w:ascii="Times New Roman" w:hAnsi="Times New Roman" w:cs="Times New Roman"/>
                <w:color w:val="000000"/>
                <w:szCs w:val="21"/>
              </w:rPr>
              <w:t>投标报价</w:t>
            </w:r>
          </w:p>
        </w:tc>
        <w:tc>
          <w:tcPr>
            <w:tcW w:w="1521" w:type="dxa"/>
            <w:vAlign w:val="center"/>
          </w:tcPr>
          <w:p w14:paraId="7A13AAFC">
            <w:pPr>
              <w:spacing w:line="400" w:lineRule="exact"/>
              <w:jc w:val="center"/>
              <w:rPr>
                <w:rFonts w:hint="default" w:ascii="Times New Roman" w:hAnsi="Times New Roman" w:cs="Times New Roman"/>
                <w:color w:val="000000"/>
                <w:szCs w:val="21"/>
              </w:rPr>
            </w:pPr>
            <w:r>
              <w:rPr>
                <w:rFonts w:hint="default" w:ascii="Times New Roman" w:hAnsi="Times New Roman" w:cs="Times New Roman"/>
                <w:color w:val="000000"/>
                <w:szCs w:val="21"/>
              </w:rPr>
              <w:t>可编辑</w:t>
            </w:r>
          </w:p>
        </w:tc>
        <w:tc>
          <w:tcPr>
            <w:tcW w:w="1456" w:type="dxa"/>
            <w:vAlign w:val="center"/>
          </w:tcPr>
          <w:p w14:paraId="5F1A66BD">
            <w:pPr>
              <w:spacing w:line="400" w:lineRule="exact"/>
              <w:jc w:val="center"/>
              <w:rPr>
                <w:rFonts w:hint="default" w:ascii="Times New Roman" w:hAnsi="Times New Roman" w:cs="Times New Roman"/>
                <w:color w:val="000000"/>
                <w:szCs w:val="21"/>
              </w:rPr>
            </w:pPr>
            <w:r>
              <w:rPr>
                <w:rFonts w:hint="default" w:ascii="Times New Roman" w:hAnsi="Times New Roman" w:cs="Times New Roman"/>
                <w:color w:val="000000"/>
                <w:szCs w:val="21"/>
              </w:rPr>
              <w:t>可编辑</w:t>
            </w:r>
          </w:p>
        </w:tc>
        <w:tc>
          <w:tcPr>
            <w:tcW w:w="1418" w:type="dxa"/>
            <w:vAlign w:val="center"/>
          </w:tcPr>
          <w:p w14:paraId="7ECD01F4">
            <w:pPr>
              <w:spacing w:line="400" w:lineRule="exact"/>
              <w:jc w:val="center"/>
              <w:rPr>
                <w:rFonts w:hint="default" w:ascii="Times New Roman" w:hAnsi="Times New Roman" w:cs="Times New Roman"/>
                <w:color w:val="000000"/>
                <w:szCs w:val="21"/>
              </w:rPr>
            </w:pPr>
            <w:r>
              <w:rPr>
                <w:rFonts w:hint="default" w:ascii="Times New Roman" w:hAnsi="Times New Roman" w:cs="Times New Roman"/>
                <w:color w:val="000000"/>
                <w:szCs w:val="21"/>
              </w:rPr>
              <w:t>可编辑</w:t>
            </w:r>
          </w:p>
        </w:tc>
        <w:tc>
          <w:tcPr>
            <w:tcW w:w="1134" w:type="dxa"/>
            <w:vAlign w:val="center"/>
          </w:tcPr>
          <w:p w14:paraId="02CE1C11">
            <w:pPr>
              <w:spacing w:line="400" w:lineRule="exact"/>
              <w:jc w:val="center"/>
              <w:rPr>
                <w:rFonts w:hint="default" w:ascii="Times New Roman" w:hAnsi="Times New Roman" w:cs="Times New Roman"/>
                <w:color w:val="000000"/>
                <w:szCs w:val="21"/>
              </w:rPr>
            </w:pPr>
            <w:r>
              <w:rPr>
                <w:rFonts w:hint="default" w:ascii="Times New Roman" w:hAnsi="Times New Roman" w:cs="Times New Roman"/>
                <w:color w:val="000000"/>
                <w:szCs w:val="21"/>
              </w:rPr>
              <w:t>可编辑</w:t>
            </w:r>
          </w:p>
        </w:tc>
        <w:tc>
          <w:tcPr>
            <w:tcW w:w="861" w:type="dxa"/>
            <w:vAlign w:val="center"/>
          </w:tcPr>
          <w:p w14:paraId="6F8AABD2">
            <w:pPr>
              <w:spacing w:line="400" w:lineRule="exact"/>
              <w:jc w:val="center"/>
              <w:rPr>
                <w:rFonts w:hint="default" w:ascii="Times New Roman" w:hAnsi="Times New Roman" w:cs="Times New Roman"/>
                <w:color w:val="000000"/>
                <w:szCs w:val="21"/>
              </w:rPr>
            </w:pPr>
            <w:r>
              <w:rPr>
                <w:rFonts w:hint="default" w:ascii="Times New Roman" w:hAnsi="Times New Roman" w:cs="Times New Roman"/>
                <w:color w:val="000000"/>
                <w:szCs w:val="21"/>
              </w:rPr>
              <w:t>···</w:t>
            </w:r>
          </w:p>
        </w:tc>
        <w:tc>
          <w:tcPr>
            <w:tcW w:w="1980" w:type="dxa"/>
            <w:vAlign w:val="center"/>
          </w:tcPr>
          <w:p w14:paraId="370D3E13">
            <w:pPr>
              <w:spacing w:line="400" w:lineRule="exact"/>
              <w:jc w:val="center"/>
              <w:rPr>
                <w:rFonts w:hint="default" w:ascii="Times New Roman" w:hAnsi="Times New Roman" w:cs="Times New Roman"/>
                <w:color w:val="000000"/>
                <w:szCs w:val="21"/>
              </w:rPr>
            </w:pPr>
            <w:r>
              <w:rPr>
                <w:rFonts w:hint="default" w:ascii="Times New Roman" w:hAnsi="Times New Roman" w:cs="Times New Roman"/>
                <w:color w:val="000000"/>
                <w:szCs w:val="21"/>
              </w:rPr>
              <w:t>签名</w:t>
            </w:r>
          </w:p>
        </w:tc>
      </w:tr>
      <w:tr w14:paraId="38664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900" w:type="dxa"/>
          </w:tcPr>
          <w:p w14:paraId="51E8CA05">
            <w:pPr>
              <w:rPr>
                <w:rFonts w:hint="default" w:ascii="Times New Roman" w:hAnsi="Times New Roman" w:cs="Times New Roman"/>
                <w:color w:val="000000"/>
                <w:szCs w:val="21"/>
              </w:rPr>
            </w:pPr>
          </w:p>
        </w:tc>
        <w:tc>
          <w:tcPr>
            <w:tcW w:w="2786" w:type="dxa"/>
            <w:gridSpan w:val="2"/>
          </w:tcPr>
          <w:p w14:paraId="7E1EB906">
            <w:pPr>
              <w:rPr>
                <w:rFonts w:hint="default" w:ascii="Times New Roman" w:hAnsi="Times New Roman" w:cs="Times New Roman"/>
                <w:color w:val="000000"/>
                <w:szCs w:val="21"/>
              </w:rPr>
            </w:pPr>
          </w:p>
        </w:tc>
        <w:tc>
          <w:tcPr>
            <w:tcW w:w="1984" w:type="dxa"/>
          </w:tcPr>
          <w:p w14:paraId="6B0B39EF">
            <w:pPr>
              <w:rPr>
                <w:rFonts w:hint="default" w:ascii="Times New Roman" w:hAnsi="Times New Roman" w:cs="Times New Roman"/>
                <w:color w:val="000000"/>
                <w:szCs w:val="21"/>
              </w:rPr>
            </w:pPr>
          </w:p>
        </w:tc>
        <w:tc>
          <w:tcPr>
            <w:tcW w:w="1521" w:type="dxa"/>
          </w:tcPr>
          <w:p w14:paraId="4CB4A227">
            <w:pPr>
              <w:rPr>
                <w:rFonts w:hint="default" w:ascii="Times New Roman" w:hAnsi="Times New Roman" w:cs="Times New Roman"/>
                <w:color w:val="000000"/>
                <w:szCs w:val="21"/>
              </w:rPr>
            </w:pPr>
          </w:p>
        </w:tc>
        <w:tc>
          <w:tcPr>
            <w:tcW w:w="1456" w:type="dxa"/>
          </w:tcPr>
          <w:p w14:paraId="263DF115">
            <w:pPr>
              <w:rPr>
                <w:rFonts w:hint="default" w:ascii="Times New Roman" w:hAnsi="Times New Roman" w:cs="Times New Roman"/>
                <w:color w:val="000000"/>
                <w:szCs w:val="21"/>
              </w:rPr>
            </w:pPr>
          </w:p>
        </w:tc>
        <w:tc>
          <w:tcPr>
            <w:tcW w:w="1418" w:type="dxa"/>
          </w:tcPr>
          <w:p w14:paraId="6557D279">
            <w:pPr>
              <w:rPr>
                <w:rFonts w:hint="default" w:ascii="Times New Roman" w:hAnsi="Times New Roman" w:cs="Times New Roman"/>
                <w:color w:val="000000"/>
                <w:szCs w:val="21"/>
              </w:rPr>
            </w:pPr>
          </w:p>
        </w:tc>
        <w:tc>
          <w:tcPr>
            <w:tcW w:w="1134" w:type="dxa"/>
          </w:tcPr>
          <w:p w14:paraId="25EA503B">
            <w:pPr>
              <w:rPr>
                <w:rFonts w:hint="default" w:ascii="Times New Roman" w:hAnsi="Times New Roman" w:cs="Times New Roman"/>
                <w:color w:val="000000"/>
                <w:szCs w:val="21"/>
              </w:rPr>
            </w:pPr>
          </w:p>
        </w:tc>
        <w:tc>
          <w:tcPr>
            <w:tcW w:w="861" w:type="dxa"/>
            <w:vAlign w:val="center"/>
          </w:tcPr>
          <w:p w14:paraId="61E2C4F4">
            <w:pPr>
              <w:rPr>
                <w:rFonts w:hint="default" w:ascii="Times New Roman" w:hAnsi="Times New Roman" w:cs="Times New Roman"/>
                <w:color w:val="000000"/>
                <w:szCs w:val="21"/>
              </w:rPr>
            </w:pPr>
            <w:r>
              <w:rPr>
                <w:rFonts w:hint="default" w:ascii="Times New Roman" w:hAnsi="Times New Roman" w:cs="Times New Roman"/>
                <w:color w:val="000000"/>
                <w:szCs w:val="21"/>
              </w:rPr>
              <w:t>···</w:t>
            </w:r>
          </w:p>
        </w:tc>
        <w:tc>
          <w:tcPr>
            <w:tcW w:w="1980" w:type="dxa"/>
          </w:tcPr>
          <w:p w14:paraId="4854E51C">
            <w:pPr>
              <w:rPr>
                <w:rFonts w:hint="default" w:ascii="Times New Roman" w:hAnsi="Times New Roman" w:cs="Times New Roman"/>
                <w:color w:val="000000"/>
                <w:szCs w:val="21"/>
              </w:rPr>
            </w:pPr>
          </w:p>
        </w:tc>
      </w:tr>
      <w:tr w14:paraId="2053D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00" w:type="dxa"/>
          </w:tcPr>
          <w:p w14:paraId="1AC84270">
            <w:pPr>
              <w:rPr>
                <w:rFonts w:hint="default" w:ascii="Times New Roman" w:hAnsi="Times New Roman" w:cs="Times New Roman"/>
                <w:color w:val="000000"/>
                <w:szCs w:val="21"/>
              </w:rPr>
            </w:pPr>
          </w:p>
        </w:tc>
        <w:tc>
          <w:tcPr>
            <w:tcW w:w="2786" w:type="dxa"/>
            <w:gridSpan w:val="2"/>
          </w:tcPr>
          <w:p w14:paraId="36AEFEFA">
            <w:pPr>
              <w:rPr>
                <w:rFonts w:hint="default" w:ascii="Times New Roman" w:hAnsi="Times New Roman" w:cs="Times New Roman"/>
                <w:color w:val="000000"/>
                <w:szCs w:val="21"/>
              </w:rPr>
            </w:pPr>
          </w:p>
        </w:tc>
        <w:tc>
          <w:tcPr>
            <w:tcW w:w="1984" w:type="dxa"/>
          </w:tcPr>
          <w:p w14:paraId="4400F23B">
            <w:pPr>
              <w:rPr>
                <w:rFonts w:hint="default" w:ascii="Times New Roman" w:hAnsi="Times New Roman" w:cs="Times New Roman"/>
                <w:color w:val="000000"/>
                <w:szCs w:val="21"/>
              </w:rPr>
            </w:pPr>
          </w:p>
        </w:tc>
        <w:tc>
          <w:tcPr>
            <w:tcW w:w="1521" w:type="dxa"/>
          </w:tcPr>
          <w:p w14:paraId="458AA52B">
            <w:pPr>
              <w:rPr>
                <w:rFonts w:hint="default" w:ascii="Times New Roman" w:hAnsi="Times New Roman" w:cs="Times New Roman"/>
                <w:color w:val="000000"/>
                <w:szCs w:val="21"/>
              </w:rPr>
            </w:pPr>
          </w:p>
        </w:tc>
        <w:tc>
          <w:tcPr>
            <w:tcW w:w="1456" w:type="dxa"/>
          </w:tcPr>
          <w:p w14:paraId="04A1C038">
            <w:pPr>
              <w:rPr>
                <w:rFonts w:hint="default" w:ascii="Times New Roman" w:hAnsi="Times New Roman" w:cs="Times New Roman"/>
                <w:color w:val="000000"/>
                <w:szCs w:val="21"/>
              </w:rPr>
            </w:pPr>
          </w:p>
        </w:tc>
        <w:tc>
          <w:tcPr>
            <w:tcW w:w="1418" w:type="dxa"/>
          </w:tcPr>
          <w:p w14:paraId="0938A424">
            <w:pPr>
              <w:rPr>
                <w:rFonts w:hint="default" w:ascii="Times New Roman" w:hAnsi="Times New Roman" w:cs="Times New Roman"/>
                <w:color w:val="000000"/>
                <w:szCs w:val="21"/>
              </w:rPr>
            </w:pPr>
          </w:p>
        </w:tc>
        <w:tc>
          <w:tcPr>
            <w:tcW w:w="1134" w:type="dxa"/>
          </w:tcPr>
          <w:p w14:paraId="7A906BF1">
            <w:pPr>
              <w:rPr>
                <w:rFonts w:hint="default" w:ascii="Times New Roman" w:hAnsi="Times New Roman" w:cs="Times New Roman"/>
                <w:color w:val="000000"/>
                <w:szCs w:val="21"/>
              </w:rPr>
            </w:pPr>
          </w:p>
        </w:tc>
        <w:tc>
          <w:tcPr>
            <w:tcW w:w="861" w:type="dxa"/>
            <w:vAlign w:val="center"/>
          </w:tcPr>
          <w:p w14:paraId="489792D6">
            <w:pPr>
              <w:rPr>
                <w:rFonts w:hint="default" w:ascii="Times New Roman" w:hAnsi="Times New Roman" w:cs="Times New Roman"/>
                <w:color w:val="000000"/>
                <w:szCs w:val="21"/>
              </w:rPr>
            </w:pPr>
            <w:r>
              <w:rPr>
                <w:rFonts w:hint="default" w:ascii="Times New Roman" w:hAnsi="Times New Roman" w:cs="Times New Roman"/>
                <w:color w:val="000000"/>
                <w:szCs w:val="21"/>
              </w:rPr>
              <w:t>···</w:t>
            </w:r>
          </w:p>
        </w:tc>
        <w:tc>
          <w:tcPr>
            <w:tcW w:w="1980" w:type="dxa"/>
          </w:tcPr>
          <w:p w14:paraId="60AFA273">
            <w:pPr>
              <w:rPr>
                <w:rFonts w:hint="default" w:ascii="Times New Roman" w:hAnsi="Times New Roman" w:cs="Times New Roman"/>
                <w:color w:val="000000"/>
                <w:szCs w:val="21"/>
              </w:rPr>
            </w:pPr>
          </w:p>
        </w:tc>
      </w:tr>
      <w:tr w14:paraId="2E774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900" w:type="dxa"/>
          </w:tcPr>
          <w:p w14:paraId="1558CD28">
            <w:pPr>
              <w:rPr>
                <w:rFonts w:hint="default" w:ascii="Times New Roman" w:hAnsi="Times New Roman" w:cs="Times New Roman"/>
                <w:color w:val="000000"/>
                <w:szCs w:val="21"/>
              </w:rPr>
            </w:pPr>
          </w:p>
        </w:tc>
        <w:tc>
          <w:tcPr>
            <w:tcW w:w="2786" w:type="dxa"/>
            <w:gridSpan w:val="2"/>
          </w:tcPr>
          <w:p w14:paraId="4D4E4F0A">
            <w:pPr>
              <w:rPr>
                <w:rFonts w:hint="default" w:ascii="Times New Roman" w:hAnsi="Times New Roman" w:cs="Times New Roman"/>
                <w:color w:val="000000"/>
                <w:szCs w:val="21"/>
              </w:rPr>
            </w:pPr>
          </w:p>
        </w:tc>
        <w:tc>
          <w:tcPr>
            <w:tcW w:w="1984" w:type="dxa"/>
          </w:tcPr>
          <w:p w14:paraId="2842CEC0">
            <w:pPr>
              <w:rPr>
                <w:rFonts w:hint="default" w:ascii="Times New Roman" w:hAnsi="Times New Roman" w:cs="Times New Roman"/>
                <w:color w:val="000000"/>
                <w:szCs w:val="21"/>
              </w:rPr>
            </w:pPr>
          </w:p>
        </w:tc>
        <w:tc>
          <w:tcPr>
            <w:tcW w:w="1521" w:type="dxa"/>
          </w:tcPr>
          <w:p w14:paraId="20E2228D">
            <w:pPr>
              <w:rPr>
                <w:rFonts w:hint="default" w:ascii="Times New Roman" w:hAnsi="Times New Roman" w:cs="Times New Roman"/>
                <w:color w:val="000000"/>
                <w:szCs w:val="21"/>
              </w:rPr>
            </w:pPr>
          </w:p>
        </w:tc>
        <w:tc>
          <w:tcPr>
            <w:tcW w:w="1456" w:type="dxa"/>
          </w:tcPr>
          <w:p w14:paraId="28C05D48">
            <w:pPr>
              <w:rPr>
                <w:rFonts w:hint="default" w:ascii="Times New Roman" w:hAnsi="Times New Roman" w:cs="Times New Roman"/>
                <w:color w:val="000000"/>
                <w:szCs w:val="21"/>
              </w:rPr>
            </w:pPr>
          </w:p>
        </w:tc>
        <w:tc>
          <w:tcPr>
            <w:tcW w:w="1418" w:type="dxa"/>
          </w:tcPr>
          <w:p w14:paraId="078583D2">
            <w:pPr>
              <w:rPr>
                <w:rFonts w:hint="default" w:ascii="Times New Roman" w:hAnsi="Times New Roman" w:cs="Times New Roman"/>
                <w:color w:val="000000"/>
                <w:szCs w:val="21"/>
              </w:rPr>
            </w:pPr>
          </w:p>
        </w:tc>
        <w:tc>
          <w:tcPr>
            <w:tcW w:w="1134" w:type="dxa"/>
          </w:tcPr>
          <w:p w14:paraId="66A90B04">
            <w:pPr>
              <w:rPr>
                <w:rFonts w:hint="default" w:ascii="Times New Roman" w:hAnsi="Times New Roman" w:cs="Times New Roman"/>
                <w:color w:val="000000"/>
                <w:szCs w:val="21"/>
              </w:rPr>
            </w:pPr>
          </w:p>
        </w:tc>
        <w:tc>
          <w:tcPr>
            <w:tcW w:w="861" w:type="dxa"/>
            <w:vAlign w:val="center"/>
          </w:tcPr>
          <w:p w14:paraId="17E92C06">
            <w:pPr>
              <w:rPr>
                <w:rFonts w:hint="default" w:ascii="Times New Roman" w:hAnsi="Times New Roman" w:cs="Times New Roman"/>
                <w:color w:val="000000"/>
                <w:szCs w:val="21"/>
              </w:rPr>
            </w:pPr>
          </w:p>
        </w:tc>
        <w:tc>
          <w:tcPr>
            <w:tcW w:w="1980" w:type="dxa"/>
          </w:tcPr>
          <w:p w14:paraId="10803533">
            <w:pPr>
              <w:rPr>
                <w:rFonts w:hint="default" w:ascii="Times New Roman" w:hAnsi="Times New Roman" w:cs="Times New Roman"/>
                <w:color w:val="000000"/>
                <w:szCs w:val="21"/>
              </w:rPr>
            </w:pPr>
          </w:p>
        </w:tc>
      </w:tr>
      <w:tr w14:paraId="364D5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900" w:type="dxa"/>
          </w:tcPr>
          <w:p w14:paraId="7BA3D81F">
            <w:pPr>
              <w:rPr>
                <w:rFonts w:hint="default" w:ascii="Times New Roman" w:hAnsi="Times New Roman" w:cs="Times New Roman"/>
                <w:color w:val="000000"/>
                <w:szCs w:val="21"/>
              </w:rPr>
            </w:pPr>
          </w:p>
        </w:tc>
        <w:tc>
          <w:tcPr>
            <w:tcW w:w="2786" w:type="dxa"/>
            <w:gridSpan w:val="2"/>
          </w:tcPr>
          <w:p w14:paraId="7E8CFD54">
            <w:pPr>
              <w:rPr>
                <w:rFonts w:hint="default" w:ascii="Times New Roman" w:hAnsi="Times New Roman" w:cs="Times New Roman"/>
                <w:color w:val="000000"/>
                <w:szCs w:val="21"/>
              </w:rPr>
            </w:pPr>
          </w:p>
        </w:tc>
        <w:tc>
          <w:tcPr>
            <w:tcW w:w="1984" w:type="dxa"/>
          </w:tcPr>
          <w:p w14:paraId="42B3F360">
            <w:pPr>
              <w:rPr>
                <w:rFonts w:hint="default" w:ascii="Times New Roman" w:hAnsi="Times New Roman" w:cs="Times New Roman"/>
                <w:color w:val="000000"/>
                <w:szCs w:val="21"/>
              </w:rPr>
            </w:pPr>
          </w:p>
        </w:tc>
        <w:tc>
          <w:tcPr>
            <w:tcW w:w="1521" w:type="dxa"/>
          </w:tcPr>
          <w:p w14:paraId="2EFD5D8E">
            <w:pPr>
              <w:rPr>
                <w:rFonts w:hint="default" w:ascii="Times New Roman" w:hAnsi="Times New Roman" w:cs="Times New Roman"/>
                <w:color w:val="000000"/>
                <w:szCs w:val="21"/>
              </w:rPr>
            </w:pPr>
          </w:p>
        </w:tc>
        <w:tc>
          <w:tcPr>
            <w:tcW w:w="1456" w:type="dxa"/>
          </w:tcPr>
          <w:p w14:paraId="554C105F">
            <w:pPr>
              <w:rPr>
                <w:rFonts w:hint="default" w:ascii="Times New Roman" w:hAnsi="Times New Roman" w:cs="Times New Roman"/>
                <w:color w:val="000000"/>
                <w:szCs w:val="21"/>
              </w:rPr>
            </w:pPr>
          </w:p>
        </w:tc>
        <w:tc>
          <w:tcPr>
            <w:tcW w:w="1418" w:type="dxa"/>
          </w:tcPr>
          <w:p w14:paraId="61C3E26D">
            <w:pPr>
              <w:rPr>
                <w:rFonts w:hint="default" w:ascii="Times New Roman" w:hAnsi="Times New Roman" w:cs="Times New Roman"/>
                <w:color w:val="000000"/>
                <w:szCs w:val="21"/>
              </w:rPr>
            </w:pPr>
          </w:p>
        </w:tc>
        <w:tc>
          <w:tcPr>
            <w:tcW w:w="1134" w:type="dxa"/>
          </w:tcPr>
          <w:p w14:paraId="17F1A650">
            <w:pPr>
              <w:rPr>
                <w:rFonts w:hint="default" w:ascii="Times New Roman" w:hAnsi="Times New Roman" w:cs="Times New Roman"/>
                <w:color w:val="000000"/>
                <w:szCs w:val="21"/>
              </w:rPr>
            </w:pPr>
          </w:p>
        </w:tc>
        <w:tc>
          <w:tcPr>
            <w:tcW w:w="861" w:type="dxa"/>
            <w:vAlign w:val="center"/>
          </w:tcPr>
          <w:p w14:paraId="47C05E63">
            <w:pPr>
              <w:rPr>
                <w:rFonts w:hint="default" w:ascii="Times New Roman" w:hAnsi="Times New Roman" w:cs="Times New Roman"/>
                <w:color w:val="000000"/>
                <w:szCs w:val="21"/>
              </w:rPr>
            </w:pPr>
          </w:p>
        </w:tc>
        <w:tc>
          <w:tcPr>
            <w:tcW w:w="1980" w:type="dxa"/>
          </w:tcPr>
          <w:p w14:paraId="6E988B22">
            <w:pPr>
              <w:rPr>
                <w:rFonts w:hint="default" w:ascii="Times New Roman" w:hAnsi="Times New Roman" w:cs="Times New Roman"/>
                <w:color w:val="000000"/>
                <w:szCs w:val="21"/>
              </w:rPr>
            </w:pPr>
          </w:p>
        </w:tc>
      </w:tr>
      <w:tr w14:paraId="22BAA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00" w:type="dxa"/>
          </w:tcPr>
          <w:p w14:paraId="693A5010">
            <w:pPr>
              <w:rPr>
                <w:rFonts w:hint="default" w:ascii="Times New Roman" w:hAnsi="Times New Roman" w:cs="Times New Roman"/>
                <w:color w:val="000000"/>
                <w:szCs w:val="21"/>
              </w:rPr>
            </w:pPr>
          </w:p>
        </w:tc>
        <w:tc>
          <w:tcPr>
            <w:tcW w:w="2786" w:type="dxa"/>
            <w:gridSpan w:val="2"/>
          </w:tcPr>
          <w:p w14:paraId="0FCD8A0B">
            <w:pPr>
              <w:rPr>
                <w:rFonts w:hint="default" w:ascii="Times New Roman" w:hAnsi="Times New Roman" w:cs="Times New Roman"/>
                <w:color w:val="000000"/>
                <w:szCs w:val="21"/>
              </w:rPr>
            </w:pPr>
          </w:p>
        </w:tc>
        <w:tc>
          <w:tcPr>
            <w:tcW w:w="1984" w:type="dxa"/>
          </w:tcPr>
          <w:p w14:paraId="1DC65287">
            <w:pPr>
              <w:rPr>
                <w:rFonts w:hint="default" w:ascii="Times New Roman" w:hAnsi="Times New Roman" w:cs="Times New Roman"/>
                <w:color w:val="000000"/>
                <w:szCs w:val="21"/>
              </w:rPr>
            </w:pPr>
          </w:p>
        </w:tc>
        <w:tc>
          <w:tcPr>
            <w:tcW w:w="1521" w:type="dxa"/>
          </w:tcPr>
          <w:p w14:paraId="799240B0">
            <w:pPr>
              <w:rPr>
                <w:rFonts w:hint="default" w:ascii="Times New Roman" w:hAnsi="Times New Roman" w:cs="Times New Roman"/>
                <w:color w:val="000000"/>
                <w:szCs w:val="21"/>
              </w:rPr>
            </w:pPr>
          </w:p>
        </w:tc>
        <w:tc>
          <w:tcPr>
            <w:tcW w:w="1456" w:type="dxa"/>
          </w:tcPr>
          <w:p w14:paraId="46835F7A">
            <w:pPr>
              <w:rPr>
                <w:rFonts w:hint="default" w:ascii="Times New Roman" w:hAnsi="Times New Roman" w:cs="Times New Roman"/>
                <w:color w:val="000000"/>
                <w:szCs w:val="21"/>
              </w:rPr>
            </w:pPr>
          </w:p>
        </w:tc>
        <w:tc>
          <w:tcPr>
            <w:tcW w:w="1418" w:type="dxa"/>
          </w:tcPr>
          <w:p w14:paraId="47C3BE00">
            <w:pPr>
              <w:rPr>
                <w:rFonts w:hint="default" w:ascii="Times New Roman" w:hAnsi="Times New Roman" w:cs="Times New Roman"/>
                <w:color w:val="000000"/>
                <w:szCs w:val="21"/>
              </w:rPr>
            </w:pPr>
          </w:p>
        </w:tc>
        <w:tc>
          <w:tcPr>
            <w:tcW w:w="1134" w:type="dxa"/>
          </w:tcPr>
          <w:p w14:paraId="009E1119">
            <w:pPr>
              <w:rPr>
                <w:rFonts w:hint="default" w:ascii="Times New Roman" w:hAnsi="Times New Roman" w:cs="Times New Roman"/>
                <w:color w:val="000000"/>
                <w:szCs w:val="21"/>
              </w:rPr>
            </w:pPr>
          </w:p>
        </w:tc>
        <w:tc>
          <w:tcPr>
            <w:tcW w:w="861" w:type="dxa"/>
            <w:vAlign w:val="center"/>
          </w:tcPr>
          <w:p w14:paraId="07453C91">
            <w:pPr>
              <w:rPr>
                <w:rFonts w:hint="default" w:ascii="Times New Roman" w:hAnsi="Times New Roman" w:cs="Times New Roman"/>
                <w:color w:val="000000"/>
                <w:szCs w:val="21"/>
              </w:rPr>
            </w:pPr>
          </w:p>
        </w:tc>
        <w:tc>
          <w:tcPr>
            <w:tcW w:w="1980" w:type="dxa"/>
          </w:tcPr>
          <w:p w14:paraId="5E42528A">
            <w:pPr>
              <w:rPr>
                <w:rFonts w:hint="default" w:ascii="Times New Roman" w:hAnsi="Times New Roman" w:cs="Times New Roman"/>
                <w:color w:val="000000"/>
                <w:szCs w:val="21"/>
              </w:rPr>
            </w:pPr>
          </w:p>
        </w:tc>
      </w:tr>
      <w:tr w14:paraId="2743F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552" w:type="dxa"/>
            <w:gridSpan w:val="2"/>
            <w:vAlign w:val="center"/>
          </w:tcPr>
          <w:p w14:paraId="496C45BF">
            <w:pPr>
              <w:ind w:firstLine="315" w:firstLineChars="150"/>
              <w:rPr>
                <w:rFonts w:hint="default" w:ascii="Times New Roman" w:hAnsi="Times New Roman" w:cs="Times New Roman"/>
                <w:color w:val="000000"/>
                <w:szCs w:val="21"/>
              </w:rPr>
            </w:pPr>
            <w:r>
              <w:rPr>
                <w:rFonts w:hint="default" w:ascii="Times New Roman" w:hAnsi="Times New Roman" w:cs="Times New Roman"/>
                <w:color w:val="000000"/>
                <w:szCs w:val="21"/>
              </w:rPr>
              <w:t>□招标控制价</w:t>
            </w:r>
          </w:p>
          <w:p w14:paraId="28026C06">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  □标底（如有）</w:t>
            </w:r>
          </w:p>
        </w:tc>
        <w:tc>
          <w:tcPr>
            <w:tcW w:w="11488" w:type="dxa"/>
            <w:gridSpan w:val="8"/>
            <w:vAlign w:val="center"/>
          </w:tcPr>
          <w:p w14:paraId="311FBEA7">
            <w:pPr>
              <w:jc w:val="left"/>
              <w:rPr>
                <w:rFonts w:hint="default" w:ascii="Times New Roman" w:hAnsi="Times New Roman" w:cs="Times New Roman"/>
                <w:color w:val="000000"/>
                <w:szCs w:val="21"/>
              </w:rPr>
            </w:pPr>
          </w:p>
        </w:tc>
      </w:tr>
      <w:tr w14:paraId="0B7B2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552" w:type="dxa"/>
            <w:gridSpan w:val="2"/>
            <w:vAlign w:val="center"/>
          </w:tcPr>
          <w:p w14:paraId="4FD9519F">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备注</w:t>
            </w:r>
          </w:p>
        </w:tc>
        <w:tc>
          <w:tcPr>
            <w:tcW w:w="11488" w:type="dxa"/>
            <w:gridSpan w:val="8"/>
            <w:vAlign w:val="center"/>
          </w:tcPr>
          <w:p w14:paraId="6A104918">
            <w:pPr>
              <w:jc w:val="left"/>
              <w:rPr>
                <w:rFonts w:hint="default" w:ascii="Times New Roman" w:hAnsi="Times New Roman" w:cs="Times New Roman"/>
                <w:color w:val="000000"/>
                <w:szCs w:val="21"/>
              </w:rPr>
            </w:pPr>
          </w:p>
        </w:tc>
      </w:tr>
    </w:tbl>
    <w:p w14:paraId="675E7397">
      <w:pPr>
        <w:rPr>
          <w:rFonts w:hint="default" w:ascii="Times New Roman" w:hAnsi="Times New Roman" w:cs="Times New Roman"/>
          <w:color w:val="000000"/>
          <w:szCs w:val="21"/>
        </w:rPr>
      </w:pPr>
      <w:r>
        <w:rPr>
          <w:rFonts w:hint="default" w:ascii="Times New Roman" w:hAnsi="Times New Roman" w:cs="Times New Roman"/>
          <w:color w:val="000000"/>
          <w:szCs w:val="21"/>
        </w:rPr>
        <w:t>开标过程异常情况：（若无则不出现）</w:t>
      </w:r>
    </w:p>
    <w:p w14:paraId="09E14CE5">
      <w:pPr>
        <w:rPr>
          <w:rFonts w:hint="default" w:ascii="Times New Roman" w:hAnsi="Times New Roman" w:cs="Times New Roman"/>
          <w:color w:val="000000"/>
          <w:szCs w:val="21"/>
        </w:rPr>
      </w:pPr>
      <w:r>
        <w:rPr>
          <w:rFonts w:hint="default" w:ascii="Times New Roman" w:hAnsi="Times New Roman" w:cs="Times New Roman"/>
          <w:color w:val="000000"/>
          <w:szCs w:val="21"/>
        </w:rPr>
        <w:t xml:space="preserve">招标人代表：                    记录人：                     监标人 ： </w:t>
      </w:r>
    </w:p>
    <w:p w14:paraId="6C9B07E9">
      <w:pPr>
        <w:jc w:val="right"/>
        <w:rPr>
          <w:rFonts w:hint="default" w:ascii="Times New Roman" w:hAnsi="Times New Roman" w:cs="Times New Roman"/>
          <w:color w:val="000000"/>
          <w:szCs w:val="21"/>
        </w:rPr>
        <w:sectPr>
          <w:footerReference r:id="rId6" w:type="default"/>
          <w:pgSz w:w="16840" w:h="11907" w:orient="landscape"/>
          <w:pgMar w:top="1474" w:right="1701" w:bottom="1531" w:left="1588" w:header="851" w:footer="992" w:gutter="0"/>
          <w:cols w:space="720" w:num="1"/>
          <w:docGrid w:linePitch="312" w:charSpace="0"/>
        </w:sectPr>
      </w:pPr>
      <w:r>
        <w:rPr>
          <w:rFonts w:hint="default" w:ascii="Times New Roman" w:hAnsi="Times New Roman" w:cs="Times New Roman"/>
          <w:color w:val="000000"/>
          <w:szCs w:val="21"/>
        </w:rPr>
        <w:t xml:space="preserve"> </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年</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月</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日</w:t>
      </w:r>
    </w:p>
    <w:p w14:paraId="3BBF5116">
      <w:pPr>
        <w:jc w:val="right"/>
        <w:rPr>
          <w:rFonts w:hint="default" w:ascii="Times New Roman" w:hAnsi="Times New Roman" w:cs="Times New Roman"/>
          <w:color w:val="000000"/>
        </w:rPr>
      </w:pPr>
    </w:p>
    <w:p w14:paraId="7C8906AA">
      <w:pPr>
        <w:pStyle w:val="3"/>
        <w:wordWrap w:val="0"/>
        <w:rPr>
          <w:rFonts w:hint="default" w:ascii="Times New Roman" w:hAnsi="Times New Roman" w:cs="Times New Roman"/>
          <w:color w:val="000000"/>
          <w:szCs w:val="32"/>
        </w:rPr>
      </w:pPr>
      <w:bookmarkStart w:id="163" w:name="_Toc491075834"/>
      <w:bookmarkStart w:id="164" w:name="_Toc29815"/>
      <w:r>
        <w:rPr>
          <w:rFonts w:hint="default" w:ascii="Times New Roman" w:hAnsi="Times New Roman" w:cs="Times New Roman"/>
          <w:color w:val="000000"/>
        </w:rPr>
        <w:t>附件七  投标文件问题澄清通知</w:t>
      </w:r>
      <w:bookmarkEnd w:id="157"/>
      <w:bookmarkEnd w:id="158"/>
      <w:bookmarkEnd w:id="159"/>
      <w:bookmarkEnd w:id="160"/>
      <w:bookmarkEnd w:id="161"/>
      <w:bookmarkEnd w:id="162"/>
      <w:bookmarkEnd w:id="163"/>
      <w:bookmarkEnd w:id="164"/>
    </w:p>
    <w:p w14:paraId="24A10EA8">
      <w:pPr>
        <w:wordWrap w:val="0"/>
        <w:spacing w:line="440" w:lineRule="exact"/>
        <w:jc w:val="center"/>
        <w:rPr>
          <w:rFonts w:hint="default" w:ascii="Times New Roman" w:hAnsi="Times New Roman" w:cs="Times New Roman"/>
          <w:color w:val="000000"/>
          <w:szCs w:val="21"/>
        </w:rPr>
      </w:pPr>
    </w:p>
    <w:p w14:paraId="1DF000AB">
      <w:pPr>
        <w:wordWrap w:val="0"/>
        <w:spacing w:line="440" w:lineRule="exact"/>
        <w:jc w:val="cente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rPr>
        <w:t>投标文件问题澄清通知</w:t>
      </w:r>
    </w:p>
    <w:p w14:paraId="7971CFAA">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                                                         编号：</w:t>
      </w:r>
      <w:r>
        <w:rPr>
          <w:rFonts w:hint="default" w:ascii="Times New Roman" w:hAnsi="Times New Roman" w:cs="Times New Roman"/>
          <w:color w:val="000000"/>
          <w:szCs w:val="21"/>
          <w:u w:val="single"/>
        </w:rPr>
        <w:t xml:space="preserve">           </w:t>
      </w:r>
    </w:p>
    <w:p w14:paraId="34F2A19A">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  </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（投标人名称）：</w:t>
      </w:r>
    </w:p>
    <w:p w14:paraId="6D83F8E6">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 </w:t>
      </w:r>
      <w:r>
        <w:rPr>
          <w:rFonts w:hint="default" w:ascii="Times New Roman" w:hAnsi="Times New Roman" w:cs="Times New Roman"/>
          <w:bCs/>
          <w:color w:val="000000"/>
          <w:szCs w:val="21"/>
          <w:u w:val="single"/>
        </w:rPr>
        <w:t xml:space="preserve">             </w:t>
      </w:r>
      <w:r>
        <w:rPr>
          <w:rFonts w:hint="default" w:ascii="Times New Roman" w:hAnsi="Times New Roman" w:cs="Times New Roman"/>
          <w:bCs/>
          <w:color w:val="000000"/>
          <w:szCs w:val="21"/>
        </w:rPr>
        <w:t>（项目名称）</w:t>
      </w:r>
      <w:r>
        <w:rPr>
          <w:rFonts w:hint="default" w:ascii="Times New Roman" w:hAnsi="Times New Roman" w:cs="Times New Roman"/>
          <w:color w:val="000000"/>
          <w:kern w:val="0"/>
          <w:szCs w:val="21"/>
          <w:u w:val="single"/>
        </w:rPr>
        <w:t xml:space="preserve">              </w:t>
      </w:r>
      <w:r>
        <w:rPr>
          <w:rFonts w:hint="default" w:ascii="Times New Roman" w:hAnsi="Times New Roman" w:cs="Times New Roman"/>
          <w:color w:val="000000"/>
        </w:rPr>
        <w:t>（招标编号）</w:t>
      </w:r>
      <w:r>
        <w:rPr>
          <w:rFonts w:hint="default" w:ascii="Times New Roman" w:hAnsi="Times New Roman" w:cs="Times New Roman"/>
          <w:color w:val="000000"/>
          <w:kern w:val="0"/>
          <w:u w:val="single"/>
        </w:rPr>
        <w:t xml:space="preserve">    </w:t>
      </w:r>
      <w:r>
        <w:rPr>
          <w:rFonts w:hint="default" w:ascii="Times New Roman" w:hAnsi="Times New Roman" w:cs="Times New Roman"/>
          <w:color w:val="000000"/>
        </w:rPr>
        <w:t>（</w:t>
      </w:r>
      <w:r>
        <w:rPr>
          <w:rFonts w:hint="default" w:ascii="Times New Roman" w:hAnsi="Times New Roman" w:cs="Times New Roman"/>
          <w:color w:val="000000"/>
          <w:szCs w:val="24"/>
        </w:rPr>
        <w:t>标段/包名称</w:t>
      </w:r>
      <w:r>
        <w:rPr>
          <w:rFonts w:hint="default" w:ascii="Times New Roman" w:hAnsi="Times New Roman" w:cs="Times New Roman"/>
          <w:color w:val="000000"/>
        </w:rPr>
        <w:t>）</w:t>
      </w:r>
      <w:r>
        <w:rPr>
          <w:rFonts w:hint="default" w:ascii="Times New Roman" w:hAnsi="Times New Roman" w:cs="Times New Roman"/>
          <w:color w:val="000000"/>
          <w:szCs w:val="21"/>
        </w:rPr>
        <w:t>招标的评标委员会，对你方的投标文件进行了仔细的审查，现需你方对下列问题以书面形式予以澄清、说明或者补正：</w:t>
      </w:r>
    </w:p>
    <w:p w14:paraId="0AFF9DED">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w:t>
      </w:r>
    </w:p>
    <w:p w14:paraId="227A054A">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    1.</w:t>
      </w:r>
    </w:p>
    <w:p w14:paraId="53C98551">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    2.</w:t>
      </w:r>
    </w:p>
    <w:p w14:paraId="764BE518">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     ......   </w:t>
      </w:r>
    </w:p>
    <w:p w14:paraId="71C139DA">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w:t>
      </w:r>
    </w:p>
    <w:p w14:paraId="352454B3">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请将上述问题的澄清、说明或者补正于</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年</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月</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日</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时前递交至</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（详细地址）或传真至</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（传真号码）。采用传真方式的，应在</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年</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月</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日</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时前将原件递交至</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（详细地址）。</w:t>
      </w:r>
    </w:p>
    <w:p w14:paraId="3004C16B">
      <w:pPr>
        <w:wordWrap w:val="0"/>
        <w:spacing w:line="480" w:lineRule="exact"/>
        <w:ind w:firstLine="630" w:firstLineChars="300"/>
        <w:rPr>
          <w:rFonts w:hint="default" w:ascii="Times New Roman" w:hAnsi="Times New Roman" w:cs="Times New Roman"/>
          <w:color w:val="000000"/>
          <w:szCs w:val="21"/>
        </w:rPr>
      </w:pPr>
      <w:r>
        <w:rPr>
          <w:rFonts w:hint="default" w:ascii="Times New Roman" w:hAnsi="Times New Roman" w:cs="Times New Roman"/>
          <w:bCs/>
          <w:color w:val="000000"/>
          <w:szCs w:val="21"/>
          <w:u w:val="single"/>
        </w:rPr>
        <w:t xml:space="preserve">          </w:t>
      </w:r>
      <w:r>
        <w:rPr>
          <w:rFonts w:hint="default" w:ascii="Times New Roman" w:hAnsi="Times New Roman" w:cs="Times New Roman"/>
          <w:bCs/>
          <w:color w:val="000000"/>
          <w:szCs w:val="21"/>
        </w:rPr>
        <w:t>（项目名称）</w:t>
      </w:r>
      <w:r>
        <w:rPr>
          <w:rFonts w:hint="default" w:ascii="Times New Roman" w:hAnsi="Times New Roman" w:cs="Times New Roman"/>
          <w:color w:val="000000"/>
          <w:kern w:val="0"/>
          <w:szCs w:val="21"/>
          <w:u w:val="single"/>
        </w:rPr>
        <w:t xml:space="preserve">    </w:t>
      </w:r>
      <w:r>
        <w:rPr>
          <w:rFonts w:hint="default" w:ascii="Times New Roman" w:hAnsi="Times New Roman" w:cs="Times New Roman"/>
          <w:color w:val="000000"/>
        </w:rPr>
        <w:t>（招标编号）</w:t>
      </w:r>
      <w:r>
        <w:rPr>
          <w:rFonts w:hint="default" w:ascii="Times New Roman" w:hAnsi="Times New Roman" w:cs="Times New Roman"/>
          <w:color w:val="000000"/>
          <w:kern w:val="0"/>
          <w:u w:val="single"/>
        </w:rPr>
        <w:t xml:space="preserve">    </w:t>
      </w:r>
      <w:r>
        <w:rPr>
          <w:rFonts w:hint="default" w:ascii="Times New Roman" w:hAnsi="Times New Roman" w:cs="Times New Roman"/>
          <w:color w:val="000000"/>
        </w:rPr>
        <w:t>（包件号）</w:t>
      </w:r>
      <w:r>
        <w:rPr>
          <w:rFonts w:hint="default" w:ascii="Times New Roman" w:hAnsi="Times New Roman" w:cs="Times New Roman"/>
          <w:color w:val="000000"/>
          <w:szCs w:val="21"/>
        </w:rPr>
        <w:t>招标评标委员会</w:t>
      </w:r>
    </w:p>
    <w:p w14:paraId="25EA23DC">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rPr>
        <w:t>（经评标委员会授权的招标人代表签字或招标人盖单位章）：</w:t>
      </w:r>
      <w:r>
        <w:rPr>
          <w:rFonts w:hint="default" w:ascii="Times New Roman" w:hAnsi="Times New Roman" w:cs="Times New Roman"/>
          <w:color w:val="000000"/>
          <w:u w:val="single"/>
        </w:rPr>
        <w:t xml:space="preserve">                  </w:t>
      </w:r>
    </w:p>
    <w:p w14:paraId="74F929BF">
      <w:pPr>
        <w:wordWrap w:val="0"/>
        <w:spacing w:line="440" w:lineRule="exact"/>
        <w:ind w:right="480"/>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                                               </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 xml:space="preserve"> 年 </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 xml:space="preserve">月 </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 xml:space="preserve">日   </w:t>
      </w:r>
    </w:p>
    <w:p w14:paraId="0F22EFB8">
      <w:pPr>
        <w:wordWrap w:val="0"/>
        <w:spacing w:line="560" w:lineRule="exact"/>
        <w:rPr>
          <w:rFonts w:hint="default" w:ascii="Times New Roman" w:hAnsi="Times New Roman" w:cs="Times New Roman"/>
          <w:color w:val="000000"/>
          <w:szCs w:val="21"/>
        </w:rPr>
      </w:pPr>
      <w:r>
        <w:rPr>
          <w:rFonts w:hint="default" w:ascii="Times New Roman" w:hAnsi="Times New Roman" w:cs="Times New Roman"/>
          <w:color w:val="000000"/>
          <w:szCs w:val="21"/>
        </w:rPr>
        <w:t>备注：评标委员会要求投标人澄清投标文件有关问题时，适用于本格式。</w:t>
      </w:r>
    </w:p>
    <w:p w14:paraId="67678752">
      <w:pPr>
        <w:rPr>
          <w:rFonts w:hint="default" w:ascii="Times New Roman" w:hAnsi="Times New Roman" w:cs="Times New Roman"/>
          <w:color w:val="000000"/>
          <w:szCs w:val="21"/>
        </w:rPr>
      </w:pPr>
      <w:r>
        <w:rPr>
          <w:rFonts w:hint="default" w:ascii="Times New Roman" w:hAnsi="Times New Roman" w:cs="Times New Roman"/>
          <w:color w:val="000000"/>
        </w:rPr>
        <w:br w:type="page"/>
      </w:r>
    </w:p>
    <w:p w14:paraId="2F63D278">
      <w:pPr>
        <w:pStyle w:val="3"/>
        <w:wordWrap w:val="0"/>
        <w:rPr>
          <w:rFonts w:hint="default" w:ascii="Times New Roman" w:hAnsi="Times New Roman" w:cs="Times New Roman"/>
          <w:color w:val="000000"/>
          <w:szCs w:val="32"/>
        </w:rPr>
      </w:pPr>
      <w:bookmarkStart w:id="165" w:name="_Toc152045583"/>
      <w:bookmarkStart w:id="166" w:name="_Toc179632601"/>
      <w:bookmarkStart w:id="167" w:name="_Toc468288660"/>
      <w:bookmarkStart w:id="168" w:name="_Toc152042360"/>
      <w:bookmarkStart w:id="169" w:name="_Toc491075835"/>
      <w:bookmarkStart w:id="170" w:name="_Toc28096"/>
      <w:bookmarkStart w:id="171" w:name="_Toc144974550"/>
      <w:bookmarkStart w:id="172" w:name="_Toc402465044"/>
      <w:r>
        <w:rPr>
          <w:rFonts w:hint="default" w:ascii="Times New Roman" w:hAnsi="Times New Roman" w:cs="Times New Roman"/>
          <w:color w:val="000000"/>
        </w:rPr>
        <w:t>附件八  投标文件问题的澄清</w:t>
      </w:r>
      <w:bookmarkEnd w:id="165"/>
      <w:bookmarkEnd w:id="166"/>
      <w:bookmarkEnd w:id="167"/>
      <w:bookmarkEnd w:id="168"/>
      <w:bookmarkEnd w:id="169"/>
      <w:bookmarkEnd w:id="170"/>
      <w:bookmarkEnd w:id="171"/>
      <w:bookmarkEnd w:id="172"/>
    </w:p>
    <w:p w14:paraId="35ADA5FF">
      <w:pPr>
        <w:wordWrap w:val="0"/>
        <w:spacing w:line="400" w:lineRule="exact"/>
        <w:jc w:val="center"/>
        <w:rPr>
          <w:rFonts w:hint="default" w:ascii="Times New Roman" w:hAnsi="Times New Roman" w:eastAsia="黑体" w:cs="Times New Roman"/>
          <w:color w:val="000000"/>
          <w:sz w:val="28"/>
          <w:szCs w:val="28"/>
        </w:rPr>
      </w:pPr>
    </w:p>
    <w:p w14:paraId="3C476990">
      <w:pPr>
        <w:wordWrap w:val="0"/>
        <w:spacing w:line="400" w:lineRule="exact"/>
        <w:jc w:val="center"/>
        <w:rPr>
          <w:rFonts w:hint="default" w:ascii="Times New Roman" w:hAnsi="Times New Roman" w:eastAsia="黑体" w:cs="Times New Roman"/>
          <w:color w:val="000000"/>
          <w:sz w:val="28"/>
          <w:szCs w:val="28"/>
        </w:rPr>
      </w:pPr>
      <w:r>
        <w:rPr>
          <w:rFonts w:hint="default" w:ascii="Times New Roman" w:hAnsi="Times New Roman" w:eastAsia="黑体" w:cs="Times New Roman"/>
          <w:color w:val="000000"/>
          <w:sz w:val="28"/>
          <w:szCs w:val="28"/>
        </w:rPr>
        <w:t>投标文件问题的澄清、说明或补正</w:t>
      </w:r>
    </w:p>
    <w:p w14:paraId="21F5D477">
      <w:pPr>
        <w:wordWrap w:val="0"/>
        <w:spacing w:line="400" w:lineRule="exact"/>
        <w:ind w:firstLine="5985" w:firstLineChars="2850"/>
        <w:rPr>
          <w:rFonts w:hint="default" w:ascii="Times New Roman" w:hAnsi="Times New Roman" w:cs="Times New Roman"/>
          <w:color w:val="000000"/>
        </w:rPr>
      </w:pPr>
      <w:r>
        <w:rPr>
          <w:rFonts w:hint="default" w:ascii="Times New Roman" w:hAnsi="Times New Roman" w:cs="Times New Roman"/>
          <w:color w:val="000000"/>
        </w:rPr>
        <w:t>编号：</w:t>
      </w:r>
      <w:r>
        <w:rPr>
          <w:rFonts w:hint="default" w:ascii="Times New Roman" w:hAnsi="Times New Roman" w:cs="Times New Roman"/>
          <w:color w:val="000000"/>
          <w:u w:val="single"/>
        </w:rPr>
        <w:t xml:space="preserve">           </w:t>
      </w:r>
      <w:r>
        <w:rPr>
          <w:rFonts w:hint="default" w:ascii="Times New Roman" w:hAnsi="Times New Roman" w:cs="Times New Roman"/>
          <w:color w:val="000000"/>
        </w:rPr>
        <w:t xml:space="preserve"> </w:t>
      </w:r>
    </w:p>
    <w:p w14:paraId="167F1212">
      <w:pPr>
        <w:wordWrap w:val="0"/>
        <w:spacing w:line="440" w:lineRule="exact"/>
        <w:rPr>
          <w:rFonts w:hint="default" w:ascii="Times New Roman" w:hAnsi="Times New Roman" w:cs="Times New Roman"/>
          <w:color w:val="000000"/>
          <w:szCs w:val="21"/>
        </w:rPr>
      </w:pPr>
      <w:r>
        <w:rPr>
          <w:rFonts w:hint="default" w:ascii="Times New Roman" w:hAnsi="Times New Roman" w:cs="Times New Roman"/>
          <w:bCs/>
          <w:color w:val="000000"/>
          <w:szCs w:val="21"/>
          <w:u w:val="single"/>
        </w:rPr>
        <w:t xml:space="preserve">             </w:t>
      </w:r>
      <w:r>
        <w:rPr>
          <w:rFonts w:hint="default" w:ascii="Times New Roman" w:hAnsi="Times New Roman" w:cs="Times New Roman"/>
          <w:bCs/>
          <w:color w:val="000000"/>
          <w:szCs w:val="21"/>
        </w:rPr>
        <w:t>（项目名称）</w:t>
      </w:r>
      <w:r>
        <w:rPr>
          <w:rFonts w:hint="default" w:ascii="Times New Roman" w:hAnsi="Times New Roman" w:cs="Times New Roman"/>
          <w:color w:val="000000"/>
          <w:kern w:val="0"/>
          <w:szCs w:val="21"/>
          <w:u w:val="single"/>
        </w:rPr>
        <w:t xml:space="preserve">              </w:t>
      </w:r>
      <w:r>
        <w:rPr>
          <w:rFonts w:hint="default" w:ascii="Times New Roman" w:hAnsi="Times New Roman" w:cs="Times New Roman"/>
          <w:color w:val="000000"/>
        </w:rPr>
        <w:t>（招标编号）</w:t>
      </w:r>
      <w:r>
        <w:rPr>
          <w:rFonts w:hint="default" w:ascii="Times New Roman" w:hAnsi="Times New Roman" w:cs="Times New Roman"/>
          <w:color w:val="000000"/>
          <w:kern w:val="0"/>
          <w:u w:val="single"/>
        </w:rPr>
        <w:t xml:space="preserve">    </w:t>
      </w:r>
      <w:r>
        <w:rPr>
          <w:rFonts w:hint="default" w:ascii="Times New Roman" w:hAnsi="Times New Roman" w:cs="Times New Roman"/>
          <w:color w:val="000000"/>
        </w:rPr>
        <w:t>（</w:t>
      </w:r>
      <w:r>
        <w:rPr>
          <w:rFonts w:hint="default" w:ascii="Times New Roman" w:hAnsi="Times New Roman" w:cs="Times New Roman"/>
          <w:color w:val="000000"/>
          <w:szCs w:val="24"/>
        </w:rPr>
        <w:t>标段/包名称</w:t>
      </w:r>
      <w:r>
        <w:rPr>
          <w:rFonts w:hint="default" w:ascii="Times New Roman" w:hAnsi="Times New Roman" w:cs="Times New Roman"/>
          <w:color w:val="000000"/>
        </w:rPr>
        <w:t>）</w:t>
      </w:r>
      <w:r>
        <w:rPr>
          <w:rFonts w:hint="default" w:ascii="Times New Roman" w:hAnsi="Times New Roman" w:cs="Times New Roman"/>
          <w:color w:val="000000"/>
          <w:szCs w:val="21"/>
        </w:rPr>
        <w:t>招标评标委员会：</w:t>
      </w:r>
    </w:p>
    <w:p w14:paraId="311C0075">
      <w:pPr>
        <w:wordWrap w:val="0"/>
        <w:spacing w:line="440" w:lineRule="exact"/>
        <w:rPr>
          <w:rFonts w:hint="default" w:ascii="Times New Roman" w:hAnsi="Times New Roman" w:cs="Times New Roman"/>
          <w:color w:val="000000"/>
          <w:szCs w:val="21"/>
        </w:rPr>
      </w:pPr>
    </w:p>
    <w:p w14:paraId="7913B227">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问题澄清通知（编号：</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）已收悉，现澄清、说明或者补正如下：</w:t>
      </w:r>
    </w:p>
    <w:p w14:paraId="075A230F">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1.</w:t>
      </w:r>
    </w:p>
    <w:p w14:paraId="2F7D3F09">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2.</w:t>
      </w:r>
    </w:p>
    <w:p w14:paraId="1CE2A556">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w:t>
      </w:r>
    </w:p>
    <w:p w14:paraId="79D5F998">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      附件（如有）：</w:t>
      </w:r>
    </w:p>
    <w:p w14:paraId="4B6FB24D">
      <w:pPr>
        <w:wordWrap w:val="0"/>
        <w:spacing w:line="440" w:lineRule="exact"/>
        <w:ind w:firstLine="735" w:firstLineChars="350"/>
        <w:rPr>
          <w:rFonts w:hint="default" w:ascii="Times New Roman" w:hAnsi="Times New Roman" w:cs="Times New Roman"/>
          <w:color w:val="000000"/>
          <w:szCs w:val="21"/>
        </w:rPr>
      </w:pPr>
      <w:r>
        <w:rPr>
          <w:rFonts w:hint="default" w:ascii="Times New Roman" w:hAnsi="Times New Roman" w:cs="Times New Roman"/>
          <w:color w:val="000000"/>
          <w:szCs w:val="21"/>
        </w:rPr>
        <w:t>1.</w:t>
      </w:r>
    </w:p>
    <w:p w14:paraId="686AB4B6">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2.</w:t>
      </w:r>
    </w:p>
    <w:p w14:paraId="6BB0CD1B">
      <w:pPr>
        <w:wordWrap w:val="0"/>
        <w:spacing w:line="440" w:lineRule="exact"/>
        <w:ind w:firstLine="735" w:firstLineChars="350"/>
        <w:rPr>
          <w:rFonts w:hint="default" w:ascii="Times New Roman" w:hAnsi="Times New Roman" w:cs="Times New Roman"/>
          <w:color w:val="000000"/>
          <w:szCs w:val="21"/>
        </w:rPr>
      </w:pPr>
      <w:r>
        <w:rPr>
          <w:rFonts w:hint="default" w:ascii="Times New Roman" w:hAnsi="Times New Roman" w:cs="Times New Roman"/>
          <w:color w:val="000000"/>
          <w:szCs w:val="21"/>
        </w:rPr>
        <w:t>.....</w:t>
      </w:r>
    </w:p>
    <w:p w14:paraId="08AEA9D9">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投标人：</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（盖单位章）</w:t>
      </w:r>
    </w:p>
    <w:p w14:paraId="447E05DB">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法定代表人或其委托代理人：</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（签字）</w:t>
      </w:r>
    </w:p>
    <w:p w14:paraId="40421124">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　　　　　　　　　　　　　　　　　　 </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年</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月</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日</w:t>
      </w:r>
    </w:p>
    <w:p w14:paraId="627ADFEF">
      <w:pPr>
        <w:wordWrap w:val="0"/>
        <w:spacing w:line="400" w:lineRule="exact"/>
        <w:rPr>
          <w:rFonts w:hint="default" w:ascii="Times New Roman" w:hAnsi="Times New Roman" w:cs="Times New Roman"/>
          <w:color w:val="000000"/>
        </w:rPr>
      </w:pPr>
    </w:p>
    <w:p w14:paraId="044A873D">
      <w:pPr>
        <w:wordWrap w:val="0"/>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备注：投标人应评标委员会要求对投标文件有关问题澄清时，适用本格式。</w:t>
      </w:r>
    </w:p>
    <w:p w14:paraId="7D5C3206">
      <w:pPr>
        <w:rPr>
          <w:rFonts w:hint="default" w:ascii="Times New Roman" w:hAnsi="Times New Roman" w:cs="Times New Roman"/>
          <w:color w:val="000000"/>
        </w:rPr>
      </w:pPr>
      <w:r>
        <w:rPr>
          <w:rFonts w:hint="default" w:ascii="Times New Roman" w:hAnsi="Times New Roman" w:cs="Times New Roman"/>
          <w:color w:val="000000"/>
        </w:rPr>
        <w:br w:type="page"/>
      </w:r>
    </w:p>
    <w:p w14:paraId="1E838983">
      <w:pPr>
        <w:pStyle w:val="3"/>
        <w:wordWrap w:val="0"/>
        <w:rPr>
          <w:rFonts w:hint="default" w:ascii="Times New Roman" w:hAnsi="Times New Roman" w:eastAsia="黑体" w:cs="Times New Roman"/>
          <w:b w:val="0"/>
          <w:bCs w:val="0"/>
          <w:color w:val="000000"/>
        </w:rPr>
      </w:pPr>
      <w:bookmarkStart w:id="173" w:name="_Toc17055"/>
      <w:bookmarkStart w:id="174" w:name="_Toc491075836"/>
      <w:bookmarkStart w:id="175" w:name="_Toc468288661"/>
      <w:bookmarkStart w:id="176" w:name="_Toc402465047"/>
      <w:bookmarkStart w:id="177" w:name="_Toc387647230"/>
      <w:r>
        <w:rPr>
          <w:rFonts w:hint="default" w:ascii="Times New Roman" w:hAnsi="Times New Roman" w:cs="Times New Roman"/>
          <w:color w:val="000000"/>
        </w:rPr>
        <w:t>附件九  异议函</w:t>
      </w:r>
      <w:bookmarkEnd w:id="173"/>
      <w:bookmarkEnd w:id="174"/>
      <w:bookmarkEnd w:id="175"/>
      <w:bookmarkEnd w:id="176"/>
      <w:bookmarkEnd w:id="177"/>
    </w:p>
    <w:p w14:paraId="37C39524">
      <w:pPr>
        <w:wordWrap w:val="0"/>
        <w:rPr>
          <w:rFonts w:hint="default" w:ascii="Times New Roman" w:hAnsi="Times New Roman" w:eastAsia="黑体" w:cs="Times New Roman"/>
          <w:b/>
          <w:color w:val="000000"/>
          <w:sz w:val="32"/>
          <w:szCs w:val="32"/>
        </w:rPr>
      </w:pPr>
    </w:p>
    <w:p w14:paraId="50F33288">
      <w:pPr>
        <w:wordWrap w:val="0"/>
        <w:jc w:val="center"/>
        <w:rPr>
          <w:rFonts w:hint="default" w:ascii="Times New Roman" w:hAnsi="Times New Roman" w:eastAsia="黑体" w:cs="Times New Roman"/>
          <w:b/>
          <w:color w:val="000000"/>
          <w:sz w:val="28"/>
          <w:szCs w:val="28"/>
        </w:rPr>
      </w:pPr>
      <w:r>
        <w:rPr>
          <w:rFonts w:hint="default" w:ascii="Times New Roman" w:hAnsi="Times New Roman" w:eastAsia="黑体" w:cs="Times New Roman"/>
          <w:b/>
          <w:color w:val="000000"/>
          <w:sz w:val="28"/>
          <w:szCs w:val="28"/>
        </w:rPr>
        <w:t>异议函</w:t>
      </w:r>
    </w:p>
    <w:p w14:paraId="4EC9A7A5">
      <w:pPr>
        <w:wordWrap w:val="0"/>
        <w:jc w:val="left"/>
        <w:rPr>
          <w:rFonts w:hint="default" w:ascii="Times New Roman" w:hAnsi="Times New Roman" w:cs="Times New Roman"/>
          <w:color w:val="000000"/>
        </w:rPr>
      </w:pPr>
    </w:p>
    <w:p w14:paraId="5920B833">
      <w:pPr>
        <w:wordWrap w:val="0"/>
        <w:jc w:val="center"/>
        <w:rPr>
          <w:rFonts w:hint="default" w:ascii="Times New Roman" w:hAnsi="Times New Roman" w:cs="Times New Roman"/>
          <w:color w:val="000000"/>
        </w:rPr>
      </w:pPr>
      <w:r>
        <w:rPr>
          <w:rFonts w:hint="default" w:ascii="Times New Roman" w:hAnsi="Times New Roman" w:cs="Times New Roman"/>
          <w:color w:val="000000"/>
        </w:rPr>
        <w:t xml:space="preserve">                                  编号：</w:t>
      </w:r>
      <w:r>
        <w:rPr>
          <w:rFonts w:hint="default" w:ascii="Times New Roman" w:hAnsi="Times New Roman" w:cs="Times New Roman"/>
          <w:color w:val="000000"/>
          <w:u w:val="single"/>
        </w:rPr>
        <w:t>　        　</w:t>
      </w:r>
    </w:p>
    <w:p w14:paraId="33E0D1B4">
      <w:pPr>
        <w:wordWrap w:val="0"/>
        <w:spacing w:line="560" w:lineRule="exact"/>
        <w:rPr>
          <w:rFonts w:hint="default" w:ascii="Times New Roman" w:hAnsi="Times New Roman" w:cs="Times New Roman"/>
          <w:color w:val="000000"/>
          <w:szCs w:val="21"/>
        </w:rPr>
      </w:pPr>
      <w:r>
        <w:rPr>
          <w:rFonts w:hint="default" w:ascii="Times New Roman" w:hAnsi="Times New Roman" w:cs="Times New Roman"/>
          <w:color w:val="000000"/>
          <w:u w:val="single"/>
        </w:rPr>
        <w:t>　　</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（招标人名称）：</w:t>
      </w:r>
    </w:p>
    <w:p w14:paraId="5050DAC6">
      <w:pPr>
        <w:wordWrap w:val="0"/>
        <w:spacing w:line="560" w:lineRule="exact"/>
        <w:rPr>
          <w:rFonts w:hint="default" w:ascii="Times New Roman" w:hAnsi="Times New Roman" w:cs="Times New Roman"/>
          <w:color w:val="000000"/>
          <w:szCs w:val="21"/>
        </w:rPr>
      </w:pPr>
      <w:r>
        <w:rPr>
          <w:rFonts w:hint="default" w:ascii="Times New Roman" w:hAnsi="Times New Roman" w:cs="Times New Roman"/>
          <w:color w:val="000000"/>
          <w:szCs w:val="21"/>
        </w:rPr>
        <w:t>　　我方已研究（看到）你方发出的</w:t>
      </w:r>
      <w:r>
        <w:rPr>
          <w:rFonts w:hint="default" w:ascii="Times New Roman" w:hAnsi="Times New Roman" w:cs="Times New Roman"/>
          <w:bCs/>
          <w:color w:val="000000"/>
          <w:szCs w:val="21"/>
          <w:u w:val="single"/>
        </w:rPr>
        <w:t xml:space="preserve">             </w:t>
      </w:r>
      <w:r>
        <w:rPr>
          <w:rFonts w:hint="default" w:ascii="Times New Roman" w:hAnsi="Times New Roman" w:cs="Times New Roman"/>
          <w:bCs/>
          <w:color w:val="000000"/>
          <w:szCs w:val="21"/>
        </w:rPr>
        <w:t>（项目名称）</w:t>
      </w:r>
      <w:r>
        <w:rPr>
          <w:rFonts w:hint="default" w:ascii="Times New Roman" w:hAnsi="Times New Roman" w:cs="Times New Roman"/>
          <w:color w:val="000000"/>
          <w:kern w:val="0"/>
          <w:szCs w:val="21"/>
          <w:u w:val="single"/>
        </w:rPr>
        <w:t xml:space="preserve">              </w:t>
      </w:r>
      <w:r>
        <w:rPr>
          <w:rFonts w:hint="default" w:ascii="Times New Roman" w:hAnsi="Times New Roman" w:cs="Times New Roman"/>
          <w:color w:val="000000"/>
        </w:rPr>
        <w:t>（招标编号）</w:t>
      </w:r>
      <w:r>
        <w:rPr>
          <w:rFonts w:hint="default" w:ascii="Times New Roman" w:hAnsi="Times New Roman" w:cs="Times New Roman"/>
          <w:color w:val="000000"/>
          <w:kern w:val="0"/>
          <w:u w:val="single"/>
        </w:rPr>
        <w:t xml:space="preserve">    </w:t>
      </w:r>
      <w:r>
        <w:rPr>
          <w:rFonts w:hint="default" w:ascii="Times New Roman" w:hAnsi="Times New Roman" w:cs="Times New Roman"/>
          <w:color w:val="000000"/>
        </w:rPr>
        <w:t>（</w:t>
      </w:r>
      <w:r>
        <w:rPr>
          <w:rFonts w:hint="default" w:ascii="Times New Roman" w:hAnsi="Times New Roman" w:cs="Times New Roman"/>
          <w:color w:val="000000"/>
          <w:szCs w:val="24"/>
        </w:rPr>
        <w:t>标段/包名称</w:t>
      </w:r>
      <w:r>
        <w:rPr>
          <w:rFonts w:hint="default" w:ascii="Times New Roman" w:hAnsi="Times New Roman" w:cs="Times New Roman"/>
          <w:color w:val="000000"/>
        </w:rPr>
        <w:t>）</w:t>
      </w:r>
      <w:r>
        <w:rPr>
          <w:rFonts w:hint="default" w:ascii="Times New Roman" w:hAnsi="Times New Roman" w:cs="Times New Roman"/>
          <w:color w:val="000000"/>
          <w:szCs w:val="21"/>
        </w:rPr>
        <w:t>招标文件（或评标结果公示），现对下列问题提出异议，请予以解释：</w:t>
      </w:r>
    </w:p>
    <w:p w14:paraId="601A1B2A">
      <w:pPr>
        <w:wordWrap w:val="0"/>
        <w:spacing w:line="560" w:lineRule="exact"/>
        <w:rPr>
          <w:rFonts w:hint="default" w:ascii="Times New Roman" w:hAnsi="Times New Roman" w:cs="Times New Roman"/>
          <w:color w:val="000000"/>
          <w:szCs w:val="21"/>
        </w:rPr>
      </w:pPr>
      <w:r>
        <w:rPr>
          <w:rFonts w:hint="default" w:ascii="Times New Roman" w:hAnsi="Times New Roman" w:cs="Times New Roman"/>
          <w:color w:val="000000"/>
          <w:szCs w:val="21"/>
        </w:rPr>
        <w:t>　　1.……</w:t>
      </w:r>
    </w:p>
    <w:p w14:paraId="50C944C2">
      <w:pPr>
        <w:wordWrap w:val="0"/>
        <w:spacing w:line="560" w:lineRule="exact"/>
        <w:rPr>
          <w:rFonts w:hint="default" w:ascii="Times New Roman" w:hAnsi="Times New Roman" w:cs="Times New Roman"/>
          <w:color w:val="000000"/>
          <w:szCs w:val="21"/>
        </w:rPr>
      </w:pPr>
      <w:r>
        <w:rPr>
          <w:rFonts w:hint="default" w:ascii="Times New Roman" w:hAnsi="Times New Roman" w:cs="Times New Roman"/>
          <w:color w:val="000000"/>
          <w:szCs w:val="21"/>
        </w:rPr>
        <w:t>　　2.……</w:t>
      </w:r>
    </w:p>
    <w:p w14:paraId="35100D3F">
      <w:pPr>
        <w:wordWrap w:val="0"/>
        <w:spacing w:line="560" w:lineRule="exact"/>
        <w:rPr>
          <w:rFonts w:hint="default" w:ascii="Times New Roman" w:hAnsi="Times New Roman" w:cs="Times New Roman"/>
          <w:color w:val="000000"/>
          <w:szCs w:val="21"/>
        </w:rPr>
      </w:pPr>
    </w:p>
    <w:p w14:paraId="7A7B91A0">
      <w:pPr>
        <w:wordWrap w:val="0"/>
        <w:spacing w:line="560" w:lineRule="exact"/>
        <w:rPr>
          <w:rFonts w:hint="default" w:ascii="Times New Roman" w:hAnsi="Times New Roman" w:cs="Times New Roman"/>
          <w:color w:val="000000"/>
          <w:szCs w:val="21"/>
        </w:rPr>
      </w:pPr>
      <w:r>
        <w:rPr>
          <w:rFonts w:hint="default" w:ascii="Times New Roman" w:hAnsi="Times New Roman" w:cs="Times New Roman"/>
          <w:color w:val="000000"/>
          <w:szCs w:val="21"/>
        </w:rPr>
        <w:t>　　　　　　　　　　　　　　　　　投标人或利害关系人：</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 xml:space="preserve"> （盖单位章）</w:t>
      </w:r>
    </w:p>
    <w:p w14:paraId="2345529B">
      <w:pPr>
        <w:wordWrap w:val="0"/>
        <w:spacing w:line="560" w:lineRule="exact"/>
        <w:rPr>
          <w:rFonts w:hint="default" w:ascii="Times New Roman" w:hAnsi="Times New Roman" w:cs="Times New Roman"/>
          <w:color w:val="000000"/>
          <w:szCs w:val="21"/>
        </w:rPr>
      </w:pPr>
      <w:r>
        <w:rPr>
          <w:rFonts w:hint="default" w:ascii="Times New Roman" w:hAnsi="Times New Roman" w:cs="Times New Roman"/>
          <w:color w:val="000000"/>
          <w:szCs w:val="21"/>
        </w:rPr>
        <w:t>　　　　　　　　　　　　　　　　　法定代表人或其委托代理人：</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（签字）</w:t>
      </w:r>
    </w:p>
    <w:p w14:paraId="6EAEB48D">
      <w:pPr>
        <w:wordWrap w:val="0"/>
        <w:spacing w:line="56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　　　　　　　　　　　　　　　　　　　　　　　　  　　  </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年</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月</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 xml:space="preserve">日 </w:t>
      </w:r>
    </w:p>
    <w:p w14:paraId="4DC050A7">
      <w:pPr>
        <w:wordWrap w:val="0"/>
        <w:spacing w:line="400" w:lineRule="exact"/>
        <w:ind w:left="630" w:hanging="630" w:hangingChars="300"/>
        <w:rPr>
          <w:rFonts w:hint="default" w:ascii="Times New Roman" w:hAnsi="Times New Roman" w:cs="Times New Roman"/>
          <w:color w:val="000000"/>
          <w:szCs w:val="21"/>
        </w:rPr>
      </w:pPr>
      <w:r>
        <w:rPr>
          <w:rFonts w:hint="default" w:ascii="Times New Roman" w:hAnsi="Times New Roman" w:cs="Times New Roman"/>
          <w:color w:val="000000"/>
          <w:szCs w:val="21"/>
        </w:rPr>
        <w:t>备注：投标人或利害关系人对招标文件的内容或对</w:t>
      </w:r>
      <w:r>
        <w:rPr>
          <w:rFonts w:hint="default" w:ascii="Times New Roman" w:hAnsi="Times New Roman" w:cs="Times New Roman"/>
          <w:color w:val="000000"/>
        </w:rPr>
        <w:t>评标结果有异议，</w:t>
      </w:r>
      <w:r>
        <w:rPr>
          <w:rFonts w:hint="default" w:ascii="Times New Roman" w:hAnsi="Times New Roman" w:cs="Times New Roman"/>
          <w:color w:val="000000"/>
          <w:szCs w:val="21"/>
        </w:rPr>
        <w:t>要求招标人解释的，适用本格式。</w:t>
      </w:r>
    </w:p>
    <w:p w14:paraId="63E82442">
      <w:pPr>
        <w:rPr>
          <w:rFonts w:hint="default" w:ascii="Times New Roman" w:hAnsi="Times New Roman" w:cs="Times New Roman"/>
          <w:color w:val="000000"/>
        </w:rPr>
      </w:pPr>
      <w:r>
        <w:rPr>
          <w:rFonts w:hint="default" w:ascii="Times New Roman" w:hAnsi="Times New Roman" w:cs="Times New Roman"/>
          <w:color w:val="000000"/>
        </w:rPr>
        <w:br w:type="page"/>
      </w:r>
    </w:p>
    <w:p w14:paraId="15F615EC">
      <w:pPr>
        <w:pStyle w:val="3"/>
        <w:wordWrap w:val="0"/>
        <w:rPr>
          <w:rFonts w:hint="default" w:ascii="Times New Roman" w:hAnsi="Times New Roman" w:cs="Times New Roman"/>
          <w:color w:val="000000"/>
          <w:szCs w:val="32"/>
        </w:rPr>
      </w:pPr>
      <w:bookmarkStart w:id="178" w:name="_Toc402465048"/>
      <w:bookmarkStart w:id="179" w:name="_Toc468288662"/>
      <w:bookmarkStart w:id="180" w:name="_Toc13057"/>
      <w:bookmarkStart w:id="181" w:name="_Toc491075837"/>
      <w:bookmarkStart w:id="182" w:name="_Toc387647231"/>
      <w:r>
        <w:rPr>
          <w:rFonts w:hint="default" w:ascii="Times New Roman" w:hAnsi="Times New Roman" w:cs="Times New Roman"/>
          <w:color w:val="000000"/>
        </w:rPr>
        <w:t>附件十 异议答复函</w:t>
      </w:r>
      <w:bookmarkEnd w:id="178"/>
      <w:bookmarkEnd w:id="179"/>
      <w:bookmarkEnd w:id="180"/>
      <w:bookmarkEnd w:id="181"/>
      <w:bookmarkEnd w:id="182"/>
    </w:p>
    <w:p w14:paraId="7FCA5F03">
      <w:pPr>
        <w:wordWrap w:val="0"/>
        <w:rPr>
          <w:rFonts w:hint="default" w:ascii="Times New Roman" w:hAnsi="Times New Roman" w:cs="Times New Roman"/>
          <w:color w:val="000000"/>
        </w:rPr>
      </w:pPr>
    </w:p>
    <w:p w14:paraId="47A477F7">
      <w:pPr>
        <w:wordWrap w:val="0"/>
        <w:jc w:val="center"/>
        <w:rPr>
          <w:rFonts w:hint="default" w:ascii="Times New Roman" w:hAnsi="Times New Roman" w:eastAsia="黑体" w:cs="Times New Roman"/>
          <w:b/>
          <w:color w:val="000000"/>
          <w:sz w:val="28"/>
          <w:szCs w:val="28"/>
        </w:rPr>
      </w:pPr>
      <w:r>
        <w:rPr>
          <w:rFonts w:hint="default" w:ascii="Times New Roman" w:hAnsi="Times New Roman" w:eastAsia="黑体" w:cs="Times New Roman"/>
          <w:b/>
          <w:color w:val="000000"/>
          <w:sz w:val="28"/>
          <w:szCs w:val="28"/>
        </w:rPr>
        <w:t>异议答复函</w:t>
      </w:r>
    </w:p>
    <w:p w14:paraId="4A64FDEB">
      <w:pPr>
        <w:wordWrap w:val="0"/>
        <w:jc w:val="left"/>
        <w:rPr>
          <w:rFonts w:hint="default" w:ascii="Times New Roman" w:hAnsi="Times New Roman" w:cs="Times New Roman"/>
          <w:color w:val="000000"/>
        </w:rPr>
      </w:pPr>
    </w:p>
    <w:p w14:paraId="71AEB3BC">
      <w:pPr>
        <w:wordWrap w:val="0"/>
        <w:jc w:val="center"/>
        <w:rPr>
          <w:rFonts w:hint="default" w:ascii="Times New Roman" w:hAnsi="Times New Roman" w:cs="Times New Roman"/>
          <w:color w:val="000000"/>
        </w:rPr>
      </w:pPr>
      <w:r>
        <w:rPr>
          <w:rFonts w:hint="default" w:ascii="Times New Roman" w:hAnsi="Times New Roman" w:cs="Times New Roman"/>
          <w:color w:val="000000"/>
        </w:rPr>
        <w:t xml:space="preserve">                                  编号：</w:t>
      </w:r>
      <w:r>
        <w:rPr>
          <w:rFonts w:hint="default" w:ascii="Times New Roman" w:hAnsi="Times New Roman" w:cs="Times New Roman"/>
          <w:color w:val="000000"/>
          <w:u w:val="single"/>
        </w:rPr>
        <w:t>　        　</w:t>
      </w:r>
    </w:p>
    <w:p w14:paraId="559B85B0">
      <w:pPr>
        <w:wordWrap w:val="0"/>
        <w:spacing w:line="560" w:lineRule="exact"/>
        <w:rPr>
          <w:rFonts w:hint="default" w:ascii="Times New Roman" w:hAnsi="Times New Roman" w:cs="Times New Roman"/>
          <w:color w:val="000000"/>
          <w:szCs w:val="21"/>
        </w:rPr>
      </w:pPr>
      <w:r>
        <w:rPr>
          <w:rFonts w:hint="default" w:ascii="Times New Roman" w:hAnsi="Times New Roman" w:cs="Times New Roman"/>
          <w:color w:val="000000"/>
          <w:u w:val="single"/>
        </w:rPr>
        <w:t>　　</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（投标人或利害关系人名称）：</w:t>
      </w:r>
    </w:p>
    <w:p w14:paraId="186EEA62">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你方提出的有关</w:t>
      </w:r>
      <w:r>
        <w:rPr>
          <w:rFonts w:hint="default" w:ascii="Times New Roman" w:hAnsi="Times New Roman" w:cs="Times New Roman"/>
          <w:bCs/>
          <w:color w:val="000000"/>
          <w:szCs w:val="21"/>
          <w:u w:val="single"/>
        </w:rPr>
        <w:t xml:space="preserve">             </w:t>
      </w:r>
      <w:r>
        <w:rPr>
          <w:rFonts w:hint="default" w:ascii="Times New Roman" w:hAnsi="Times New Roman" w:cs="Times New Roman"/>
          <w:bCs/>
          <w:color w:val="000000"/>
          <w:szCs w:val="21"/>
        </w:rPr>
        <w:t>（项目名称）</w:t>
      </w:r>
      <w:r>
        <w:rPr>
          <w:rFonts w:hint="default" w:ascii="Times New Roman" w:hAnsi="Times New Roman" w:cs="Times New Roman"/>
          <w:color w:val="000000"/>
          <w:kern w:val="0"/>
          <w:szCs w:val="21"/>
          <w:u w:val="single"/>
        </w:rPr>
        <w:t xml:space="preserve">              </w:t>
      </w:r>
      <w:r>
        <w:rPr>
          <w:rFonts w:hint="default" w:ascii="Times New Roman" w:hAnsi="Times New Roman" w:cs="Times New Roman"/>
          <w:color w:val="000000"/>
        </w:rPr>
        <w:t>（招标编号）</w:t>
      </w:r>
      <w:r>
        <w:rPr>
          <w:rFonts w:hint="default" w:ascii="Times New Roman" w:hAnsi="Times New Roman" w:cs="Times New Roman"/>
          <w:color w:val="000000"/>
          <w:kern w:val="0"/>
          <w:u w:val="single"/>
        </w:rPr>
        <w:t xml:space="preserve">    </w:t>
      </w:r>
      <w:r>
        <w:rPr>
          <w:rFonts w:hint="default" w:ascii="Times New Roman" w:hAnsi="Times New Roman" w:cs="Times New Roman"/>
          <w:color w:val="000000"/>
        </w:rPr>
        <w:t>（</w:t>
      </w:r>
      <w:r>
        <w:rPr>
          <w:rFonts w:hint="default" w:ascii="Times New Roman" w:hAnsi="Times New Roman" w:cs="Times New Roman"/>
          <w:color w:val="000000"/>
          <w:szCs w:val="24"/>
        </w:rPr>
        <w:t>标段/包名称</w:t>
      </w:r>
      <w:r>
        <w:rPr>
          <w:rFonts w:hint="default" w:ascii="Times New Roman" w:hAnsi="Times New Roman" w:cs="Times New Roman"/>
          <w:color w:val="000000"/>
        </w:rPr>
        <w:t>）</w:t>
      </w:r>
      <w:r>
        <w:rPr>
          <w:rFonts w:hint="default" w:ascii="Times New Roman" w:hAnsi="Times New Roman" w:cs="Times New Roman"/>
          <w:color w:val="000000"/>
          <w:szCs w:val="21"/>
        </w:rPr>
        <w:t>招标文件（或评标结果公示）的异议已收悉，现答复如下：</w:t>
      </w:r>
    </w:p>
    <w:p w14:paraId="4C5A67E2">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1.……</w:t>
      </w:r>
    </w:p>
    <w:p w14:paraId="69DD0E9E">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2.……</w:t>
      </w:r>
    </w:p>
    <w:p w14:paraId="79397CC0">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w:t>
      </w:r>
    </w:p>
    <w:p w14:paraId="35BBE8BD">
      <w:pPr>
        <w:wordWrap w:val="0"/>
        <w:spacing w:line="560" w:lineRule="exact"/>
        <w:rPr>
          <w:rFonts w:hint="default" w:ascii="Times New Roman" w:hAnsi="Times New Roman" w:cs="Times New Roman"/>
          <w:color w:val="000000"/>
          <w:szCs w:val="21"/>
        </w:rPr>
      </w:pPr>
    </w:p>
    <w:p w14:paraId="397BE8A7">
      <w:pPr>
        <w:wordWrap w:val="0"/>
        <w:spacing w:line="560" w:lineRule="exact"/>
        <w:rPr>
          <w:rFonts w:hint="default" w:ascii="Times New Roman" w:hAnsi="Times New Roman" w:cs="Times New Roman"/>
          <w:color w:val="000000"/>
          <w:szCs w:val="21"/>
        </w:rPr>
      </w:pPr>
    </w:p>
    <w:p w14:paraId="62938EDD">
      <w:pPr>
        <w:wordWrap w:val="0"/>
        <w:spacing w:line="440" w:lineRule="exact"/>
        <w:rPr>
          <w:rFonts w:hint="default" w:ascii="Times New Roman" w:hAnsi="Times New Roman" w:cs="Times New Roman"/>
          <w:color w:val="000000"/>
          <w:szCs w:val="21"/>
        </w:rPr>
      </w:pPr>
    </w:p>
    <w:p w14:paraId="1F9287A1">
      <w:pPr>
        <w:wordWrap w:val="0"/>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                                             招标人：</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（盖单位章）</w:t>
      </w:r>
    </w:p>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14:paraId="5C697854">
      <w:pPr>
        <w:wordWrap w:val="0"/>
        <w:spacing w:line="56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 xml:space="preserve">                                                    </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年</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月</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日</w:t>
      </w:r>
    </w:p>
    <w:p w14:paraId="1B530575">
      <w:pPr>
        <w:rPr>
          <w:rFonts w:hint="default" w:ascii="Times New Roman" w:hAnsi="Times New Roman" w:cs="Times New Roman"/>
          <w:color w:val="000000"/>
        </w:rPr>
      </w:pPr>
      <w:r>
        <w:rPr>
          <w:rFonts w:hint="default" w:ascii="Times New Roman" w:hAnsi="Times New Roman" w:cs="Times New Roman"/>
          <w:color w:val="000000"/>
        </w:rPr>
        <w:br w:type="page"/>
      </w:r>
    </w:p>
    <w:p w14:paraId="7BD11529">
      <w:pPr>
        <w:pStyle w:val="3"/>
        <w:wordWrap w:val="0"/>
        <w:rPr>
          <w:rFonts w:hint="default" w:ascii="Times New Roman" w:hAnsi="Times New Roman" w:eastAsia="黑体" w:cs="Times New Roman"/>
          <w:b w:val="0"/>
          <w:bCs w:val="0"/>
          <w:color w:val="000000"/>
          <w:szCs w:val="32"/>
        </w:rPr>
      </w:pPr>
      <w:bookmarkStart w:id="183" w:name="_Toc225412255"/>
      <w:bookmarkStart w:id="184" w:name="_Toc225411535"/>
      <w:bookmarkStart w:id="185" w:name="_Toc491075838"/>
      <w:bookmarkStart w:id="186" w:name="_Toc225409717"/>
      <w:bookmarkStart w:id="187" w:name="_Toc16715"/>
      <w:bookmarkStart w:id="188" w:name="_Toc168286983"/>
      <w:bookmarkStart w:id="189" w:name="_Toc162622247"/>
      <w:bookmarkStart w:id="190" w:name="_Toc210327519"/>
      <w:bookmarkStart w:id="191" w:name="_Toc225411457"/>
      <w:bookmarkStart w:id="192" w:name="_Toc225415538"/>
      <w:bookmarkStart w:id="193" w:name="_Toc225409568"/>
      <w:bookmarkStart w:id="194" w:name="_Toc468288663"/>
      <w:bookmarkStart w:id="195" w:name="_Toc225409833"/>
      <w:bookmarkStart w:id="196" w:name="_Toc162619012"/>
      <w:bookmarkStart w:id="197" w:name="_Toc225415739"/>
      <w:bookmarkStart w:id="198" w:name="_Toc244342953"/>
      <w:bookmarkStart w:id="199" w:name="_Toc210355381"/>
      <w:bookmarkStart w:id="200" w:name="_Toc225410049"/>
      <w:bookmarkStart w:id="201" w:name="_Toc225412053"/>
      <w:bookmarkStart w:id="202" w:name="_Toc210364705"/>
      <w:bookmarkStart w:id="203" w:name="_Toc225415940"/>
      <w:bookmarkStart w:id="204" w:name="_Toc225396600"/>
      <w:bookmarkStart w:id="205" w:name="_Toc218828569"/>
      <w:bookmarkStart w:id="206" w:name="_Toc225410681"/>
      <w:r>
        <w:rPr>
          <w:rFonts w:hint="default" w:ascii="Times New Roman" w:hAnsi="Times New Roman" w:cs="Times New Roman"/>
          <w:color w:val="000000"/>
        </w:rPr>
        <w:t>附件十一  中标通知书</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504189CF">
      <w:pPr>
        <w:wordWrap w:val="0"/>
        <w:spacing w:line="400" w:lineRule="exact"/>
        <w:ind w:firstLine="420" w:firstLineChars="200"/>
        <w:rPr>
          <w:rFonts w:hint="default" w:ascii="Times New Roman" w:hAnsi="Times New Roman" w:cs="Times New Roman"/>
          <w:color w:val="000000"/>
          <w:szCs w:val="28"/>
        </w:rPr>
      </w:pPr>
    </w:p>
    <w:p w14:paraId="1A347A38">
      <w:pPr>
        <w:wordWrap w:val="0"/>
        <w:jc w:val="cente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rPr>
        <w:t>中标通知书</w:t>
      </w:r>
    </w:p>
    <w:p w14:paraId="74A8BFFF">
      <w:pPr>
        <w:wordWrap w:val="0"/>
        <w:rPr>
          <w:rFonts w:hint="default" w:ascii="Times New Roman" w:hAnsi="Times New Roman" w:cs="Times New Roman"/>
          <w:color w:val="000000"/>
        </w:rPr>
      </w:pPr>
    </w:p>
    <w:p w14:paraId="64AE4342">
      <w:pPr>
        <w:wordWrap w:val="0"/>
        <w:rPr>
          <w:rFonts w:hint="default" w:ascii="Times New Roman" w:hAnsi="Times New Roman" w:cs="Times New Roman"/>
          <w:color w:val="000000"/>
          <w:szCs w:val="21"/>
        </w:rPr>
      </w:pP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（中标人名称）：</w:t>
      </w:r>
    </w:p>
    <w:p w14:paraId="306CB8D9">
      <w:pPr>
        <w:wordWrap w:val="0"/>
        <w:rPr>
          <w:rFonts w:hint="default" w:ascii="Times New Roman" w:hAnsi="Times New Roman" w:cs="Times New Roman"/>
          <w:color w:val="000000"/>
          <w:szCs w:val="21"/>
        </w:rPr>
      </w:pPr>
    </w:p>
    <w:p w14:paraId="3CA6B348">
      <w:pPr>
        <w:pStyle w:val="31"/>
        <w:wordWrap w:val="0"/>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你方于</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（投标日期）所递交的</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（项目名称）</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（招标编号、</w:t>
      </w:r>
      <w:r>
        <w:rPr>
          <w:rFonts w:hint="default" w:ascii="Times New Roman" w:hAnsi="Times New Roman" w:cs="Times New Roman"/>
          <w:color w:val="000000"/>
          <w:szCs w:val="24"/>
        </w:rPr>
        <w:t>标段/包名称</w:t>
      </w:r>
      <w:r>
        <w:rPr>
          <w:rFonts w:hint="default" w:ascii="Times New Roman" w:hAnsi="Times New Roman" w:cs="Times New Roman"/>
          <w:color w:val="000000"/>
          <w:sz w:val="21"/>
          <w:szCs w:val="21"/>
        </w:rPr>
        <w:t>）投标文件已被我方接受，被确定为中标人。</w:t>
      </w:r>
    </w:p>
    <w:p w14:paraId="7FF3A1BF">
      <w:pPr>
        <w:pStyle w:val="31"/>
        <w:wordWrap w:val="0"/>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中标价：</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元。</w:t>
      </w:r>
    </w:p>
    <w:p w14:paraId="40B9DF06">
      <w:pPr>
        <w:pStyle w:val="31"/>
        <w:wordWrap w:val="0"/>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请你方在接到本通知书后的</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日内到</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（指定地点）与我方签订合同，在此之前按招标文件第二章“投标人须知”第7.4款规定向我方提交履约担保。</w:t>
      </w:r>
    </w:p>
    <w:p w14:paraId="63EEE80C">
      <w:pPr>
        <w:wordWrap w:val="0"/>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特此通知。</w:t>
      </w:r>
    </w:p>
    <w:p w14:paraId="5C9CF321">
      <w:pPr>
        <w:wordWrap w:val="0"/>
        <w:spacing w:line="400" w:lineRule="exact"/>
        <w:ind w:firstLine="420" w:firstLineChars="200"/>
        <w:rPr>
          <w:rFonts w:hint="default" w:ascii="Times New Roman" w:hAnsi="Times New Roman" w:cs="Times New Roman"/>
          <w:color w:val="000000"/>
          <w:szCs w:val="21"/>
        </w:rPr>
      </w:pPr>
    </w:p>
    <w:p w14:paraId="5D5C1957">
      <w:pPr>
        <w:wordWrap w:val="0"/>
        <w:spacing w:line="400" w:lineRule="exact"/>
        <w:ind w:firstLine="420" w:firstLineChars="200"/>
        <w:rPr>
          <w:rFonts w:hint="default" w:ascii="Times New Roman" w:hAnsi="Times New Roman" w:cs="Times New Roman"/>
          <w:color w:val="000000"/>
          <w:szCs w:val="21"/>
        </w:rPr>
      </w:pPr>
    </w:p>
    <w:p w14:paraId="3E6AE754">
      <w:pPr>
        <w:wordWrap w:val="0"/>
        <w:spacing w:line="400" w:lineRule="exact"/>
        <w:ind w:firstLine="420" w:firstLineChars="200"/>
        <w:rPr>
          <w:rFonts w:hint="default" w:ascii="Times New Roman" w:hAnsi="Times New Roman" w:cs="Times New Roman"/>
          <w:color w:val="000000"/>
          <w:szCs w:val="21"/>
        </w:rPr>
      </w:pPr>
    </w:p>
    <w:p w14:paraId="46419417">
      <w:pPr>
        <w:wordWrap w:val="0"/>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　　　　　　　　　　　　　　　　　　　　　招标人：</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（盖单位章）</w:t>
      </w:r>
    </w:p>
    <w:p w14:paraId="55AC9D27">
      <w:pPr>
        <w:wordWrap w:val="0"/>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　　　　　　　　　　　　　　　　　　　　　法定代表人：</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（签字）</w:t>
      </w:r>
    </w:p>
    <w:p w14:paraId="00C91507">
      <w:pPr>
        <w:wordWrap w:val="0"/>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 xml:space="preserve">　　　　　　　　　　　　　　　　　　　　　 </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年</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月</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日</w:t>
      </w:r>
    </w:p>
    <w:p w14:paraId="716F4B9F">
      <w:pPr>
        <w:rPr>
          <w:rFonts w:hint="default" w:ascii="Times New Roman" w:hAnsi="Times New Roman" w:cs="Times New Roman"/>
          <w:color w:val="000000"/>
        </w:rPr>
      </w:pPr>
      <w:r>
        <w:rPr>
          <w:rFonts w:hint="default" w:ascii="Times New Roman" w:hAnsi="Times New Roman" w:cs="Times New Roman"/>
          <w:color w:val="000000"/>
        </w:rPr>
        <w:br w:type="page"/>
      </w:r>
    </w:p>
    <w:p w14:paraId="1967D9D7">
      <w:pPr>
        <w:pStyle w:val="3"/>
        <w:wordWrap w:val="0"/>
        <w:rPr>
          <w:rFonts w:hint="default" w:ascii="Times New Roman" w:hAnsi="Times New Roman" w:eastAsia="黑体" w:cs="Times New Roman"/>
          <w:b w:val="0"/>
          <w:bCs w:val="0"/>
          <w:color w:val="000000"/>
          <w:szCs w:val="32"/>
        </w:rPr>
      </w:pPr>
      <w:bookmarkStart w:id="207" w:name="_Toc225411536"/>
      <w:bookmarkStart w:id="208" w:name="_Toc225396601"/>
      <w:bookmarkStart w:id="209" w:name="_Toc13006"/>
      <w:bookmarkStart w:id="210" w:name="_Toc225412256"/>
      <w:bookmarkStart w:id="211" w:name="_Toc225415539"/>
      <w:bookmarkStart w:id="212" w:name="_Toc225409834"/>
      <w:bookmarkStart w:id="213" w:name="_Toc218828570"/>
      <w:bookmarkStart w:id="214" w:name="_Toc162622248"/>
      <w:bookmarkStart w:id="215" w:name="_Toc225409569"/>
      <w:bookmarkStart w:id="216" w:name="_Toc161155932"/>
      <w:bookmarkStart w:id="217" w:name="_Toc225415740"/>
      <w:bookmarkStart w:id="218" w:name="_Toc225415941"/>
      <w:bookmarkStart w:id="219" w:name="_Toc210355382"/>
      <w:bookmarkStart w:id="220" w:name="_Toc162619013"/>
      <w:bookmarkStart w:id="221" w:name="_Toc168286984"/>
      <w:bookmarkStart w:id="222" w:name="_Toc491075839"/>
      <w:bookmarkStart w:id="223" w:name="_Toc244342954"/>
      <w:bookmarkStart w:id="224" w:name="_Toc225411458"/>
      <w:bookmarkStart w:id="225" w:name="_Toc161156632"/>
      <w:bookmarkStart w:id="226" w:name="_Toc161154299"/>
      <w:bookmarkStart w:id="227" w:name="_Toc225410682"/>
      <w:bookmarkStart w:id="228" w:name="_Toc210364706"/>
      <w:bookmarkStart w:id="229" w:name="_Toc468288664"/>
      <w:bookmarkStart w:id="230" w:name="_Toc225409718"/>
      <w:bookmarkStart w:id="231" w:name="_Toc225412054"/>
      <w:bookmarkStart w:id="232" w:name="_Toc210327520"/>
      <w:bookmarkStart w:id="233" w:name="_Toc225410050"/>
      <w:r>
        <w:rPr>
          <w:rFonts w:hint="default" w:ascii="Times New Roman" w:hAnsi="Times New Roman" w:cs="Times New Roman"/>
          <w:color w:val="000000"/>
        </w:rPr>
        <w:t>附件十二  中标结果通知书</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67A46610">
      <w:pPr>
        <w:wordWrap w:val="0"/>
        <w:spacing w:line="400" w:lineRule="exact"/>
        <w:ind w:firstLine="420" w:firstLineChars="200"/>
        <w:rPr>
          <w:rFonts w:hint="default" w:ascii="Times New Roman" w:hAnsi="Times New Roman" w:cs="Times New Roman"/>
          <w:color w:val="000000"/>
          <w:szCs w:val="28"/>
        </w:rPr>
      </w:pPr>
    </w:p>
    <w:p w14:paraId="1A194F31">
      <w:pPr>
        <w:wordWrap w:val="0"/>
        <w:jc w:val="cente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rPr>
        <w:t>中标结果通知书</w:t>
      </w:r>
    </w:p>
    <w:p w14:paraId="79B424F8">
      <w:pPr>
        <w:wordWrap w:val="0"/>
        <w:jc w:val="left"/>
        <w:rPr>
          <w:rFonts w:hint="default" w:ascii="Times New Roman" w:hAnsi="Times New Roman" w:cs="Times New Roman"/>
          <w:color w:val="000000"/>
        </w:rPr>
      </w:pPr>
    </w:p>
    <w:p w14:paraId="13C6D9D7">
      <w:pPr>
        <w:wordWrap w:val="0"/>
        <w:jc w:val="left"/>
        <w:rPr>
          <w:rFonts w:hint="default" w:ascii="Times New Roman" w:hAnsi="Times New Roman" w:cs="Times New Roman"/>
          <w:color w:val="000000"/>
          <w:szCs w:val="21"/>
        </w:rPr>
      </w:pP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（未中标人名称）：</w:t>
      </w:r>
    </w:p>
    <w:p w14:paraId="74CC3E62">
      <w:pPr>
        <w:wordWrap w:val="0"/>
        <w:jc w:val="left"/>
        <w:rPr>
          <w:rFonts w:hint="default" w:ascii="Times New Roman" w:hAnsi="Times New Roman" w:cs="Times New Roman"/>
          <w:color w:val="000000"/>
          <w:szCs w:val="21"/>
        </w:rPr>
      </w:pPr>
    </w:p>
    <w:p w14:paraId="55D133C8">
      <w:pPr>
        <w:pStyle w:val="31"/>
        <w:wordWrap w:val="0"/>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我方已接受</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（中标人名称）于</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年</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月</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日（投标日期）所递交的</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（项目名称）</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（招标编号、</w:t>
      </w:r>
      <w:r>
        <w:rPr>
          <w:rFonts w:hint="default" w:ascii="Times New Roman" w:hAnsi="Times New Roman" w:cs="Times New Roman"/>
          <w:color w:val="000000"/>
          <w:szCs w:val="24"/>
        </w:rPr>
        <w:t>标段/包名称</w:t>
      </w:r>
      <w:r>
        <w:rPr>
          <w:rFonts w:hint="default" w:ascii="Times New Roman" w:hAnsi="Times New Roman" w:cs="Times New Roman"/>
          <w:color w:val="000000"/>
          <w:sz w:val="21"/>
          <w:szCs w:val="21"/>
        </w:rPr>
        <w:t>）投标文件，确定</w:t>
      </w:r>
      <w:r>
        <w:rPr>
          <w:rFonts w:hint="default" w:ascii="Times New Roman" w:hAnsi="Times New Roman" w:cs="Times New Roman"/>
          <w:color w:val="000000"/>
          <w:sz w:val="21"/>
          <w:szCs w:val="21"/>
          <w:u w:val="single"/>
        </w:rPr>
        <w:t xml:space="preserve">              </w:t>
      </w:r>
      <w:r>
        <w:rPr>
          <w:rFonts w:hint="default" w:ascii="Times New Roman" w:hAnsi="Times New Roman" w:cs="Times New Roman"/>
          <w:color w:val="000000"/>
          <w:sz w:val="21"/>
          <w:szCs w:val="21"/>
        </w:rPr>
        <w:t>（中标人名称）为中标人。</w:t>
      </w:r>
    </w:p>
    <w:p w14:paraId="4E3D759E">
      <w:pPr>
        <w:wordWrap w:val="0"/>
        <w:rPr>
          <w:rFonts w:hint="default" w:ascii="Times New Roman" w:hAnsi="Times New Roman" w:cs="Times New Roman"/>
          <w:color w:val="000000"/>
          <w:szCs w:val="21"/>
        </w:rPr>
      </w:pPr>
    </w:p>
    <w:p w14:paraId="6150F319">
      <w:pPr>
        <w:wordWrap w:val="0"/>
        <w:spacing w:line="40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感谢你单位对我们工作的大力支持！</w:t>
      </w:r>
    </w:p>
    <w:p w14:paraId="78548E86">
      <w:pPr>
        <w:wordWrap w:val="0"/>
        <w:spacing w:line="400" w:lineRule="exact"/>
        <w:ind w:firstLine="420" w:firstLineChars="200"/>
        <w:rPr>
          <w:rFonts w:hint="default" w:ascii="Times New Roman" w:hAnsi="Times New Roman" w:cs="Times New Roman"/>
          <w:color w:val="000000"/>
          <w:szCs w:val="21"/>
        </w:rPr>
      </w:pPr>
    </w:p>
    <w:p w14:paraId="279E5826">
      <w:pPr>
        <w:wordWrap w:val="0"/>
        <w:spacing w:line="400" w:lineRule="exact"/>
        <w:ind w:firstLine="420" w:firstLineChars="200"/>
        <w:rPr>
          <w:rFonts w:hint="default" w:ascii="Times New Roman" w:hAnsi="Times New Roman" w:cs="Times New Roman"/>
          <w:color w:val="000000"/>
          <w:szCs w:val="21"/>
        </w:rPr>
      </w:pPr>
    </w:p>
    <w:p w14:paraId="605DD59C">
      <w:pPr>
        <w:wordWrap w:val="0"/>
        <w:spacing w:line="400" w:lineRule="exact"/>
        <w:ind w:firstLine="420" w:firstLineChars="200"/>
        <w:jc w:val="left"/>
        <w:rPr>
          <w:rFonts w:hint="default" w:ascii="Times New Roman" w:hAnsi="Times New Roman" w:cs="Times New Roman"/>
          <w:color w:val="000000"/>
          <w:szCs w:val="21"/>
        </w:rPr>
      </w:pPr>
      <w:r>
        <w:rPr>
          <w:rFonts w:hint="default" w:ascii="Times New Roman" w:hAnsi="Times New Roman" w:cs="Times New Roman"/>
          <w:color w:val="000000"/>
          <w:szCs w:val="21"/>
        </w:rPr>
        <w:t>　　　　　　　　　　　　　　　　　　　　招标人：</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（盖单位章）</w:t>
      </w:r>
    </w:p>
    <w:p w14:paraId="43FBF178">
      <w:pPr>
        <w:wordWrap w:val="0"/>
        <w:spacing w:line="400" w:lineRule="exact"/>
        <w:ind w:firstLine="420" w:firstLineChars="200"/>
        <w:jc w:val="left"/>
        <w:rPr>
          <w:rFonts w:hint="default" w:ascii="Times New Roman" w:hAnsi="Times New Roman" w:cs="Times New Roman"/>
          <w:color w:val="000000"/>
          <w:szCs w:val="21"/>
        </w:rPr>
      </w:pPr>
      <w:r>
        <w:rPr>
          <w:rFonts w:hint="default" w:ascii="Times New Roman" w:hAnsi="Times New Roman" w:cs="Times New Roman"/>
          <w:color w:val="000000"/>
          <w:szCs w:val="21"/>
        </w:rPr>
        <w:t>　　　　　　　　　　　　　　　　　　　　法定代表人：</w:t>
      </w:r>
      <w:r>
        <w:rPr>
          <w:rFonts w:hint="default" w:ascii="Times New Roman" w:hAnsi="Times New Roman" w:cs="Times New Roman"/>
          <w:color w:val="000000"/>
          <w:szCs w:val="21"/>
          <w:u w:val="single"/>
        </w:rPr>
        <w:t>　　    　　　</w:t>
      </w:r>
      <w:r>
        <w:rPr>
          <w:rFonts w:hint="default" w:ascii="Times New Roman" w:hAnsi="Times New Roman" w:cs="Times New Roman"/>
          <w:color w:val="000000"/>
          <w:szCs w:val="21"/>
        </w:rPr>
        <w:t>（签字）</w:t>
      </w:r>
    </w:p>
    <w:p w14:paraId="7FFB1BA7">
      <w:pPr>
        <w:wordWrap w:val="0"/>
        <w:rPr>
          <w:rFonts w:hint="default" w:ascii="Times New Roman" w:hAnsi="Times New Roman" w:cs="Times New Roman"/>
          <w:color w:val="000000"/>
          <w:szCs w:val="21"/>
          <w:u w:val="single"/>
        </w:rPr>
      </w:pPr>
      <w:r>
        <w:rPr>
          <w:rFonts w:hint="default" w:ascii="Times New Roman" w:hAnsi="Times New Roman" w:cs="Times New Roman"/>
          <w:color w:val="000000"/>
          <w:szCs w:val="21"/>
        </w:rPr>
        <w:t xml:space="preserve">　　　　　　　　　　　　　            　　　    </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年</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月</w:t>
      </w:r>
      <w:r>
        <w:rPr>
          <w:rFonts w:hint="default" w:ascii="Times New Roman" w:hAnsi="Times New Roman" w:cs="Times New Roman"/>
          <w:color w:val="000000"/>
          <w:szCs w:val="21"/>
          <w:u w:val="single"/>
        </w:rPr>
        <w:t xml:space="preserve">       </w:t>
      </w:r>
      <w:bookmarkEnd w:id="114"/>
    </w:p>
    <w:p w14:paraId="75801078">
      <w:pPr>
        <w:wordWrap w:val="0"/>
        <w:rPr>
          <w:rFonts w:hint="default" w:ascii="Times New Roman" w:hAnsi="Times New Roman" w:cs="Times New Roman"/>
          <w:color w:val="000000"/>
          <w:szCs w:val="21"/>
          <w:u w:val="single"/>
        </w:rPr>
      </w:pPr>
    </w:p>
    <w:p w14:paraId="2F395FBC">
      <w:pPr>
        <w:wordWrap w:val="0"/>
        <w:rPr>
          <w:rFonts w:hint="default" w:ascii="Times New Roman" w:hAnsi="Times New Roman" w:cs="Times New Roman"/>
          <w:color w:val="000000"/>
          <w:szCs w:val="21"/>
          <w:u w:val="single"/>
        </w:rPr>
      </w:pPr>
    </w:p>
    <w:p w14:paraId="1DC8EEFB">
      <w:pPr>
        <w:wordWrap w:val="0"/>
        <w:rPr>
          <w:rFonts w:hint="default" w:ascii="Times New Roman" w:hAnsi="Times New Roman" w:cs="Times New Roman"/>
          <w:color w:val="000000"/>
          <w:szCs w:val="21"/>
          <w:u w:val="single"/>
        </w:rPr>
      </w:pPr>
    </w:p>
    <w:p w14:paraId="141A3E84">
      <w:pPr>
        <w:wordWrap w:val="0"/>
        <w:rPr>
          <w:rFonts w:hint="default" w:ascii="Times New Roman" w:hAnsi="Times New Roman" w:cs="Times New Roman"/>
          <w:color w:val="000000"/>
          <w:szCs w:val="21"/>
          <w:u w:val="single"/>
        </w:rPr>
      </w:pPr>
    </w:p>
    <w:p w14:paraId="09DF507F">
      <w:pPr>
        <w:wordWrap w:val="0"/>
        <w:rPr>
          <w:rFonts w:hint="default" w:ascii="Times New Roman" w:hAnsi="Times New Roman" w:cs="Times New Roman"/>
          <w:color w:val="000000"/>
          <w:szCs w:val="21"/>
          <w:u w:val="single"/>
        </w:rPr>
      </w:pPr>
    </w:p>
    <w:p w14:paraId="35792AB1">
      <w:pPr>
        <w:wordWrap w:val="0"/>
        <w:rPr>
          <w:rFonts w:hint="default" w:ascii="Times New Roman" w:hAnsi="Times New Roman" w:cs="Times New Roman"/>
          <w:color w:val="000000"/>
          <w:szCs w:val="21"/>
          <w:u w:val="single"/>
        </w:rPr>
      </w:pPr>
    </w:p>
    <w:p w14:paraId="43519BA8">
      <w:pPr>
        <w:wordWrap w:val="0"/>
        <w:rPr>
          <w:rFonts w:hint="default" w:ascii="Times New Roman" w:hAnsi="Times New Roman" w:cs="Times New Roman"/>
          <w:color w:val="000000"/>
          <w:szCs w:val="21"/>
          <w:u w:val="single"/>
        </w:rPr>
      </w:pPr>
    </w:p>
    <w:p w14:paraId="271CAB30">
      <w:pPr>
        <w:wordWrap w:val="0"/>
        <w:rPr>
          <w:rFonts w:hint="default" w:ascii="Times New Roman" w:hAnsi="Times New Roman" w:cs="Times New Roman"/>
          <w:color w:val="000000"/>
          <w:szCs w:val="21"/>
          <w:u w:val="single"/>
        </w:rPr>
      </w:pPr>
    </w:p>
    <w:p w14:paraId="41624A00">
      <w:pPr>
        <w:wordWrap w:val="0"/>
        <w:rPr>
          <w:rFonts w:hint="default" w:ascii="Times New Roman" w:hAnsi="Times New Roman" w:cs="Times New Roman"/>
          <w:color w:val="000000"/>
          <w:szCs w:val="21"/>
          <w:u w:val="single"/>
        </w:rPr>
      </w:pPr>
    </w:p>
    <w:p w14:paraId="4DD4294F">
      <w:pPr>
        <w:wordWrap w:val="0"/>
        <w:rPr>
          <w:rFonts w:hint="default" w:ascii="Times New Roman" w:hAnsi="Times New Roman" w:cs="Times New Roman"/>
          <w:color w:val="000000"/>
          <w:szCs w:val="21"/>
          <w:u w:val="single"/>
        </w:rPr>
      </w:pPr>
    </w:p>
    <w:p w14:paraId="1C8ED6A4">
      <w:pPr>
        <w:wordWrap w:val="0"/>
        <w:rPr>
          <w:rFonts w:hint="default" w:ascii="Times New Roman" w:hAnsi="Times New Roman" w:cs="Times New Roman"/>
          <w:color w:val="000000"/>
          <w:szCs w:val="21"/>
          <w:u w:val="single"/>
        </w:rPr>
      </w:pPr>
    </w:p>
    <w:p w14:paraId="6ABF81BC">
      <w:pPr>
        <w:wordWrap w:val="0"/>
        <w:rPr>
          <w:rFonts w:hint="default" w:ascii="Times New Roman" w:hAnsi="Times New Roman" w:cs="Times New Roman"/>
          <w:color w:val="000000"/>
          <w:szCs w:val="21"/>
          <w:u w:val="single"/>
        </w:rPr>
      </w:pPr>
    </w:p>
    <w:p w14:paraId="12B648B1">
      <w:pPr>
        <w:wordWrap w:val="0"/>
        <w:rPr>
          <w:rFonts w:hint="default" w:ascii="Times New Roman" w:hAnsi="Times New Roman" w:cs="Times New Roman"/>
          <w:color w:val="000000"/>
          <w:szCs w:val="21"/>
          <w:u w:val="single"/>
        </w:rPr>
      </w:pPr>
    </w:p>
    <w:p w14:paraId="06FFC113">
      <w:pPr>
        <w:wordWrap w:val="0"/>
        <w:rPr>
          <w:rFonts w:hint="default" w:ascii="Times New Roman" w:hAnsi="Times New Roman" w:cs="Times New Roman"/>
          <w:color w:val="000000"/>
          <w:szCs w:val="21"/>
          <w:u w:val="single"/>
        </w:rPr>
      </w:pPr>
    </w:p>
    <w:p w14:paraId="2F9811B4">
      <w:pPr>
        <w:wordWrap w:val="0"/>
        <w:rPr>
          <w:rFonts w:hint="default" w:ascii="Times New Roman" w:hAnsi="Times New Roman" w:cs="Times New Roman"/>
          <w:color w:val="000000"/>
          <w:szCs w:val="21"/>
          <w:u w:val="single"/>
        </w:rPr>
      </w:pPr>
    </w:p>
    <w:p w14:paraId="01DC442E">
      <w:pPr>
        <w:wordWrap w:val="0"/>
        <w:rPr>
          <w:rFonts w:hint="default" w:ascii="Times New Roman" w:hAnsi="Times New Roman" w:cs="Times New Roman"/>
          <w:color w:val="000000"/>
          <w:szCs w:val="21"/>
          <w:u w:val="single"/>
        </w:rPr>
      </w:pPr>
    </w:p>
    <w:p w14:paraId="49A0580F">
      <w:pPr>
        <w:wordWrap w:val="0"/>
        <w:rPr>
          <w:rFonts w:hint="default" w:ascii="Times New Roman" w:hAnsi="Times New Roman" w:cs="Times New Roman"/>
          <w:color w:val="000000"/>
          <w:szCs w:val="21"/>
          <w:u w:val="single"/>
        </w:rPr>
      </w:pPr>
    </w:p>
    <w:p w14:paraId="094BCF08">
      <w:pPr>
        <w:wordWrap w:val="0"/>
        <w:rPr>
          <w:rFonts w:hint="default" w:ascii="Times New Roman" w:hAnsi="Times New Roman" w:cs="Times New Roman"/>
          <w:color w:val="000000"/>
          <w:szCs w:val="21"/>
          <w:u w:val="single"/>
        </w:rPr>
      </w:pPr>
    </w:p>
    <w:p w14:paraId="412601DB">
      <w:pPr>
        <w:wordWrap w:val="0"/>
        <w:rPr>
          <w:rFonts w:hint="default" w:ascii="Times New Roman" w:hAnsi="Times New Roman" w:cs="Times New Roman"/>
          <w:color w:val="000000"/>
          <w:szCs w:val="21"/>
          <w:u w:val="single"/>
        </w:rPr>
      </w:pPr>
    </w:p>
    <w:p w14:paraId="5F4A44E9">
      <w:pPr>
        <w:wordWrap w:val="0"/>
        <w:rPr>
          <w:rFonts w:hint="default" w:ascii="Times New Roman" w:hAnsi="Times New Roman" w:cs="Times New Roman"/>
          <w:color w:val="000000"/>
          <w:szCs w:val="21"/>
          <w:u w:val="single"/>
        </w:rPr>
      </w:pPr>
    </w:p>
    <w:p w14:paraId="12A8300A">
      <w:pPr>
        <w:wordWrap w:val="0"/>
        <w:rPr>
          <w:rFonts w:hint="default" w:ascii="Times New Roman" w:hAnsi="Times New Roman" w:cs="Times New Roman"/>
          <w:color w:val="000000"/>
          <w:szCs w:val="21"/>
          <w:u w:val="single"/>
        </w:rPr>
      </w:pPr>
    </w:p>
    <w:p w14:paraId="590C8340">
      <w:pPr>
        <w:pStyle w:val="3"/>
        <w:wordWrap w:val="0"/>
        <w:rPr>
          <w:rFonts w:hint="default" w:ascii="Times New Roman" w:hAnsi="Times New Roman" w:eastAsia="黑体" w:cs="Times New Roman"/>
          <w:b w:val="0"/>
          <w:bCs w:val="0"/>
          <w:color w:val="000000"/>
          <w:szCs w:val="32"/>
        </w:rPr>
      </w:pPr>
      <w:r>
        <w:rPr>
          <w:rFonts w:hint="default" w:ascii="Times New Roman" w:hAnsi="Times New Roman" w:cs="Times New Roman"/>
          <w:color w:val="000000"/>
        </w:rPr>
        <w:t>附件十三  定标报告</w:t>
      </w:r>
    </w:p>
    <w:p w14:paraId="6EF8CE39">
      <w:pPr>
        <w:snapToGrid w:val="0"/>
        <w:spacing w:line="580" w:lineRule="exact"/>
        <w:jc w:val="left"/>
        <w:rPr>
          <w:rFonts w:hint="default" w:ascii="Times New Roman" w:hAnsi="Times New Roman" w:cs="Times New Roman"/>
          <w:color w:val="000000"/>
          <w:sz w:val="32"/>
          <w:szCs w:val="32"/>
        </w:rPr>
      </w:pPr>
    </w:p>
    <w:p w14:paraId="7C0FD50E">
      <w:pPr>
        <w:snapToGrid w:val="0"/>
        <w:spacing w:line="580" w:lineRule="exact"/>
        <w:ind w:firstLine="1600" w:firstLineChars="500"/>
        <w:rPr>
          <w:rFonts w:hint="default" w:ascii="Times New Roman" w:hAnsi="Times New Roman" w:cs="Times New Roman"/>
          <w:color w:val="000000"/>
          <w:sz w:val="32"/>
          <w:szCs w:val="32"/>
        </w:rPr>
      </w:pPr>
    </w:p>
    <w:p w14:paraId="2B9E09AD">
      <w:pPr>
        <w:pStyle w:val="33"/>
        <w:ind w:firstLine="0" w:firstLineChars="0"/>
        <w:jc w:val="center"/>
        <w:rPr>
          <w:rFonts w:hint="default" w:ascii="Times New Roman" w:hAnsi="Times New Roman" w:eastAsia="黑体" w:cs="Times New Roman"/>
          <w:b/>
          <w:color w:val="000000"/>
          <w:sz w:val="44"/>
          <w:szCs w:val="44"/>
        </w:rPr>
      </w:pPr>
      <w:r>
        <w:rPr>
          <w:rFonts w:hint="default" w:ascii="Times New Roman" w:hAnsi="Times New Roman" w:eastAsia="黑体" w:cs="Times New Roman"/>
          <w:b/>
          <w:color w:val="000000"/>
          <w:sz w:val="44"/>
          <w:szCs w:val="44"/>
        </w:rPr>
        <w:t>湖北省工程建设项目招标</w:t>
      </w:r>
    </w:p>
    <w:p w14:paraId="574ACA09">
      <w:pPr>
        <w:pStyle w:val="33"/>
        <w:ind w:firstLine="0" w:firstLineChars="0"/>
        <w:jc w:val="center"/>
        <w:rPr>
          <w:rFonts w:hint="default" w:ascii="Times New Roman" w:hAnsi="Times New Roman" w:cs="Times New Roman"/>
          <w:b/>
          <w:color w:val="000000"/>
          <w:sz w:val="36"/>
          <w:szCs w:val="36"/>
        </w:rPr>
      </w:pPr>
    </w:p>
    <w:p w14:paraId="545ECB88">
      <w:pPr>
        <w:pStyle w:val="33"/>
        <w:ind w:firstLine="0" w:firstLineChars="0"/>
        <w:jc w:val="center"/>
        <w:rPr>
          <w:rFonts w:hint="default" w:ascii="Times New Roman" w:hAnsi="Times New Roman" w:eastAsia="黑体" w:cs="Times New Roman"/>
          <w:color w:val="000000"/>
          <w:sz w:val="72"/>
          <w:szCs w:val="72"/>
        </w:rPr>
      </w:pPr>
      <w:r>
        <w:rPr>
          <w:rFonts w:hint="default" w:ascii="Times New Roman" w:hAnsi="Times New Roman" w:eastAsia="黑体" w:cs="Times New Roman"/>
          <w:color w:val="000000"/>
          <w:sz w:val="72"/>
          <w:szCs w:val="72"/>
        </w:rPr>
        <w:t>定 标 报 告</w:t>
      </w:r>
    </w:p>
    <w:p w14:paraId="42E312E1">
      <w:pPr>
        <w:ind w:left="2065" w:leftChars="389" w:hanging="1248" w:hangingChars="444"/>
        <w:rPr>
          <w:rFonts w:hint="default" w:ascii="Times New Roman" w:hAnsi="Times New Roman" w:eastAsia="黑体" w:cs="Times New Roman"/>
          <w:b/>
          <w:color w:val="000000"/>
          <w:sz w:val="28"/>
        </w:rPr>
      </w:pPr>
    </w:p>
    <w:p w14:paraId="7BBB97FD">
      <w:pPr>
        <w:ind w:left="2065" w:leftChars="389" w:hanging="1248" w:hangingChars="444"/>
        <w:rPr>
          <w:rFonts w:hint="default" w:ascii="Times New Roman" w:hAnsi="Times New Roman" w:cs="Times New Roman"/>
          <w:b/>
          <w:color w:val="000000"/>
          <w:sz w:val="28"/>
        </w:rPr>
      </w:pPr>
      <w:r>
        <w:rPr>
          <w:rFonts w:hint="default" w:ascii="Times New Roman" w:hAnsi="Times New Roman" w:cs="Times New Roman"/>
          <w:b/>
          <w:color w:val="000000"/>
          <w:sz w:val="28"/>
          <w:u w:val="single"/>
        </w:rPr>
        <w:t xml:space="preserve">       </w:t>
      </w:r>
      <w:r>
        <w:rPr>
          <w:rFonts w:hint="default" w:ascii="Times New Roman" w:hAnsi="Times New Roman" w:cs="Times New Roman"/>
          <w:b/>
          <w:color w:val="000000"/>
          <w:sz w:val="28"/>
        </w:rPr>
        <w:t>（项目名称）</w:t>
      </w:r>
      <w:r>
        <w:rPr>
          <w:rFonts w:hint="default" w:ascii="Times New Roman" w:hAnsi="Times New Roman" w:cs="Times New Roman"/>
          <w:b/>
          <w:color w:val="000000"/>
          <w:sz w:val="28"/>
          <w:u w:val="single"/>
        </w:rPr>
        <w:t xml:space="preserve">      </w:t>
      </w:r>
      <w:r>
        <w:rPr>
          <w:rFonts w:hint="default" w:ascii="Times New Roman" w:hAnsi="Times New Roman" w:cs="Times New Roman"/>
          <w:b/>
          <w:color w:val="000000"/>
          <w:sz w:val="28"/>
        </w:rPr>
        <w:t xml:space="preserve">(标段名称) </w:t>
      </w:r>
      <w:r>
        <w:rPr>
          <w:rFonts w:hint="default" w:ascii="Times New Roman" w:hAnsi="Times New Roman" w:cs="Times New Roman"/>
          <w:b/>
          <w:color w:val="000000"/>
          <w:sz w:val="28"/>
          <w:u w:val="single"/>
        </w:rPr>
        <w:t xml:space="preserve">   </w:t>
      </w:r>
      <w:r>
        <w:rPr>
          <w:rFonts w:hint="default" w:ascii="Times New Roman" w:hAnsi="Times New Roman" w:cs="Times New Roman"/>
          <w:b/>
          <w:color w:val="000000"/>
          <w:sz w:val="28"/>
        </w:rPr>
        <w:t>招标</w:t>
      </w:r>
    </w:p>
    <w:p w14:paraId="74F9C304">
      <w:pPr>
        <w:ind w:left="2064" w:leftChars="983" w:firstLine="689" w:firstLineChars="245"/>
        <w:rPr>
          <w:rFonts w:hint="default" w:ascii="Times New Roman" w:hAnsi="Times New Roman" w:cs="Times New Roman"/>
          <w:b/>
          <w:color w:val="000000"/>
          <w:sz w:val="28"/>
        </w:rPr>
      </w:pPr>
      <w:r>
        <w:rPr>
          <w:rFonts w:hint="default" w:ascii="Times New Roman" w:hAnsi="Times New Roman" w:cs="Times New Roman"/>
          <w:b/>
          <w:color w:val="000000"/>
          <w:sz w:val="28"/>
        </w:rPr>
        <w:t>招标编号：</w:t>
      </w:r>
    </w:p>
    <w:p w14:paraId="4A543496">
      <w:pPr>
        <w:rPr>
          <w:rFonts w:hint="default" w:ascii="Times New Roman" w:hAnsi="Times New Roman" w:cs="Times New Roman"/>
          <w:b/>
          <w:color w:val="000000"/>
          <w:sz w:val="28"/>
        </w:rPr>
      </w:pPr>
    </w:p>
    <w:p w14:paraId="17B6BDB4">
      <w:pPr>
        <w:rPr>
          <w:rFonts w:hint="default" w:ascii="Times New Roman" w:hAnsi="Times New Roman" w:cs="Times New Roman"/>
          <w:b/>
          <w:color w:val="000000"/>
          <w:sz w:val="28"/>
        </w:rPr>
      </w:pPr>
    </w:p>
    <w:p w14:paraId="046C3253">
      <w:pPr>
        <w:rPr>
          <w:rFonts w:hint="default" w:ascii="Times New Roman" w:hAnsi="Times New Roman" w:cs="Times New Roman"/>
          <w:b/>
          <w:color w:val="000000"/>
          <w:sz w:val="28"/>
        </w:rPr>
      </w:pPr>
    </w:p>
    <w:p w14:paraId="51BF4BB6">
      <w:pPr>
        <w:rPr>
          <w:rFonts w:hint="default" w:ascii="Times New Roman" w:hAnsi="Times New Roman" w:cs="Times New Roman"/>
          <w:b/>
          <w:color w:val="000000"/>
          <w:sz w:val="28"/>
        </w:rPr>
      </w:pPr>
    </w:p>
    <w:p w14:paraId="24F1A24D">
      <w:pPr>
        <w:rPr>
          <w:rFonts w:hint="default" w:ascii="Times New Roman" w:hAnsi="Times New Roman" w:cs="Times New Roman"/>
          <w:b/>
          <w:color w:val="000000"/>
          <w:sz w:val="28"/>
        </w:rPr>
      </w:pPr>
    </w:p>
    <w:p w14:paraId="7221F849">
      <w:pPr>
        <w:rPr>
          <w:rFonts w:hint="default" w:ascii="Times New Roman" w:hAnsi="Times New Roman" w:cs="Times New Roman"/>
          <w:b/>
          <w:color w:val="000000"/>
          <w:sz w:val="28"/>
        </w:rPr>
      </w:pPr>
    </w:p>
    <w:p w14:paraId="1FFFDAB5">
      <w:pPr>
        <w:rPr>
          <w:rFonts w:hint="default" w:ascii="Times New Roman" w:hAnsi="Times New Roman" w:cs="Times New Roman"/>
          <w:b/>
          <w:color w:val="000000"/>
          <w:sz w:val="28"/>
        </w:rPr>
      </w:pPr>
    </w:p>
    <w:p w14:paraId="2CB6E115">
      <w:pPr>
        <w:ind w:left="1680" w:leftChars="800"/>
        <w:rPr>
          <w:rFonts w:hint="default" w:ascii="Times New Roman" w:hAnsi="Times New Roman" w:cs="Times New Roman"/>
          <w:b/>
          <w:color w:val="000000"/>
          <w:sz w:val="28"/>
        </w:rPr>
      </w:pPr>
      <w:r>
        <w:rPr>
          <w:rFonts w:hint="default" w:ascii="Times New Roman" w:hAnsi="Times New Roman" w:cs="Times New Roman"/>
          <w:b/>
          <w:color w:val="000000"/>
          <w:sz w:val="28"/>
        </w:rPr>
        <w:t>招   标   人：</w:t>
      </w:r>
      <w:r>
        <w:rPr>
          <w:rFonts w:hint="default" w:ascii="Times New Roman" w:hAnsi="Times New Roman" w:cs="Times New Roman"/>
          <w:b/>
          <w:color w:val="000000"/>
          <w:sz w:val="28"/>
          <w:u w:val="single"/>
        </w:rPr>
        <w:t xml:space="preserve">          </w:t>
      </w:r>
      <w:r>
        <w:rPr>
          <w:rFonts w:hint="default" w:ascii="Times New Roman" w:hAnsi="Times New Roman" w:cs="Times New Roman"/>
          <w:b/>
          <w:color w:val="000000"/>
          <w:sz w:val="28"/>
        </w:rPr>
        <w:t xml:space="preserve">（盖单位章） </w:t>
      </w:r>
    </w:p>
    <w:p w14:paraId="41330EE3">
      <w:pPr>
        <w:ind w:left="1680" w:leftChars="800"/>
        <w:rPr>
          <w:rFonts w:hint="default" w:ascii="Times New Roman" w:hAnsi="Times New Roman" w:cs="Times New Roman"/>
          <w:b/>
          <w:color w:val="000000"/>
          <w:sz w:val="28"/>
        </w:rPr>
      </w:pPr>
      <w:r>
        <w:rPr>
          <w:rFonts w:hint="default" w:ascii="Times New Roman" w:hAnsi="Times New Roman" w:cs="Times New Roman"/>
          <w:b/>
          <w:color w:val="000000"/>
          <w:sz w:val="28"/>
        </w:rPr>
        <w:t>招标代理机构：</w:t>
      </w:r>
      <w:r>
        <w:rPr>
          <w:rFonts w:hint="default" w:ascii="Times New Roman" w:hAnsi="Times New Roman" w:cs="Times New Roman"/>
          <w:b/>
          <w:color w:val="000000"/>
          <w:sz w:val="28"/>
          <w:u w:val="single"/>
        </w:rPr>
        <w:t xml:space="preserve">                      </w:t>
      </w:r>
    </w:p>
    <w:p w14:paraId="5B584350">
      <w:pPr>
        <w:rPr>
          <w:rFonts w:hint="default" w:ascii="Times New Roman" w:hAnsi="Times New Roman" w:cs="Times New Roman"/>
          <w:b/>
          <w:color w:val="000000"/>
          <w:sz w:val="28"/>
        </w:rPr>
      </w:pPr>
    </w:p>
    <w:p w14:paraId="6D0A63A7">
      <w:pPr>
        <w:jc w:val="center"/>
        <w:rPr>
          <w:rFonts w:hint="default" w:ascii="Times New Roman" w:hAnsi="Times New Roman" w:cs="Times New Roman"/>
          <w:b/>
          <w:color w:val="000000"/>
          <w:sz w:val="28"/>
        </w:rPr>
      </w:pPr>
      <w:r>
        <w:rPr>
          <w:rFonts w:hint="default" w:ascii="Times New Roman" w:hAnsi="Times New Roman" w:cs="Times New Roman"/>
          <w:b/>
          <w:color w:val="000000"/>
          <w:sz w:val="28"/>
        </w:rPr>
        <w:t>时间：     年    月</w:t>
      </w:r>
    </w:p>
    <w:p w14:paraId="3C6D7DA9">
      <w:pPr>
        <w:pStyle w:val="33"/>
        <w:ind w:firstLine="0" w:firstLineChars="0"/>
        <w:jc w:val="center"/>
        <w:rPr>
          <w:rFonts w:hint="default" w:ascii="Times New Roman" w:hAnsi="Times New Roman" w:cs="Times New Roman"/>
          <w:b/>
          <w:color w:val="000000"/>
          <w:sz w:val="36"/>
          <w:szCs w:val="36"/>
        </w:rPr>
      </w:pPr>
    </w:p>
    <w:p w14:paraId="5515BB3B">
      <w:pPr>
        <w:pStyle w:val="33"/>
        <w:ind w:firstLine="0" w:firstLineChars="0"/>
        <w:jc w:val="center"/>
        <w:rPr>
          <w:rFonts w:hint="default" w:ascii="Times New Roman" w:hAnsi="Times New Roman" w:cs="Times New Roman"/>
          <w:b/>
          <w:color w:val="000000"/>
          <w:sz w:val="36"/>
          <w:szCs w:val="36"/>
        </w:rPr>
      </w:pPr>
      <w:r>
        <w:rPr>
          <w:rFonts w:hint="default" w:ascii="Times New Roman" w:hAnsi="Times New Roman" w:cs="Times New Roman"/>
          <w:b/>
          <w:color w:val="000000"/>
          <w:sz w:val="36"/>
          <w:szCs w:val="36"/>
        </w:rPr>
        <w:t>目  录</w:t>
      </w:r>
    </w:p>
    <w:p w14:paraId="7D7CF90A">
      <w:pPr>
        <w:pStyle w:val="33"/>
        <w:ind w:firstLine="0" w:firstLineChars="0"/>
        <w:jc w:val="left"/>
        <w:rPr>
          <w:rFonts w:hint="default" w:ascii="Times New Roman" w:hAnsi="Times New Roman" w:cs="Times New Roman"/>
          <w:b/>
          <w:color w:val="000000"/>
          <w:sz w:val="36"/>
          <w:szCs w:val="36"/>
        </w:rPr>
      </w:pPr>
    </w:p>
    <w:p w14:paraId="0E4A4899">
      <w:pPr>
        <w:pStyle w:val="33"/>
        <w:ind w:firstLine="0" w:firstLineChars="0"/>
        <w:jc w:val="left"/>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一、定标概况一览表</w:t>
      </w:r>
    </w:p>
    <w:p w14:paraId="4457BD96">
      <w:pPr>
        <w:pStyle w:val="33"/>
        <w:ind w:firstLine="0" w:firstLineChars="0"/>
        <w:jc w:val="left"/>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二、定标委员会成员名单</w:t>
      </w:r>
    </w:p>
    <w:p w14:paraId="22130201">
      <w:pPr>
        <w:pStyle w:val="33"/>
        <w:ind w:firstLine="0" w:firstLineChars="0"/>
        <w:jc w:val="left"/>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三、定标监督小组名单</w:t>
      </w:r>
    </w:p>
    <w:p w14:paraId="54C312B9">
      <w:pPr>
        <w:pStyle w:val="33"/>
        <w:ind w:firstLine="0" w:firstLineChars="0"/>
        <w:jc w:val="left"/>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四、定标办法</w:t>
      </w:r>
    </w:p>
    <w:p w14:paraId="70D9738E">
      <w:pPr>
        <w:pStyle w:val="33"/>
        <w:ind w:firstLine="0" w:firstLineChars="0"/>
        <w:jc w:val="left"/>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五、定标情况</w:t>
      </w:r>
    </w:p>
    <w:p w14:paraId="3D1BA24D">
      <w:pPr>
        <w:pStyle w:val="33"/>
        <w:ind w:firstLine="0" w:firstLineChars="0"/>
        <w:jc w:val="left"/>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六、定标结果</w:t>
      </w:r>
    </w:p>
    <w:p w14:paraId="0C03C754">
      <w:pPr>
        <w:pStyle w:val="33"/>
        <w:ind w:firstLine="0" w:firstLineChars="0"/>
        <w:jc w:val="left"/>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七、附件</w:t>
      </w:r>
    </w:p>
    <w:p w14:paraId="285E0616">
      <w:pPr>
        <w:pStyle w:val="33"/>
        <w:ind w:firstLine="0" w:firstLineChars="0"/>
        <w:jc w:val="left"/>
        <w:rPr>
          <w:rFonts w:hint="default" w:ascii="Times New Roman" w:hAnsi="Times New Roman" w:cs="Times New Roman"/>
          <w:color w:val="000000"/>
          <w:sz w:val="28"/>
          <w:szCs w:val="28"/>
        </w:rPr>
      </w:pPr>
    </w:p>
    <w:p w14:paraId="56EBEC14">
      <w:pPr>
        <w:widowControl/>
        <w:jc w:val="center"/>
        <w:rPr>
          <w:rFonts w:hint="default" w:ascii="Times New Roman" w:hAnsi="Times New Roman" w:eastAsia="黑体" w:cs="Times New Roman"/>
          <w:b/>
          <w:color w:val="000000"/>
          <w:sz w:val="36"/>
        </w:rPr>
      </w:pPr>
      <w:r>
        <w:rPr>
          <w:rFonts w:hint="default" w:ascii="Times New Roman" w:hAnsi="Times New Roman" w:cs="Times New Roman"/>
          <w:color w:val="000000"/>
          <w:sz w:val="28"/>
          <w:szCs w:val="28"/>
        </w:rPr>
        <w:br w:type="page"/>
      </w:r>
      <w:r>
        <w:rPr>
          <w:rFonts w:hint="default" w:ascii="Times New Roman" w:hAnsi="Times New Roman" w:eastAsia="黑体" w:cs="Times New Roman"/>
          <w:b/>
          <w:color w:val="000000"/>
          <w:sz w:val="36"/>
        </w:rPr>
        <w:t>一、定标概况一览表</w:t>
      </w:r>
    </w:p>
    <w:p w14:paraId="44FA8967">
      <w:pPr>
        <w:widowControl/>
        <w:jc w:val="left"/>
        <w:rPr>
          <w:rFonts w:hint="default" w:ascii="Times New Roman" w:hAnsi="Times New Roman" w:cs="Times New Roman"/>
          <w:color w:val="000000"/>
          <w:sz w:val="32"/>
          <w:szCs w:val="32"/>
        </w:rPr>
      </w:pPr>
    </w:p>
    <w:tbl>
      <w:tblPr>
        <w:tblStyle w:val="17"/>
        <w:tblW w:w="8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2"/>
        <w:gridCol w:w="6164"/>
      </w:tblGrid>
      <w:tr w14:paraId="4FB98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2772" w:type="dxa"/>
            <w:vAlign w:val="center"/>
          </w:tcPr>
          <w:p w14:paraId="56CE2E16">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项目名称</w:t>
            </w:r>
          </w:p>
        </w:tc>
        <w:tc>
          <w:tcPr>
            <w:tcW w:w="6164" w:type="dxa"/>
            <w:vAlign w:val="center"/>
          </w:tcPr>
          <w:p w14:paraId="567FCC38">
            <w:pPr>
              <w:jc w:val="left"/>
              <w:rPr>
                <w:rFonts w:hint="default" w:ascii="Times New Roman" w:hAnsi="Times New Roman" w:cs="Times New Roman"/>
                <w:bCs/>
                <w:color w:val="000000"/>
                <w:sz w:val="28"/>
                <w:szCs w:val="28"/>
              </w:rPr>
            </w:pPr>
          </w:p>
        </w:tc>
      </w:tr>
      <w:tr w14:paraId="32ED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2772" w:type="dxa"/>
            <w:vAlign w:val="center"/>
          </w:tcPr>
          <w:p w14:paraId="2AF6B616">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标段名称</w:t>
            </w:r>
          </w:p>
        </w:tc>
        <w:tc>
          <w:tcPr>
            <w:tcW w:w="6164" w:type="dxa"/>
            <w:vAlign w:val="center"/>
          </w:tcPr>
          <w:p w14:paraId="72ACF0AA">
            <w:pPr>
              <w:jc w:val="left"/>
              <w:rPr>
                <w:rFonts w:hint="default" w:ascii="Times New Roman" w:hAnsi="Times New Roman" w:cs="Times New Roman"/>
                <w:bCs/>
                <w:color w:val="000000"/>
                <w:sz w:val="28"/>
                <w:szCs w:val="28"/>
              </w:rPr>
            </w:pPr>
          </w:p>
        </w:tc>
      </w:tr>
      <w:tr w14:paraId="583BA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2772" w:type="dxa"/>
            <w:vAlign w:val="center"/>
          </w:tcPr>
          <w:p w14:paraId="770CB41E">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招标编号</w:t>
            </w:r>
          </w:p>
        </w:tc>
        <w:tc>
          <w:tcPr>
            <w:tcW w:w="6164" w:type="dxa"/>
            <w:vAlign w:val="center"/>
          </w:tcPr>
          <w:p w14:paraId="04E655CC">
            <w:pPr>
              <w:jc w:val="left"/>
              <w:rPr>
                <w:rFonts w:hint="default" w:ascii="Times New Roman" w:hAnsi="Times New Roman" w:cs="Times New Roman"/>
                <w:bCs/>
                <w:color w:val="000000"/>
                <w:sz w:val="28"/>
                <w:szCs w:val="28"/>
              </w:rPr>
            </w:pPr>
          </w:p>
        </w:tc>
      </w:tr>
      <w:tr w14:paraId="6D4F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2772" w:type="dxa"/>
            <w:vAlign w:val="center"/>
          </w:tcPr>
          <w:p w14:paraId="28762331">
            <w:pPr>
              <w:jc w:val="left"/>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定标会时间及地点</w:t>
            </w:r>
          </w:p>
        </w:tc>
        <w:tc>
          <w:tcPr>
            <w:tcW w:w="6164" w:type="dxa"/>
            <w:vAlign w:val="center"/>
          </w:tcPr>
          <w:p w14:paraId="4F4A6E30">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 xml:space="preserve">时间： </w:t>
            </w:r>
          </w:p>
          <w:p w14:paraId="1870D926">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地点：</w:t>
            </w:r>
          </w:p>
        </w:tc>
      </w:tr>
      <w:tr w14:paraId="2D1DE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772" w:type="dxa"/>
            <w:vAlign w:val="center"/>
          </w:tcPr>
          <w:p w14:paraId="22B888A3">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定标会主持人</w:t>
            </w:r>
          </w:p>
        </w:tc>
        <w:tc>
          <w:tcPr>
            <w:tcW w:w="6164" w:type="dxa"/>
            <w:vAlign w:val="center"/>
          </w:tcPr>
          <w:p w14:paraId="1208A1A8">
            <w:pPr>
              <w:spacing w:line="380" w:lineRule="exact"/>
              <w:jc w:val="left"/>
              <w:rPr>
                <w:rFonts w:hint="default" w:ascii="Times New Roman" w:hAnsi="Times New Roman" w:cs="Times New Roman"/>
                <w:bCs/>
                <w:color w:val="000000"/>
                <w:sz w:val="28"/>
                <w:szCs w:val="28"/>
              </w:rPr>
            </w:pPr>
          </w:p>
        </w:tc>
      </w:tr>
      <w:tr w14:paraId="39324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772" w:type="dxa"/>
            <w:vAlign w:val="center"/>
          </w:tcPr>
          <w:p w14:paraId="28FEDEC6">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定标会记录人</w:t>
            </w:r>
          </w:p>
        </w:tc>
        <w:tc>
          <w:tcPr>
            <w:tcW w:w="6164" w:type="dxa"/>
            <w:vAlign w:val="center"/>
          </w:tcPr>
          <w:p w14:paraId="108C1A2F">
            <w:pPr>
              <w:spacing w:line="380" w:lineRule="exact"/>
              <w:jc w:val="left"/>
              <w:rPr>
                <w:rFonts w:hint="default" w:ascii="Times New Roman" w:hAnsi="Times New Roman" w:cs="Times New Roman"/>
                <w:bCs/>
                <w:color w:val="000000"/>
                <w:sz w:val="28"/>
                <w:szCs w:val="28"/>
              </w:rPr>
            </w:pPr>
          </w:p>
        </w:tc>
      </w:tr>
      <w:tr w14:paraId="09ABC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772" w:type="dxa"/>
            <w:vAlign w:val="center"/>
          </w:tcPr>
          <w:p w14:paraId="49CAA137">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定标委员会组长</w:t>
            </w:r>
          </w:p>
        </w:tc>
        <w:tc>
          <w:tcPr>
            <w:tcW w:w="6164" w:type="dxa"/>
            <w:vAlign w:val="center"/>
          </w:tcPr>
          <w:p w14:paraId="7AAFA70D">
            <w:pPr>
              <w:spacing w:line="380" w:lineRule="exact"/>
              <w:jc w:val="left"/>
              <w:rPr>
                <w:rFonts w:hint="default" w:ascii="Times New Roman" w:hAnsi="Times New Roman" w:cs="Times New Roman"/>
                <w:bCs/>
                <w:color w:val="000000"/>
                <w:sz w:val="28"/>
                <w:szCs w:val="28"/>
              </w:rPr>
            </w:pPr>
          </w:p>
        </w:tc>
      </w:tr>
      <w:tr w14:paraId="3F5CA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772" w:type="dxa"/>
            <w:vAlign w:val="center"/>
          </w:tcPr>
          <w:p w14:paraId="7947BBD1">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定标监督小组组长</w:t>
            </w:r>
          </w:p>
        </w:tc>
        <w:tc>
          <w:tcPr>
            <w:tcW w:w="6164" w:type="dxa"/>
            <w:vAlign w:val="center"/>
          </w:tcPr>
          <w:p w14:paraId="233BCE02">
            <w:pPr>
              <w:spacing w:line="380" w:lineRule="exact"/>
              <w:jc w:val="left"/>
              <w:rPr>
                <w:rFonts w:hint="default" w:ascii="Times New Roman" w:hAnsi="Times New Roman" w:cs="Times New Roman"/>
                <w:bCs/>
                <w:color w:val="000000"/>
                <w:sz w:val="28"/>
                <w:szCs w:val="28"/>
              </w:rPr>
            </w:pPr>
          </w:p>
        </w:tc>
      </w:tr>
      <w:tr w14:paraId="7E6D0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72" w:type="dxa"/>
            <w:vAlign w:val="center"/>
          </w:tcPr>
          <w:p w14:paraId="08239DF3">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定标方法</w:t>
            </w:r>
          </w:p>
        </w:tc>
        <w:tc>
          <w:tcPr>
            <w:tcW w:w="6164" w:type="dxa"/>
            <w:vAlign w:val="center"/>
          </w:tcPr>
          <w:p w14:paraId="7084152C">
            <w:pPr>
              <w:spacing w:line="380" w:lineRule="exact"/>
              <w:jc w:val="left"/>
              <w:rPr>
                <w:rFonts w:hint="default" w:ascii="Times New Roman" w:hAnsi="Times New Roman" w:cs="Times New Roman"/>
                <w:bCs/>
                <w:color w:val="000000"/>
                <w:sz w:val="28"/>
                <w:szCs w:val="28"/>
              </w:rPr>
            </w:pPr>
          </w:p>
        </w:tc>
      </w:tr>
      <w:tr w14:paraId="1A3B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72" w:type="dxa"/>
            <w:vMerge w:val="restart"/>
            <w:vAlign w:val="center"/>
          </w:tcPr>
          <w:p w14:paraId="2FF0ECBD">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中标候选人名单</w:t>
            </w:r>
          </w:p>
          <w:p w14:paraId="59EDE734">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（不标明排序）</w:t>
            </w:r>
          </w:p>
        </w:tc>
        <w:tc>
          <w:tcPr>
            <w:tcW w:w="6164" w:type="dxa"/>
            <w:vAlign w:val="center"/>
          </w:tcPr>
          <w:p w14:paraId="004761E6">
            <w:pPr>
              <w:spacing w:line="380" w:lineRule="exact"/>
              <w:jc w:val="left"/>
              <w:rPr>
                <w:rFonts w:hint="default" w:ascii="Times New Roman" w:hAnsi="Times New Roman" w:cs="Times New Roman"/>
                <w:bCs/>
                <w:color w:val="000000"/>
                <w:sz w:val="28"/>
                <w:szCs w:val="28"/>
              </w:rPr>
            </w:pPr>
          </w:p>
        </w:tc>
      </w:tr>
      <w:tr w14:paraId="01E1E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72" w:type="dxa"/>
            <w:vMerge w:val="continue"/>
            <w:vAlign w:val="center"/>
          </w:tcPr>
          <w:p w14:paraId="5B2EF43E">
            <w:pPr>
              <w:spacing w:line="380" w:lineRule="exact"/>
              <w:jc w:val="left"/>
              <w:rPr>
                <w:rFonts w:hint="default" w:ascii="Times New Roman" w:hAnsi="Times New Roman" w:cs="Times New Roman"/>
                <w:bCs/>
                <w:color w:val="000000"/>
                <w:sz w:val="28"/>
                <w:szCs w:val="28"/>
              </w:rPr>
            </w:pPr>
          </w:p>
        </w:tc>
        <w:tc>
          <w:tcPr>
            <w:tcW w:w="6164" w:type="dxa"/>
            <w:vAlign w:val="center"/>
          </w:tcPr>
          <w:p w14:paraId="45CEDFC3">
            <w:pPr>
              <w:spacing w:line="380" w:lineRule="exact"/>
              <w:jc w:val="left"/>
              <w:rPr>
                <w:rFonts w:hint="default" w:ascii="Times New Roman" w:hAnsi="Times New Roman" w:cs="Times New Roman"/>
                <w:bCs/>
                <w:color w:val="000000"/>
                <w:sz w:val="28"/>
                <w:szCs w:val="28"/>
              </w:rPr>
            </w:pPr>
          </w:p>
        </w:tc>
      </w:tr>
      <w:tr w14:paraId="3CAA3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72" w:type="dxa"/>
            <w:vMerge w:val="continue"/>
            <w:vAlign w:val="center"/>
          </w:tcPr>
          <w:p w14:paraId="47FE2A5C">
            <w:pPr>
              <w:spacing w:line="380" w:lineRule="exact"/>
              <w:jc w:val="left"/>
              <w:rPr>
                <w:rFonts w:hint="default" w:ascii="Times New Roman" w:hAnsi="Times New Roman" w:cs="Times New Roman"/>
                <w:bCs/>
                <w:color w:val="000000"/>
                <w:sz w:val="28"/>
                <w:szCs w:val="28"/>
              </w:rPr>
            </w:pPr>
          </w:p>
        </w:tc>
        <w:tc>
          <w:tcPr>
            <w:tcW w:w="6164" w:type="dxa"/>
            <w:vAlign w:val="center"/>
          </w:tcPr>
          <w:p w14:paraId="087D3E95">
            <w:pPr>
              <w:spacing w:line="380" w:lineRule="exact"/>
              <w:jc w:val="left"/>
              <w:rPr>
                <w:rFonts w:hint="default" w:ascii="Times New Roman" w:hAnsi="Times New Roman" w:cs="Times New Roman"/>
                <w:bCs/>
                <w:color w:val="000000"/>
                <w:sz w:val="28"/>
                <w:szCs w:val="28"/>
              </w:rPr>
            </w:pPr>
          </w:p>
        </w:tc>
      </w:tr>
      <w:tr w14:paraId="61960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72" w:type="dxa"/>
            <w:vMerge w:val="continue"/>
            <w:vAlign w:val="center"/>
          </w:tcPr>
          <w:p w14:paraId="364B88BA">
            <w:pPr>
              <w:spacing w:line="380" w:lineRule="exact"/>
              <w:jc w:val="left"/>
              <w:rPr>
                <w:rFonts w:hint="default" w:ascii="Times New Roman" w:hAnsi="Times New Roman" w:cs="Times New Roman"/>
                <w:bCs/>
                <w:color w:val="000000"/>
                <w:sz w:val="28"/>
                <w:szCs w:val="28"/>
              </w:rPr>
            </w:pPr>
          </w:p>
        </w:tc>
        <w:tc>
          <w:tcPr>
            <w:tcW w:w="6164" w:type="dxa"/>
            <w:vAlign w:val="center"/>
          </w:tcPr>
          <w:p w14:paraId="2E9A1046">
            <w:pPr>
              <w:spacing w:line="380" w:lineRule="exact"/>
              <w:jc w:val="left"/>
              <w:rPr>
                <w:rFonts w:hint="default" w:ascii="Times New Roman" w:hAnsi="Times New Roman" w:cs="Times New Roman"/>
                <w:bCs/>
                <w:color w:val="000000"/>
                <w:sz w:val="28"/>
                <w:szCs w:val="28"/>
              </w:rPr>
            </w:pPr>
          </w:p>
        </w:tc>
      </w:tr>
      <w:tr w14:paraId="46A8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72" w:type="dxa"/>
            <w:vMerge w:val="continue"/>
            <w:vAlign w:val="center"/>
          </w:tcPr>
          <w:p w14:paraId="44D1E84D">
            <w:pPr>
              <w:spacing w:line="380" w:lineRule="exact"/>
              <w:jc w:val="left"/>
              <w:rPr>
                <w:rFonts w:hint="default" w:ascii="Times New Roman" w:hAnsi="Times New Roman" w:cs="Times New Roman"/>
                <w:bCs/>
                <w:color w:val="000000"/>
                <w:sz w:val="28"/>
                <w:szCs w:val="28"/>
              </w:rPr>
            </w:pPr>
          </w:p>
        </w:tc>
        <w:tc>
          <w:tcPr>
            <w:tcW w:w="6164" w:type="dxa"/>
            <w:vAlign w:val="center"/>
          </w:tcPr>
          <w:p w14:paraId="6D2526C3">
            <w:pPr>
              <w:spacing w:line="380" w:lineRule="exact"/>
              <w:jc w:val="left"/>
              <w:rPr>
                <w:rFonts w:hint="default" w:ascii="Times New Roman" w:hAnsi="Times New Roman" w:cs="Times New Roman"/>
                <w:bCs/>
                <w:color w:val="000000"/>
                <w:sz w:val="28"/>
                <w:szCs w:val="28"/>
              </w:rPr>
            </w:pPr>
          </w:p>
        </w:tc>
      </w:tr>
      <w:tr w14:paraId="0BEA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772" w:type="dxa"/>
            <w:vAlign w:val="center"/>
          </w:tcPr>
          <w:p w14:paraId="733F226E">
            <w:pPr>
              <w:jc w:val="left"/>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定标会议资料</w:t>
            </w:r>
          </w:p>
        </w:tc>
        <w:tc>
          <w:tcPr>
            <w:tcW w:w="6164" w:type="dxa"/>
            <w:vAlign w:val="center"/>
          </w:tcPr>
          <w:p w14:paraId="1C479515">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1.资格预审文件、资格预审申请文件（如有）</w:t>
            </w:r>
          </w:p>
          <w:p w14:paraId="45F84918">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2.资格预审报告（如有）</w:t>
            </w:r>
          </w:p>
          <w:p w14:paraId="46D6FCB8">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3.招标文件、投标文件</w:t>
            </w:r>
          </w:p>
          <w:p w14:paraId="56A953F7">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4.评标报告</w:t>
            </w:r>
          </w:p>
          <w:p w14:paraId="0AE26BA5">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5.清标与考察工作方案（如有）</w:t>
            </w:r>
          </w:p>
          <w:p w14:paraId="6183737E">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6.清标与考察报告（如有）</w:t>
            </w:r>
          </w:p>
          <w:p w14:paraId="3CEF4C9B">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7.定标会议议程</w:t>
            </w:r>
          </w:p>
          <w:p w14:paraId="0F1DE100">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8.中标候选人答辩工作方案（如有）</w:t>
            </w:r>
          </w:p>
          <w:p w14:paraId="40BAB012">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w:t>
            </w:r>
          </w:p>
          <w:p w14:paraId="41A3CD40">
            <w:pPr>
              <w:spacing w:line="380" w:lineRule="exact"/>
              <w:jc w:val="left"/>
              <w:rPr>
                <w:rFonts w:hint="default" w:ascii="Times New Roman" w:hAnsi="Times New Roman" w:cs="Times New Roman"/>
                <w:bCs/>
                <w:color w:val="000000"/>
                <w:sz w:val="28"/>
                <w:szCs w:val="28"/>
              </w:rPr>
            </w:pPr>
            <w:r>
              <w:rPr>
                <w:rFonts w:hint="default" w:ascii="Times New Roman" w:hAnsi="Times New Roman" w:cs="Times New Roman"/>
                <w:bCs/>
                <w:color w:val="000000"/>
                <w:sz w:val="28"/>
                <w:szCs w:val="28"/>
              </w:rPr>
              <w:t>除1-4项外，上述资料应作为定标报告的附件</w:t>
            </w:r>
          </w:p>
        </w:tc>
      </w:tr>
    </w:tbl>
    <w:p w14:paraId="2EC748C4">
      <w:pPr>
        <w:widowControl/>
        <w:jc w:val="left"/>
        <w:rPr>
          <w:rFonts w:hint="default" w:ascii="Times New Roman" w:hAnsi="Times New Roman" w:cs="Times New Roman"/>
          <w:color w:val="000000"/>
          <w:sz w:val="32"/>
          <w:szCs w:val="32"/>
        </w:rPr>
        <w:sectPr>
          <w:footerReference r:id="rId7" w:type="default"/>
          <w:footerReference r:id="rId8" w:type="even"/>
          <w:pgSz w:w="11906" w:h="16838"/>
          <w:pgMar w:top="2098" w:right="1474" w:bottom="1418" w:left="1588" w:header="851" w:footer="992" w:gutter="0"/>
          <w:cols w:space="720" w:num="1"/>
          <w:titlePg/>
          <w:docGrid w:type="lines" w:linePitch="312" w:charSpace="0"/>
        </w:sectPr>
      </w:pPr>
    </w:p>
    <w:p w14:paraId="18470D20">
      <w:pPr>
        <w:widowControl/>
        <w:jc w:val="center"/>
        <w:rPr>
          <w:rFonts w:hint="default" w:ascii="Times New Roman" w:hAnsi="Times New Roman" w:cs="Times New Roman"/>
          <w:color w:val="000000"/>
          <w:sz w:val="32"/>
          <w:szCs w:val="32"/>
        </w:rPr>
      </w:pPr>
      <w:r>
        <w:rPr>
          <w:rFonts w:hint="default" w:ascii="Times New Roman" w:hAnsi="Times New Roman" w:eastAsia="黑体" w:cs="Times New Roman"/>
          <w:b/>
          <w:color w:val="000000"/>
          <w:sz w:val="36"/>
        </w:rPr>
        <w:t>二、定标委员会成员名单</w:t>
      </w:r>
    </w:p>
    <w:p w14:paraId="31CB349D">
      <w:pPr>
        <w:widowControl/>
        <w:jc w:val="left"/>
        <w:rPr>
          <w:rFonts w:hint="default" w:ascii="Times New Roman" w:hAnsi="Times New Roman" w:cs="Times New Roman"/>
          <w:color w:val="000000"/>
          <w:sz w:val="32"/>
          <w:szCs w:val="32"/>
        </w:rPr>
      </w:pPr>
    </w:p>
    <w:tbl>
      <w:tblPr>
        <w:tblStyle w:val="17"/>
        <w:tblW w:w="14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559"/>
        <w:gridCol w:w="5103"/>
        <w:gridCol w:w="1985"/>
        <w:gridCol w:w="2126"/>
        <w:gridCol w:w="2268"/>
      </w:tblGrid>
      <w:tr w14:paraId="1B432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exact"/>
          <w:jc w:val="center"/>
        </w:trPr>
        <w:tc>
          <w:tcPr>
            <w:tcW w:w="959" w:type="dxa"/>
            <w:vAlign w:val="center"/>
          </w:tcPr>
          <w:p w14:paraId="5696F93B">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序号</w:t>
            </w:r>
          </w:p>
        </w:tc>
        <w:tc>
          <w:tcPr>
            <w:tcW w:w="1559" w:type="dxa"/>
            <w:vAlign w:val="center"/>
          </w:tcPr>
          <w:p w14:paraId="53ACA18B">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姓 名</w:t>
            </w:r>
          </w:p>
        </w:tc>
        <w:tc>
          <w:tcPr>
            <w:tcW w:w="5103" w:type="dxa"/>
            <w:vAlign w:val="center"/>
          </w:tcPr>
          <w:p w14:paraId="3D34280D">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工作单位</w:t>
            </w:r>
          </w:p>
        </w:tc>
        <w:tc>
          <w:tcPr>
            <w:tcW w:w="1985" w:type="dxa"/>
            <w:vAlign w:val="center"/>
          </w:tcPr>
          <w:p w14:paraId="03472B4A">
            <w:pPr>
              <w:pStyle w:val="33"/>
              <w:spacing w:line="40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职称（职务）</w:t>
            </w:r>
          </w:p>
        </w:tc>
        <w:tc>
          <w:tcPr>
            <w:tcW w:w="2126" w:type="dxa"/>
            <w:vAlign w:val="center"/>
          </w:tcPr>
          <w:p w14:paraId="0C82E3A9">
            <w:pPr>
              <w:pStyle w:val="33"/>
              <w:spacing w:line="40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在定标中</w:t>
            </w:r>
          </w:p>
          <w:p w14:paraId="35116C44">
            <w:pPr>
              <w:pStyle w:val="33"/>
              <w:spacing w:line="40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承担的工作</w:t>
            </w:r>
          </w:p>
        </w:tc>
        <w:tc>
          <w:tcPr>
            <w:tcW w:w="2268" w:type="dxa"/>
            <w:vAlign w:val="center"/>
          </w:tcPr>
          <w:p w14:paraId="11B18063">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联系电话</w:t>
            </w:r>
          </w:p>
        </w:tc>
      </w:tr>
      <w:tr w14:paraId="456A6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jc w:val="center"/>
        </w:trPr>
        <w:tc>
          <w:tcPr>
            <w:tcW w:w="959" w:type="dxa"/>
            <w:vAlign w:val="center"/>
          </w:tcPr>
          <w:p w14:paraId="73A3A2BA">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w:t>
            </w:r>
          </w:p>
        </w:tc>
        <w:tc>
          <w:tcPr>
            <w:tcW w:w="1559" w:type="dxa"/>
            <w:vAlign w:val="center"/>
          </w:tcPr>
          <w:p w14:paraId="086F1AA1">
            <w:pPr>
              <w:jc w:val="center"/>
              <w:rPr>
                <w:rFonts w:hint="default" w:ascii="Times New Roman" w:hAnsi="Times New Roman" w:cs="Times New Roman"/>
                <w:color w:val="000000"/>
                <w:sz w:val="28"/>
                <w:szCs w:val="28"/>
              </w:rPr>
            </w:pPr>
          </w:p>
        </w:tc>
        <w:tc>
          <w:tcPr>
            <w:tcW w:w="5103" w:type="dxa"/>
            <w:vAlign w:val="center"/>
          </w:tcPr>
          <w:p w14:paraId="78B41BAB">
            <w:pPr>
              <w:jc w:val="center"/>
              <w:rPr>
                <w:rFonts w:hint="default" w:ascii="Times New Roman" w:hAnsi="Times New Roman" w:cs="Times New Roman"/>
                <w:color w:val="000000"/>
                <w:sz w:val="28"/>
                <w:szCs w:val="28"/>
              </w:rPr>
            </w:pPr>
          </w:p>
        </w:tc>
        <w:tc>
          <w:tcPr>
            <w:tcW w:w="1985" w:type="dxa"/>
            <w:vAlign w:val="center"/>
          </w:tcPr>
          <w:p w14:paraId="0BD819F8">
            <w:pPr>
              <w:jc w:val="center"/>
              <w:rPr>
                <w:rFonts w:hint="default" w:ascii="Times New Roman" w:hAnsi="Times New Roman" w:cs="Times New Roman"/>
                <w:color w:val="000000"/>
                <w:sz w:val="28"/>
                <w:szCs w:val="28"/>
              </w:rPr>
            </w:pPr>
          </w:p>
        </w:tc>
        <w:tc>
          <w:tcPr>
            <w:tcW w:w="2126" w:type="dxa"/>
            <w:vAlign w:val="center"/>
          </w:tcPr>
          <w:p w14:paraId="74445C5B">
            <w:pPr>
              <w:jc w:val="center"/>
              <w:rPr>
                <w:rFonts w:hint="default" w:ascii="Times New Roman" w:hAnsi="Times New Roman" w:cs="Times New Roman"/>
                <w:color w:val="000000"/>
                <w:sz w:val="28"/>
                <w:szCs w:val="28"/>
              </w:rPr>
            </w:pPr>
          </w:p>
        </w:tc>
        <w:tc>
          <w:tcPr>
            <w:tcW w:w="2268" w:type="dxa"/>
            <w:vAlign w:val="center"/>
          </w:tcPr>
          <w:p w14:paraId="74C02DE6">
            <w:pPr>
              <w:jc w:val="center"/>
              <w:rPr>
                <w:rFonts w:hint="default" w:ascii="Times New Roman" w:hAnsi="Times New Roman" w:cs="Times New Roman"/>
                <w:color w:val="000000"/>
                <w:sz w:val="28"/>
                <w:szCs w:val="28"/>
              </w:rPr>
            </w:pPr>
          </w:p>
        </w:tc>
      </w:tr>
      <w:tr w14:paraId="3B4FD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jc w:val="center"/>
        </w:trPr>
        <w:tc>
          <w:tcPr>
            <w:tcW w:w="959" w:type="dxa"/>
            <w:vAlign w:val="center"/>
          </w:tcPr>
          <w:p w14:paraId="3F886871">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w:t>
            </w:r>
          </w:p>
        </w:tc>
        <w:tc>
          <w:tcPr>
            <w:tcW w:w="1559" w:type="dxa"/>
            <w:vAlign w:val="center"/>
          </w:tcPr>
          <w:p w14:paraId="61C7A98F">
            <w:pPr>
              <w:jc w:val="center"/>
              <w:rPr>
                <w:rFonts w:hint="default" w:ascii="Times New Roman" w:hAnsi="Times New Roman" w:cs="Times New Roman"/>
                <w:color w:val="000000"/>
                <w:sz w:val="28"/>
                <w:szCs w:val="28"/>
              </w:rPr>
            </w:pPr>
          </w:p>
        </w:tc>
        <w:tc>
          <w:tcPr>
            <w:tcW w:w="5103" w:type="dxa"/>
            <w:vAlign w:val="center"/>
          </w:tcPr>
          <w:p w14:paraId="5E79E288">
            <w:pPr>
              <w:jc w:val="center"/>
              <w:rPr>
                <w:rFonts w:hint="default" w:ascii="Times New Roman" w:hAnsi="Times New Roman" w:cs="Times New Roman"/>
                <w:color w:val="000000"/>
                <w:sz w:val="28"/>
                <w:szCs w:val="28"/>
              </w:rPr>
            </w:pPr>
          </w:p>
        </w:tc>
        <w:tc>
          <w:tcPr>
            <w:tcW w:w="1985" w:type="dxa"/>
            <w:vAlign w:val="center"/>
          </w:tcPr>
          <w:p w14:paraId="0FAAAF87">
            <w:pPr>
              <w:jc w:val="center"/>
              <w:rPr>
                <w:rFonts w:hint="default" w:ascii="Times New Roman" w:hAnsi="Times New Roman" w:cs="Times New Roman"/>
                <w:color w:val="000000"/>
                <w:sz w:val="28"/>
                <w:szCs w:val="28"/>
              </w:rPr>
            </w:pPr>
          </w:p>
        </w:tc>
        <w:tc>
          <w:tcPr>
            <w:tcW w:w="2126" w:type="dxa"/>
            <w:vAlign w:val="center"/>
          </w:tcPr>
          <w:p w14:paraId="13CCCE8D">
            <w:pPr>
              <w:jc w:val="center"/>
              <w:rPr>
                <w:rFonts w:hint="default" w:ascii="Times New Roman" w:hAnsi="Times New Roman" w:cs="Times New Roman"/>
                <w:color w:val="000000"/>
                <w:sz w:val="28"/>
                <w:szCs w:val="28"/>
              </w:rPr>
            </w:pPr>
          </w:p>
        </w:tc>
        <w:tc>
          <w:tcPr>
            <w:tcW w:w="2268" w:type="dxa"/>
            <w:vAlign w:val="center"/>
          </w:tcPr>
          <w:p w14:paraId="494D4959">
            <w:pPr>
              <w:jc w:val="center"/>
              <w:rPr>
                <w:rFonts w:hint="default" w:ascii="Times New Roman" w:hAnsi="Times New Roman" w:cs="Times New Roman"/>
                <w:color w:val="000000"/>
                <w:sz w:val="28"/>
                <w:szCs w:val="28"/>
              </w:rPr>
            </w:pPr>
          </w:p>
        </w:tc>
      </w:tr>
      <w:tr w14:paraId="33838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jc w:val="center"/>
        </w:trPr>
        <w:tc>
          <w:tcPr>
            <w:tcW w:w="959" w:type="dxa"/>
            <w:vAlign w:val="center"/>
          </w:tcPr>
          <w:p w14:paraId="25226388">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w:t>
            </w:r>
          </w:p>
        </w:tc>
        <w:tc>
          <w:tcPr>
            <w:tcW w:w="1559" w:type="dxa"/>
            <w:vAlign w:val="center"/>
          </w:tcPr>
          <w:p w14:paraId="158E644A">
            <w:pPr>
              <w:jc w:val="center"/>
              <w:rPr>
                <w:rFonts w:hint="default" w:ascii="Times New Roman" w:hAnsi="Times New Roman" w:cs="Times New Roman"/>
                <w:color w:val="000000"/>
                <w:sz w:val="28"/>
                <w:szCs w:val="28"/>
              </w:rPr>
            </w:pPr>
          </w:p>
        </w:tc>
        <w:tc>
          <w:tcPr>
            <w:tcW w:w="5103" w:type="dxa"/>
            <w:vAlign w:val="center"/>
          </w:tcPr>
          <w:p w14:paraId="5543A8B5">
            <w:pPr>
              <w:jc w:val="center"/>
              <w:rPr>
                <w:rFonts w:hint="default" w:ascii="Times New Roman" w:hAnsi="Times New Roman" w:cs="Times New Roman"/>
                <w:color w:val="000000"/>
                <w:sz w:val="28"/>
                <w:szCs w:val="28"/>
              </w:rPr>
            </w:pPr>
          </w:p>
        </w:tc>
        <w:tc>
          <w:tcPr>
            <w:tcW w:w="1985" w:type="dxa"/>
            <w:vAlign w:val="center"/>
          </w:tcPr>
          <w:p w14:paraId="70AC20FE">
            <w:pPr>
              <w:jc w:val="center"/>
              <w:rPr>
                <w:rFonts w:hint="default" w:ascii="Times New Roman" w:hAnsi="Times New Roman" w:cs="Times New Roman"/>
                <w:color w:val="000000"/>
                <w:sz w:val="28"/>
                <w:szCs w:val="28"/>
              </w:rPr>
            </w:pPr>
          </w:p>
        </w:tc>
        <w:tc>
          <w:tcPr>
            <w:tcW w:w="2126" w:type="dxa"/>
            <w:vAlign w:val="center"/>
          </w:tcPr>
          <w:p w14:paraId="35ABA6A4">
            <w:pPr>
              <w:jc w:val="center"/>
              <w:rPr>
                <w:rFonts w:hint="default" w:ascii="Times New Roman" w:hAnsi="Times New Roman" w:cs="Times New Roman"/>
                <w:color w:val="000000"/>
                <w:sz w:val="28"/>
                <w:szCs w:val="28"/>
              </w:rPr>
            </w:pPr>
          </w:p>
        </w:tc>
        <w:tc>
          <w:tcPr>
            <w:tcW w:w="2268" w:type="dxa"/>
            <w:vAlign w:val="center"/>
          </w:tcPr>
          <w:p w14:paraId="3138CC18">
            <w:pPr>
              <w:jc w:val="center"/>
              <w:rPr>
                <w:rFonts w:hint="default" w:ascii="Times New Roman" w:hAnsi="Times New Roman" w:cs="Times New Roman"/>
                <w:color w:val="000000"/>
                <w:sz w:val="28"/>
                <w:szCs w:val="28"/>
              </w:rPr>
            </w:pPr>
          </w:p>
        </w:tc>
      </w:tr>
      <w:tr w14:paraId="6976E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jc w:val="center"/>
        </w:trPr>
        <w:tc>
          <w:tcPr>
            <w:tcW w:w="959" w:type="dxa"/>
            <w:vAlign w:val="center"/>
          </w:tcPr>
          <w:p w14:paraId="2979367C">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w:t>
            </w:r>
          </w:p>
        </w:tc>
        <w:tc>
          <w:tcPr>
            <w:tcW w:w="1559" w:type="dxa"/>
            <w:vAlign w:val="center"/>
          </w:tcPr>
          <w:p w14:paraId="0D5B672E">
            <w:pPr>
              <w:jc w:val="center"/>
              <w:rPr>
                <w:rFonts w:hint="default" w:ascii="Times New Roman" w:hAnsi="Times New Roman" w:cs="Times New Roman"/>
                <w:color w:val="000000"/>
                <w:sz w:val="28"/>
                <w:szCs w:val="28"/>
              </w:rPr>
            </w:pPr>
          </w:p>
        </w:tc>
        <w:tc>
          <w:tcPr>
            <w:tcW w:w="5103" w:type="dxa"/>
            <w:vAlign w:val="center"/>
          </w:tcPr>
          <w:p w14:paraId="2C93697D">
            <w:pPr>
              <w:jc w:val="center"/>
              <w:rPr>
                <w:rFonts w:hint="default" w:ascii="Times New Roman" w:hAnsi="Times New Roman" w:cs="Times New Roman"/>
                <w:color w:val="000000"/>
                <w:sz w:val="28"/>
                <w:szCs w:val="28"/>
              </w:rPr>
            </w:pPr>
          </w:p>
        </w:tc>
        <w:tc>
          <w:tcPr>
            <w:tcW w:w="1985" w:type="dxa"/>
            <w:vAlign w:val="center"/>
          </w:tcPr>
          <w:p w14:paraId="269C3557">
            <w:pPr>
              <w:jc w:val="center"/>
              <w:rPr>
                <w:rFonts w:hint="default" w:ascii="Times New Roman" w:hAnsi="Times New Roman" w:cs="Times New Roman"/>
                <w:color w:val="000000"/>
                <w:sz w:val="28"/>
                <w:szCs w:val="28"/>
              </w:rPr>
            </w:pPr>
          </w:p>
        </w:tc>
        <w:tc>
          <w:tcPr>
            <w:tcW w:w="2126" w:type="dxa"/>
            <w:vAlign w:val="center"/>
          </w:tcPr>
          <w:p w14:paraId="62951AB1">
            <w:pPr>
              <w:jc w:val="center"/>
              <w:rPr>
                <w:rFonts w:hint="default" w:ascii="Times New Roman" w:hAnsi="Times New Roman" w:cs="Times New Roman"/>
                <w:color w:val="000000"/>
                <w:sz w:val="28"/>
                <w:szCs w:val="28"/>
              </w:rPr>
            </w:pPr>
          </w:p>
        </w:tc>
        <w:tc>
          <w:tcPr>
            <w:tcW w:w="2268" w:type="dxa"/>
            <w:vAlign w:val="center"/>
          </w:tcPr>
          <w:p w14:paraId="29286F18">
            <w:pPr>
              <w:jc w:val="center"/>
              <w:rPr>
                <w:rFonts w:hint="default" w:ascii="Times New Roman" w:hAnsi="Times New Roman" w:cs="Times New Roman"/>
                <w:color w:val="000000"/>
                <w:sz w:val="28"/>
                <w:szCs w:val="28"/>
              </w:rPr>
            </w:pPr>
          </w:p>
        </w:tc>
      </w:tr>
      <w:tr w14:paraId="4224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exact"/>
          <w:jc w:val="center"/>
        </w:trPr>
        <w:tc>
          <w:tcPr>
            <w:tcW w:w="959" w:type="dxa"/>
            <w:vAlign w:val="center"/>
          </w:tcPr>
          <w:p w14:paraId="598E544B">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w:t>
            </w:r>
          </w:p>
        </w:tc>
        <w:tc>
          <w:tcPr>
            <w:tcW w:w="1559" w:type="dxa"/>
            <w:vAlign w:val="center"/>
          </w:tcPr>
          <w:p w14:paraId="6160536E">
            <w:pPr>
              <w:jc w:val="center"/>
              <w:rPr>
                <w:rFonts w:hint="default" w:ascii="Times New Roman" w:hAnsi="Times New Roman" w:cs="Times New Roman"/>
                <w:color w:val="000000"/>
                <w:sz w:val="28"/>
                <w:szCs w:val="28"/>
              </w:rPr>
            </w:pPr>
          </w:p>
        </w:tc>
        <w:tc>
          <w:tcPr>
            <w:tcW w:w="5103" w:type="dxa"/>
            <w:vAlign w:val="center"/>
          </w:tcPr>
          <w:p w14:paraId="081597EA">
            <w:pPr>
              <w:jc w:val="center"/>
              <w:rPr>
                <w:rFonts w:hint="default" w:ascii="Times New Roman" w:hAnsi="Times New Roman" w:cs="Times New Roman"/>
                <w:color w:val="000000"/>
                <w:sz w:val="28"/>
                <w:szCs w:val="28"/>
              </w:rPr>
            </w:pPr>
          </w:p>
        </w:tc>
        <w:tc>
          <w:tcPr>
            <w:tcW w:w="1985" w:type="dxa"/>
            <w:vAlign w:val="center"/>
          </w:tcPr>
          <w:p w14:paraId="4942DF6D">
            <w:pPr>
              <w:jc w:val="center"/>
              <w:rPr>
                <w:rFonts w:hint="default" w:ascii="Times New Roman" w:hAnsi="Times New Roman" w:cs="Times New Roman"/>
                <w:color w:val="000000"/>
                <w:sz w:val="28"/>
                <w:szCs w:val="28"/>
              </w:rPr>
            </w:pPr>
          </w:p>
        </w:tc>
        <w:tc>
          <w:tcPr>
            <w:tcW w:w="2126" w:type="dxa"/>
            <w:vAlign w:val="center"/>
          </w:tcPr>
          <w:p w14:paraId="4D6AA355">
            <w:pPr>
              <w:jc w:val="center"/>
              <w:rPr>
                <w:rFonts w:hint="default" w:ascii="Times New Roman" w:hAnsi="Times New Roman" w:cs="Times New Roman"/>
                <w:color w:val="000000"/>
                <w:sz w:val="28"/>
                <w:szCs w:val="28"/>
              </w:rPr>
            </w:pPr>
          </w:p>
        </w:tc>
        <w:tc>
          <w:tcPr>
            <w:tcW w:w="2268" w:type="dxa"/>
            <w:vAlign w:val="center"/>
          </w:tcPr>
          <w:p w14:paraId="41D5EDA5">
            <w:pPr>
              <w:jc w:val="center"/>
              <w:rPr>
                <w:rFonts w:hint="default" w:ascii="Times New Roman" w:hAnsi="Times New Roman" w:cs="Times New Roman"/>
                <w:color w:val="000000"/>
                <w:sz w:val="28"/>
                <w:szCs w:val="28"/>
              </w:rPr>
            </w:pPr>
          </w:p>
        </w:tc>
      </w:tr>
      <w:tr w14:paraId="13AEA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jc w:val="center"/>
        </w:trPr>
        <w:tc>
          <w:tcPr>
            <w:tcW w:w="959" w:type="dxa"/>
            <w:vAlign w:val="center"/>
          </w:tcPr>
          <w:p w14:paraId="082CF0C8">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6</w:t>
            </w:r>
          </w:p>
        </w:tc>
        <w:tc>
          <w:tcPr>
            <w:tcW w:w="1559" w:type="dxa"/>
            <w:vAlign w:val="center"/>
          </w:tcPr>
          <w:p w14:paraId="202F4F9C">
            <w:pPr>
              <w:jc w:val="center"/>
              <w:rPr>
                <w:rFonts w:hint="default" w:ascii="Times New Roman" w:hAnsi="Times New Roman" w:cs="Times New Roman"/>
                <w:color w:val="000000"/>
                <w:sz w:val="28"/>
                <w:szCs w:val="28"/>
              </w:rPr>
            </w:pPr>
          </w:p>
        </w:tc>
        <w:tc>
          <w:tcPr>
            <w:tcW w:w="5103" w:type="dxa"/>
            <w:vAlign w:val="center"/>
          </w:tcPr>
          <w:p w14:paraId="67CD2E3D">
            <w:pPr>
              <w:jc w:val="center"/>
              <w:rPr>
                <w:rFonts w:hint="default" w:ascii="Times New Roman" w:hAnsi="Times New Roman" w:cs="Times New Roman"/>
                <w:color w:val="000000"/>
                <w:sz w:val="28"/>
                <w:szCs w:val="28"/>
              </w:rPr>
            </w:pPr>
          </w:p>
        </w:tc>
        <w:tc>
          <w:tcPr>
            <w:tcW w:w="1985" w:type="dxa"/>
            <w:vAlign w:val="center"/>
          </w:tcPr>
          <w:p w14:paraId="1B1956BE">
            <w:pPr>
              <w:jc w:val="center"/>
              <w:rPr>
                <w:rFonts w:hint="default" w:ascii="Times New Roman" w:hAnsi="Times New Roman" w:cs="Times New Roman"/>
                <w:color w:val="000000"/>
                <w:sz w:val="28"/>
                <w:szCs w:val="28"/>
              </w:rPr>
            </w:pPr>
          </w:p>
        </w:tc>
        <w:tc>
          <w:tcPr>
            <w:tcW w:w="2126" w:type="dxa"/>
            <w:vAlign w:val="center"/>
          </w:tcPr>
          <w:p w14:paraId="4F2DC951">
            <w:pPr>
              <w:jc w:val="center"/>
              <w:rPr>
                <w:rFonts w:hint="default" w:ascii="Times New Roman" w:hAnsi="Times New Roman" w:cs="Times New Roman"/>
                <w:color w:val="000000"/>
                <w:sz w:val="28"/>
                <w:szCs w:val="28"/>
              </w:rPr>
            </w:pPr>
          </w:p>
        </w:tc>
        <w:tc>
          <w:tcPr>
            <w:tcW w:w="2268" w:type="dxa"/>
            <w:vAlign w:val="center"/>
          </w:tcPr>
          <w:p w14:paraId="48CB201C">
            <w:pPr>
              <w:jc w:val="center"/>
              <w:rPr>
                <w:rFonts w:hint="default" w:ascii="Times New Roman" w:hAnsi="Times New Roman" w:cs="Times New Roman"/>
                <w:color w:val="000000"/>
                <w:sz w:val="28"/>
                <w:szCs w:val="28"/>
              </w:rPr>
            </w:pPr>
          </w:p>
        </w:tc>
      </w:tr>
      <w:tr w14:paraId="7976C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jc w:val="center"/>
        </w:trPr>
        <w:tc>
          <w:tcPr>
            <w:tcW w:w="959" w:type="dxa"/>
            <w:vAlign w:val="center"/>
          </w:tcPr>
          <w:p w14:paraId="067C763E">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7</w:t>
            </w:r>
          </w:p>
        </w:tc>
        <w:tc>
          <w:tcPr>
            <w:tcW w:w="1559" w:type="dxa"/>
            <w:vAlign w:val="center"/>
          </w:tcPr>
          <w:p w14:paraId="048C6EBA">
            <w:pPr>
              <w:jc w:val="center"/>
              <w:rPr>
                <w:rFonts w:hint="default" w:ascii="Times New Roman" w:hAnsi="Times New Roman" w:cs="Times New Roman"/>
                <w:color w:val="000000"/>
                <w:sz w:val="28"/>
                <w:szCs w:val="28"/>
              </w:rPr>
            </w:pPr>
          </w:p>
        </w:tc>
        <w:tc>
          <w:tcPr>
            <w:tcW w:w="5103" w:type="dxa"/>
            <w:vAlign w:val="center"/>
          </w:tcPr>
          <w:p w14:paraId="031F0AA0">
            <w:pPr>
              <w:jc w:val="center"/>
              <w:rPr>
                <w:rFonts w:hint="default" w:ascii="Times New Roman" w:hAnsi="Times New Roman" w:cs="Times New Roman"/>
                <w:color w:val="000000"/>
                <w:sz w:val="28"/>
                <w:szCs w:val="28"/>
              </w:rPr>
            </w:pPr>
          </w:p>
        </w:tc>
        <w:tc>
          <w:tcPr>
            <w:tcW w:w="1985" w:type="dxa"/>
            <w:vAlign w:val="center"/>
          </w:tcPr>
          <w:p w14:paraId="607B5EFF">
            <w:pPr>
              <w:jc w:val="center"/>
              <w:rPr>
                <w:rFonts w:hint="default" w:ascii="Times New Roman" w:hAnsi="Times New Roman" w:cs="Times New Roman"/>
                <w:color w:val="000000"/>
                <w:sz w:val="28"/>
                <w:szCs w:val="28"/>
              </w:rPr>
            </w:pPr>
          </w:p>
        </w:tc>
        <w:tc>
          <w:tcPr>
            <w:tcW w:w="2126" w:type="dxa"/>
            <w:vAlign w:val="center"/>
          </w:tcPr>
          <w:p w14:paraId="6216D1FB">
            <w:pPr>
              <w:jc w:val="center"/>
              <w:rPr>
                <w:rFonts w:hint="default" w:ascii="Times New Roman" w:hAnsi="Times New Roman" w:cs="Times New Roman"/>
                <w:color w:val="000000"/>
                <w:sz w:val="28"/>
                <w:szCs w:val="28"/>
              </w:rPr>
            </w:pPr>
          </w:p>
        </w:tc>
        <w:tc>
          <w:tcPr>
            <w:tcW w:w="2268" w:type="dxa"/>
            <w:vAlign w:val="center"/>
          </w:tcPr>
          <w:p w14:paraId="59C4E864">
            <w:pPr>
              <w:jc w:val="center"/>
              <w:rPr>
                <w:rFonts w:hint="default" w:ascii="Times New Roman" w:hAnsi="Times New Roman" w:cs="Times New Roman"/>
                <w:color w:val="000000"/>
                <w:sz w:val="28"/>
                <w:szCs w:val="28"/>
              </w:rPr>
            </w:pPr>
          </w:p>
        </w:tc>
      </w:tr>
      <w:tr w14:paraId="5C75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exact"/>
          <w:jc w:val="center"/>
        </w:trPr>
        <w:tc>
          <w:tcPr>
            <w:tcW w:w="959" w:type="dxa"/>
            <w:vAlign w:val="center"/>
          </w:tcPr>
          <w:p w14:paraId="20C2498F">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8</w:t>
            </w:r>
          </w:p>
        </w:tc>
        <w:tc>
          <w:tcPr>
            <w:tcW w:w="1559" w:type="dxa"/>
            <w:vAlign w:val="center"/>
          </w:tcPr>
          <w:p w14:paraId="30FE6E6E">
            <w:pPr>
              <w:jc w:val="center"/>
              <w:rPr>
                <w:rFonts w:hint="default" w:ascii="Times New Roman" w:hAnsi="Times New Roman" w:cs="Times New Roman"/>
                <w:color w:val="000000"/>
                <w:sz w:val="28"/>
                <w:szCs w:val="28"/>
              </w:rPr>
            </w:pPr>
          </w:p>
        </w:tc>
        <w:tc>
          <w:tcPr>
            <w:tcW w:w="5103" w:type="dxa"/>
            <w:vAlign w:val="center"/>
          </w:tcPr>
          <w:p w14:paraId="1A70608F">
            <w:pPr>
              <w:jc w:val="center"/>
              <w:rPr>
                <w:rFonts w:hint="default" w:ascii="Times New Roman" w:hAnsi="Times New Roman" w:cs="Times New Roman"/>
                <w:color w:val="000000"/>
                <w:sz w:val="28"/>
                <w:szCs w:val="28"/>
              </w:rPr>
            </w:pPr>
          </w:p>
        </w:tc>
        <w:tc>
          <w:tcPr>
            <w:tcW w:w="1985" w:type="dxa"/>
            <w:vAlign w:val="center"/>
          </w:tcPr>
          <w:p w14:paraId="715045C0">
            <w:pPr>
              <w:jc w:val="center"/>
              <w:rPr>
                <w:rFonts w:hint="default" w:ascii="Times New Roman" w:hAnsi="Times New Roman" w:cs="Times New Roman"/>
                <w:color w:val="000000"/>
                <w:sz w:val="28"/>
                <w:szCs w:val="28"/>
              </w:rPr>
            </w:pPr>
          </w:p>
        </w:tc>
        <w:tc>
          <w:tcPr>
            <w:tcW w:w="2126" w:type="dxa"/>
            <w:vAlign w:val="center"/>
          </w:tcPr>
          <w:p w14:paraId="07F8C3B4">
            <w:pPr>
              <w:jc w:val="center"/>
              <w:rPr>
                <w:rFonts w:hint="default" w:ascii="Times New Roman" w:hAnsi="Times New Roman" w:cs="Times New Roman"/>
                <w:color w:val="000000"/>
                <w:sz w:val="28"/>
                <w:szCs w:val="28"/>
              </w:rPr>
            </w:pPr>
          </w:p>
        </w:tc>
        <w:tc>
          <w:tcPr>
            <w:tcW w:w="2268" w:type="dxa"/>
            <w:vAlign w:val="center"/>
          </w:tcPr>
          <w:p w14:paraId="5C9EEB64">
            <w:pPr>
              <w:jc w:val="center"/>
              <w:rPr>
                <w:rFonts w:hint="default" w:ascii="Times New Roman" w:hAnsi="Times New Roman" w:cs="Times New Roman"/>
                <w:color w:val="000000"/>
                <w:sz w:val="28"/>
                <w:szCs w:val="28"/>
              </w:rPr>
            </w:pPr>
          </w:p>
        </w:tc>
      </w:tr>
      <w:tr w14:paraId="0E2C6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jc w:val="center"/>
        </w:trPr>
        <w:tc>
          <w:tcPr>
            <w:tcW w:w="959" w:type="dxa"/>
            <w:vAlign w:val="center"/>
          </w:tcPr>
          <w:p w14:paraId="7C938DFD">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9</w:t>
            </w:r>
          </w:p>
        </w:tc>
        <w:tc>
          <w:tcPr>
            <w:tcW w:w="1559" w:type="dxa"/>
            <w:vAlign w:val="center"/>
          </w:tcPr>
          <w:p w14:paraId="2D7B6B49">
            <w:pPr>
              <w:jc w:val="center"/>
              <w:rPr>
                <w:rFonts w:hint="default" w:ascii="Times New Roman" w:hAnsi="Times New Roman" w:cs="Times New Roman"/>
                <w:color w:val="000000"/>
                <w:sz w:val="28"/>
                <w:szCs w:val="28"/>
              </w:rPr>
            </w:pPr>
          </w:p>
        </w:tc>
        <w:tc>
          <w:tcPr>
            <w:tcW w:w="5103" w:type="dxa"/>
            <w:vAlign w:val="center"/>
          </w:tcPr>
          <w:p w14:paraId="18720814">
            <w:pPr>
              <w:jc w:val="center"/>
              <w:rPr>
                <w:rFonts w:hint="default" w:ascii="Times New Roman" w:hAnsi="Times New Roman" w:cs="Times New Roman"/>
                <w:color w:val="000000"/>
                <w:sz w:val="28"/>
                <w:szCs w:val="28"/>
              </w:rPr>
            </w:pPr>
          </w:p>
        </w:tc>
        <w:tc>
          <w:tcPr>
            <w:tcW w:w="1985" w:type="dxa"/>
            <w:vAlign w:val="center"/>
          </w:tcPr>
          <w:p w14:paraId="7B6D8349">
            <w:pPr>
              <w:jc w:val="center"/>
              <w:rPr>
                <w:rFonts w:hint="default" w:ascii="Times New Roman" w:hAnsi="Times New Roman" w:cs="Times New Roman"/>
                <w:color w:val="000000"/>
                <w:sz w:val="28"/>
                <w:szCs w:val="28"/>
              </w:rPr>
            </w:pPr>
          </w:p>
        </w:tc>
        <w:tc>
          <w:tcPr>
            <w:tcW w:w="2126" w:type="dxa"/>
            <w:vAlign w:val="center"/>
          </w:tcPr>
          <w:p w14:paraId="70F7F0E6">
            <w:pPr>
              <w:jc w:val="center"/>
              <w:rPr>
                <w:rFonts w:hint="default" w:ascii="Times New Roman" w:hAnsi="Times New Roman" w:cs="Times New Roman"/>
                <w:color w:val="000000"/>
                <w:sz w:val="28"/>
                <w:szCs w:val="28"/>
              </w:rPr>
            </w:pPr>
          </w:p>
        </w:tc>
        <w:tc>
          <w:tcPr>
            <w:tcW w:w="2268" w:type="dxa"/>
            <w:vAlign w:val="center"/>
          </w:tcPr>
          <w:p w14:paraId="0D1BD87D">
            <w:pPr>
              <w:jc w:val="center"/>
              <w:rPr>
                <w:rFonts w:hint="default" w:ascii="Times New Roman" w:hAnsi="Times New Roman" w:cs="Times New Roman"/>
                <w:color w:val="000000"/>
                <w:sz w:val="28"/>
                <w:szCs w:val="28"/>
              </w:rPr>
            </w:pPr>
          </w:p>
        </w:tc>
      </w:tr>
    </w:tbl>
    <w:p w14:paraId="35E5C278">
      <w:pPr>
        <w:widowControl/>
        <w:jc w:val="left"/>
        <w:rPr>
          <w:rFonts w:hint="default" w:ascii="Times New Roman" w:hAnsi="Times New Roman" w:cs="Times New Roman"/>
          <w:color w:val="000000"/>
          <w:sz w:val="32"/>
          <w:szCs w:val="32"/>
        </w:rPr>
      </w:pPr>
    </w:p>
    <w:p w14:paraId="674DF8C6">
      <w:pPr>
        <w:widowControl/>
        <w:jc w:val="center"/>
        <w:rPr>
          <w:rFonts w:hint="default" w:ascii="Times New Roman" w:hAnsi="Times New Roman" w:eastAsia="黑体" w:cs="Times New Roman"/>
          <w:b/>
          <w:color w:val="000000"/>
          <w:sz w:val="36"/>
        </w:rPr>
      </w:pPr>
      <w:r>
        <w:rPr>
          <w:rFonts w:hint="default" w:ascii="Times New Roman" w:hAnsi="Times New Roman" w:eastAsia="黑体" w:cs="Times New Roman"/>
          <w:b/>
          <w:color w:val="000000"/>
          <w:sz w:val="36"/>
        </w:rPr>
        <w:br w:type="page"/>
      </w:r>
      <w:r>
        <w:rPr>
          <w:rFonts w:hint="default" w:ascii="Times New Roman" w:hAnsi="Times New Roman" w:eastAsia="黑体" w:cs="Times New Roman"/>
          <w:b/>
          <w:color w:val="000000"/>
          <w:sz w:val="36"/>
        </w:rPr>
        <w:t>三、定标监督小组成员名单</w:t>
      </w:r>
    </w:p>
    <w:p w14:paraId="7E94F045">
      <w:pPr>
        <w:widowControl/>
        <w:jc w:val="center"/>
        <w:rPr>
          <w:rFonts w:hint="default" w:ascii="Times New Roman" w:hAnsi="Times New Roman" w:cs="Times New Roman"/>
          <w:color w:val="000000"/>
          <w:sz w:val="32"/>
          <w:szCs w:val="32"/>
        </w:rPr>
      </w:pPr>
    </w:p>
    <w:tbl>
      <w:tblPr>
        <w:tblStyle w:val="17"/>
        <w:tblW w:w="14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559"/>
        <w:gridCol w:w="5103"/>
        <w:gridCol w:w="1985"/>
        <w:gridCol w:w="2126"/>
        <w:gridCol w:w="2268"/>
      </w:tblGrid>
      <w:tr w14:paraId="5F31F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exact"/>
        </w:trPr>
        <w:tc>
          <w:tcPr>
            <w:tcW w:w="959" w:type="dxa"/>
            <w:vAlign w:val="center"/>
          </w:tcPr>
          <w:p w14:paraId="66E5AFC8">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序号</w:t>
            </w:r>
          </w:p>
        </w:tc>
        <w:tc>
          <w:tcPr>
            <w:tcW w:w="1559" w:type="dxa"/>
            <w:vAlign w:val="center"/>
          </w:tcPr>
          <w:p w14:paraId="4D0E1456">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姓 名</w:t>
            </w:r>
          </w:p>
        </w:tc>
        <w:tc>
          <w:tcPr>
            <w:tcW w:w="5103" w:type="dxa"/>
            <w:vAlign w:val="center"/>
          </w:tcPr>
          <w:p w14:paraId="044DD1F2">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工作单位</w:t>
            </w:r>
          </w:p>
        </w:tc>
        <w:tc>
          <w:tcPr>
            <w:tcW w:w="1985" w:type="dxa"/>
            <w:vAlign w:val="center"/>
          </w:tcPr>
          <w:p w14:paraId="149265FA">
            <w:pPr>
              <w:pStyle w:val="33"/>
              <w:spacing w:line="40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职称（职务）</w:t>
            </w:r>
          </w:p>
        </w:tc>
        <w:tc>
          <w:tcPr>
            <w:tcW w:w="2126" w:type="dxa"/>
            <w:vAlign w:val="center"/>
          </w:tcPr>
          <w:p w14:paraId="1137281A">
            <w:pPr>
              <w:pStyle w:val="33"/>
              <w:spacing w:line="40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在定标中</w:t>
            </w:r>
          </w:p>
          <w:p w14:paraId="4E4D6E2A">
            <w:pPr>
              <w:pStyle w:val="33"/>
              <w:spacing w:line="40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承担的工作</w:t>
            </w:r>
          </w:p>
        </w:tc>
        <w:tc>
          <w:tcPr>
            <w:tcW w:w="2268" w:type="dxa"/>
            <w:vAlign w:val="center"/>
          </w:tcPr>
          <w:p w14:paraId="5B1D612E">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联系电话</w:t>
            </w:r>
          </w:p>
        </w:tc>
      </w:tr>
      <w:tr w14:paraId="70B4E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trPr>
        <w:tc>
          <w:tcPr>
            <w:tcW w:w="959" w:type="dxa"/>
            <w:vAlign w:val="center"/>
          </w:tcPr>
          <w:p w14:paraId="5CE78704">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w:t>
            </w:r>
          </w:p>
        </w:tc>
        <w:tc>
          <w:tcPr>
            <w:tcW w:w="1559" w:type="dxa"/>
            <w:vAlign w:val="center"/>
          </w:tcPr>
          <w:p w14:paraId="6EEA5FFF">
            <w:pPr>
              <w:jc w:val="center"/>
              <w:rPr>
                <w:rFonts w:hint="default" w:ascii="Times New Roman" w:hAnsi="Times New Roman" w:cs="Times New Roman"/>
                <w:color w:val="000000"/>
                <w:sz w:val="28"/>
                <w:szCs w:val="28"/>
              </w:rPr>
            </w:pPr>
          </w:p>
        </w:tc>
        <w:tc>
          <w:tcPr>
            <w:tcW w:w="5103" w:type="dxa"/>
            <w:vAlign w:val="center"/>
          </w:tcPr>
          <w:p w14:paraId="1643BA2E">
            <w:pPr>
              <w:jc w:val="center"/>
              <w:rPr>
                <w:rFonts w:hint="default" w:ascii="Times New Roman" w:hAnsi="Times New Roman" w:cs="Times New Roman"/>
                <w:color w:val="000000"/>
                <w:sz w:val="28"/>
                <w:szCs w:val="28"/>
              </w:rPr>
            </w:pPr>
          </w:p>
        </w:tc>
        <w:tc>
          <w:tcPr>
            <w:tcW w:w="1985" w:type="dxa"/>
            <w:vAlign w:val="center"/>
          </w:tcPr>
          <w:p w14:paraId="519A505C">
            <w:pPr>
              <w:jc w:val="center"/>
              <w:rPr>
                <w:rFonts w:hint="default" w:ascii="Times New Roman" w:hAnsi="Times New Roman" w:cs="Times New Roman"/>
                <w:color w:val="000000"/>
                <w:sz w:val="28"/>
                <w:szCs w:val="28"/>
              </w:rPr>
            </w:pPr>
          </w:p>
        </w:tc>
        <w:tc>
          <w:tcPr>
            <w:tcW w:w="2126" w:type="dxa"/>
            <w:vAlign w:val="center"/>
          </w:tcPr>
          <w:p w14:paraId="7774B025">
            <w:pPr>
              <w:jc w:val="center"/>
              <w:rPr>
                <w:rFonts w:hint="default" w:ascii="Times New Roman" w:hAnsi="Times New Roman" w:cs="Times New Roman"/>
                <w:color w:val="000000"/>
                <w:sz w:val="28"/>
                <w:szCs w:val="28"/>
              </w:rPr>
            </w:pPr>
          </w:p>
        </w:tc>
        <w:tc>
          <w:tcPr>
            <w:tcW w:w="2268" w:type="dxa"/>
            <w:vAlign w:val="center"/>
          </w:tcPr>
          <w:p w14:paraId="555CD6E1">
            <w:pPr>
              <w:jc w:val="center"/>
              <w:rPr>
                <w:rFonts w:hint="default" w:ascii="Times New Roman" w:hAnsi="Times New Roman" w:cs="Times New Roman"/>
                <w:color w:val="000000"/>
                <w:sz w:val="28"/>
                <w:szCs w:val="28"/>
              </w:rPr>
            </w:pPr>
          </w:p>
        </w:tc>
      </w:tr>
      <w:tr w14:paraId="4842E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trPr>
        <w:tc>
          <w:tcPr>
            <w:tcW w:w="959" w:type="dxa"/>
            <w:vAlign w:val="center"/>
          </w:tcPr>
          <w:p w14:paraId="16C71B15">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w:t>
            </w:r>
          </w:p>
        </w:tc>
        <w:tc>
          <w:tcPr>
            <w:tcW w:w="1559" w:type="dxa"/>
            <w:vAlign w:val="center"/>
          </w:tcPr>
          <w:p w14:paraId="3EAEFA3A">
            <w:pPr>
              <w:jc w:val="center"/>
              <w:rPr>
                <w:rFonts w:hint="default" w:ascii="Times New Roman" w:hAnsi="Times New Roman" w:cs="Times New Roman"/>
                <w:color w:val="000000"/>
                <w:sz w:val="28"/>
                <w:szCs w:val="28"/>
              </w:rPr>
            </w:pPr>
          </w:p>
        </w:tc>
        <w:tc>
          <w:tcPr>
            <w:tcW w:w="5103" w:type="dxa"/>
            <w:vAlign w:val="center"/>
          </w:tcPr>
          <w:p w14:paraId="1D77D23C">
            <w:pPr>
              <w:jc w:val="center"/>
              <w:rPr>
                <w:rFonts w:hint="default" w:ascii="Times New Roman" w:hAnsi="Times New Roman" w:cs="Times New Roman"/>
                <w:color w:val="000000"/>
                <w:sz w:val="28"/>
                <w:szCs w:val="28"/>
              </w:rPr>
            </w:pPr>
          </w:p>
        </w:tc>
        <w:tc>
          <w:tcPr>
            <w:tcW w:w="1985" w:type="dxa"/>
            <w:vAlign w:val="center"/>
          </w:tcPr>
          <w:p w14:paraId="3BE8F743">
            <w:pPr>
              <w:jc w:val="center"/>
              <w:rPr>
                <w:rFonts w:hint="default" w:ascii="Times New Roman" w:hAnsi="Times New Roman" w:cs="Times New Roman"/>
                <w:color w:val="000000"/>
                <w:sz w:val="28"/>
                <w:szCs w:val="28"/>
              </w:rPr>
            </w:pPr>
          </w:p>
        </w:tc>
        <w:tc>
          <w:tcPr>
            <w:tcW w:w="2126" w:type="dxa"/>
            <w:vAlign w:val="center"/>
          </w:tcPr>
          <w:p w14:paraId="7A359525">
            <w:pPr>
              <w:jc w:val="center"/>
              <w:rPr>
                <w:rFonts w:hint="default" w:ascii="Times New Roman" w:hAnsi="Times New Roman" w:cs="Times New Roman"/>
                <w:color w:val="000000"/>
                <w:sz w:val="28"/>
                <w:szCs w:val="28"/>
              </w:rPr>
            </w:pPr>
          </w:p>
        </w:tc>
        <w:tc>
          <w:tcPr>
            <w:tcW w:w="2268" w:type="dxa"/>
            <w:vAlign w:val="center"/>
          </w:tcPr>
          <w:p w14:paraId="64A967FC">
            <w:pPr>
              <w:jc w:val="center"/>
              <w:rPr>
                <w:rFonts w:hint="default" w:ascii="Times New Roman" w:hAnsi="Times New Roman" w:cs="Times New Roman"/>
                <w:color w:val="000000"/>
                <w:sz w:val="28"/>
                <w:szCs w:val="28"/>
              </w:rPr>
            </w:pPr>
          </w:p>
        </w:tc>
      </w:tr>
      <w:tr w14:paraId="01FEF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trPr>
        <w:tc>
          <w:tcPr>
            <w:tcW w:w="959" w:type="dxa"/>
            <w:vAlign w:val="center"/>
          </w:tcPr>
          <w:p w14:paraId="1AEAFE23">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w:t>
            </w:r>
          </w:p>
        </w:tc>
        <w:tc>
          <w:tcPr>
            <w:tcW w:w="1559" w:type="dxa"/>
            <w:vAlign w:val="center"/>
          </w:tcPr>
          <w:p w14:paraId="3BEFCE97">
            <w:pPr>
              <w:jc w:val="center"/>
              <w:rPr>
                <w:rFonts w:hint="default" w:ascii="Times New Roman" w:hAnsi="Times New Roman" w:cs="Times New Roman"/>
                <w:color w:val="000000"/>
                <w:sz w:val="28"/>
                <w:szCs w:val="28"/>
              </w:rPr>
            </w:pPr>
          </w:p>
        </w:tc>
        <w:tc>
          <w:tcPr>
            <w:tcW w:w="5103" w:type="dxa"/>
            <w:vAlign w:val="center"/>
          </w:tcPr>
          <w:p w14:paraId="7CF30A02">
            <w:pPr>
              <w:jc w:val="center"/>
              <w:rPr>
                <w:rFonts w:hint="default" w:ascii="Times New Roman" w:hAnsi="Times New Roman" w:cs="Times New Roman"/>
                <w:color w:val="000000"/>
                <w:sz w:val="28"/>
                <w:szCs w:val="28"/>
              </w:rPr>
            </w:pPr>
          </w:p>
        </w:tc>
        <w:tc>
          <w:tcPr>
            <w:tcW w:w="1985" w:type="dxa"/>
            <w:vAlign w:val="center"/>
          </w:tcPr>
          <w:p w14:paraId="51E39CEE">
            <w:pPr>
              <w:jc w:val="center"/>
              <w:rPr>
                <w:rFonts w:hint="default" w:ascii="Times New Roman" w:hAnsi="Times New Roman" w:cs="Times New Roman"/>
                <w:color w:val="000000"/>
                <w:sz w:val="28"/>
                <w:szCs w:val="28"/>
              </w:rPr>
            </w:pPr>
          </w:p>
        </w:tc>
        <w:tc>
          <w:tcPr>
            <w:tcW w:w="2126" w:type="dxa"/>
            <w:vAlign w:val="center"/>
          </w:tcPr>
          <w:p w14:paraId="677B77D6">
            <w:pPr>
              <w:jc w:val="center"/>
              <w:rPr>
                <w:rFonts w:hint="default" w:ascii="Times New Roman" w:hAnsi="Times New Roman" w:cs="Times New Roman"/>
                <w:color w:val="000000"/>
                <w:sz w:val="28"/>
                <w:szCs w:val="28"/>
              </w:rPr>
            </w:pPr>
          </w:p>
        </w:tc>
        <w:tc>
          <w:tcPr>
            <w:tcW w:w="2268" w:type="dxa"/>
            <w:vAlign w:val="center"/>
          </w:tcPr>
          <w:p w14:paraId="7FA9275D">
            <w:pPr>
              <w:jc w:val="center"/>
              <w:rPr>
                <w:rFonts w:hint="default" w:ascii="Times New Roman" w:hAnsi="Times New Roman" w:cs="Times New Roman"/>
                <w:color w:val="000000"/>
                <w:sz w:val="28"/>
                <w:szCs w:val="28"/>
              </w:rPr>
            </w:pPr>
          </w:p>
        </w:tc>
      </w:tr>
      <w:tr w14:paraId="5C283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trPr>
        <w:tc>
          <w:tcPr>
            <w:tcW w:w="959" w:type="dxa"/>
            <w:vAlign w:val="center"/>
          </w:tcPr>
          <w:p w14:paraId="0F8887AA">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w:t>
            </w:r>
          </w:p>
        </w:tc>
        <w:tc>
          <w:tcPr>
            <w:tcW w:w="1559" w:type="dxa"/>
            <w:vAlign w:val="center"/>
          </w:tcPr>
          <w:p w14:paraId="23ED4AF9">
            <w:pPr>
              <w:jc w:val="center"/>
              <w:rPr>
                <w:rFonts w:hint="default" w:ascii="Times New Roman" w:hAnsi="Times New Roman" w:cs="Times New Roman"/>
                <w:color w:val="000000"/>
                <w:sz w:val="28"/>
                <w:szCs w:val="28"/>
              </w:rPr>
            </w:pPr>
          </w:p>
        </w:tc>
        <w:tc>
          <w:tcPr>
            <w:tcW w:w="5103" w:type="dxa"/>
            <w:vAlign w:val="center"/>
          </w:tcPr>
          <w:p w14:paraId="787E1A18">
            <w:pPr>
              <w:jc w:val="center"/>
              <w:rPr>
                <w:rFonts w:hint="default" w:ascii="Times New Roman" w:hAnsi="Times New Roman" w:cs="Times New Roman"/>
                <w:color w:val="000000"/>
                <w:sz w:val="28"/>
                <w:szCs w:val="28"/>
              </w:rPr>
            </w:pPr>
          </w:p>
        </w:tc>
        <w:tc>
          <w:tcPr>
            <w:tcW w:w="1985" w:type="dxa"/>
            <w:vAlign w:val="center"/>
          </w:tcPr>
          <w:p w14:paraId="6F1296F6">
            <w:pPr>
              <w:jc w:val="center"/>
              <w:rPr>
                <w:rFonts w:hint="default" w:ascii="Times New Roman" w:hAnsi="Times New Roman" w:cs="Times New Roman"/>
                <w:color w:val="000000"/>
                <w:sz w:val="28"/>
                <w:szCs w:val="28"/>
              </w:rPr>
            </w:pPr>
          </w:p>
        </w:tc>
        <w:tc>
          <w:tcPr>
            <w:tcW w:w="2126" w:type="dxa"/>
            <w:vAlign w:val="center"/>
          </w:tcPr>
          <w:p w14:paraId="7835313F">
            <w:pPr>
              <w:jc w:val="center"/>
              <w:rPr>
                <w:rFonts w:hint="default" w:ascii="Times New Roman" w:hAnsi="Times New Roman" w:cs="Times New Roman"/>
                <w:color w:val="000000"/>
                <w:sz w:val="28"/>
                <w:szCs w:val="28"/>
              </w:rPr>
            </w:pPr>
          </w:p>
        </w:tc>
        <w:tc>
          <w:tcPr>
            <w:tcW w:w="2268" w:type="dxa"/>
            <w:vAlign w:val="center"/>
          </w:tcPr>
          <w:p w14:paraId="4E247101">
            <w:pPr>
              <w:jc w:val="center"/>
              <w:rPr>
                <w:rFonts w:hint="default" w:ascii="Times New Roman" w:hAnsi="Times New Roman" w:cs="Times New Roman"/>
                <w:color w:val="000000"/>
                <w:sz w:val="28"/>
                <w:szCs w:val="28"/>
              </w:rPr>
            </w:pPr>
          </w:p>
        </w:tc>
      </w:tr>
      <w:tr w14:paraId="69DDA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exact"/>
        </w:trPr>
        <w:tc>
          <w:tcPr>
            <w:tcW w:w="959" w:type="dxa"/>
            <w:vAlign w:val="center"/>
          </w:tcPr>
          <w:p w14:paraId="198B9ADE">
            <w:pPr>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w:t>
            </w:r>
          </w:p>
        </w:tc>
        <w:tc>
          <w:tcPr>
            <w:tcW w:w="1559" w:type="dxa"/>
            <w:vAlign w:val="center"/>
          </w:tcPr>
          <w:p w14:paraId="3BDA4EF8">
            <w:pPr>
              <w:jc w:val="center"/>
              <w:rPr>
                <w:rFonts w:hint="default" w:ascii="Times New Roman" w:hAnsi="Times New Roman" w:cs="Times New Roman"/>
                <w:color w:val="000000"/>
                <w:sz w:val="28"/>
                <w:szCs w:val="28"/>
              </w:rPr>
            </w:pPr>
          </w:p>
        </w:tc>
        <w:tc>
          <w:tcPr>
            <w:tcW w:w="5103" w:type="dxa"/>
            <w:vAlign w:val="center"/>
          </w:tcPr>
          <w:p w14:paraId="09C05277">
            <w:pPr>
              <w:jc w:val="center"/>
              <w:rPr>
                <w:rFonts w:hint="default" w:ascii="Times New Roman" w:hAnsi="Times New Roman" w:cs="Times New Roman"/>
                <w:color w:val="000000"/>
                <w:sz w:val="28"/>
                <w:szCs w:val="28"/>
              </w:rPr>
            </w:pPr>
          </w:p>
        </w:tc>
        <w:tc>
          <w:tcPr>
            <w:tcW w:w="1985" w:type="dxa"/>
            <w:vAlign w:val="center"/>
          </w:tcPr>
          <w:p w14:paraId="2CA55EFE">
            <w:pPr>
              <w:jc w:val="center"/>
              <w:rPr>
                <w:rFonts w:hint="default" w:ascii="Times New Roman" w:hAnsi="Times New Roman" w:cs="Times New Roman"/>
                <w:color w:val="000000"/>
                <w:sz w:val="28"/>
                <w:szCs w:val="28"/>
              </w:rPr>
            </w:pPr>
          </w:p>
        </w:tc>
        <w:tc>
          <w:tcPr>
            <w:tcW w:w="2126" w:type="dxa"/>
            <w:vAlign w:val="center"/>
          </w:tcPr>
          <w:p w14:paraId="0F41DC40">
            <w:pPr>
              <w:jc w:val="center"/>
              <w:rPr>
                <w:rFonts w:hint="default" w:ascii="Times New Roman" w:hAnsi="Times New Roman" w:cs="Times New Roman"/>
                <w:color w:val="000000"/>
                <w:sz w:val="28"/>
                <w:szCs w:val="28"/>
              </w:rPr>
            </w:pPr>
          </w:p>
        </w:tc>
        <w:tc>
          <w:tcPr>
            <w:tcW w:w="2268" w:type="dxa"/>
            <w:vAlign w:val="center"/>
          </w:tcPr>
          <w:p w14:paraId="464DE263">
            <w:pPr>
              <w:jc w:val="center"/>
              <w:rPr>
                <w:rFonts w:hint="default" w:ascii="Times New Roman" w:hAnsi="Times New Roman" w:cs="Times New Roman"/>
                <w:color w:val="000000"/>
                <w:sz w:val="28"/>
                <w:szCs w:val="28"/>
              </w:rPr>
            </w:pPr>
          </w:p>
        </w:tc>
      </w:tr>
    </w:tbl>
    <w:p w14:paraId="728868FF">
      <w:pPr>
        <w:widowControl/>
        <w:jc w:val="center"/>
        <w:rPr>
          <w:rFonts w:hint="default" w:ascii="Times New Roman" w:hAnsi="Times New Roman" w:eastAsia="黑体" w:cs="Times New Roman"/>
          <w:b/>
          <w:color w:val="000000"/>
          <w:sz w:val="36"/>
        </w:rPr>
      </w:pPr>
    </w:p>
    <w:p w14:paraId="13871F9E">
      <w:pPr>
        <w:rPr>
          <w:rFonts w:hint="default" w:ascii="Times New Roman" w:hAnsi="Times New Roman" w:cs="Times New Roman"/>
          <w:color w:val="000000"/>
          <w:sz w:val="32"/>
          <w:szCs w:val="32"/>
        </w:rPr>
        <w:sectPr>
          <w:footerReference r:id="rId9" w:type="default"/>
          <w:footerReference r:id="rId10" w:type="even"/>
          <w:pgSz w:w="16838" w:h="11906" w:orient="landscape"/>
          <w:pgMar w:top="1417" w:right="1417" w:bottom="1417" w:left="1417" w:header="851" w:footer="992" w:gutter="0"/>
          <w:cols w:space="720" w:num="1"/>
          <w:docGrid w:type="lines" w:linePitch="312" w:charSpace="0"/>
        </w:sectPr>
      </w:pPr>
    </w:p>
    <w:p w14:paraId="79046308">
      <w:pPr>
        <w:spacing w:line="480" w:lineRule="auto"/>
        <w:jc w:val="center"/>
        <w:rPr>
          <w:rFonts w:hint="default" w:ascii="Times New Roman" w:hAnsi="Times New Roman" w:eastAsia="黑体" w:cs="Times New Roman"/>
          <w:b/>
          <w:color w:val="000000"/>
          <w:sz w:val="36"/>
        </w:rPr>
      </w:pPr>
      <w:r>
        <w:rPr>
          <w:rFonts w:hint="default" w:ascii="Times New Roman" w:hAnsi="Times New Roman" w:eastAsia="黑体" w:cs="Times New Roman"/>
          <w:b/>
          <w:color w:val="000000"/>
          <w:sz w:val="36"/>
        </w:rPr>
        <w:t>四、定标办法</w:t>
      </w:r>
    </w:p>
    <w:p w14:paraId="1683A97D">
      <w:pPr>
        <w:spacing w:line="480" w:lineRule="auto"/>
        <w:jc w:val="center"/>
        <w:rPr>
          <w:rFonts w:hint="default" w:ascii="Times New Roman" w:hAnsi="Times New Roman" w:eastAsia="黑体" w:cs="Times New Roman"/>
          <w:b/>
          <w:color w:val="000000"/>
          <w:sz w:val="32"/>
          <w:szCs w:val="32"/>
        </w:rPr>
      </w:pPr>
    </w:p>
    <w:tbl>
      <w:tblPr>
        <w:tblStyle w:val="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3C07F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6" w:hRule="atLeast"/>
        </w:trPr>
        <w:tc>
          <w:tcPr>
            <w:tcW w:w="8522" w:type="dxa"/>
          </w:tcPr>
          <w:p w14:paraId="54B7B7E0">
            <w:pPr>
              <w:pStyle w:val="33"/>
              <w:ind w:firstLine="0" w:firstLineChars="0"/>
              <w:rPr>
                <w:rFonts w:hint="default" w:ascii="Times New Roman" w:hAnsi="Times New Roman" w:cs="Times New Roman"/>
                <w:color w:val="000000"/>
                <w:sz w:val="30"/>
              </w:rPr>
            </w:pPr>
          </w:p>
          <w:p w14:paraId="1F6DE929">
            <w:pPr>
              <w:pStyle w:val="33"/>
              <w:ind w:firstLine="0" w:firstLineChars="0"/>
              <w:rPr>
                <w:rFonts w:hint="default" w:ascii="Times New Roman" w:hAnsi="Times New Roman" w:cs="Times New Roman"/>
                <w:color w:val="000000"/>
                <w:sz w:val="30"/>
              </w:rPr>
            </w:pPr>
          </w:p>
          <w:p w14:paraId="45E7D64A">
            <w:pPr>
              <w:pStyle w:val="33"/>
              <w:ind w:firstLine="0" w:firstLineChars="0"/>
              <w:rPr>
                <w:rFonts w:hint="default" w:ascii="Times New Roman" w:hAnsi="Times New Roman" w:cs="Times New Roman"/>
                <w:color w:val="000000"/>
                <w:sz w:val="30"/>
              </w:rPr>
            </w:pPr>
          </w:p>
          <w:p w14:paraId="58829908">
            <w:pPr>
              <w:pStyle w:val="33"/>
              <w:ind w:firstLine="0" w:firstLineChars="0"/>
              <w:rPr>
                <w:rFonts w:hint="default" w:ascii="Times New Roman" w:hAnsi="Times New Roman" w:cs="Times New Roman"/>
                <w:color w:val="000000"/>
                <w:sz w:val="30"/>
              </w:rPr>
            </w:pPr>
          </w:p>
          <w:p w14:paraId="1B8D0E50">
            <w:pPr>
              <w:pStyle w:val="33"/>
              <w:ind w:firstLine="0" w:firstLineChars="0"/>
              <w:rPr>
                <w:rFonts w:hint="default" w:ascii="Times New Roman" w:hAnsi="Times New Roman" w:cs="Times New Roman"/>
                <w:color w:val="000000"/>
                <w:sz w:val="28"/>
                <w:szCs w:val="28"/>
              </w:rPr>
            </w:pPr>
          </w:p>
          <w:p w14:paraId="2757CE8E">
            <w:pPr>
              <w:pStyle w:val="33"/>
              <w:ind w:firstLine="0" w:firstLineChars="0"/>
              <w:rPr>
                <w:rFonts w:hint="default" w:ascii="Times New Roman" w:hAnsi="Times New Roman" w:cs="Times New Roman"/>
                <w:color w:val="000000"/>
                <w:sz w:val="28"/>
                <w:szCs w:val="28"/>
              </w:rPr>
            </w:pPr>
          </w:p>
          <w:p w14:paraId="0B90A8E8">
            <w:pPr>
              <w:pStyle w:val="33"/>
              <w:ind w:firstLine="0" w:firstLineChars="0"/>
              <w:rPr>
                <w:rFonts w:hint="default" w:ascii="Times New Roman" w:hAnsi="Times New Roman" w:cs="Times New Roman"/>
                <w:color w:val="000000"/>
                <w:sz w:val="28"/>
                <w:szCs w:val="28"/>
              </w:rPr>
            </w:pPr>
          </w:p>
          <w:p w14:paraId="25A39312">
            <w:pPr>
              <w:pStyle w:val="33"/>
              <w:ind w:firstLine="0" w:firstLineChars="0"/>
              <w:rPr>
                <w:rFonts w:hint="default" w:ascii="Times New Roman" w:hAnsi="Times New Roman" w:cs="Times New Roman"/>
                <w:color w:val="000000"/>
                <w:sz w:val="28"/>
                <w:szCs w:val="28"/>
              </w:rPr>
            </w:pPr>
          </w:p>
          <w:p w14:paraId="40CBAE72">
            <w:pPr>
              <w:pStyle w:val="33"/>
              <w:ind w:firstLine="0" w:firstLineChars="0"/>
              <w:rPr>
                <w:rFonts w:hint="default" w:ascii="Times New Roman" w:hAnsi="Times New Roman" w:cs="Times New Roman"/>
                <w:color w:val="000000"/>
                <w:sz w:val="28"/>
                <w:szCs w:val="28"/>
              </w:rPr>
            </w:pPr>
          </w:p>
          <w:p w14:paraId="37FD96C4">
            <w:pPr>
              <w:pStyle w:val="33"/>
              <w:ind w:firstLine="0" w:firstLineChars="0"/>
              <w:rPr>
                <w:rFonts w:hint="default" w:ascii="Times New Roman" w:hAnsi="Times New Roman" w:cs="Times New Roman"/>
                <w:color w:val="000000"/>
                <w:sz w:val="28"/>
                <w:szCs w:val="28"/>
              </w:rPr>
            </w:pPr>
          </w:p>
          <w:p w14:paraId="209CBC69">
            <w:pPr>
              <w:pStyle w:val="33"/>
              <w:ind w:firstLine="0" w:firstLineChars="0"/>
              <w:rPr>
                <w:rFonts w:hint="default" w:ascii="Times New Roman" w:hAnsi="Times New Roman" w:cs="Times New Roman"/>
                <w:color w:val="000000"/>
                <w:sz w:val="28"/>
                <w:szCs w:val="28"/>
              </w:rPr>
            </w:pPr>
          </w:p>
          <w:p w14:paraId="0201DE18">
            <w:pPr>
              <w:pStyle w:val="33"/>
              <w:ind w:firstLine="0" w:firstLineChars="0"/>
              <w:rPr>
                <w:rFonts w:hint="default" w:ascii="Times New Roman" w:hAnsi="Times New Roman" w:cs="Times New Roman"/>
                <w:color w:val="000000"/>
                <w:sz w:val="28"/>
                <w:szCs w:val="28"/>
              </w:rPr>
            </w:pPr>
          </w:p>
          <w:p w14:paraId="78413C62">
            <w:pPr>
              <w:pStyle w:val="33"/>
              <w:ind w:firstLine="0" w:firstLineChars="0"/>
              <w:rPr>
                <w:rFonts w:hint="default" w:ascii="Times New Roman" w:hAnsi="Times New Roman" w:cs="Times New Roman"/>
                <w:color w:val="000000"/>
                <w:sz w:val="28"/>
                <w:szCs w:val="28"/>
              </w:rPr>
            </w:pPr>
          </w:p>
          <w:p w14:paraId="18491833">
            <w:pPr>
              <w:pStyle w:val="33"/>
              <w:ind w:firstLine="0" w:firstLineChars="0"/>
              <w:rPr>
                <w:rFonts w:hint="default" w:ascii="Times New Roman" w:hAnsi="Times New Roman" w:cs="Times New Roman"/>
                <w:color w:val="000000"/>
                <w:sz w:val="28"/>
                <w:szCs w:val="28"/>
              </w:rPr>
            </w:pPr>
          </w:p>
          <w:p w14:paraId="7FC6AE69">
            <w:pPr>
              <w:pStyle w:val="33"/>
              <w:ind w:firstLine="0" w:firstLineChars="0"/>
              <w:rPr>
                <w:rFonts w:hint="default" w:ascii="Times New Roman" w:hAnsi="Times New Roman" w:cs="Times New Roman"/>
                <w:color w:val="000000"/>
                <w:sz w:val="28"/>
                <w:szCs w:val="28"/>
              </w:rPr>
            </w:pPr>
          </w:p>
          <w:p w14:paraId="2C97415B">
            <w:pPr>
              <w:pStyle w:val="33"/>
              <w:ind w:firstLine="0" w:firstLineChars="0"/>
              <w:rPr>
                <w:rFonts w:hint="default" w:ascii="Times New Roman" w:hAnsi="Times New Roman" w:cs="Times New Roman"/>
                <w:color w:val="000000"/>
                <w:sz w:val="28"/>
                <w:szCs w:val="28"/>
              </w:rPr>
            </w:pPr>
          </w:p>
          <w:p w14:paraId="722C6469">
            <w:pPr>
              <w:pStyle w:val="33"/>
              <w:ind w:firstLine="0" w:firstLineChars="0"/>
              <w:rPr>
                <w:rFonts w:hint="default" w:ascii="Times New Roman" w:hAnsi="Times New Roman" w:cs="Times New Roman"/>
                <w:color w:val="000000"/>
                <w:sz w:val="28"/>
                <w:szCs w:val="28"/>
              </w:rPr>
            </w:pPr>
          </w:p>
          <w:p w14:paraId="474E74BD">
            <w:pPr>
              <w:pStyle w:val="33"/>
              <w:ind w:firstLine="0" w:firstLineChars="0"/>
              <w:rPr>
                <w:rFonts w:hint="default" w:ascii="Times New Roman" w:hAnsi="Times New Roman" w:cs="Times New Roman"/>
                <w:color w:val="000000"/>
                <w:sz w:val="28"/>
                <w:szCs w:val="28"/>
              </w:rPr>
            </w:pPr>
          </w:p>
          <w:p w14:paraId="6C628585">
            <w:pPr>
              <w:pStyle w:val="33"/>
              <w:ind w:firstLine="0" w:firstLineChars="0"/>
              <w:rPr>
                <w:rFonts w:hint="default" w:ascii="Times New Roman" w:hAnsi="Times New Roman" w:cs="Times New Roman"/>
                <w:color w:val="000000"/>
                <w:sz w:val="28"/>
                <w:szCs w:val="28"/>
              </w:rPr>
            </w:pPr>
          </w:p>
        </w:tc>
      </w:tr>
    </w:tbl>
    <w:p w14:paraId="45721CFC">
      <w:pPr>
        <w:spacing w:line="480" w:lineRule="auto"/>
        <w:jc w:val="center"/>
        <w:rPr>
          <w:rFonts w:hint="default" w:ascii="Times New Roman" w:hAnsi="Times New Roman" w:eastAsia="黑体" w:cs="Times New Roman"/>
          <w:b/>
          <w:color w:val="000000"/>
          <w:sz w:val="36"/>
        </w:rPr>
      </w:pPr>
    </w:p>
    <w:p w14:paraId="1F5032FE">
      <w:pPr>
        <w:spacing w:line="480" w:lineRule="auto"/>
        <w:jc w:val="center"/>
        <w:rPr>
          <w:rFonts w:hint="default" w:ascii="Times New Roman" w:hAnsi="Times New Roman" w:eastAsia="黑体" w:cs="Times New Roman"/>
          <w:b/>
          <w:color w:val="000000"/>
          <w:sz w:val="32"/>
          <w:szCs w:val="32"/>
        </w:rPr>
      </w:pPr>
      <w:r>
        <w:rPr>
          <w:rFonts w:hint="default" w:ascii="Times New Roman" w:hAnsi="Times New Roman" w:eastAsia="黑体" w:cs="Times New Roman"/>
          <w:b/>
          <w:color w:val="000000"/>
          <w:sz w:val="36"/>
        </w:rPr>
        <w:t>五、定标情况</w:t>
      </w:r>
    </w:p>
    <w:tbl>
      <w:tblPr>
        <w:tblStyle w:val="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15445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6" w:hRule="atLeast"/>
        </w:trPr>
        <w:tc>
          <w:tcPr>
            <w:tcW w:w="8522" w:type="dxa"/>
          </w:tcPr>
          <w:p w14:paraId="3F7D98A3">
            <w:pPr>
              <w:snapToGrid w:val="0"/>
              <w:spacing w:line="580" w:lineRule="exact"/>
              <w:rPr>
                <w:rFonts w:hint="default" w:ascii="Times New Roman" w:hAnsi="Times New Roman" w:cs="Times New Roman"/>
                <w:color w:val="000000"/>
                <w:sz w:val="28"/>
                <w:szCs w:val="28"/>
              </w:rPr>
            </w:pPr>
          </w:p>
          <w:p w14:paraId="495E5C4E">
            <w:pPr>
              <w:snapToGrid w:val="0"/>
              <w:spacing w:line="580" w:lineRule="exact"/>
              <w:rPr>
                <w:rFonts w:hint="default" w:ascii="Times New Roman" w:hAnsi="Times New Roman" w:cs="Times New Roman"/>
                <w:color w:val="000000"/>
                <w:sz w:val="28"/>
                <w:szCs w:val="28"/>
              </w:rPr>
            </w:pPr>
          </w:p>
          <w:p w14:paraId="11918A9F">
            <w:pPr>
              <w:snapToGrid w:val="0"/>
              <w:spacing w:line="580" w:lineRule="exact"/>
              <w:rPr>
                <w:rFonts w:hint="default" w:ascii="Times New Roman" w:hAnsi="Times New Roman" w:cs="Times New Roman"/>
                <w:color w:val="000000"/>
                <w:sz w:val="28"/>
                <w:szCs w:val="28"/>
              </w:rPr>
            </w:pPr>
          </w:p>
          <w:p w14:paraId="223B5072">
            <w:pPr>
              <w:snapToGrid w:val="0"/>
              <w:spacing w:line="580" w:lineRule="exact"/>
              <w:rPr>
                <w:rFonts w:hint="default" w:ascii="Times New Roman" w:hAnsi="Times New Roman" w:cs="Times New Roman"/>
                <w:color w:val="000000"/>
                <w:sz w:val="28"/>
                <w:szCs w:val="28"/>
              </w:rPr>
            </w:pPr>
          </w:p>
          <w:p w14:paraId="175A9BFC">
            <w:pPr>
              <w:snapToGrid w:val="0"/>
              <w:spacing w:line="580" w:lineRule="exact"/>
              <w:rPr>
                <w:rFonts w:hint="default" w:ascii="Times New Roman" w:hAnsi="Times New Roman" w:cs="Times New Roman"/>
                <w:color w:val="000000"/>
                <w:sz w:val="28"/>
                <w:szCs w:val="28"/>
              </w:rPr>
            </w:pPr>
          </w:p>
          <w:p w14:paraId="2E8D7E76">
            <w:pPr>
              <w:snapToGrid w:val="0"/>
              <w:spacing w:line="580" w:lineRule="exact"/>
              <w:rPr>
                <w:rFonts w:hint="default" w:ascii="Times New Roman" w:hAnsi="Times New Roman" w:cs="Times New Roman"/>
                <w:color w:val="000000"/>
                <w:sz w:val="28"/>
                <w:szCs w:val="28"/>
              </w:rPr>
            </w:pPr>
          </w:p>
          <w:p w14:paraId="6E7BF7FC">
            <w:pPr>
              <w:snapToGrid w:val="0"/>
              <w:spacing w:line="580" w:lineRule="exact"/>
              <w:rPr>
                <w:rFonts w:hint="default" w:ascii="Times New Roman" w:hAnsi="Times New Roman" w:cs="Times New Roman"/>
                <w:color w:val="000000"/>
                <w:sz w:val="28"/>
                <w:szCs w:val="28"/>
              </w:rPr>
            </w:pPr>
          </w:p>
          <w:p w14:paraId="56CAD831">
            <w:pPr>
              <w:snapToGrid w:val="0"/>
              <w:spacing w:line="580" w:lineRule="exact"/>
              <w:rPr>
                <w:rFonts w:hint="default" w:ascii="Times New Roman" w:hAnsi="Times New Roman" w:cs="Times New Roman"/>
                <w:color w:val="000000"/>
                <w:sz w:val="28"/>
                <w:szCs w:val="28"/>
              </w:rPr>
            </w:pPr>
          </w:p>
          <w:p w14:paraId="558C30CF">
            <w:pPr>
              <w:snapToGrid w:val="0"/>
              <w:spacing w:line="580" w:lineRule="exact"/>
              <w:rPr>
                <w:rFonts w:hint="default" w:ascii="Times New Roman" w:hAnsi="Times New Roman" w:cs="Times New Roman"/>
                <w:color w:val="000000"/>
                <w:sz w:val="28"/>
                <w:szCs w:val="28"/>
              </w:rPr>
            </w:pPr>
          </w:p>
          <w:p w14:paraId="7103767C">
            <w:pPr>
              <w:snapToGrid w:val="0"/>
              <w:spacing w:line="580" w:lineRule="exact"/>
              <w:rPr>
                <w:rFonts w:hint="default" w:ascii="Times New Roman" w:hAnsi="Times New Roman" w:cs="Times New Roman"/>
                <w:color w:val="000000"/>
                <w:sz w:val="28"/>
                <w:szCs w:val="28"/>
              </w:rPr>
            </w:pPr>
          </w:p>
          <w:p w14:paraId="74A785DB">
            <w:pPr>
              <w:snapToGrid w:val="0"/>
              <w:spacing w:line="580" w:lineRule="exact"/>
              <w:rPr>
                <w:rFonts w:hint="default" w:ascii="Times New Roman" w:hAnsi="Times New Roman" w:cs="Times New Roman"/>
                <w:color w:val="000000"/>
                <w:sz w:val="28"/>
                <w:szCs w:val="28"/>
              </w:rPr>
            </w:pPr>
          </w:p>
          <w:p w14:paraId="043FBFE9">
            <w:pPr>
              <w:snapToGrid w:val="0"/>
              <w:spacing w:line="580" w:lineRule="exact"/>
              <w:rPr>
                <w:rFonts w:hint="default" w:ascii="Times New Roman" w:hAnsi="Times New Roman" w:cs="Times New Roman"/>
                <w:color w:val="000000"/>
                <w:sz w:val="28"/>
                <w:szCs w:val="28"/>
              </w:rPr>
            </w:pPr>
          </w:p>
          <w:p w14:paraId="36D33B9C">
            <w:pPr>
              <w:snapToGrid w:val="0"/>
              <w:spacing w:line="580" w:lineRule="exact"/>
              <w:rPr>
                <w:rFonts w:hint="default" w:ascii="Times New Roman" w:hAnsi="Times New Roman" w:cs="Times New Roman"/>
                <w:color w:val="000000"/>
                <w:sz w:val="28"/>
                <w:szCs w:val="28"/>
              </w:rPr>
            </w:pPr>
          </w:p>
          <w:p w14:paraId="06F90298">
            <w:pPr>
              <w:snapToGrid w:val="0"/>
              <w:spacing w:line="580" w:lineRule="exact"/>
              <w:rPr>
                <w:rFonts w:hint="default" w:ascii="Times New Roman" w:hAnsi="Times New Roman" w:cs="Times New Roman"/>
                <w:color w:val="000000"/>
                <w:sz w:val="28"/>
                <w:szCs w:val="28"/>
              </w:rPr>
            </w:pPr>
          </w:p>
          <w:p w14:paraId="6BA680A5">
            <w:pPr>
              <w:snapToGrid w:val="0"/>
              <w:spacing w:line="580" w:lineRule="exact"/>
              <w:rPr>
                <w:rFonts w:hint="default" w:ascii="Times New Roman" w:hAnsi="Times New Roman" w:cs="Times New Roman"/>
                <w:color w:val="000000"/>
                <w:sz w:val="28"/>
                <w:szCs w:val="28"/>
              </w:rPr>
            </w:pPr>
          </w:p>
          <w:p w14:paraId="5482EAC3">
            <w:pPr>
              <w:snapToGrid w:val="0"/>
              <w:spacing w:line="580" w:lineRule="exact"/>
              <w:rPr>
                <w:rFonts w:hint="default" w:ascii="Times New Roman" w:hAnsi="Times New Roman" w:cs="Times New Roman"/>
                <w:color w:val="000000"/>
                <w:sz w:val="28"/>
                <w:szCs w:val="28"/>
              </w:rPr>
            </w:pPr>
          </w:p>
          <w:p w14:paraId="7FCC0E1A">
            <w:pPr>
              <w:snapToGrid w:val="0"/>
              <w:spacing w:line="580" w:lineRule="exact"/>
              <w:rPr>
                <w:rFonts w:hint="default" w:ascii="Times New Roman" w:hAnsi="Times New Roman" w:cs="Times New Roman"/>
                <w:color w:val="000000"/>
                <w:sz w:val="28"/>
                <w:szCs w:val="28"/>
              </w:rPr>
            </w:pPr>
          </w:p>
          <w:p w14:paraId="506DF74B">
            <w:pPr>
              <w:snapToGrid w:val="0"/>
              <w:spacing w:line="580" w:lineRule="exact"/>
              <w:rPr>
                <w:rFonts w:hint="default" w:ascii="Times New Roman" w:hAnsi="Times New Roman" w:cs="Times New Roman"/>
                <w:color w:val="000000"/>
                <w:sz w:val="28"/>
                <w:szCs w:val="28"/>
              </w:rPr>
            </w:pPr>
          </w:p>
        </w:tc>
      </w:tr>
    </w:tbl>
    <w:p w14:paraId="490B42F7">
      <w:pPr>
        <w:snapToGrid w:val="0"/>
        <w:spacing w:line="360" w:lineRule="exact"/>
        <w:ind w:left="630" w:hanging="630" w:hangingChars="300"/>
        <w:rPr>
          <w:rFonts w:hint="default" w:ascii="Times New Roman" w:hAnsi="Times New Roman" w:cs="Times New Roman"/>
          <w:color w:val="000000"/>
          <w:szCs w:val="21"/>
        </w:rPr>
      </w:pPr>
      <w:r>
        <w:rPr>
          <w:rFonts w:hint="default" w:ascii="Times New Roman" w:hAnsi="Times New Roman" w:cs="Times New Roman"/>
          <w:color w:val="000000"/>
          <w:szCs w:val="21"/>
        </w:rPr>
        <w:t>备注：简要概述定标会议情况，包括但不限于</w:t>
      </w:r>
    </w:p>
    <w:p w14:paraId="3ABB3998">
      <w:pPr>
        <w:snapToGrid w:val="0"/>
        <w:spacing w:line="360" w:lineRule="exact"/>
        <w:ind w:left="630" w:leftChars="300"/>
        <w:rPr>
          <w:rFonts w:hint="default" w:ascii="Times New Roman" w:hAnsi="Times New Roman" w:cs="Times New Roman"/>
          <w:color w:val="000000"/>
          <w:szCs w:val="21"/>
        </w:rPr>
      </w:pPr>
      <w:r>
        <w:rPr>
          <w:rFonts w:hint="default" w:ascii="Times New Roman" w:hAnsi="Times New Roman" w:cs="Times New Roman"/>
          <w:color w:val="000000"/>
          <w:szCs w:val="21"/>
        </w:rPr>
        <w:t>1.采用价格竞争定标法时的价格比较情况；</w:t>
      </w:r>
    </w:p>
    <w:p w14:paraId="7659B5C9">
      <w:pPr>
        <w:snapToGrid w:val="0"/>
        <w:spacing w:line="360" w:lineRule="exact"/>
        <w:ind w:left="630" w:leftChars="300"/>
        <w:rPr>
          <w:rFonts w:hint="default" w:ascii="Times New Roman" w:hAnsi="Times New Roman" w:cs="Times New Roman"/>
          <w:color w:val="000000"/>
          <w:szCs w:val="21"/>
        </w:rPr>
      </w:pPr>
      <w:r>
        <w:rPr>
          <w:rFonts w:hint="default" w:ascii="Times New Roman" w:hAnsi="Times New Roman" w:cs="Times New Roman"/>
          <w:color w:val="000000"/>
          <w:szCs w:val="21"/>
        </w:rPr>
        <w:t>2.采用票决数量定标法或票决计分定标法时的记名投票及打分情况（附记名投票表）；</w:t>
      </w:r>
    </w:p>
    <w:p w14:paraId="7F25663C">
      <w:pPr>
        <w:snapToGrid w:val="0"/>
        <w:spacing w:line="360" w:lineRule="exact"/>
        <w:ind w:firstLine="525" w:firstLineChars="250"/>
        <w:rPr>
          <w:rFonts w:hint="default" w:ascii="Times New Roman" w:hAnsi="Times New Roman" w:cs="Times New Roman"/>
          <w:color w:val="000000"/>
          <w:szCs w:val="21"/>
        </w:rPr>
      </w:pPr>
      <w:r>
        <w:rPr>
          <w:rFonts w:hint="default" w:ascii="Times New Roman" w:hAnsi="Times New Roman" w:cs="Times New Roman"/>
          <w:color w:val="000000"/>
          <w:szCs w:val="21"/>
        </w:rPr>
        <w:t xml:space="preserve"> 3.采用集体议事法时的定标委员会成员发表意见情况等；</w:t>
      </w:r>
    </w:p>
    <w:p w14:paraId="720AC272">
      <w:pPr>
        <w:snapToGrid w:val="0"/>
        <w:spacing w:line="360" w:lineRule="exact"/>
        <w:ind w:left="630" w:leftChars="300"/>
        <w:rPr>
          <w:rFonts w:hint="default" w:ascii="Times New Roman" w:hAnsi="Times New Roman" w:cs="Times New Roman"/>
          <w:color w:val="000000"/>
          <w:szCs w:val="21"/>
        </w:rPr>
      </w:pPr>
      <w:r>
        <w:rPr>
          <w:rFonts w:hint="default" w:ascii="Times New Roman" w:hAnsi="Times New Roman" w:cs="Times New Roman"/>
          <w:color w:val="000000"/>
          <w:szCs w:val="21"/>
        </w:rPr>
        <w:t>4.其他需要记录的情况。</w:t>
      </w:r>
    </w:p>
    <w:p w14:paraId="337D73EB">
      <w:pPr>
        <w:spacing w:line="480" w:lineRule="auto"/>
        <w:jc w:val="center"/>
        <w:rPr>
          <w:rFonts w:hint="default" w:ascii="Times New Roman" w:hAnsi="Times New Roman" w:eastAsia="黑体" w:cs="Times New Roman"/>
          <w:b/>
          <w:color w:val="000000"/>
          <w:sz w:val="36"/>
        </w:rPr>
      </w:pPr>
    </w:p>
    <w:p w14:paraId="1E02F0DF">
      <w:pPr>
        <w:spacing w:line="480" w:lineRule="auto"/>
        <w:jc w:val="center"/>
        <w:rPr>
          <w:rFonts w:hint="default" w:ascii="Times New Roman" w:hAnsi="Times New Roman" w:eastAsia="黑体" w:cs="Times New Roman"/>
          <w:b/>
          <w:color w:val="000000"/>
          <w:sz w:val="36"/>
        </w:rPr>
      </w:pPr>
      <w:r>
        <w:rPr>
          <w:rFonts w:hint="default" w:ascii="Times New Roman" w:hAnsi="Times New Roman" w:eastAsia="黑体" w:cs="Times New Roman"/>
          <w:b/>
          <w:color w:val="000000"/>
          <w:sz w:val="36"/>
        </w:rPr>
        <w:t>六、定标结果</w:t>
      </w:r>
    </w:p>
    <w:tbl>
      <w:tblPr>
        <w:tblStyle w:val="17"/>
        <w:tblW w:w="8305" w:type="dxa"/>
        <w:tblInd w:w="1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9"/>
        <w:gridCol w:w="6096"/>
      </w:tblGrid>
      <w:tr w14:paraId="75176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209" w:type="dxa"/>
            <w:vAlign w:val="center"/>
          </w:tcPr>
          <w:p w14:paraId="4FDDB1DA">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项目名称</w:t>
            </w:r>
          </w:p>
        </w:tc>
        <w:tc>
          <w:tcPr>
            <w:tcW w:w="6096" w:type="dxa"/>
            <w:vAlign w:val="center"/>
          </w:tcPr>
          <w:p w14:paraId="3067DB1E">
            <w:pPr>
              <w:pStyle w:val="33"/>
              <w:spacing w:line="440" w:lineRule="exact"/>
              <w:ind w:firstLine="0" w:firstLineChars="0"/>
              <w:jc w:val="center"/>
              <w:rPr>
                <w:rFonts w:hint="default" w:ascii="Times New Roman" w:hAnsi="Times New Roman" w:cs="Times New Roman"/>
                <w:color w:val="000000"/>
                <w:sz w:val="28"/>
                <w:szCs w:val="28"/>
              </w:rPr>
            </w:pPr>
          </w:p>
        </w:tc>
      </w:tr>
      <w:tr w14:paraId="78D63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209" w:type="dxa"/>
            <w:vAlign w:val="center"/>
          </w:tcPr>
          <w:p w14:paraId="02B4650F">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标段名称</w:t>
            </w:r>
          </w:p>
        </w:tc>
        <w:tc>
          <w:tcPr>
            <w:tcW w:w="6096" w:type="dxa"/>
            <w:vAlign w:val="center"/>
          </w:tcPr>
          <w:p w14:paraId="7BA2B548">
            <w:pPr>
              <w:pStyle w:val="33"/>
              <w:spacing w:line="440" w:lineRule="exact"/>
              <w:ind w:firstLine="0" w:firstLineChars="0"/>
              <w:jc w:val="center"/>
              <w:rPr>
                <w:rFonts w:hint="default" w:ascii="Times New Roman" w:hAnsi="Times New Roman" w:cs="Times New Roman"/>
                <w:color w:val="000000"/>
                <w:sz w:val="28"/>
                <w:szCs w:val="28"/>
              </w:rPr>
            </w:pPr>
          </w:p>
        </w:tc>
      </w:tr>
      <w:tr w14:paraId="6B7FB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209" w:type="dxa"/>
            <w:vAlign w:val="center"/>
          </w:tcPr>
          <w:p w14:paraId="224BD77B">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招标编号</w:t>
            </w:r>
          </w:p>
        </w:tc>
        <w:tc>
          <w:tcPr>
            <w:tcW w:w="6096" w:type="dxa"/>
            <w:vAlign w:val="center"/>
          </w:tcPr>
          <w:p w14:paraId="537C5EC8">
            <w:pPr>
              <w:pStyle w:val="33"/>
              <w:spacing w:line="440" w:lineRule="exact"/>
              <w:ind w:firstLine="0" w:firstLineChars="0"/>
              <w:jc w:val="center"/>
              <w:rPr>
                <w:rFonts w:hint="default" w:ascii="Times New Roman" w:hAnsi="Times New Roman" w:cs="Times New Roman"/>
                <w:color w:val="000000"/>
                <w:sz w:val="28"/>
                <w:szCs w:val="28"/>
              </w:rPr>
            </w:pPr>
          </w:p>
        </w:tc>
      </w:tr>
      <w:tr w14:paraId="26546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2209" w:type="dxa"/>
            <w:vAlign w:val="center"/>
          </w:tcPr>
          <w:p w14:paraId="473C4CB3">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第一中标候选人</w:t>
            </w:r>
          </w:p>
        </w:tc>
        <w:tc>
          <w:tcPr>
            <w:tcW w:w="6096" w:type="dxa"/>
            <w:vAlign w:val="center"/>
          </w:tcPr>
          <w:p w14:paraId="6C26365B">
            <w:pPr>
              <w:pStyle w:val="33"/>
              <w:spacing w:line="440" w:lineRule="exact"/>
              <w:ind w:firstLine="0" w:firstLineChars="0"/>
              <w:jc w:val="center"/>
              <w:rPr>
                <w:rFonts w:hint="default" w:ascii="Times New Roman" w:hAnsi="Times New Roman" w:cs="Times New Roman"/>
                <w:color w:val="000000"/>
                <w:sz w:val="28"/>
                <w:szCs w:val="28"/>
              </w:rPr>
            </w:pPr>
          </w:p>
        </w:tc>
      </w:tr>
      <w:tr w14:paraId="00545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2209" w:type="dxa"/>
            <w:vAlign w:val="center"/>
          </w:tcPr>
          <w:p w14:paraId="4B404921">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第二中标候选人</w:t>
            </w:r>
          </w:p>
        </w:tc>
        <w:tc>
          <w:tcPr>
            <w:tcW w:w="6096" w:type="dxa"/>
            <w:vAlign w:val="center"/>
          </w:tcPr>
          <w:p w14:paraId="036E647B">
            <w:pPr>
              <w:pStyle w:val="33"/>
              <w:spacing w:line="440" w:lineRule="exact"/>
              <w:ind w:firstLine="0" w:firstLineChars="0"/>
              <w:jc w:val="center"/>
              <w:rPr>
                <w:rFonts w:hint="default" w:ascii="Times New Roman" w:hAnsi="Times New Roman" w:cs="Times New Roman"/>
                <w:color w:val="000000"/>
                <w:sz w:val="28"/>
                <w:szCs w:val="28"/>
              </w:rPr>
            </w:pPr>
          </w:p>
        </w:tc>
      </w:tr>
      <w:tr w14:paraId="5813F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209" w:type="dxa"/>
            <w:vAlign w:val="center"/>
          </w:tcPr>
          <w:p w14:paraId="12697509">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第三中标候选人</w:t>
            </w:r>
          </w:p>
        </w:tc>
        <w:tc>
          <w:tcPr>
            <w:tcW w:w="6096" w:type="dxa"/>
            <w:vAlign w:val="center"/>
          </w:tcPr>
          <w:p w14:paraId="7F1BE2DE">
            <w:pPr>
              <w:pStyle w:val="33"/>
              <w:spacing w:line="440" w:lineRule="exact"/>
              <w:ind w:firstLine="0" w:firstLineChars="0"/>
              <w:jc w:val="center"/>
              <w:rPr>
                <w:rFonts w:hint="default" w:ascii="Times New Roman" w:hAnsi="Times New Roman" w:cs="Times New Roman"/>
                <w:color w:val="000000"/>
                <w:sz w:val="28"/>
                <w:szCs w:val="28"/>
              </w:rPr>
            </w:pPr>
          </w:p>
        </w:tc>
      </w:tr>
      <w:tr w14:paraId="6626A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209" w:type="dxa"/>
            <w:vAlign w:val="center"/>
          </w:tcPr>
          <w:p w14:paraId="26078397">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第四中标候选人</w:t>
            </w:r>
          </w:p>
        </w:tc>
        <w:tc>
          <w:tcPr>
            <w:tcW w:w="6096" w:type="dxa"/>
            <w:vAlign w:val="center"/>
          </w:tcPr>
          <w:p w14:paraId="351F0F24">
            <w:pPr>
              <w:pStyle w:val="33"/>
              <w:spacing w:line="440" w:lineRule="exact"/>
              <w:ind w:firstLine="0" w:firstLineChars="0"/>
              <w:jc w:val="center"/>
              <w:rPr>
                <w:rFonts w:hint="default" w:ascii="Times New Roman" w:hAnsi="Times New Roman" w:cs="Times New Roman"/>
                <w:color w:val="000000"/>
                <w:sz w:val="28"/>
                <w:szCs w:val="28"/>
              </w:rPr>
            </w:pPr>
          </w:p>
        </w:tc>
      </w:tr>
      <w:tr w14:paraId="2BF0B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209" w:type="dxa"/>
            <w:vAlign w:val="center"/>
          </w:tcPr>
          <w:p w14:paraId="721F9496">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第五中标候选人</w:t>
            </w:r>
          </w:p>
        </w:tc>
        <w:tc>
          <w:tcPr>
            <w:tcW w:w="6096" w:type="dxa"/>
            <w:vAlign w:val="center"/>
          </w:tcPr>
          <w:p w14:paraId="567E6B6B">
            <w:pPr>
              <w:pStyle w:val="33"/>
              <w:spacing w:line="440" w:lineRule="exact"/>
              <w:ind w:firstLine="0" w:firstLineChars="0"/>
              <w:jc w:val="center"/>
              <w:rPr>
                <w:rFonts w:hint="default" w:ascii="Times New Roman" w:hAnsi="Times New Roman" w:cs="Times New Roman"/>
                <w:color w:val="000000"/>
                <w:sz w:val="28"/>
                <w:szCs w:val="28"/>
              </w:rPr>
            </w:pPr>
          </w:p>
        </w:tc>
      </w:tr>
      <w:tr w14:paraId="74B14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209" w:type="dxa"/>
            <w:vAlign w:val="center"/>
          </w:tcPr>
          <w:p w14:paraId="40DA97ED">
            <w:pPr>
              <w:pStyle w:val="33"/>
              <w:spacing w:line="440" w:lineRule="exact"/>
              <w:ind w:firstLine="0" w:firstLineChars="0"/>
              <w:jc w:val="cente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rPr>
              <w:t>定标委员会确定的中标人</w:t>
            </w:r>
          </w:p>
        </w:tc>
        <w:tc>
          <w:tcPr>
            <w:tcW w:w="6096" w:type="dxa"/>
            <w:vAlign w:val="center"/>
          </w:tcPr>
          <w:p w14:paraId="2D09284B">
            <w:pPr>
              <w:pStyle w:val="33"/>
              <w:spacing w:line="440" w:lineRule="exact"/>
              <w:ind w:firstLine="0" w:firstLineChars="0"/>
              <w:jc w:val="center"/>
              <w:rPr>
                <w:rFonts w:hint="default" w:ascii="Times New Roman" w:hAnsi="Times New Roman" w:cs="Times New Roman"/>
                <w:color w:val="000000"/>
                <w:sz w:val="28"/>
                <w:szCs w:val="28"/>
              </w:rPr>
            </w:pPr>
          </w:p>
        </w:tc>
      </w:tr>
      <w:tr w14:paraId="6B180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209" w:type="dxa"/>
            <w:vAlign w:val="center"/>
          </w:tcPr>
          <w:p w14:paraId="3E378794">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定标委员会</w:t>
            </w:r>
          </w:p>
          <w:p w14:paraId="6965B8C1">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组长签名</w:t>
            </w:r>
          </w:p>
        </w:tc>
        <w:tc>
          <w:tcPr>
            <w:tcW w:w="6096" w:type="dxa"/>
            <w:vAlign w:val="center"/>
          </w:tcPr>
          <w:p w14:paraId="76930AEA">
            <w:pPr>
              <w:pStyle w:val="33"/>
              <w:spacing w:line="440" w:lineRule="exact"/>
              <w:ind w:firstLine="0" w:firstLineChars="0"/>
              <w:jc w:val="center"/>
              <w:rPr>
                <w:rFonts w:hint="default" w:ascii="Times New Roman" w:hAnsi="Times New Roman" w:cs="Times New Roman"/>
                <w:color w:val="000000"/>
                <w:sz w:val="28"/>
                <w:szCs w:val="28"/>
              </w:rPr>
            </w:pPr>
          </w:p>
        </w:tc>
      </w:tr>
      <w:tr w14:paraId="4D1CD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209" w:type="dxa"/>
            <w:vAlign w:val="center"/>
          </w:tcPr>
          <w:p w14:paraId="6ED5A43A">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定标委员会</w:t>
            </w:r>
          </w:p>
          <w:p w14:paraId="458942C6">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其他成员签名</w:t>
            </w:r>
          </w:p>
        </w:tc>
        <w:tc>
          <w:tcPr>
            <w:tcW w:w="6096" w:type="dxa"/>
            <w:vAlign w:val="center"/>
          </w:tcPr>
          <w:p w14:paraId="65EBEBC0">
            <w:pPr>
              <w:pStyle w:val="33"/>
              <w:spacing w:line="440" w:lineRule="exact"/>
              <w:ind w:firstLine="0" w:firstLineChars="0"/>
              <w:jc w:val="center"/>
              <w:rPr>
                <w:rFonts w:hint="default" w:ascii="Times New Roman" w:hAnsi="Times New Roman" w:cs="Times New Roman"/>
                <w:color w:val="000000"/>
                <w:sz w:val="28"/>
                <w:szCs w:val="28"/>
              </w:rPr>
            </w:pPr>
          </w:p>
        </w:tc>
      </w:tr>
      <w:tr w14:paraId="353DE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209" w:type="dxa"/>
            <w:vAlign w:val="center"/>
          </w:tcPr>
          <w:p w14:paraId="737CBF3B">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定标委员会成员不同意见和理由</w:t>
            </w:r>
          </w:p>
        </w:tc>
        <w:tc>
          <w:tcPr>
            <w:tcW w:w="6096" w:type="dxa"/>
            <w:vAlign w:val="center"/>
          </w:tcPr>
          <w:p w14:paraId="380C28AF">
            <w:pPr>
              <w:pStyle w:val="33"/>
              <w:spacing w:line="440" w:lineRule="exact"/>
              <w:ind w:firstLine="0" w:firstLineChars="0"/>
              <w:jc w:val="center"/>
              <w:rPr>
                <w:rFonts w:hint="default" w:ascii="Times New Roman" w:hAnsi="Times New Roman" w:cs="Times New Roman"/>
                <w:color w:val="000000"/>
                <w:sz w:val="28"/>
                <w:szCs w:val="28"/>
              </w:rPr>
            </w:pPr>
          </w:p>
          <w:p w14:paraId="7557CD7A">
            <w:pPr>
              <w:pStyle w:val="33"/>
              <w:spacing w:line="440" w:lineRule="exact"/>
              <w:ind w:firstLine="0" w:firstLineChars="0"/>
              <w:jc w:val="center"/>
              <w:rPr>
                <w:rFonts w:hint="default" w:ascii="Times New Roman" w:hAnsi="Times New Roman" w:cs="Times New Roman"/>
                <w:color w:val="000000"/>
                <w:sz w:val="28"/>
                <w:szCs w:val="28"/>
              </w:rPr>
            </w:pPr>
          </w:p>
        </w:tc>
      </w:tr>
      <w:tr w14:paraId="68835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209" w:type="dxa"/>
            <w:vAlign w:val="center"/>
          </w:tcPr>
          <w:p w14:paraId="7656D1D4">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定标监督小组</w:t>
            </w:r>
          </w:p>
          <w:p w14:paraId="7FC56E20">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意见及签名</w:t>
            </w:r>
          </w:p>
        </w:tc>
        <w:tc>
          <w:tcPr>
            <w:tcW w:w="6096" w:type="dxa"/>
            <w:vAlign w:val="center"/>
          </w:tcPr>
          <w:p w14:paraId="49924BCD">
            <w:pPr>
              <w:pStyle w:val="33"/>
              <w:spacing w:line="440" w:lineRule="exact"/>
              <w:ind w:firstLine="0" w:firstLineChars="0"/>
              <w:jc w:val="center"/>
              <w:rPr>
                <w:rFonts w:hint="default" w:ascii="Times New Roman" w:hAnsi="Times New Roman" w:cs="Times New Roman"/>
                <w:color w:val="000000"/>
                <w:sz w:val="28"/>
                <w:szCs w:val="28"/>
              </w:rPr>
            </w:pPr>
          </w:p>
        </w:tc>
      </w:tr>
      <w:tr w14:paraId="653D6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209" w:type="dxa"/>
            <w:vAlign w:val="center"/>
          </w:tcPr>
          <w:p w14:paraId="2F7FC9AD">
            <w:pPr>
              <w:pStyle w:val="33"/>
              <w:spacing w:line="440" w:lineRule="exact"/>
              <w:ind w:firstLine="0" w:firstLineChars="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其他需要说明的事项</w:t>
            </w:r>
          </w:p>
        </w:tc>
        <w:tc>
          <w:tcPr>
            <w:tcW w:w="6096" w:type="dxa"/>
            <w:vAlign w:val="center"/>
          </w:tcPr>
          <w:p w14:paraId="3F84CE91">
            <w:pPr>
              <w:pStyle w:val="33"/>
              <w:spacing w:line="440" w:lineRule="exact"/>
              <w:ind w:firstLine="0" w:firstLineChars="0"/>
              <w:jc w:val="center"/>
              <w:rPr>
                <w:rFonts w:hint="default" w:ascii="Times New Roman" w:hAnsi="Times New Roman" w:cs="Times New Roman"/>
                <w:color w:val="000000"/>
                <w:sz w:val="28"/>
                <w:szCs w:val="28"/>
              </w:rPr>
            </w:pPr>
          </w:p>
          <w:p w14:paraId="686DB332">
            <w:pPr>
              <w:pStyle w:val="33"/>
              <w:spacing w:line="440" w:lineRule="exact"/>
              <w:ind w:firstLine="0" w:firstLineChars="0"/>
              <w:jc w:val="center"/>
              <w:rPr>
                <w:rFonts w:hint="default" w:ascii="Times New Roman" w:hAnsi="Times New Roman" w:cs="Times New Roman"/>
                <w:color w:val="000000"/>
                <w:sz w:val="28"/>
                <w:szCs w:val="28"/>
              </w:rPr>
            </w:pPr>
          </w:p>
          <w:p w14:paraId="7959807D">
            <w:pPr>
              <w:pStyle w:val="33"/>
              <w:spacing w:line="440" w:lineRule="exact"/>
              <w:ind w:firstLine="0" w:firstLineChars="0"/>
              <w:jc w:val="center"/>
              <w:rPr>
                <w:rFonts w:hint="default" w:ascii="Times New Roman" w:hAnsi="Times New Roman" w:cs="Times New Roman"/>
                <w:color w:val="000000"/>
                <w:sz w:val="28"/>
                <w:szCs w:val="28"/>
              </w:rPr>
            </w:pPr>
          </w:p>
        </w:tc>
      </w:tr>
    </w:tbl>
    <w:p w14:paraId="16CBD2EC">
      <w:pPr>
        <w:pStyle w:val="33"/>
        <w:spacing w:line="440" w:lineRule="exact"/>
        <w:ind w:firstLine="0" w:firstLineChars="0"/>
        <w:jc w:val="right"/>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年   月   日</w:t>
      </w:r>
    </w:p>
    <w:p w14:paraId="51328395">
      <w:pPr>
        <w:spacing w:line="480" w:lineRule="auto"/>
        <w:jc w:val="center"/>
        <w:rPr>
          <w:rFonts w:hint="default" w:ascii="Times New Roman" w:hAnsi="Times New Roman" w:eastAsia="黑体" w:cs="Times New Roman"/>
          <w:b/>
          <w:color w:val="000000"/>
          <w:sz w:val="36"/>
        </w:rPr>
      </w:pPr>
      <w:r>
        <w:rPr>
          <w:rFonts w:hint="default" w:ascii="Times New Roman" w:hAnsi="Times New Roman" w:eastAsia="黑体" w:cs="Times New Roman"/>
          <w:b/>
          <w:color w:val="000000"/>
          <w:sz w:val="36"/>
        </w:rPr>
        <w:br w:type="page"/>
      </w:r>
      <w:r>
        <w:rPr>
          <w:rFonts w:hint="default" w:ascii="Times New Roman" w:hAnsi="Times New Roman" w:eastAsia="黑体" w:cs="Times New Roman"/>
          <w:b/>
          <w:color w:val="000000"/>
          <w:sz w:val="36"/>
        </w:rPr>
        <w:t>七、附件</w:t>
      </w:r>
    </w:p>
    <w:p w14:paraId="6316BB40">
      <w:pPr>
        <w:pStyle w:val="33"/>
        <w:spacing w:line="440" w:lineRule="exact"/>
        <w:ind w:firstLine="0" w:firstLineChars="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                             </w:t>
      </w:r>
    </w:p>
    <w:p w14:paraId="48BC3F51">
      <w:pPr>
        <w:snapToGrid w:val="0"/>
        <w:spacing w:line="580" w:lineRule="exact"/>
        <w:jc w:val="center"/>
        <w:rPr>
          <w:rFonts w:hint="default" w:ascii="Times New Roman" w:hAnsi="Times New Roman" w:cs="Times New Roman"/>
          <w:b/>
          <w:color w:val="000000"/>
          <w:sz w:val="32"/>
          <w:szCs w:val="32"/>
        </w:rPr>
      </w:pPr>
      <w:r>
        <w:rPr>
          <w:rFonts w:hint="default" w:ascii="Times New Roman" w:hAnsi="Times New Roman" w:cs="Times New Roman"/>
          <w:b/>
          <w:color w:val="000000"/>
          <w:sz w:val="32"/>
          <w:szCs w:val="32"/>
        </w:rPr>
        <w:t>（一）清标与考察报告（如有）</w:t>
      </w:r>
    </w:p>
    <w:p w14:paraId="3191B0ED">
      <w:pPr>
        <w:snapToGrid w:val="0"/>
        <w:spacing w:line="580" w:lineRule="exact"/>
        <w:jc w:val="center"/>
        <w:rPr>
          <w:rFonts w:hint="default" w:ascii="Times New Roman" w:hAnsi="Times New Roman" w:cs="Times New Roman"/>
          <w:b/>
          <w:color w:val="000000"/>
          <w:sz w:val="32"/>
          <w:szCs w:val="32"/>
        </w:rPr>
      </w:pPr>
    </w:p>
    <w:tbl>
      <w:tblPr>
        <w:tblStyle w:val="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3C5E8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tcPr>
          <w:p w14:paraId="20893630">
            <w:pPr>
              <w:snapToGrid w:val="0"/>
              <w:spacing w:line="580" w:lineRule="exact"/>
              <w:rPr>
                <w:rFonts w:hint="default" w:ascii="Times New Roman" w:hAnsi="Times New Roman" w:cs="Times New Roman"/>
                <w:color w:val="000000"/>
                <w:sz w:val="32"/>
                <w:szCs w:val="32"/>
              </w:rPr>
            </w:pPr>
          </w:p>
          <w:p w14:paraId="3A32D912">
            <w:pPr>
              <w:snapToGrid w:val="0"/>
              <w:spacing w:line="580" w:lineRule="exact"/>
              <w:rPr>
                <w:rFonts w:hint="default" w:ascii="Times New Roman" w:hAnsi="Times New Roman" w:cs="Times New Roman"/>
                <w:color w:val="000000"/>
                <w:sz w:val="32"/>
                <w:szCs w:val="32"/>
              </w:rPr>
            </w:pPr>
          </w:p>
          <w:p w14:paraId="79A2682E">
            <w:pPr>
              <w:snapToGrid w:val="0"/>
              <w:spacing w:line="580" w:lineRule="exact"/>
              <w:rPr>
                <w:rFonts w:hint="default" w:ascii="Times New Roman" w:hAnsi="Times New Roman" w:cs="Times New Roman"/>
                <w:color w:val="000000"/>
                <w:sz w:val="32"/>
                <w:szCs w:val="32"/>
              </w:rPr>
            </w:pPr>
          </w:p>
          <w:p w14:paraId="516FAEE0">
            <w:pPr>
              <w:snapToGrid w:val="0"/>
              <w:spacing w:line="580" w:lineRule="exact"/>
              <w:rPr>
                <w:rFonts w:hint="default" w:ascii="Times New Roman" w:hAnsi="Times New Roman" w:cs="Times New Roman"/>
                <w:color w:val="000000"/>
                <w:sz w:val="32"/>
                <w:szCs w:val="32"/>
              </w:rPr>
            </w:pPr>
          </w:p>
          <w:p w14:paraId="0042BE89">
            <w:pPr>
              <w:snapToGrid w:val="0"/>
              <w:spacing w:line="580" w:lineRule="exact"/>
              <w:rPr>
                <w:rFonts w:hint="default" w:ascii="Times New Roman" w:hAnsi="Times New Roman" w:cs="Times New Roman"/>
                <w:color w:val="000000"/>
                <w:sz w:val="32"/>
                <w:szCs w:val="32"/>
              </w:rPr>
            </w:pPr>
          </w:p>
          <w:p w14:paraId="2B37B1FB">
            <w:pPr>
              <w:snapToGrid w:val="0"/>
              <w:spacing w:line="580" w:lineRule="exact"/>
              <w:rPr>
                <w:rFonts w:hint="default" w:ascii="Times New Roman" w:hAnsi="Times New Roman" w:cs="Times New Roman"/>
                <w:color w:val="000000"/>
                <w:sz w:val="32"/>
                <w:szCs w:val="32"/>
              </w:rPr>
            </w:pPr>
          </w:p>
          <w:p w14:paraId="649F3787">
            <w:pPr>
              <w:snapToGrid w:val="0"/>
              <w:spacing w:line="580" w:lineRule="exact"/>
              <w:rPr>
                <w:rFonts w:hint="default" w:ascii="Times New Roman" w:hAnsi="Times New Roman" w:cs="Times New Roman"/>
                <w:color w:val="000000"/>
                <w:sz w:val="32"/>
                <w:szCs w:val="32"/>
              </w:rPr>
            </w:pPr>
          </w:p>
          <w:p w14:paraId="5E0FEFF8">
            <w:pPr>
              <w:snapToGrid w:val="0"/>
              <w:spacing w:line="580" w:lineRule="exact"/>
              <w:rPr>
                <w:rFonts w:hint="default" w:ascii="Times New Roman" w:hAnsi="Times New Roman" w:cs="Times New Roman"/>
                <w:color w:val="000000"/>
                <w:sz w:val="32"/>
                <w:szCs w:val="32"/>
              </w:rPr>
            </w:pPr>
          </w:p>
          <w:p w14:paraId="6C50D96A">
            <w:pPr>
              <w:snapToGrid w:val="0"/>
              <w:spacing w:line="580" w:lineRule="exact"/>
              <w:rPr>
                <w:rFonts w:hint="default" w:ascii="Times New Roman" w:hAnsi="Times New Roman" w:cs="Times New Roman"/>
                <w:color w:val="000000"/>
                <w:sz w:val="32"/>
                <w:szCs w:val="32"/>
              </w:rPr>
            </w:pPr>
          </w:p>
          <w:p w14:paraId="265C4E38">
            <w:pPr>
              <w:snapToGrid w:val="0"/>
              <w:spacing w:line="580" w:lineRule="exact"/>
              <w:rPr>
                <w:rFonts w:hint="default" w:ascii="Times New Roman" w:hAnsi="Times New Roman" w:cs="Times New Roman"/>
                <w:color w:val="000000"/>
                <w:sz w:val="32"/>
                <w:szCs w:val="32"/>
              </w:rPr>
            </w:pPr>
          </w:p>
          <w:p w14:paraId="361DF845">
            <w:pPr>
              <w:snapToGrid w:val="0"/>
              <w:spacing w:line="580" w:lineRule="exact"/>
              <w:rPr>
                <w:rFonts w:hint="default" w:ascii="Times New Roman" w:hAnsi="Times New Roman" w:cs="Times New Roman"/>
                <w:color w:val="000000"/>
                <w:sz w:val="32"/>
                <w:szCs w:val="32"/>
              </w:rPr>
            </w:pPr>
          </w:p>
          <w:p w14:paraId="70240714">
            <w:pPr>
              <w:snapToGrid w:val="0"/>
              <w:spacing w:line="580" w:lineRule="exact"/>
              <w:rPr>
                <w:rFonts w:hint="default" w:ascii="Times New Roman" w:hAnsi="Times New Roman" w:cs="Times New Roman"/>
                <w:color w:val="000000"/>
                <w:sz w:val="32"/>
                <w:szCs w:val="32"/>
              </w:rPr>
            </w:pPr>
          </w:p>
          <w:p w14:paraId="497B9453">
            <w:pPr>
              <w:snapToGrid w:val="0"/>
              <w:spacing w:line="580" w:lineRule="exact"/>
              <w:rPr>
                <w:rFonts w:hint="default" w:ascii="Times New Roman" w:hAnsi="Times New Roman" w:cs="Times New Roman"/>
                <w:color w:val="000000"/>
                <w:sz w:val="32"/>
                <w:szCs w:val="32"/>
              </w:rPr>
            </w:pPr>
          </w:p>
          <w:p w14:paraId="02ED9348">
            <w:pPr>
              <w:snapToGrid w:val="0"/>
              <w:spacing w:line="580" w:lineRule="exact"/>
              <w:rPr>
                <w:rFonts w:hint="default" w:ascii="Times New Roman" w:hAnsi="Times New Roman" w:cs="Times New Roman"/>
                <w:color w:val="000000"/>
                <w:sz w:val="32"/>
                <w:szCs w:val="32"/>
              </w:rPr>
            </w:pPr>
          </w:p>
          <w:p w14:paraId="43C2D986">
            <w:pPr>
              <w:snapToGrid w:val="0"/>
              <w:spacing w:line="580" w:lineRule="exact"/>
              <w:rPr>
                <w:rFonts w:hint="default" w:ascii="Times New Roman" w:hAnsi="Times New Roman" w:cs="Times New Roman"/>
                <w:color w:val="000000"/>
                <w:sz w:val="32"/>
                <w:szCs w:val="32"/>
              </w:rPr>
            </w:pPr>
          </w:p>
        </w:tc>
      </w:tr>
    </w:tbl>
    <w:p w14:paraId="026FCFB4">
      <w:pPr>
        <w:snapToGrid w:val="0"/>
        <w:spacing w:line="360" w:lineRule="exact"/>
        <w:ind w:left="630" w:hanging="630" w:hangingChars="300"/>
        <w:rPr>
          <w:rFonts w:hint="default" w:ascii="Times New Roman" w:hAnsi="Times New Roman" w:cs="Times New Roman"/>
          <w:color w:val="000000"/>
          <w:szCs w:val="21"/>
        </w:rPr>
      </w:pPr>
      <w:r>
        <w:rPr>
          <w:rFonts w:hint="default" w:ascii="Times New Roman" w:hAnsi="Times New Roman" w:cs="Times New Roman"/>
          <w:color w:val="000000"/>
          <w:szCs w:val="21"/>
        </w:rPr>
        <w:t>备注：清标与考察报告包括但不限于：</w:t>
      </w:r>
    </w:p>
    <w:p w14:paraId="2A124D75">
      <w:pPr>
        <w:snapToGrid w:val="0"/>
        <w:spacing w:line="360" w:lineRule="exact"/>
        <w:ind w:left="630" w:leftChars="300"/>
        <w:rPr>
          <w:rFonts w:hint="default" w:ascii="Times New Roman" w:hAnsi="Times New Roman" w:cs="Times New Roman"/>
          <w:color w:val="000000"/>
          <w:szCs w:val="21"/>
        </w:rPr>
      </w:pPr>
      <w:r>
        <w:rPr>
          <w:rFonts w:hint="default" w:ascii="Times New Roman" w:hAnsi="Times New Roman" w:cs="Times New Roman"/>
          <w:color w:val="000000"/>
          <w:szCs w:val="21"/>
        </w:rPr>
        <w:t>1.参与清标与考察人员名单；</w:t>
      </w:r>
    </w:p>
    <w:p w14:paraId="4015B9B0">
      <w:pPr>
        <w:snapToGrid w:val="0"/>
        <w:spacing w:line="360" w:lineRule="exact"/>
        <w:ind w:left="630" w:leftChars="300"/>
        <w:rPr>
          <w:rFonts w:hint="default" w:ascii="Times New Roman" w:hAnsi="Times New Roman" w:cs="Times New Roman"/>
          <w:color w:val="000000"/>
          <w:szCs w:val="21"/>
        </w:rPr>
      </w:pPr>
      <w:r>
        <w:rPr>
          <w:rFonts w:hint="default" w:ascii="Times New Roman" w:hAnsi="Times New Roman" w:cs="Times New Roman"/>
          <w:color w:val="000000"/>
          <w:szCs w:val="21"/>
        </w:rPr>
        <w:t>2.清标与考察的内容和方法；</w:t>
      </w:r>
    </w:p>
    <w:p w14:paraId="4E4F684F">
      <w:pPr>
        <w:snapToGrid w:val="0"/>
        <w:spacing w:line="360" w:lineRule="exact"/>
        <w:ind w:left="630" w:leftChars="300"/>
        <w:rPr>
          <w:rFonts w:hint="default" w:ascii="Times New Roman" w:hAnsi="Times New Roman" w:cs="Times New Roman"/>
          <w:color w:val="000000"/>
          <w:szCs w:val="21"/>
        </w:rPr>
      </w:pPr>
      <w:r>
        <w:rPr>
          <w:rFonts w:hint="default" w:ascii="Times New Roman" w:hAnsi="Times New Roman" w:cs="Times New Roman"/>
          <w:color w:val="000000"/>
          <w:szCs w:val="21"/>
        </w:rPr>
        <w:t>3.清标与考察的时间地点；</w:t>
      </w:r>
    </w:p>
    <w:p w14:paraId="51766497">
      <w:pPr>
        <w:snapToGrid w:val="0"/>
        <w:spacing w:line="360" w:lineRule="exact"/>
        <w:ind w:left="630" w:leftChars="300"/>
        <w:rPr>
          <w:rFonts w:hint="default" w:ascii="Times New Roman" w:hAnsi="Times New Roman" w:cs="Times New Roman"/>
          <w:color w:val="000000"/>
          <w:szCs w:val="21"/>
        </w:rPr>
      </w:pPr>
      <w:r>
        <w:rPr>
          <w:rFonts w:hint="default" w:ascii="Times New Roman" w:hAnsi="Times New Roman" w:cs="Times New Roman"/>
          <w:color w:val="000000"/>
          <w:szCs w:val="21"/>
        </w:rPr>
        <w:t>4.清标与考察的情况与结果。</w:t>
      </w:r>
    </w:p>
    <w:p w14:paraId="6ABB37DE">
      <w:pPr>
        <w:snapToGrid w:val="0"/>
        <w:spacing w:line="580" w:lineRule="exact"/>
        <w:jc w:val="center"/>
        <w:rPr>
          <w:rFonts w:hint="default" w:ascii="Times New Roman" w:hAnsi="Times New Roman" w:cs="Times New Roman"/>
          <w:b/>
          <w:color w:val="000000"/>
          <w:sz w:val="32"/>
          <w:szCs w:val="32"/>
        </w:rPr>
      </w:pPr>
      <w:r>
        <w:rPr>
          <w:rFonts w:hint="default" w:ascii="Times New Roman" w:hAnsi="Times New Roman" w:cs="Times New Roman"/>
          <w:b/>
          <w:color w:val="000000"/>
          <w:sz w:val="32"/>
          <w:szCs w:val="32"/>
        </w:rPr>
        <w:br w:type="page"/>
      </w:r>
      <w:r>
        <w:rPr>
          <w:rFonts w:hint="default" w:ascii="Times New Roman" w:hAnsi="Times New Roman" w:cs="Times New Roman"/>
          <w:b/>
          <w:color w:val="000000"/>
          <w:sz w:val="32"/>
          <w:szCs w:val="32"/>
        </w:rPr>
        <w:t>（二）中标候选人答辩记录（如有）</w:t>
      </w:r>
    </w:p>
    <w:p w14:paraId="5A6CBB02">
      <w:pPr>
        <w:snapToGrid w:val="0"/>
        <w:spacing w:line="580" w:lineRule="exact"/>
        <w:ind w:firstLine="4000" w:firstLineChars="1250"/>
        <w:rPr>
          <w:rFonts w:hint="default" w:ascii="Times New Roman" w:hAnsi="Times New Roman" w:cs="Times New Roman"/>
          <w:color w:val="000000"/>
          <w:sz w:val="32"/>
          <w:szCs w:val="32"/>
        </w:rPr>
      </w:pPr>
    </w:p>
    <w:tbl>
      <w:tblPr>
        <w:tblStyle w:val="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5DB8F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tcPr>
          <w:p w14:paraId="286B4685">
            <w:pPr>
              <w:snapToGrid w:val="0"/>
              <w:spacing w:line="580" w:lineRule="exact"/>
              <w:rPr>
                <w:rFonts w:hint="default" w:ascii="Times New Roman" w:hAnsi="Times New Roman" w:cs="Times New Roman"/>
                <w:color w:val="000000"/>
                <w:sz w:val="32"/>
                <w:szCs w:val="32"/>
              </w:rPr>
            </w:pPr>
          </w:p>
          <w:p w14:paraId="0A908AD7">
            <w:pPr>
              <w:snapToGrid w:val="0"/>
              <w:spacing w:line="580" w:lineRule="exact"/>
              <w:rPr>
                <w:rFonts w:hint="default" w:ascii="Times New Roman" w:hAnsi="Times New Roman" w:cs="Times New Roman"/>
                <w:color w:val="000000"/>
                <w:sz w:val="32"/>
                <w:szCs w:val="32"/>
              </w:rPr>
            </w:pPr>
          </w:p>
          <w:p w14:paraId="5611188B">
            <w:pPr>
              <w:snapToGrid w:val="0"/>
              <w:spacing w:line="580" w:lineRule="exact"/>
              <w:rPr>
                <w:rFonts w:hint="default" w:ascii="Times New Roman" w:hAnsi="Times New Roman" w:cs="Times New Roman"/>
                <w:color w:val="000000"/>
                <w:sz w:val="32"/>
                <w:szCs w:val="32"/>
              </w:rPr>
            </w:pPr>
          </w:p>
          <w:p w14:paraId="2832D881">
            <w:pPr>
              <w:snapToGrid w:val="0"/>
              <w:spacing w:line="580" w:lineRule="exact"/>
              <w:rPr>
                <w:rFonts w:hint="default" w:ascii="Times New Roman" w:hAnsi="Times New Roman" w:cs="Times New Roman"/>
                <w:color w:val="000000"/>
                <w:sz w:val="32"/>
                <w:szCs w:val="32"/>
              </w:rPr>
            </w:pPr>
          </w:p>
          <w:p w14:paraId="18831DD4">
            <w:pPr>
              <w:snapToGrid w:val="0"/>
              <w:spacing w:line="580" w:lineRule="exact"/>
              <w:rPr>
                <w:rFonts w:hint="default" w:ascii="Times New Roman" w:hAnsi="Times New Roman" w:cs="Times New Roman"/>
                <w:color w:val="000000"/>
                <w:sz w:val="32"/>
                <w:szCs w:val="32"/>
              </w:rPr>
            </w:pPr>
          </w:p>
          <w:p w14:paraId="1C59770F">
            <w:pPr>
              <w:snapToGrid w:val="0"/>
              <w:spacing w:line="580" w:lineRule="exact"/>
              <w:rPr>
                <w:rFonts w:hint="default" w:ascii="Times New Roman" w:hAnsi="Times New Roman" w:cs="Times New Roman"/>
                <w:color w:val="000000"/>
                <w:sz w:val="32"/>
                <w:szCs w:val="32"/>
              </w:rPr>
            </w:pPr>
          </w:p>
          <w:p w14:paraId="30858BC8">
            <w:pPr>
              <w:snapToGrid w:val="0"/>
              <w:spacing w:line="580" w:lineRule="exact"/>
              <w:rPr>
                <w:rFonts w:hint="default" w:ascii="Times New Roman" w:hAnsi="Times New Roman" w:cs="Times New Roman"/>
                <w:color w:val="000000"/>
                <w:sz w:val="32"/>
                <w:szCs w:val="32"/>
              </w:rPr>
            </w:pPr>
          </w:p>
          <w:p w14:paraId="191F0957">
            <w:pPr>
              <w:snapToGrid w:val="0"/>
              <w:spacing w:line="580" w:lineRule="exact"/>
              <w:rPr>
                <w:rFonts w:hint="default" w:ascii="Times New Roman" w:hAnsi="Times New Roman" w:cs="Times New Roman"/>
                <w:color w:val="000000"/>
                <w:sz w:val="32"/>
                <w:szCs w:val="32"/>
              </w:rPr>
            </w:pPr>
          </w:p>
          <w:p w14:paraId="5A0A9396">
            <w:pPr>
              <w:snapToGrid w:val="0"/>
              <w:spacing w:line="580" w:lineRule="exact"/>
              <w:rPr>
                <w:rFonts w:hint="default" w:ascii="Times New Roman" w:hAnsi="Times New Roman" w:cs="Times New Roman"/>
                <w:color w:val="000000"/>
                <w:sz w:val="32"/>
                <w:szCs w:val="32"/>
              </w:rPr>
            </w:pPr>
          </w:p>
          <w:p w14:paraId="3E9D499D">
            <w:pPr>
              <w:snapToGrid w:val="0"/>
              <w:spacing w:line="580" w:lineRule="exact"/>
              <w:rPr>
                <w:rFonts w:hint="default" w:ascii="Times New Roman" w:hAnsi="Times New Roman" w:cs="Times New Roman"/>
                <w:color w:val="000000"/>
                <w:sz w:val="32"/>
                <w:szCs w:val="32"/>
              </w:rPr>
            </w:pPr>
          </w:p>
          <w:p w14:paraId="5C16546C">
            <w:pPr>
              <w:snapToGrid w:val="0"/>
              <w:spacing w:line="580" w:lineRule="exact"/>
              <w:rPr>
                <w:rFonts w:hint="default" w:ascii="Times New Roman" w:hAnsi="Times New Roman" w:cs="Times New Roman"/>
                <w:color w:val="000000"/>
                <w:sz w:val="32"/>
                <w:szCs w:val="32"/>
              </w:rPr>
            </w:pPr>
          </w:p>
          <w:p w14:paraId="06285F63">
            <w:pPr>
              <w:snapToGrid w:val="0"/>
              <w:spacing w:line="580" w:lineRule="exact"/>
              <w:rPr>
                <w:rFonts w:hint="default" w:ascii="Times New Roman" w:hAnsi="Times New Roman" w:cs="Times New Roman"/>
                <w:color w:val="000000"/>
                <w:sz w:val="32"/>
                <w:szCs w:val="32"/>
              </w:rPr>
            </w:pPr>
          </w:p>
          <w:p w14:paraId="1EBDE789">
            <w:pPr>
              <w:snapToGrid w:val="0"/>
              <w:spacing w:line="580" w:lineRule="exact"/>
              <w:rPr>
                <w:rFonts w:hint="default" w:ascii="Times New Roman" w:hAnsi="Times New Roman" w:cs="Times New Roman"/>
                <w:color w:val="000000"/>
                <w:sz w:val="32"/>
                <w:szCs w:val="32"/>
              </w:rPr>
            </w:pPr>
          </w:p>
          <w:p w14:paraId="36BFA878">
            <w:pPr>
              <w:snapToGrid w:val="0"/>
              <w:spacing w:line="580" w:lineRule="exact"/>
              <w:rPr>
                <w:rFonts w:hint="default" w:ascii="Times New Roman" w:hAnsi="Times New Roman" w:cs="Times New Roman"/>
                <w:color w:val="000000"/>
                <w:sz w:val="32"/>
                <w:szCs w:val="32"/>
              </w:rPr>
            </w:pPr>
          </w:p>
          <w:p w14:paraId="41B31482">
            <w:pPr>
              <w:snapToGrid w:val="0"/>
              <w:spacing w:line="580" w:lineRule="exact"/>
              <w:rPr>
                <w:rFonts w:hint="default" w:ascii="Times New Roman" w:hAnsi="Times New Roman" w:cs="Times New Roman"/>
                <w:color w:val="000000"/>
                <w:sz w:val="32"/>
                <w:szCs w:val="32"/>
              </w:rPr>
            </w:pPr>
          </w:p>
          <w:p w14:paraId="26594515">
            <w:pPr>
              <w:snapToGrid w:val="0"/>
              <w:spacing w:line="580" w:lineRule="exact"/>
              <w:rPr>
                <w:rFonts w:hint="default" w:ascii="Times New Roman" w:hAnsi="Times New Roman" w:cs="Times New Roman"/>
                <w:color w:val="000000"/>
                <w:sz w:val="32"/>
                <w:szCs w:val="32"/>
              </w:rPr>
            </w:pPr>
          </w:p>
          <w:p w14:paraId="73628334">
            <w:pPr>
              <w:snapToGrid w:val="0"/>
              <w:spacing w:line="580" w:lineRule="exact"/>
              <w:rPr>
                <w:rFonts w:hint="default" w:ascii="Times New Roman" w:hAnsi="Times New Roman" w:cs="Times New Roman"/>
                <w:color w:val="000000"/>
                <w:sz w:val="32"/>
                <w:szCs w:val="32"/>
              </w:rPr>
            </w:pPr>
          </w:p>
          <w:p w14:paraId="588D6AE4">
            <w:pPr>
              <w:snapToGrid w:val="0"/>
              <w:spacing w:line="580" w:lineRule="exact"/>
              <w:rPr>
                <w:rFonts w:hint="default" w:ascii="Times New Roman" w:hAnsi="Times New Roman" w:cs="Times New Roman"/>
                <w:color w:val="000000"/>
                <w:sz w:val="32"/>
                <w:szCs w:val="32"/>
              </w:rPr>
            </w:pPr>
          </w:p>
          <w:p w14:paraId="71027862">
            <w:pPr>
              <w:snapToGrid w:val="0"/>
              <w:spacing w:line="580" w:lineRule="exact"/>
              <w:rPr>
                <w:rFonts w:hint="default" w:ascii="Times New Roman" w:hAnsi="Times New Roman" w:cs="Times New Roman"/>
                <w:color w:val="000000"/>
                <w:sz w:val="32"/>
                <w:szCs w:val="32"/>
              </w:rPr>
            </w:pPr>
          </w:p>
          <w:p w14:paraId="523E5CE3">
            <w:pPr>
              <w:snapToGrid w:val="0"/>
              <w:spacing w:line="580" w:lineRule="exact"/>
              <w:rPr>
                <w:rFonts w:hint="default" w:ascii="Times New Roman" w:hAnsi="Times New Roman" w:cs="Times New Roman"/>
                <w:color w:val="000000"/>
                <w:sz w:val="32"/>
                <w:szCs w:val="32"/>
              </w:rPr>
            </w:pPr>
          </w:p>
        </w:tc>
      </w:tr>
    </w:tbl>
    <w:p w14:paraId="29B2DCC8">
      <w:pPr>
        <w:snapToGrid w:val="0"/>
        <w:spacing w:line="580" w:lineRule="exact"/>
        <w:jc w:val="center"/>
        <w:rPr>
          <w:rFonts w:hint="default" w:ascii="Times New Roman" w:hAnsi="Times New Roman" w:cs="Times New Roman"/>
          <w:b/>
          <w:color w:val="000000"/>
          <w:sz w:val="32"/>
          <w:szCs w:val="32"/>
        </w:rPr>
      </w:pPr>
      <w:r>
        <w:rPr>
          <w:rFonts w:hint="default" w:ascii="Times New Roman" w:hAnsi="Times New Roman" w:cs="Times New Roman"/>
          <w:b/>
          <w:color w:val="000000"/>
          <w:sz w:val="32"/>
          <w:szCs w:val="32"/>
        </w:rPr>
        <w:br w:type="page"/>
      </w:r>
      <w:r>
        <w:rPr>
          <w:rFonts w:hint="default" w:ascii="Times New Roman" w:hAnsi="Times New Roman" w:cs="Times New Roman"/>
          <w:b/>
          <w:color w:val="000000"/>
          <w:sz w:val="32"/>
          <w:szCs w:val="32"/>
        </w:rPr>
        <w:t>（三）其他资料</w:t>
      </w:r>
    </w:p>
    <w:p w14:paraId="6BBF3BDC">
      <w:pPr>
        <w:widowControl/>
        <w:spacing w:line="400" w:lineRule="exact"/>
        <w:jc w:val="left"/>
        <w:rPr>
          <w:rFonts w:hint="default" w:ascii="Times New Roman" w:hAnsi="Times New Roman" w:cs="Times New Roman"/>
          <w:color w:val="000000"/>
          <w:sz w:val="32"/>
          <w:szCs w:val="32"/>
        </w:rPr>
      </w:pPr>
    </w:p>
    <w:p w14:paraId="2A7C187A">
      <w:pPr>
        <w:widowControl/>
        <w:spacing w:line="400" w:lineRule="exact"/>
        <w:jc w:val="left"/>
        <w:rPr>
          <w:rFonts w:hint="default" w:ascii="Times New Roman" w:hAnsi="Times New Roman" w:cs="Times New Roman"/>
          <w:color w:val="000000"/>
          <w:sz w:val="32"/>
          <w:szCs w:val="32"/>
        </w:rPr>
      </w:pPr>
    </w:p>
    <w:p w14:paraId="0A714FBC">
      <w:pPr>
        <w:widowControl/>
        <w:spacing w:line="400" w:lineRule="exact"/>
        <w:jc w:val="left"/>
        <w:rPr>
          <w:rFonts w:hint="default" w:ascii="Times New Roman" w:hAnsi="Times New Roman" w:cs="Times New Roman"/>
          <w:color w:val="000000"/>
          <w:sz w:val="32"/>
          <w:szCs w:val="32"/>
        </w:rPr>
      </w:pPr>
    </w:p>
    <w:p w14:paraId="284C8D3B">
      <w:pPr>
        <w:rPr>
          <w:rFonts w:hint="default" w:ascii="Times New Roman" w:hAnsi="Times New Roman" w:cs="Times New Roman"/>
          <w:color w:val="000000"/>
        </w:rPr>
        <w:sectPr>
          <w:footerReference r:id="rId11" w:type="default"/>
          <w:pgSz w:w="11906" w:h="16838"/>
          <w:pgMar w:top="1440" w:right="1800" w:bottom="1440" w:left="1800" w:header="851" w:footer="992" w:gutter="0"/>
          <w:cols w:space="425" w:num="1"/>
          <w:docGrid w:type="lines" w:linePitch="312" w:charSpace="0"/>
        </w:sectPr>
      </w:pPr>
      <w:r>
        <w:rPr>
          <w:rFonts w:hint="default" w:ascii="Times New Roman" w:hAnsi="Times New Roman" w:cs="Times New Roman"/>
          <w:color w:val="000000"/>
        </w:rPr>
        <w:br w:type="page"/>
      </w:r>
    </w:p>
    <w:p w14:paraId="1D94C878">
      <w:pPr>
        <w:pStyle w:val="2"/>
        <w:pageBreakBefore/>
        <w:spacing w:before="0" w:after="0"/>
        <w:ind w:firstLine="885"/>
        <w:rPr>
          <w:rFonts w:hint="default" w:ascii="Times New Roman" w:hAnsi="Times New Roman" w:cs="Times New Roman"/>
          <w:color w:val="auto"/>
          <w:sz w:val="32"/>
          <w:szCs w:val="32"/>
          <w:highlight w:val="none"/>
        </w:rPr>
      </w:pPr>
      <w:bookmarkStart w:id="234" w:name="_Toc26330"/>
      <w:bookmarkStart w:id="235" w:name="_Toc495587649"/>
      <w:bookmarkStart w:id="236" w:name="_Toc10407"/>
      <w:bookmarkStart w:id="237" w:name="_Toc491075846"/>
      <w:r>
        <w:rPr>
          <w:rFonts w:hint="default" w:ascii="Times New Roman" w:hAnsi="Times New Roman" w:cs="Times New Roman"/>
          <w:color w:val="auto"/>
          <w:sz w:val="32"/>
          <w:szCs w:val="32"/>
          <w:highlight w:val="none"/>
        </w:rPr>
        <w:t>第三章  评标办法（综合评估法_一次性汇总）</w:t>
      </w:r>
      <w:bookmarkEnd w:id="234"/>
      <w:bookmarkEnd w:id="235"/>
    </w:p>
    <w:p w14:paraId="72CC2E69">
      <w:pPr>
        <w:pStyle w:val="3"/>
        <w:ind w:firstLine="643"/>
        <w:rPr>
          <w:rFonts w:hint="default" w:ascii="Times New Roman" w:hAnsi="Times New Roman" w:cs="Times New Roman"/>
          <w:color w:val="auto"/>
          <w:highlight w:val="none"/>
        </w:rPr>
      </w:pPr>
      <w:bookmarkStart w:id="238" w:name="_Toc25089"/>
      <w:r>
        <w:rPr>
          <w:rFonts w:hint="default" w:ascii="Times New Roman" w:hAnsi="Times New Roman" w:cs="Times New Roman"/>
          <w:color w:val="auto"/>
          <w:highlight w:val="none"/>
        </w:rPr>
        <w:t>评标办法前附表</w:t>
      </w:r>
      <w:bookmarkEnd w:id="238"/>
    </w:p>
    <w:tbl>
      <w:tblPr>
        <w:tblStyle w:val="17"/>
        <w:tblW w:w="8918" w:type="dxa"/>
        <w:tblInd w:w="-24"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705"/>
        <w:gridCol w:w="981"/>
        <w:gridCol w:w="2306"/>
        <w:gridCol w:w="767"/>
        <w:gridCol w:w="4159"/>
      </w:tblGrid>
      <w:tr w14:paraId="1E3706A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1686" w:type="dxa"/>
            <w:gridSpan w:val="2"/>
            <w:tcBorders>
              <w:top w:val="outset" w:color="auto" w:sz="6" w:space="0"/>
              <w:left w:val="outset" w:color="auto" w:sz="6" w:space="0"/>
              <w:bottom w:val="outset" w:color="auto" w:sz="6" w:space="0"/>
              <w:right w:val="outset" w:color="auto" w:sz="6" w:space="0"/>
            </w:tcBorders>
            <w:vAlign w:val="center"/>
          </w:tcPr>
          <w:p w14:paraId="5B75D000">
            <w:pPr>
              <w:spacing w:line="360" w:lineRule="atLeast"/>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条款号</w:t>
            </w: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1320F108">
            <w:pPr>
              <w:spacing w:line="360" w:lineRule="atLeast"/>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评审因素</w:t>
            </w:r>
          </w:p>
        </w:tc>
        <w:tc>
          <w:tcPr>
            <w:tcW w:w="4159" w:type="dxa"/>
            <w:tcBorders>
              <w:top w:val="outset" w:color="auto" w:sz="6" w:space="0"/>
              <w:left w:val="outset" w:color="auto" w:sz="6" w:space="0"/>
              <w:bottom w:val="outset" w:color="auto" w:sz="6" w:space="0"/>
              <w:right w:val="outset" w:color="auto" w:sz="6" w:space="0"/>
            </w:tcBorders>
            <w:vAlign w:val="center"/>
          </w:tcPr>
          <w:p w14:paraId="1010E26C">
            <w:pPr>
              <w:spacing w:line="360" w:lineRule="atLeast"/>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评审标准</w:t>
            </w:r>
          </w:p>
        </w:tc>
      </w:tr>
      <w:tr w14:paraId="7C2F280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restart"/>
            <w:tcBorders>
              <w:top w:val="outset" w:color="auto" w:sz="6" w:space="0"/>
              <w:left w:val="outset" w:color="auto" w:sz="6" w:space="0"/>
              <w:bottom w:val="outset" w:color="auto" w:sz="6" w:space="0"/>
              <w:right w:val="outset" w:color="auto" w:sz="6" w:space="0"/>
            </w:tcBorders>
            <w:vAlign w:val="center"/>
          </w:tcPr>
          <w:p w14:paraId="5113C8E9">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2.1.1</w:t>
            </w:r>
          </w:p>
        </w:tc>
        <w:tc>
          <w:tcPr>
            <w:tcW w:w="981" w:type="dxa"/>
            <w:vMerge w:val="restart"/>
            <w:tcBorders>
              <w:top w:val="outset" w:color="auto" w:sz="6" w:space="0"/>
              <w:left w:val="outset" w:color="auto" w:sz="6" w:space="0"/>
              <w:bottom w:val="outset" w:color="auto" w:sz="6" w:space="0"/>
              <w:right w:val="outset" w:color="auto" w:sz="6" w:space="0"/>
            </w:tcBorders>
            <w:vAlign w:val="center"/>
          </w:tcPr>
          <w:p w14:paraId="7BC0A822">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形式评审标准</w:t>
            </w: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100C9500">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投标文件</w:t>
            </w:r>
          </w:p>
        </w:tc>
        <w:tc>
          <w:tcPr>
            <w:tcW w:w="4159" w:type="dxa"/>
            <w:tcBorders>
              <w:top w:val="outset" w:color="auto" w:sz="6" w:space="0"/>
              <w:left w:val="outset" w:color="auto" w:sz="6" w:space="0"/>
              <w:bottom w:val="outset" w:color="auto" w:sz="6" w:space="0"/>
              <w:right w:val="outset" w:color="auto" w:sz="6" w:space="0"/>
            </w:tcBorders>
            <w:vAlign w:val="center"/>
          </w:tcPr>
          <w:p w14:paraId="28D338F6">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olor w:val="auto"/>
                <w:szCs w:val="21"/>
                <w:highlight w:val="none"/>
              </w:rPr>
              <w:t>在评标过程中，</w:t>
            </w:r>
            <w:r>
              <w:rPr>
                <w:rFonts w:hint="default" w:ascii="Times New Roman" w:hAnsi="Times New Roman" w:cs="Times New Roman"/>
                <w:color w:val="auto"/>
                <w:szCs w:val="21"/>
                <w:highlight w:val="none"/>
              </w:rPr>
              <w:t>投标文件能正常打开</w:t>
            </w:r>
          </w:p>
        </w:tc>
      </w:tr>
      <w:tr w14:paraId="064AE34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top w:val="outset" w:color="auto" w:sz="6" w:space="0"/>
              <w:left w:val="outset" w:color="auto" w:sz="6" w:space="0"/>
              <w:bottom w:val="outset" w:color="auto" w:sz="6" w:space="0"/>
              <w:right w:val="outset" w:color="auto" w:sz="6" w:space="0"/>
            </w:tcBorders>
            <w:vAlign w:val="center"/>
          </w:tcPr>
          <w:p w14:paraId="40CF6CC3">
            <w:pPr>
              <w:spacing w:line="360" w:lineRule="atLeast"/>
              <w:ind w:firstLine="480"/>
              <w:jc w:val="left"/>
              <w:rPr>
                <w:rFonts w:hint="default" w:ascii="Times New Roman" w:hAnsi="Times New Roman" w:cs="Times New Roman"/>
                <w:color w:val="auto"/>
                <w:szCs w:val="21"/>
                <w:highlight w:val="none"/>
              </w:rPr>
            </w:pPr>
          </w:p>
        </w:tc>
        <w:tc>
          <w:tcPr>
            <w:tcW w:w="981" w:type="dxa"/>
            <w:vMerge w:val="continue"/>
            <w:tcBorders>
              <w:top w:val="outset" w:color="auto" w:sz="6" w:space="0"/>
              <w:left w:val="outset" w:color="auto" w:sz="6" w:space="0"/>
              <w:bottom w:val="outset" w:color="auto" w:sz="6" w:space="0"/>
              <w:right w:val="outset" w:color="auto" w:sz="6" w:space="0"/>
            </w:tcBorders>
            <w:vAlign w:val="center"/>
          </w:tcPr>
          <w:p w14:paraId="030718B8">
            <w:pPr>
              <w:spacing w:line="360" w:lineRule="atLeast"/>
              <w:jc w:val="left"/>
              <w:rPr>
                <w:rFonts w:hint="default" w:ascii="Times New Roman" w:hAnsi="Times New Roman" w:cs="Times New Roman"/>
                <w:color w:val="auto"/>
                <w:szCs w:val="21"/>
                <w:highlight w:val="none"/>
              </w:rPr>
            </w:pP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381EA652">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投标人名称</w:t>
            </w:r>
          </w:p>
        </w:tc>
        <w:tc>
          <w:tcPr>
            <w:tcW w:w="4159" w:type="dxa"/>
            <w:tcBorders>
              <w:top w:val="outset" w:color="auto" w:sz="6" w:space="0"/>
              <w:left w:val="outset" w:color="auto" w:sz="6" w:space="0"/>
              <w:bottom w:val="outset" w:color="auto" w:sz="6" w:space="0"/>
              <w:right w:val="outset" w:color="auto" w:sz="6" w:space="0"/>
            </w:tcBorders>
            <w:vAlign w:val="center"/>
          </w:tcPr>
          <w:p w14:paraId="00001525">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投标文件的封面、投标函（不含投标函附录）中投标人名称、营业执照投标人名称、资质证书投标人名称、安全生产许可证投标人名称须一致，不一致时需</w:t>
            </w:r>
            <w:r>
              <w:rPr>
                <w:rFonts w:hint="default" w:ascii="Times New Roman" w:hAnsi="Times New Roman" w:cs="Times New Roman"/>
                <w:b/>
                <w:bCs/>
                <w:color w:val="auto"/>
                <w:szCs w:val="21"/>
                <w:highlight w:val="none"/>
              </w:rPr>
              <w:t>提供相关部门的合法批件</w:t>
            </w:r>
          </w:p>
        </w:tc>
      </w:tr>
      <w:tr w14:paraId="7F1788B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top w:val="outset" w:color="auto" w:sz="6" w:space="0"/>
              <w:left w:val="outset" w:color="auto" w:sz="6" w:space="0"/>
              <w:bottom w:val="outset" w:color="auto" w:sz="6" w:space="0"/>
              <w:right w:val="outset" w:color="auto" w:sz="6" w:space="0"/>
            </w:tcBorders>
            <w:vAlign w:val="center"/>
          </w:tcPr>
          <w:p w14:paraId="3B73B947">
            <w:pPr>
              <w:spacing w:line="360" w:lineRule="atLeast"/>
              <w:ind w:firstLine="480"/>
              <w:jc w:val="left"/>
              <w:rPr>
                <w:rFonts w:hint="default" w:ascii="Times New Roman" w:hAnsi="Times New Roman" w:cs="Times New Roman"/>
                <w:color w:val="auto"/>
                <w:szCs w:val="21"/>
                <w:highlight w:val="none"/>
              </w:rPr>
            </w:pPr>
          </w:p>
        </w:tc>
        <w:tc>
          <w:tcPr>
            <w:tcW w:w="981" w:type="dxa"/>
            <w:vMerge w:val="continue"/>
            <w:tcBorders>
              <w:top w:val="outset" w:color="auto" w:sz="6" w:space="0"/>
              <w:left w:val="outset" w:color="auto" w:sz="6" w:space="0"/>
              <w:bottom w:val="outset" w:color="auto" w:sz="6" w:space="0"/>
              <w:right w:val="outset" w:color="auto" w:sz="6" w:space="0"/>
            </w:tcBorders>
            <w:vAlign w:val="center"/>
          </w:tcPr>
          <w:p w14:paraId="21030276">
            <w:pPr>
              <w:spacing w:line="360" w:lineRule="atLeast"/>
              <w:jc w:val="left"/>
              <w:rPr>
                <w:rFonts w:hint="default" w:ascii="Times New Roman" w:hAnsi="Times New Roman" w:cs="Times New Roman"/>
                <w:color w:val="auto"/>
                <w:szCs w:val="21"/>
                <w:highlight w:val="none"/>
              </w:rPr>
            </w:pP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4D415E13">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投标文件的签署</w:t>
            </w:r>
          </w:p>
        </w:tc>
        <w:tc>
          <w:tcPr>
            <w:tcW w:w="4159" w:type="dxa"/>
            <w:tcBorders>
              <w:top w:val="outset" w:color="auto" w:sz="6" w:space="0"/>
              <w:left w:val="outset" w:color="auto" w:sz="6" w:space="0"/>
              <w:bottom w:val="outset" w:color="auto" w:sz="6" w:space="0"/>
              <w:right w:val="outset" w:color="auto" w:sz="6" w:space="0"/>
            </w:tcBorders>
            <w:vAlign w:val="center"/>
          </w:tcPr>
          <w:p w14:paraId="073A1295">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投标文件的签署符合以下要求：</w:t>
            </w:r>
          </w:p>
          <w:p w14:paraId="4DE026F2">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a.投标文件封面加盖了单位电子印章；</w:t>
            </w:r>
          </w:p>
          <w:p w14:paraId="6C26336F">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b.投标函</w:t>
            </w:r>
            <w:r>
              <w:rPr>
                <w:rFonts w:hint="default" w:ascii="Times New Roman" w:hAnsi="Times New Roman"/>
                <w:color w:val="auto"/>
                <w:szCs w:val="21"/>
                <w:highlight w:val="none"/>
              </w:rPr>
              <w:t>及投标一览表</w:t>
            </w:r>
            <w:r>
              <w:rPr>
                <w:rFonts w:hint="default" w:ascii="Times New Roman" w:hAnsi="Times New Roman" w:cs="Times New Roman"/>
                <w:color w:val="auto"/>
                <w:szCs w:val="21"/>
                <w:highlight w:val="none"/>
              </w:rPr>
              <w:t>加盖了单位电子印章；</w:t>
            </w:r>
          </w:p>
          <w:p w14:paraId="53D0FB21">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c.投标函</w:t>
            </w:r>
            <w:r>
              <w:rPr>
                <w:rFonts w:hint="default" w:ascii="Times New Roman" w:hAnsi="Times New Roman"/>
                <w:color w:val="auto"/>
                <w:szCs w:val="21"/>
                <w:highlight w:val="none"/>
              </w:rPr>
              <w:t>及投标一览表</w:t>
            </w:r>
            <w:r>
              <w:rPr>
                <w:rFonts w:hint="default" w:ascii="Times New Roman" w:hAnsi="Times New Roman" w:cs="Times New Roman"/>
                <w:color w:val="auto"/>
                <w:szCs w:val="21"/>
                <w:highlight w:val="none"/>
              </w:rPr>
              <w:t>加盖了法定代表人的个人电子印章或电子签名章。</w:t>
            </w:r>
          </w:p>
          <w:p w14:paraId="44CF816B">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注：投标函附录可不签字盖章。</w:t>
            </w:r>
          </w:p>
        </w:tc>
      </w:tr>
      <w:tr w14:paraId="6A6F2CB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top w:val="outset" w:color="auto" w:sz="6" w:space="0"/>
              <w:left w:val="outset" w:color="auto" w:sz="6" w:space="0"/>
              <w:bottom w:val="outset" w:color="auto" w:sz="6" w:space="0"/>
              <w:right w:val="outset" w:color="auto" w:sz="6" w:space="0"/>
            </w:tcBorders>
            <w:vAlign w:val="center"/>
          </w:tcPr>
          <w:p w14:paraId="1DCBCB63">
            <w:pPr>
              <w:spacing w:line="360" w:lineRule="atLeast"/>
              <w:ind w:firstLine="480"/>
              <w:jc w:val="left"/>
              <w:rPr>
                <w:rFonts w:hint="default" w:ascii="Times New Roman" w:hAnsi="Times New Roman" w:cs="Times New Roman"/>
                <w:color w:val="auto"/>
                <w:szCs w:val="21"/>
                <w:highlight w:val="none"/>
              </w:rPr>
            </w:pPr>
          </w:p>
        </w:tc>
        <w:tc>
          <w:tcPr>
            <w:tcW w:w="981" w:type="dxa"/>
            <w:vMerge w:val="continue"/>
            <w:tcBorders>
              <w:top w:val="outset" w:color="auto" w:sz="6" w:space="0"/>
              <w:left w:val="outset" w:color="auto" w:sz="6" w:space="0"/>
              <w:bottom w:val="outset" w:color="auto" w:sz="6" w:space="0"/>
              <w:right w:val="outset" w:color="auto" w:sz="6" w:space="0"/>
            </w:tcBorders>
            <w:vAlign w:val="center"/>
          </w:tcPr>
          <w:p w14:paraId="6776FB58">
            <w:pPr>
              <w:spacing w:line="360" w:lineRule="atLeast"/>
              <w:jc w:val="left"/>
              <w:rPr>
                <w:rFonts w:hint="default" w:ascii="Times New Roman" w:hAnsi="Times New Roman" w:cs="Times New Roman"/>
                <w:color w:val="auto"/>
                <w:szCs w:val="21"/>
                <w:highlight w:val="none"/>
              </w:rPr>
            </w:pP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3285220C">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投标文件的内容</w:t>
            </w:r>
          </w:p>
        </w:tc>
        <w:tc>
          <w:tcPr>
            <w:tcW w:w="4159" w:type="dxa"/>
            <w:tcBorders>
              <w:top w:val="outset" w:color="auto" w:sz="6" w:space="0"/>
              <w:left w:val="outset" w:color="auto" w:sz="6" w:space="0"/>
              <w:bottom w:val="outset" w:color="auto" w:sz="6" w:space="0"/>
              <w:right w:val="outset" w:color="auto" w:sz="6" w:space="0"/>
            </w:tcBorders>
            <w:vAlign w:val="center"/>
          </w:tcPr>
          <w:p w14:paraId="6DAD19AE">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投标文件以下内容齐全：投标一览表、投标函、法定代表人身份证明、投标保证金、投标人基本情况表、</w:t>
            </w:r>
            <w:r>
              <w:rPr>
                <w:rFonts w:hint="default" w:ascii="Times New Roman" w:hAnsi="Times New Roman"/>
                <w:color w:val="auto"/>
                <w:szCs w:val="21"/>
                <w:highlight w:val="none"/>
              </w:rPr>
              <w:t>近年财务状况、</w:t>
            </w:r>
            <w:r>
              <w:rPr>
                <w:rFonts w:hint="default" w:ascii="Times New Roman" w:hAnsi="Times New Roman" w:cs="Times New Roman"/>
                <w:color w:val="auto"/>
                <w:szCs w:val="21"/>
                <w:highlight w:val="none"/>
              </w:rPr>
              <w:t>投标人信誉声明（信誉情况承诺函）、拟投入本项目的主要人员资历表、主要人员到岗承诺函、近年完成类似业绩情况表、</w:t>
            </w:r>
            <w:r>
              <w:rPr>
                <w:rFonts w:hint="default" w:ascii="Times New Roman" w:hAnsi="Times New Roman"/>
                <w:color w:val="auto"/>
                <w:szCs w:val="21"/>
                <w:highlight w:val="none"/>
              </w:rPr>
              <w:t>财务会计报表</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报价文件、技术文件。</w:t>
            </w:r>
          </w:p>
          <w:p w14:paraId="76F2C08B">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注：①招标文件要求相关表格附相应证明材料的，投标人未按要求提供证明材料属于重大偏差；②投标人填写的表格内容与证明材料内容不一致时，以证明材料内容为准，投标人填写的表格内容与证明材料内容不一致的情形不属于重大偏差。</w:t>
            </w:r>
          </w:p>
        </w:tc>
      </w:tr>
      <w:tr w14:paraId="15B8983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top w:val="outset" w:color="auto" w:sz="6" w:space="0"/>
              <w:left w:val="outset" w:color="auto" w:sz="6" w:space="0"/>
              <w:bottom w:val="outset" w:color="auto" w:sz="6" w:space="0"/>
              <w:right w:val="outset" w:color="auto" w:sz="6" w:space="0"/>
            </w:tcBorders>
            <w:vAlign w:val="center"/>
          </w:tcPr>
          <w:p w14:paraId="0001FB25">
            <w:pPr>
              <w:spacing w:line="360" w:lineRule="atLeast"/>
              <w:ind w:firstLine="480"/>
              <w:jc w:val="left"/>
              <w:rPr>
                <w:rFonts w:hint="default" w:ascii="Times New Roman" w:hAnsi="Times New Roman" w:cs="Times New Roman"/>
                <w:color w:val="auto"/>
                <w:szCs w:val="21"/>
                <w:highlight w:val="none"/>
              </w:rPr>
            </w:pPr>
          </w:p>
        </w:tc>
        <w:tc>
          <w:tcPr>
            <w:tcW w:w="981" w:type="dxa"/>
            <w:vMerge w:val="continue"/>
            <w:tcBorders>
              <w:top w:val="outset" w:color="auto" w:sz="6" w:space="0"/>
              <w:left w:val="outset" w:color="auto" w:sz="6" w:space="0"/>
              <w:bottom w:val="outset" w:color="auto" w:sz="6" w:space="0"/>
              <w:right w:val="outset" w:color="auto" w:sz="6" w:space="0"/>
            </w:tcBorders>
            <w:vAlign w:val="center"/>
          </w:tcPr>
          <w:p w14:paraId="2401A38F">
            <w:pPr>
              <w:spacing w:line="360" w:lineRule="atLeast"/>
              <w:jc w:val="left"/>
              <w:rPr>
                <w:rFonts w:hint="default" w:ascii="Times New Roman" w:hAnsi="Times New Roman" w:cs="Times New Roman"/>
                <w:color w:val="auto"/>
                <w:szCs w:val="21"/>
                <w:highlight w:val="none"/>
              </w:rPr>
            </w:pP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19964ABC">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投标报价</w:t>
            </w:r>
          </w:p>
        </w:tc>
        <w:tc>
          <w:tcPr>
            <w:tcW w:w="4159" w:type="dxa"/>
            <w:tcBorders>
              <w:top w:val="outset" w:color="auto" w:sz="6" w:space="0"/>
              <w:left w:val="outset" w:color="auto" w:sz="6" w:space="0"/>
              <w:bottom w:val="outset" w:color="auto" w:sz="6" w:space="0"/>
              <w:right w:val="outset" w:color="auto" w:sz="6" w:space="0"/>
            </w:tcBorders>
            <w:vAlign w:val="center"/>
          </w:tcPr>
          <w:p w14:paraId="25F7FC26">
            <w:pPr>
              <w:numPr>
                <w:ilvl w:val="0"/>
                <w:numId w:val="3"/>
              </w:num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olor w:val="auto"/>
                <w:szCs w:val="21"/>
                <w:highlight w:val="none"/>
              </w:rPr>
              <w:t>只能有一个报价（指投标一览表中的报价），且投标一览表中的投标报价与投标文件格式中投标报价表中的投标总报价一致</w:t>
            </w:r>
          </w:p>
        </w:tc>
      </w:tr>
      <w:tr w14:paraId="3C23135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top w:val="outset" w:color="auto" w:sz="6" w:space="0"/>
              <w:left w:val="outset" w:color="auto" w:sz="6" w:space="0"/>
              <w:bottom w:val="outset" w:color="auto" w:sz="6" w:space="0"/>
              <w:right w:val="outset" w:color="auto" w:sz="6" w:space="0"/>
            </w:tcBorders>
            <w:vAlign w:val="center"/>
          </w:tcPr>
          <w:p w14:paraId="0E2C2DEE">
            <w:pPr>
              <w:spacing w:line="360" w:lineRule="atLeast"/>
              <w:ind w:firstLine="480"/>
              <w:jc w:val="left"/>
              <w:rPr>
                <w:rFonts w:hint="default" w:ascii="Times New Roman" w:hAnsi="Times New Roman" w:cs="Times New Roman"/>
                <w:color w:val="auto"/>
                <w:szCs w:val="21"/>
                <w:highlight w:val="none"/>
              </w:rPr>
            </w:pPr>
          </w:p>
        </w:tc>
        <w:tc>
          <w:tcPr>
            <w:tcW w:w="981" w:type="dxa"/>
            <w:vMerge w:val="continue"/>
            <w:tcBorders>
              <w:top w:val="outset" w:color="auto" w:sz="6" w:space="0"/>
              <w:left w:val="outset" w:color="auto" w:sz="6" w:space="0"/>
              <w:bottom w:val="outset" w:color="auto" w:sz="6" w:space="0"/>
              <w:right w:val="outset" w:color="auto" w:sz="6" w:space="0"/>
            </w:tcBorders>
            <w:vAlign w:val="center"/>
          </w:tcPr>
          <w:p w14:paraId="2DADA270">
            <w:pPr>
              <w:spacing w:line="360" w:lineRule="atLeast"/>
              <w:jc w:val="left"/>
              <w:rPr>
                <w:rFonts w:hint="default" w:ascii="Times New Roman" w:hAnsi="Times New Roman" w:cs="Times New Roman"/>
                <w:color w:val="auto"/>
                <w:szCs w:val="21"/>
                <w:highlight w:val="none"/>
              </w:rPr>
            </w:pP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22C79C5C">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招标文件的获取</w:t>
            </w:r>
          </w:p>
        </w:tc>
        <w:tc>
          <w:tcPr>
            <w:tcW w:w="4159" w:type="dxa"/>
            <w:tcBorders>
              <w:top w:val="outset" w:color="auto" w:sz="6" w:space="0"/>
              <w:left w:val="outset" w:color="auto" w:sz="6" w:space="0"/>
              <w:bottom w:val="outset" w:color="auto" w:sz="6" w:space="0"/>
              <w:right w:val="outset" w:color="auto" w:sz="6" w:space="0"/>
            </w:tcBorders>
            <w:vAlign w:val="center"/>
          </w:tcPr>
          <w:p w14:paraId="20D9BBBB">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从“电子交易平台”下载</w:t>
            </w:r>
          </w:p>
        </w:tc>
      </w:tr>
      <w:tr w14:paraId="126B83E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restart"/>
            <w:tcBorders>
              <w:top w:val="outset" w:color="auto" w:sz="6" w:space="0"/>
              <w:left w:val="outset" w:color="auto" w:sz="6" w:space="0"/>
              <w:right w:val="outset" w:color="auto" w:sz="6" w:space="0"/>
            </w:tcBorders>
            <w:vAlign w:val="center"/>
          </w:tcPr>
          <w:p w14:paraId="303A0F9A">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2.1.2</w:t>
            </w:r>
          </w:p>
        </w:tc>
        <w:tc>
          <w:tcPr>
            <w:tcW w:w="981" w:type="dxa"/>
            <w:vMerge w:val="restart"/>
            <w:tcBorders>
              <w:top w:val="outset" w:color="auto" w:sz="6" w:space="0"/>
              <w:left w:val="outset" w:color="auto" w:sz="6" w:space="0"/>
              <w:right w:val="outset" w:color="auto" w:sz="6" w:space="0"/>
            </w:tcBorders>
            <w:vAlign w:val="center"/>
          </w:tcPr>
          <w:p w14:paraId="124766D1">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资格评审标准</w:t>
            </w: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7EBF297B">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营业执照</w:t>
            </w:r>
          </w:p>
        </w:tc>
        <w:tc>
          <w:tcPr>
            <w:tcW w:w="4159" w:type="dxa"/>
            <w:tcBorders>
              <w:top w:val="outset" w:color="auto" w:sz="6" w:space="0"/>
              <w:left w:val="outset" w:color="auto" w:sz="6" w:space="0"/>
              <w:bottom w:val="outset" w:color="auto" w:sz="6" w:space="0"/>
              <w:right w:val="outset" w:color="auto" w:sz="6" w:space="0"/>
            </w:tcBorders>
            <w:vAlign w:val="center"/>
          </w:tcPr>
          <w:p w14:paraId="002B115D">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具备有效的营业执照</w:t>
            </w:r>
          </w:p>
        </w:tc>
      </w:tr>
      <w:tr w14:paraId="2AAC737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left w:val="outset" w:color="auto" w:sz="6" w:space="0"/>
              <w:right w:val="outset" w:color="auto" w:sz="6" w:space="0"/>
            </w:tcBorders>
            <w:vAlign w:val="center"/>
          </w:tcPr>
          <w:p w14:paraId="04D53BDB">
            <w:pPr>
              <w:spacing w:line="360" w:lineRule="atLeast"/>
              <w:ind w:firstLine="480"/>
              <w:jc w:val="center"/>
              <w:rPr>
                <w:rFonts w:hint="default" w:ascii="Times New Roman" w:hAnsi="Times New Roman" w:cs="Times New Roman"/>
                <w:color w:val="auto"/>
                <w:szCs w:val="21"/>
                <w:highlight w:val="none"/>
              </w:rPr>
            </w:pPr>
          </w:p>
        </w:tc>
        <w:tc>
          <w:tcPr>
            <w:tcW w:w="981" w:type="dxa"/>
            <w:vMerge w:val="continue"/>
            <w:tcBorders>
              <w:left w:val="outset" w:color="auto" w:sz="6" w:space="0"/>
              <w:right w:val="outset" w:color="auto" w:sz="6" w:space="0"/>
            </w:tcBorders>
            <w:vAlign w:val="center"/>
          </w:tcPr>
          <w:p w14:paraId="04649CB9">
            <w:pPr>
              <w:spacing w:line="360" w:lineRule="atLeast"/>
              <w:ind w:firstLine="480"/>
              <w:jc w:val="center"/>
              <w:rPr>
                <w:rFonts w:hint="default" w:ascii="Times New Roman" w:hAnsi="Times New Roman" w:cs="Times New Roman"/>
                <w:color w:val="auto"/>
                <w:szCs w:val="21"/>
                <w:highlight w:val="none"/>
              </w:rPr>
            </w:pP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47D08738">
            <w:pPr>
              <w:spacing w:line="360" w:lineRule="atLeast"/>
              <w:ind w:firstLine="31" w:firstLineChars="1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资质</w:t>
            </w:r>
          </w:p>
        </w:tc>
        <w:tc>
          <w:tcPr>
            <w:tcW w:w="4159" w:type="dxa"/>
            <w:tcBorders>
              <w:top w:val="outset" w:color="auto" w:sz="6" w:space="0"/>
              <w:left w:val="outset" w:color="auto" w:sz="6" w:space="0"/>
              <w:bottom w:val="outset" w:color="auto" w:sz="6" w:space="0"/>
              <w:right w:val="outset" w:color="auto" w:sz="6" w:space="0"/>
            </w:tcBorders>
            <w:vAlign w:val="center"/>
          </w:tcPr>
          <w:p w14:paraId="09772F78">
            <w:pPr>
              <w:spacing w:line="360" w:lineRule="atLeast"/>
              <w:ind w:left="105" w:leftChars="50" w:right="105" w:rightChars="50" w:firstLine="31" w:firstLineChars="1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符合第一章“招标公告”附录1</w:t>
            </w:r>
            <w:r>
              <w:rPr>
                <w:rFonts w:hint="default" w:ascii="Times New Roman" w:hAnsi="Times New Roman" w:cs="Times New Roman"/>
                <w:color w:val="auto"/>
                <w:szCs w:val="21"/>
                <w:highlight w:val="none"/>
                <w:lang w:val="en-US" w:eastAsia="zh-CN"/>
              </w:rPr>
              <w:t>及备注</w:t>
            </w:r>
            <w:r>
              <w:rPr>
                <w:rFonts w:hint="default" w:ascii="Times New Roman" w:hAnsi="Times New Roman" w:cs="Times New Roman"/>
                <w:color w:val="auto"/>
                <w:szCs w:val="21"/>
                <w:highlight w:val="none"/>
              </w:rPr>
              <w:t>的规定</w:t>
            </w:r>
          </w:p>
        </w:tc>
      </w:tr>
      <w:tr w14:paraId="0309B4D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left w:val="outset" w:color="auto" w:sz="6" w:space="0"/>
              <w:right w:val="outset" w:color="auto" w:sz="6" w:space="0"/>
            </w:tcBorders>
            <w:vAlign w:val="center"/>
          </w:tcPr>
          <w:p w14:paraId="431F0B42">
            <w:pPr>
              <w:spacing w:line="360" w:lineRule="atLeast"/>
              <w:ind w:firstLine="480"/>
              <w:jc w:val="center"/>
              <w:rPr>
                <w:rFonts w:hint="default" w:ascii="Times New Roman" w:hAnsi="Times New Roman" w:cs="Times New Roman"/>
                <w:color w:val="auto"/>
                <w:szCs w:val="21"/>
                <w:highlight w:val="none"/>
              </w:rPr>
            </w:pPr>
          </w:p>
        </w:tc>
        <w:tc>
          <w:tcPr>
            <w:tcW w:w="981" w:type="dxa"/>
            <w:vMerge w:val="continue"/>
            <w:tcBorders>
              <w:left w:val="outset" w:color="auto" w:sz="6" w:space="0"/>
              <w:right w:val="outset" w:color="auto" w:sz="6" w:space="0"/>
            </w:tcBorders>
            <w:vAlign w:val="center"/>
          </w:tcPr>
          <w:p w14:paraId="3B5238BC">
            <w:pPr>
              <w:spacing w:line="360" w:lineRule="atLeast"/>
              <w:ind w:firstLine="480"/>
              <w:jc w:val="center"/>
              <w:rPr>
                <w:rFonts w:hint="default" w:ascii="Times New Roman" w:hAnsi="Times New Roman" w:cs="Times New Roman"/>
                <w:color w:val="auto"/>
                <w:szCs w:val="21"/>
                <w:highlight w:val="none"/>
              </w:rPr>
            </w:pP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4D5D1328">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业绩</w:t>
            </w:r>
          </w:p>
        </w:tc>
        <w:tc>
          <w:tcPr>
            <w:tcW w:w="4159" w:type="dxa"/>
            <w:tcBorders>
              <w:top w:val="outset" w:color="auto" w:sz="6" w:space="0"/>
              <w:left w:val="outset" w:color="auto" w:sz="6" w:space="0"/>
              <w:bottom w:val="outset" w:color="auto" w:sz="6" w:space="0"/>
              <w:right w:val="outset" w:color="auto" w:sz="6" w:space="0"/>
            </w:tcBorders>
            <w:vAlign w:val="center"/>
          </w:tcPr>
          <w:p w14:paraId="4BCFE4FD">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符合第一章“招标公告”附录</w:t>
            </w:r>
            <w:r>
              <w:rPr>
                <w:rFonts w:hint="eastAsia" w:ascii="Times New Roman" w:hAnsi="Times New Roman" w:cs="Times New Roman"/>
                <w:color w:val="auto"/>
                <w:szCs w:val="21"/>
                <w:highlight w:val="none"/>
                <w:lang w:val="en-US" w:eastAsia="zh-CN"/>
              </w:rPr>
              <w:t>2</w:t>
            </w:r>
            <w:r>
              <w:rPr>
                <w:rFonts w:hint="default" w:ascii="Times New Roman" w:hAnsi="Times New Roman" w:cs="Times New Roman"/>
                <w:color w:val="auto"/>
                <w:szCs w:val="21"/>
                <w:highlight w:val="none"/>
                <w:lang w:val="en-US" w:eastAsia="zh-CN"/>
              </w:rPr>
              <w:t>及备注</w:t>
            </w:r>
            <w:r>
              <w:rPr>
                <w:rFonts w:hint="default" w:ascii="Times New Roman" w:hAnsi="Times New Roman" w:cs="Times New Roman"/>
                <w:color w:val="auto"/>
                <w:szCs w:val="21"/>
                <w:highlight w:val="none"/>
              </w:rPr>
              <w:t>的规定</w:t>
            </w:r>
          </w:p>
        </w:tc>
      </w:tr>
      <w:tr w14:paraId="4C9E6E7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left w:val="outset" w:color="auto" w:sz="6" w:space="0"/>
              <w:right w:val="outset" w:color="auto" w:sz="6" w:space="0"/>
            </w:tcBorders>
            <w:vAlign w:val="center"/>
          </w:tcPr>
          <w:p w14:paraId="6A77A859">
            <w:pPr>
              <w:spacing w:line="360" w:lineRule="atLeast"/>
              <w:ind w:firstLine="480"/>
              <w:jc w:val="center"/>
              <w:rPr>
                <w:rFonts w:hint="default" w:ascii="Times New Roman" w:hAnsi="Times New Roman" w:cs="Times New Roman"/>
                <w:color w:val="auto"/>
                <w:szCs w:val="21"/>
                <w:highlight w:val="none"/>
              </w:rPr>
            </w:pPr>
          </w:p>
        </w:tc>
        <w:tc>
          <w:tcPr>
            <w:tcW w:w="981" w:type="dxa"/>
            <w:vMerge w:val="continue"/>
            <w:tcBorders>
              <w:left w:val="outset" w:color="auto" w:sz="6" w:space="0"/>
              <w:right w:val="outset" w:color="auto" w:sz="6" w:space="0"/>
            </w:tcBorders>
            <w:vAlign w:val="center"/>
          </w:tcPr>
          <w:p w14:paraId="6E7AD7E5">
            <w:pPr>
              <w:spacing w:line="360" w:lineRule="atLeast"/>
              <w:ind w:firstLine="480"/>
              <w:jc w:val="center"/>
              <w:rPr>
                <w:rFonts w:hint="default" w:ascii="Times New Roman" w:hAnsi="Times New Roman" w:cs="Times New Roman"/>
                <w:color w:val="auto"/>
                <w:szCs w:val="21"/>
                <w:highlight w:val="none"/>
              </w:rPr>
            </w:pP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56A1A437">
            <w:pPr>
              <w:spacing w:line="360" w:lineRule="atLeast"/>
              <w:ind w:firstLine="31" w:firstLineChars="1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信誉</w:t>
            </w:r>
          </w:p>
        </w:tc>
        <w:tc>
          <w:tcPr>
            <w:tcW w:w="4159" w:type="dxa"/>
            <w:tcBorders>
              <w:top w:val="outset" w:color="auto" w:sz="6" w:space="0"/>
              <w:left w:val="outset" w:color="auto" w:sz="6" w:space="0"/>
              <w:bottom w:val="outset" w:color="auto" w:sz="6" w:space="0"/>
              <w:right w:val="outset" w:color="auto" w:sz="6" w:space="0"/>
            </w:tcBorders>
            <w:vAlign w:val="center"/>
          </w:tcPr>
          <w:p w14:paraId="773FE24C">
            <w:pPr>
              <w:spacing w:line="360" w:lineRule="atLeast"/>
              <w:ind w:left="105" w:leftChars="50" w:right="105" w:rightChars="50" w:firstLine="31" w:firstLineChars="1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符合第一章“招标公告”附录</w:t>
            </w:r>
            <w:r>
              <w:rPr>
                <w:rFonts w:hint="eastAsia" w:ascii="Times New Roman" w:hAnsi="Times New Roman" w:cs="Times New Roman"/>
                <w:color w:val="auto"/>
                <w:szCs w:val="21"/>
                <w:highlight w:val="none"/>
                <w:lang w:val="en-US" w:eastAsia="zh-CN"/>
              </w:rPr>
              <w:t>3</w:t>
            </w:r>
            <w:r>
              <w:rPr>
                <w:rFonts w:hint="default" w:ascii="Times New Roman" w:hAnsi="Times New Roman" w:cs="Times New Roman"/>
                <w:color w:val="auto"/>
                <w:szCs w:val="21"/>
                <w:highlight w:val="none"/>
                <w:lang w:val="en-US" w:eastAsia="zh-CN"/>
              </w:rPr>
              <w:t>及备注</w:t>
            </w:r>
            <w:r>
              <w:rPr>
                <w:rFonts w:hint="default" w:ascii="Times New Roman" w:hAnsi="Times New Roman" w:cs="Times New Roman"/>
                <w:color w:val="auto"/>
                <w:szCs w:val="21"/>
                <w:highlight w:val="none"/>
              </w:rPr>
              <w:t>的规定</w:t>
            </w:r>
          </w:p>
        </w:tc>
      </w:tr>
      <w:tr w14:paraId="497B627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left w:val="outset" w:color="auto" w:sz="6" w:space="0"/>
              <w:right w:val="outset" w:color="auto" w:sz="6" w:space="0"/>
            </w:tcBorders>
            <w:vAlign w:val="center"/>
          </w:tcPr>
          <w:p w14:paraId="326048E8">
            <w:pPr>
              <w:spacing w:line="360" w:lineRule="atLeast"/>
              <w:ind w:firstLine="480"/>
              <w:jc w:val="left"/>
              <w:rPr>
                <w:rFonts w:hint="default" w:ascii="Times New Roman" w:hAnsi="Times New Roman" w:cs="Times New Roman"/>
                <w:color w:val="auto"/>
                <w:szCs w:val="21"/>
                <w:highlight w:val="none"/>
              </w:rPr>
            </w:pPr>
          </w:p>
        </w:tc>
        <w:tc>
          <w:tcPr>
            <w:tcW w:w="981" w:type="dxa"/>
            <w:vMerge w:val="continue"/>
            <w:tcBorders>
              <w:left w:val="outset" w:color="auto" w:sz="6" w:space="0"/>
              <w:right w:val="outset" w:color="auto" w:sz="6" w:space="0"/>
            </w:tcBorders>
            <w:vAlign w:val="center"/>
          </w:tcPr>
          <w:p w14:paraId="17AA71C1">
            <w:pPr>
              <w:spacing w:line="360" w:lineRule="atLeast"/>
              <w:ind w:firstLine="480"/>
              <w:jc w:val="left"/>
              <w:rPr>
                <w:rFonts w:hint="default" w:ascii="Times New Roman" w:hAnsi="Times New Roman" w:cs="Times New Roman"/>
                <w:color w:val="auto"/>
                <w:szCs w:val="21"/>
                <w:highlight w:val="none"/>
              </w:rPr>
            </w:pP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1CABE020">
            <w:pPr>
              <w:spacing w:line="360" w:lineRule="atLeast"/>
              <w:ind w:firstLine="31" w:firstLineChars="15"/>
              <w:jc w:val="center"/>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主要人员</w:t>
            </w:r>
          </w:p>
        </w:tc>
        <w:tc>
          <w:tcPr>
            <w:tcW w:w="4159" w:type="dxa"/>
            <w:tcBorders>
              <w:top w:val="outset" w:color="auto" w:sz="6" w:space="0"/>
              <w:left w:val="outset" w:color="auto" w:sz="6" w:space="0"/>
              <w:bottom w:val="outset" w:color="auto" w:sz="6" w:space="0"/>
              <w:right w:val="outset" w:color="auto" w:sz="6" w:space="0"/>
            </w:tcBorders>
            <w:vAlign w:val="center"/>
          </w:tcPr>
          <w:p w14:paraId="70764FC6">
            <w:pPr>
              <w:spacing w:line="360" w:lineRule="atLeast"/>
              <w:ind w:left="105" w:leftChars="50" w:right="105" w:rightChars="50" w:firstLine="31" w:firstLineChars="1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符合第一章“招标公告”附录</w:t>
            </w:r>
            <w:r>
              <w:rPr>
                <w:rFonts w:hint="eastAsia" w:ascii="Times New Roman" w:hAnsi="Times New Roman" w:cs="Times New Roman"/>
                <w:color w:val="auto"/>
                <w:szCs w:val="21"/>
                <w:highlight w:val="none"/>
                <w:lang w:val="en-US" w:eastAsia="zh-CN"/>
              </w:rPr>
              <w:t>4</w:t>
            </w:r>
            <w:r>
              <w:rPr>
                <w:rFonts w:hint="default" w:ascii="Times New Roman" w:hAnsi="Times New Roman" w:cs="Times New Roman"/>
                <w:color w:val="auto"/>
                <w:szCs w:val="21"/>
                <w:highlight w:val="none"/>
                <w:lang w:val="en-US" w:eastAsia="zh-CN"/>
              </w:rPr>
              <w:t>及备注</w:t>
            </w:r>
            <w:r>
              <w:rPr>
                <w:rFonts w:hint="default" w:ascii="Times New Roman" w:hAnsi="Times New Roman" w:cs="Times New Roman"/>
                <w:color w:val="auto"/>
                <w:szCs w:val="21"/>
                <w:highlight w:val="none"/>
              </w:rPr>
              <w:t>的规定</w:t>
            </w:r>
          </w:p>
        </w:tc>
      </w:tr>
      <w:tr w14:paraId="7E7A60E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left w:val="outset" w:color="auto" w:sz="6" w:space="0"/>
              <w:right w:val="outset" w:color="auto" w:sz="6" w:space="0"/>
            </w:tcBorders>
            <w:vAlign w:val="center"/>
          </w:tcPr>
          <w:p w14:paraId="149D7979">
            <w:pPr>
              <w:spacing w:line="360" w:lineRule="atLeast"/>
              <w:ind w:firstLine="480"/>
              <w:jc w:val="left"/>
              <w:rPr>
                <w:rFonts w:hint="default" w:ascii="Times New Roman" w:hAnsi="Times New Roman" w:cs="Times New Roman"/>
                <w:color w:val="auto"/>
                <w:szCs w:val="21"/>
                <w:highlight w:val="none"/>
              </w:rPr>
            </w:pPr>
          </w:p>
        </w:tc>
        <w:tc>
          <w:tcPr>
            <w:tcW w:w="981" w:type="dxa"/>
            <w:vMerge w:val="continue"/>
            <w:tcBorders>
              <w:left w:val="outset" w:color="auto" w:sz="6" w:space="0"/>
              <w:right w:val="outset" w:color="auto" w:sz="6" w:space="0"/>
            </w:tcBorders>
            <w:vAlign w:val="center"/>
          </w:tcPr>
          <w:p w14:paraId="1693E9C7">
            <w:pPr>
              <w:spacing w:line="360" w:lineRule="atLeast"/>
              <w:ind w:firstLine="480"/>
              <w:jc w:val="left"/>
              <w:rPr>
                <w:rFonts w:hint="default" w:ascii="Times New Roman" w:hAnsi="Times New Roman" w:cs="Times New Roman"/>
                <w:color w:val="auto"/>
                <w:szCs w:val="21"/>
                <w:highlight w:val="none"/>
              </w:rPr>
            </w:pP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23A1C02A">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联合体投标人</w:t>
            </w:r>
          </w:p>
        </w:tc>
        <w:tc>
          <w:tcPr>
            <w:tcW w:w="4159" w:type="dxa"/>
            <w:tcBorders>
              <w:top w:val="outset" w:color="auto" w:sz="6" w:space="0"/>
              <w:left w:val="outset" w:color="auto" w:sz="6" w:space="0"/>
              <w:bottom w:val="outset" w:color="auto" w:sz="6" w:space="0"/>
              <w:right w:val="outset" w:color="auto" w:sz="6" w:space="0"/>
            </w:tcBorders>
            <w:vAlign w:val="center"/>
          </w:tcPr>
          <w:p w14:paraId="0588226E">
            <w:pPr>
              <w:spacing w:line="360" w:lineRule="atLeast"/>
              <w:ind w:left="105" w:leftChars="50" w:right="105" w:rightChars="50"/>
              <w:jc w:val="left"/>
              <w:rPr>
                <w:rFonts w:hint="default" w:ascii="Times New Roman" w:hAnsi="Times New Roman"/>
                <w:color w:val="auto"/>
                <w:szCs w:val="21"/>
                <w:highlight w:val="none"/>
              </w:rPr>
            </w:pPr>
            <w:r>
              <w:rPr>
                <w:rFonts w:hint="default" w:ascii="Times New Roman" w:hAnsi="Times New Roman"/>
                <w:color w:val="auto"/>
                <w:szCs w:val="21"/>
                <w:highlight w:val="none"/>
              </w:rPr>
              <w:t>以联合体形式投标的：</w:t>
            </w:r>
          </w:p>
          <w:p w14:paraId="22EBF070">
            <w:pPr>
              <w:spacing w:line="360" w:lineRule="atLeast"/>
              <w:ind w:left="105" w:leftChars="50" w:right="105" w:rightChars="50"/>
              <w:jc w:val="left"/>
              <w:rPr>
                <w:rFonts w:hint="default" w:ascii="Times New Roman" w:hAnsi="Times New Roman"/>
                <w:color w:val="auto"/>
                <w:szCs w:val="21"/>
                <w:highlight w:val="none"/>
              </w:rPr>
            </w:pPr>
            <w:r>
              <w:rPr>
                <w:rFonts w:hint="default" w:ascii="Times New Roman" w:hAnsi="Times New Roman"/>
                <w:color w:val="auto"/>
                <w:szCs w:val="21"/>
                <w:highlight w:val="none"/>
              </w:rPr>
              <w:t>（1）联合体所有成员单位不超过2家，其中一家单位完成全部设计任务，另一家单位完成全部施工任务；</w:t>
            </w:r>
          </w:p>
          <w:p w14:paraId="1CC5C2AA">
            <w:pPr>
              <w:spacing w:line="360" w:lineRule="atLeast"/>
              <w:ind w:left="105" w:leftChars="50" w:right="105" w:rightChars="50"/>
              <w:jc w:val="left"/>
              <w:rPr>
                <w:rFonts w:hint="default" w:ascii="Times New Roman" w:hAnsi="Times New Roman"/>
                <w:color w:val="auto"/>
                <w:szCs w:val="21"/>
                <w:highlight w:val="none"/>
              </w:rPr>
            </w:pPr>
            <w:r>
              <w:rPr>
                <w:rFonts w:hint="default" w:ascii="Times New Roman" w:hAnsi="Times New Roman"/>
                <w:color w:val="auto"/>
                <w:szCs w:val="21"/>
                <w:highlight w:val="none"/>
              </w:rPr>
              <w:t>（2）联合体各成员应按本招标文件所附格式签订联合体协议书，联合体协议书实质性格式与内容不得改变；</w:t>
            </w:r>
          </w:p>
          <w:p w14:paraId="5AC6B3EC">
            <w:pPr>
              <w:spacing w:line="360" w:lineRule="atLeast"/>
              <w:ind w:left="105" w:leftChars="50" w:right="105" w:rightChars="50"/>
              <w:jc w:val="left"/>
              <w:rPr>
                <w:rFonts w:hint="default" w:ascii="Times New Roman" w:hAnsi="Times New Roman"/>
                <w:color w:val="auto"/>
                <w:szCs w:val="21"/>
                <w:highlight w:val="none"/>
              </w:rPr>
            </w:pPr>
            <w:r>
              <w:rPr>
                <w:rFonts w:hint="default" w:ascii="Times New Roman" w:hAnsi="Times New Roman"/>
                <w:color w:val="auto"/>
                <w:szCs w:val="21"/>
                <w:highlight w:val="none"/>
              </w:rPr>
              <w:t>（3）组成联合体的各方不得再单独或与其他单位组成联合体参与本项目投标。</w:t>
            </w:r>
          </w:p>
          <w:p w14:paraId="6E89CC70">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olor w:val="auto"/>
                <w:szCs w:val="21"/>
                <w:highlight w:val="none"/>
              </w:rPr>
              <w:t>（4）联合体协议书须明确任务分工。</w:t>
            </w:r>
          </w:p>
        </w:tc>
      </w:tr>
      <w:tr w14:paraId="01A2753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left w:val="outset" w:color="auto" w:sz="6" w:space="0"/>
              <w:right w:val="outset" w:color="auto" w:sz="6" w:space="0"/>
            </w:tcBorders>
            <w:vAlign w:val="center"/>
          </w:tcPr>
          <w:p w14:paraId="42694A85">
            <w:pPr>
              <w:spacing w:line="360" w:lineRule="atLeast"/>
              <w:ind w:firstLine="480"/>
              <w:jc w:val="left"/>
              <w:rPr>
                <w:rFonts w:hint="default" w:ascii="Times New Roman" w:hAnsi="Times New Roman" w:cs="Times New Roman"/>
                <w:color w:val="auto"/>
                <w:szCs w:val="21"/>
                <w:highlight w:val="none"/>
              </w:rPr>
            </w:pPr>
          </w:p>
        </w:tc>
        <w:tc>
          <w:tcPr>
            <w:tcW w:w="981" w:type="dxa"/>
            <w:vMerge w:val="continue"/>
            <w:tcBorders>
              <w:left w:val="outset" w:color="auto" w:sz="6" w:space="0"/>
              <w:right w:val="outset" w:color="auto" w:sz="6" w:space="0"/>
            </w:tcBorders>
            <w:vAlign w:val="center"/>
          </w:tcPr>
          <w:p w14:paraId="17F5ACB1">
            <w:pPr>
              <w:spacing w:line="360" w:lineRule="atLeast"/>
              <w:ind w:firstLine="480"/>
              <w:jc w:val="left"/>
              <w:rPr>
                <w:rFonts w:hint="default" w:ascii="Times New Roman" w:hAnsi="Times New Roman" w:cs="Times New Roman"/>
                <w:color w:val="auto"/>
                <w:szCs w:val="21"/>
                <w:highlight w:val="none"/>
              </w:rPr>
            </w:pP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6B488B9B">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投标人身份</w:t>
            </w:r>
          </w:p>
        </w:tc>
        <w:tc>
          <w:tcPr>
            <w:tcW w:w="4159" w:type="dxa"/>
            <w:tcBorders>
              <w:top w:val="outset" w:color="auto" w:sz="6" w:space="0"/>
              <w:left w:val="outset" w:color="auto" w:sz="6" w:space="0"/>
              <w:bottom w:val="outset" w:color="auto" w:sz="6" w:space="0"/>
              <w:right w:val="outset" w:color="auto" w:sz="6" w:space="0"/>
            </w:tcBorders>
            <w:vAlign w:val="center"/>
          </w:tcPr>
          <w:p w14:paraId="1F0AED67">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投标人（若为联合体投标，指联合体所有成员）存在以下任一情形均属于重大偏差：</w:t>
            </w:r>
          </w:p>
          <w:p w14:paraId="2A5A0C15">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（1）为招标人不具有独立法人资格的附属机构（单位）；</w:t>
            </w:r>
          </w:p>
          <w:p w14:paraId="4350A12F">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（2）与招标人存在利害关系且可能影响招标公正性；</w:t>
            </w:r>
          </w:p>
          <w:p w14:paraId="2AB4DC56">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（3）与本标段的其他投标人同为一个单位负责人（即法定代表人）；</w:t>
            </w:r>
          </w:p>
          <w:p w14:paraId="10DAA8A3">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（4）与本标段的其他投标人存在控股、管理关系；</w:t>
            </w:r>
          </w:p>
          <w:p w14:paraId="4277012A">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 xml:space="preserve">（5）为本标段相关配套设施前期准备提供设计或咨询服务的法人或其任何附属机构(单位)； </w:t>
            </w:r>
          </w:p>
          <w:p w14:paraId="4709FC67">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（6）为本标段的监理人；</w:t>
            </w:r>
          </w:p>
          <w:p w14:paraId="5A66F2F2">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（7）为本标段的代建人；</w:t>
            </w:r>
          </w:p>
          <w:p w14:paraId="35E17472">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（8）为本标段的招标代理机构；</w:t>
            </w:r>
          </w:p>
          <w:p w14:paraId="3B1A290C">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（9）与本标段的监理人或代建人或招标代理机构同为一个法定代表人；</w:t>
            </w:r>
          </w:p>
          <w:p w14:paraId="6BEECB62">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（10）与本标段的监理人或代建人或招标代理机构存在控股或参股关系；</w:t>
            </w:r>
          </w:p>
          <w:p w14:paraId="1E7CF645">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（11）单位负责人为同一人或者存在控股、管理关系的不同单位，参加同一标段（包）投标的，共同组成联合体投标的除外。</w:t>
            </w:r>
          </w:p>
          <w:p w14:paraId="333B0A09">
            <w:pPr>
              <w:spacing w:line="240" w:lineRule="auto"/>
              <w:ind w:left="0" w:leftChars="0" w:right="0" w:rightChars="0"/>
              <w:jc w:val="left"/>
              <w:rPr>
                <w:rFonts w:hint="eastAsia" w:ascii="Times New Roman" w:hAnsi="Times New Roman" w:eastAsia="宋体" w:cs="Times New Roman"/>
                <w:color w:val="auto"/>
                <w:szCs w:val="21"/>
                <w:highlight w:val="none"/>
                <w:lang w:val="en-US" w:eastAsia="zh-CN"/>
              </w:rPr>
            </w:pPr>
            <w:r>
              <w:rPr>
                <w:rFonts w:hint="default" w:ascii="Times New Roman" w:hAnsi="Times New Roman"/>
                <w:color w:val="auto"/>
                <w:szCs w:val="21"/>
                <w:highlight w:val="none"/>
              </w:rPr>
              <w:t>（12）为本标段的初步设计单位及其附属单位。</w:t>
            </w:r>
          </w:p>
        </w:tc>
      </w:tr>
      <w:tr w14:paraId="351883F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left w:val="outset" w:color="auto" w:sz="6" w:space="0"/>
              <w:right w:val="outset" w:color="auto" w:sz="6" w:space="0"/>
            </w:tcBorders>
            <w:vAlign w:val="center"/>
          </w:tcPr>
          <w:p w14:paraId="574C246A">
            <w:pPr>
              <w:spacing w:line="360" w:lineRule="atLeast"/>
              <w:jc w:val="left"/>
              <w:rPr>
                <w:rFonts w:hint="default" w:ascii="Times New Roman" w:hAnsi="Times New Roman" w:cs="Times New Roman"/>
                <w:color w:val="auto"/>
                <w:szCs w:val="21"/>
                <w:highlight w:val="none"/>
              </w:rPr>
            </w:pPr>
          </w:p>
        </w:tc>
        <w:tc>
          <w:tcPr>
            <w:tcW w:w="981" w:type="dxa"/>
            <w:vMerge w:val="continue"/>
            <w:tcBorders>
              <w:left w:val="outset" w:color="auto" w:sz="6" w:space="0"/>
              <w:right w:val="outset" w:color="auto" w:sz="6" w:space="0"/>
            </w:tcBorders>
            <w:vAlign w:val="center"/>
          </w:tcPr>
          <w:p w14:paraId="1288DE6C">
            <w:pPr>
              <w:spacing w:line="360" w:lineRule="atLeast"/>
              <w:jc w:val="left"/>
              <w:rPr>
                <w:rFonts w:hint="default" w:ascii="Times New Roman" w:hAnsi="Times New Roman" w:cs="Times New Roman"/>
                <w:color w:val="auto"/>
                <w:szCs w:val="21"/>
                <w:highlight w:val="none"/>
              </w:rPr>
            </w:pP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1F1D3ACD">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投标价格</w:t>
            </w:r>
          </w:p>
        </w:tc>
        <w:tc>
          <w:tcPr>
            <w:tcW w:w="4159" w:type="dxa"/>
            <w:tcBorders>
              <w:top w:val="outset" w:color="auto" w:sz="6" w:space="0"/>
              <w:left w:val="outset" w:color="auto" w:sz="6" w:space="0"/>
              <w:bottom w:val="outset" w:color="auto" w:sz="6" w:space="0"/>
              <w:right w:val="outset" w:color="auto" w:sz="6" w:space="0"/>
            </w:tcBorders>
            <w:vAlign w:val="center"/>
          </w:tcPr>
          <w:p w14:paraId="39FB1D5A">
            <w:pPr>
              <w:spacing w:line="360" w:lineRule="atLeast"/>
              <w:ind w:left="105" w:leftChars="50" w:right="105" w:rightChars="50"/>
              <w:jc w:val="left"/>
              <w:rPr>
                <w:rFonts w:hint="default" w:ascii="Times New Roman" w:hAnsi="Times New Roman"/>
                <w:color w:val="auto"/>
                <w:szCs w:val="21"/>
                <w:highlight w:val="none"/>
              </w:rPr>
            </w:pPr>
            <w:r>
              <w:rPr>
                <w:rFonts w:hint="default" w:ascii="Times New Roman" w:hAnsi="Times New Roman"/>
                <w:color w:val="auto"/>
                <w:szCs w:val="21"/>
                <w:highlight w:val="none"/>
              </w:rPr>
              <w:t>（1）投标人填写了投标总报价，且一份投标文件应只有一个投标总报价，未提交选择性报价；</w:t>
            </w:r>
          </w:p>
          <w:p w14:paraId="36D918C8">
            <w:pPr>
              <w:spacing w:line="360" w:lineRule="atLeast"/>
              <w:ind w:left="105" w:leftChars="50" w:right="105" w:rightChars="50"/>
              <w:jc w:val="left"/>
              <w:rPr>
                <w:rFonts w:hint="default" w:ascii="Times New Roman" w:hAnsi="Times New Roman"/>
                <w:color w:val="auto"/>
                <w:szCs w:val="21"/>
                <w:highlight w:val="none"/>
              </w:rPr>
            </w:pPr>
            <w:r>
              <w:rPr>
                <w:rFonts w:hint="default" w:ascii="Times New Roman" w:hAnsi="Times New Roman"/>
                <w:color w:val="auto"/>
                <w:szCs w:val="21"/>
                <w:highlight w:val="none"/>
              </w:rPr>
              <w:t>（2）投标函中投标总报价与投标报价表中的投标总报价保持一致；</w:t>
            </w:r>
          </w:p>
          <w:p w14:paraId="17E785D9">
            <w:pPr>
              <w:spacing w:line="360" w:lineRule="atLeast"/>
              <w:ind w:left="105" w:leftChars="50" w:right="105" w:rightChars="50"/>
              <w:jc w:val="left"/>
              <w:rPr>
                <w:rFonts w:hint="default" w:ascii="Times New Roman" w:hAnsi="Times New Roman"/>
                <w:color w:val="auto"/>
                <w:szCs w:val="21"/>
                <w:highlight w:val="none"/>
              </w:rPr>
            </w:pPr>
            <w:r>
              <w:rPr>
                <w:rFonts w:hint="default" w:ascii="Times New Roman" w:hAnsi="Times New Roman"/>
                <w:color w:val="auto"/>
                <w:szCs w:val="21"/>
                <w:highlight w:val="none"/>
              </w:rPr>
              <w:t>（3）投标人未提交调价函；</w:t>
            </w:r>
          </w:p>
          <w:p w14:paraId="546A4D0C">
            <w:pPr>
              <w:spacing w:line="360" w:lineRule="atLeast"/>
              <w:ind w:left="105" w:leftChars="50" w:right="105" w:rightChars="50"/>
              <w:jc w:val="left"/>
              <w:rPr>
                <w:rFonts w:hint="default" w:ascii="Times New Roman" w:hAnsi="Times New Roman"/>
                <w:color w:val="auto"/>
                <w:szCs w:val="21"/>
                <w:highlight w:val="none"/>
              </w:rPr>
            </w:pPr>
            <w:r>
              <w:rPr>
                <w:rFonts w:hint="default" w:ascii="Times New Roman" w:hAnsi="Times New Roman"/>
                <w:color w:val="auto"/>
                <w:szCs w:val="21"/>
                <w:highlight w:val="none"/>
              </w:rPr>
              <w:t>（4）投标函的投标总报价未超过本标段（包）最高投标限价，</w:t>
            </w:r>
            <w:r>
              <w:rPr>
                <w:rFonts w:hint="eastAsia" w:ascii="Times New Roman" w:hAnsi="Times New Roman"/>
                <w:color w:val="auto"/>
                <w:szCs w:val="21"/>
                <w:highlight w:val="none"/>
                <w:lang w:val="en-US" w:eastAsia="zh-CN"/>
              </w:rPr>
              <w:t>且</w:t>
            </w:r>
            <w:r>
              <w:rPr>
                <w:rFonts w:hint="default" w:ascii="Times New Roman" w:hAnsi="Times New Roman"/>
                <w:color w:val="auto"/>
                <w:szCs w:val="21"/>
                <w:highlight w:val="none"/>
              </w:rPr>
              <w:t>建筑安装工程费报价未超过建筑安装工程费最高投标限价，施工图设计费未超过施工图设计费最高投标限价；；</w:t>
            </w:r>
          </w:p>
          <w:p w14:paraId="0F2A6DAB">
            <w:pPr>
              <w:spacing w:line="360" w:lineRule="atLeast"/>
              <w:ind w:left="105" w:leftChars="50" w:right="105" w:rightChars="50"/>
              <w:jc w:val="left"/>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5）若</w:t>
            </w:r>
            <w:r>
              <w:rPr>
                <w:rFonts w:hint="eastAsia" w:ascii="Times New Roman" w:hAnsi="Times New Roman"/>
                <w:color w:val="auto"/>
                <w:szCs w:val="21"/>
                <w:highlight w:val="none"/>
              </w:rPr>
              <w:t>投标报价低于最高投标限价的65％</w:t>
            </w:r>
            <w:r>
              <w:rPr>
                <w:rFonts w:hint="eastAsia" w:ascii="Times New Roman" w:hAnsi="Times New Roman"/>
                <w:color w:val="auto"/>
                <w:szCs w:val="21"/>
                <w:highlight w:val="none"/>
                <w:lang w:val="en-US" w:eastAsia="zh-CN"/>
              </w:rPr>
              <w:t>则应按</w:t>
            </w:r>
            <w:r>
              <w:rPr>
                <w:rFonts w:hint="eastAsia" w:ascii="Times New Roman" w:hAnsi="Times New Roman"/>
                <w:color w:val="auto"/>
                <w:szCs w:val="21"/>
                <w:highlight w:val="none"/>
              </w:rPr>
              <w:t>评标委员会要求说明并证明。</w:t>
            </w:r>
          </w:p>
        </w:tc>
      </w:tr>
      <w:tr w14:paraId="23E7DCB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1686" w:type="dxa"/>
            <w:gridSpan w:val="2"/>
            <w:tcBorders>
              <w:top w:val="outset" w:color="auto" w:sz="6" w:space="0"/>
              <w:left w:val="outset" w:color="auto" w:sz="6" w:space="0"/>
              <w:bottom w:val="outset" w:color="auto" w:sz="6" w:space="0"/>
              <w:right w:val="outset" w:color="auto" w:sz="6" w:space="0"/>
            </w:tcBorders>
            <w:vAlign w:val="center"/>
          </w:tcPr>
          <w:p w14:paraId="7FD4FC1C">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3.2</w:t>
            </w: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332ADC2B">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投标人不得存在的其他情形</w:t>
            </w:r>
          </w:p>
        </w:tc>
        <w:tc>
          <w:tcPr>
            <w:tcW w:w="4159" w:type="dxa"/>
            <w:tcBorders>
              <w:top w:val="outset" w:color="auto" w:sz="6" w:space="0"/>
              <w:left w:val="outset" w:color="auto" w:sz="6" w:space="0"/>
              <w:bottom w:val="outset" w:color="auto" w:sz="6" w:space="0"/>
              <w:right w:val="outset" w:color="auto" w:sz="6" w:space="0"/>
            </w:tcBorders>
            <w:vAlign w:val="center"/>
          </w:tcPr>
          <w:p w14:paraId="0BDB8962">
            <w:pPr>
              <w:spacing w:line="360" w:lineRule="atLeast"/>
              <w:ind w:left="105" w:leftChars="50" w:right="105" w:rightChars="5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（1）在本次招标活动中</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串通投标、弄虚作假、行贿或有其他违法行为的；</w:t>
            </w:r>
          </w:p>
          <w:p w14:paraId="7DF6E660">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（2）在本次招标活动中</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不按评标委员会要求澄清、说明或补正的；</w:t>
            </w:r>
          </w:p>
          <w:p w14:paraId="64BC06A3">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（3）在本次招标活动中</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经湖北省公共资源交易平台评标系统检测出与其他投标人制作投标文件的电脑机器码一致的。</w:t>
            </w:r>
          </w:p>
        </w:tc>
      </w:tr>
      <w:tr w14:paraId="0F0EC21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1686" w:type="dxa"/>
            <w:gridSpan w:val="2"/>
            <w:tcBorders>
              <w:top w:val="outset" w:color="auto" w:sz="6" w:space="0"/>
              <w:left w:val="outset" w:color="auto" w:sz="6" w:space="0"/>
              <w:bottom w:val="outset" w:color="auto" w:sz="6" w:space="0"/>
              <w:right w:val="outset" w:color="auto" w:sz="6" w:space="0"/>
            </w:tcBorders>
            <w:vAlign w:val="center"/>
          </w:tcPr>
          <w:p w14:paraId="1B7D621F">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2.2.1</w:t>
            </w:r>
          </w:p>
        </w:tc>
        <w:tc>
          <w:tcPr>
            <w:tcW w:w="3073" w:type="dxa"/>
            <w:gridSpan w:val="2"/>
            <w:tcBorders>
              <w:top w:val="outset" w:color="auto" w:sz="6" w:space="0"/>
              <w:left w:val="outset" w:color="auto" w:sz="6" w:space="0"/>
              <w:bottom w:val="outset" w:color="auto" w:sz="6" w:space="0"/>
              <w:right w:val="outset" w:color="auto" w:sz="6" w:space="0"/>
            </w:tcBorders>
            <w:vAlign w:val="center"/>
          </w:tcPr>
          <w:p w14:paraId="77C20182">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分值构成（总分_</w:t>
            </w:r>
            <w:r>
              <w:rPr>
                <w:rFonts w:hint="eastAsia" w:ascii="Times New Roman" w:hAnsi="Times New Roman" w:cs="Times New Roman"/>
                <w:color w:val="auto"/>
                <w:szCs w:val="21"/>
                <w:highlight w:val="none"/>
                <w:lang w:val="en-US" w:eastAsia="zh-CN"/>
              </w:rPr>
              <w:t>101.5</w:t>
            </w:r>
            <w:r>
              <w:rPr>
                <w:rFonts w:hint="default" w:ascii="Times New Roman" w:hAnsi="Times New Roman" w:cs="Times New Roman"/>
                <w:color w:val="auto"/>
                <w:szCs w:val="21"/>
                <w:highlight w:val="none"/>
              </w:rPr>
              <w:t>_分）</w:t>
            </w:r>
          </w:p>
        </w:tc>
        <w:tc>
          <w:tcPr>
            <w:tcW w:w="4159" w:type="dxa"/>
            <w:tcBorders>
              <w:top w:val="outset" w:color="auto" w:sz="6" w:space="0"/>
              <w:left w:val="outset" w:color="auto" w:sz="6" w:space="0"/>
              <w:bottom w:val="outset" w:color="auto" w:sz="6" w:space="0"/>
              <w:right w:val="outset" w:color="auto" w:sz="6" w:space="0"/>
            </w:tcBorders>
            <w:vAlign w:val="center"/>
          </w:tcPr>
          <w:p w14:paraId="3B6E3637">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投标报价：_</w:t>
            </w:r>
            <w:r>
              <w:rPr>
                <w:rFonts w:hint="eastAsia" w:ascii="Times New Roman" w:hAnsi="Times New Roman" w:cs="Times New Roman"/>
                <w:color w:val="auto"/>
                <w:szCs w:val="21"/>
                <w:highlight w:val="none"/>
                <w:lang w:val="en-US" w:eastAsia="zh-CN"/>
              </w:rPr>
              <w:t>51.5</w:t>
            </w:r>
            <w:r>
              <w:rPr>
                <w:rFonts w:hint="default" w:ascii="Times New Roman" w:hAnsi="Times New Roman" w:cs="Times New Roman"/>
                <w:color w:val="auto"/>
                <w:szCs w:val="21"/>
                <w:highlight w:val="none"/>
              </w:rPr>
              <w:t>_分</w:t>
            </w:r>
          </w:p>
          <w:p w14:paraId="771DE134">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商务评审：_</w:t>
            </w:r>
            <w:r>
              <w:rPr>
                <w:rFonts w:hint="eastAsia" w:ascii="Times New Roman" w:hAnsi="Times New Roman" w:cs="Times New Roman"/>
                <w:color w:val="auto"/>
                <w:szCs w:val="21"/>
                <w:highlight w:val="none"/>
                <w:lang w:val="en-US" w:eastAsia="zh-CN"/>
              </w:rPr>
              <w:t>15</w:t>
            </w:r>
            <w:r>
              <w:rPr>
                <w:rFonts w:hint="default" w:ascii="Times New Roman" w:hAnsi="Times New Roman" w:cs="Times New Roman"/>
                <w:color w:val="auto"/>
                <w:szCs w:val="21"/>
                <w:highlight w:val="none"/>
              </w:rPr>
              <w:t>_分</w:t>
            </w:r>
          </w:p>
          <w:p w14:paraId="4E138E5A">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技术评审：_</w:t>
            </w:r>
            <w:r>
              <w:rPr>
                <w:rFonts w:hint="eastAsia" w:ascii="Times New Roman" w:hAnsi="Times New Roman" w:cs="Times New Roman"/>
                <w:color w:val="auto"/>
                <w:szCs w:val="21"/>
                <w:highlight w:val="none"/>
                <w:lang w:val="en-US" w:eastAsia="zh-CN"/>
              </w:rPr>
              <w:t>35</w:t>
            </w:r>
            <w:r>
              <w:rPr>
                <w:rFonts w:hint="default" w:ascii="Times New Roman" w:hAnsi="Times New Roman" w:cs="Times New Roman"/>
                <w:color w:val="auto"/>
                <w:szCs w:val="21"/>
                <w:highlight w:val="none"/>
              </w:rPr>
              <w:t>_分</w:t>
            </w:r>
          </w:p>
          <w:p w14:paraId="4943A316">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其他评审：_</w:t>
            </w:r>
            <w:r>
              <w:rPr>
                <w:rFonts w:hint="default" w:ascii="Times New Roman" w:hAnsi="Times New Roman" w:cs="Times New Roman"/>
                <w:color w:val="auto"/>
                <w:szCs w:val="21"/>
                <w:highlight w:val="none"/>
                <w:u w:val="single"/>
              </w:rPr>
              <w:t>/</w:t>
            </w:r>
            <w:r>
              <w:rPr>
                <w:rFonts w:hint="default" w:ascii="Times New Roman" w:hAnsi="Times New Roman" w:cs="Times New Roman"/>
                <w:color w:val="auto"/>
                <w:szCs w:val="21"/>
                <w:highlight w:val="none"/>
              </w:rPr>
              <w:t>_分</w:t>
            </w:r>
          </w:p>
        </w:tc>
      </w:tr>
      <w:tr w14:paraId="42AB101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tcBorders>
              <w:top w:val="single" w:color="auto" w:sz="4" w:space="0"/>
              <w:left w:val="outset" w:color="auto" w:sz="6" w:space="0"/>
              <w:bottom w:val="outset" w:color="auto" w:sz="6" w:space="0"/>
              <w:right w:val="outset" w:color="auto" w:sz="6" w:space="0"/>
            </w:tcBorders>
            <w:vAlign w:val="center"/>
          </w:tcPr>
          <w:p w14:paraId="046809F3">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条款号</w:t>
            </w:r>
          </w:p>
        </w:tc>
        <w:tc>
          <w:tcPr>
            <w:tcW w:w="981" w:type="dxa"/>
            <w:tcBorders>
              <w:top w:val="single" w:color="auto" w:sz="4" w:space="0"/>
              <w:left w:val="outset" w:color="auto" w:sz="6" w:space="0"/>
              <w:bottom w:val="outset" w:color="auto" w:sz="6" w:space="0"/>
              <w:right w:val="outset" w:color="auto" w:sz="6" w:space="0"/>
            </w:tcBorders>
            <w:vAlign w:val="center"/>
          </w:tcPr>
          <w:p w14:paraId="5B37AA07">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评分因素</w:t>
            </w:r>
          </w:p>
        </w:tc>
        <w:tc>
          <w:tcPr>
            <w:tcW w:w="2306" w:type="dxa"/>
            <w:tcBorders>
              <w:top w:val="single" w:color="auto" w:sz="4" w:space="0"/>
              <w:left w:val="outset" w:color="auto" w:sz="6" w:space="0"/>
              <w:bottom w:val="outset" w:color="auto" w:sz="6" w:space="0"/>
              <w:right w:val="outset" w:color="auto" w:sz="6" w:space="0"/>
            </w:tcBorders>
            <w:vAlign w:val="center"/>
          </w:tcPr>
          <w:p w14:paraId="7A87CA16">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各评分因素细分项</w:t>
            </w:r>
          </w:p>
        </w:tc>
        <w:tc>
          <w:tcPr>
            <w:tcW w:w="767" w:type="dxa"/>
            <w:tcBorders>
              <w:top w:val="single" w:color="auto" w:sz="4" w:space="0"/>
              <w:left w:val="outset" w:color="auto" w:sz="6" w:space="0"/>
              <w:bottom w:val="outset" w:color="auto" w:sz="6" w:space="0"/>
              <w:right w:val="outset" w:color="auto" w:sz="6" w:space="0"/>
            </w:tcBorders>
            <w:vAlign w:val="center"/>
          </w:tcPr>
          <w:p w14:paraId="471F7C8A">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分值</w:t>
            </w:r>
          </w:p>
        </w:tc>
        <w:tc>
          <w:tcPr>
            <w:tcW w:w="4159" w:type="dxa"/>
            <w:tcBorders>
              <w:top w:val="single" w:color="auto" w:sz="4" w:space="0"/>
              <w:left w:val="outset" w:color="auto" w:sz="6" w:space="0"/>
              <w:bottom w:val="outset" w:color="auto" w:sz="6" w:space="0"/>
              <w:right w:val="outset" w:color="auto" w:sz="6" w:space="0"/>
            </w:tcBorders>
            <w:vAlign w:val="center"/>
          </w:tcPr>
          <w:p w14:paraId="198A354C">
            <w:pPr>
              <w:spacing w:line="360" w:lineRule="atLeast"/>
              <w:ind w:left="105" w:leftChars="50" w:right="105" w:rightChars="5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评分标准</w:t>
            </w:r>
          </w:p>
        </w:tc>
      </w:tr>
      <w:tr w14:paraId="6DB30D5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tcBorders>
              <w:top w:val="outset" w:color="auto" w:sz="6" w:space="0"/>
              <w:left w:val="outset" w:color="auto" w:sz="6" w:space="0"/>
              <w:right w:val="outset" w:color="auto" w:sz="6" w:space="0"/>
            </w:tcBorders>
            <w:vAlign w:val="center"/>
          </w:tcPr>
          <w:p w14:paraId="6A8FD8A9">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2.2.2（1）</w:t>
            </w:r>
          </w:p>
        </w:tc>
        <w:tc>
          <w:tcPr>
            <w:tcW w:w="981" w:type="dxa"/>
            <w:tcBorders>
              <w:top w:val="outset" w:color="auto" w:sz="6" w:space="0"/>
              <w:left w:val="outset" w:color="auto" w:sz="6" w:space="0"/>
              <w:right w:val="outset" w:color="auto" w:sz="6" w:space="0"/>
            </w:tcBorders>
            <w:vAlign w:val="center"/>
          </w:tcPr>
          <w:p w14:paraId="0453706B">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投标报价</w:t>
            </w:r>
          </w:p>
        </w:tc>
        <w:tc>
          <w:tcPr>
            <w:tcW w:w="2306" w:type="dxa"/>
            <w:tcBorders>
              <w:top w:val="outset" w:color="auto" w:sz="6" w:space="0"/>
              <w:left w:val="outset" w:color="auto" w:sz="6" w:space="0"/>
              <w:right w:val="outset" w:color="auto" w:sz="6" w:space="0"/>
            </w:tcBorders>
            <w:vAlign w:val="center"/>
          </w:tcPr>
          <w:p w14:paraId="35A81B85">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投标报价</w:t>
            </w:r>
          </w:p>
        </w:tc>
        <w:tc>
          <w:tcPr>
            <w:tcW w:w="767" w:type="dxa"/>
            <w:tcBorders>
              <w:top w:val="outset" w:color="auto" w:sz="6" w:space="0"/>
              <w:left w:val="outset" w:color="auto" w:sz="6" w:space="0"/>
              <w:right w:val="outset" w:color="auto" w:sz="6" w:space="0"/>
            </w:tcBorders>
            <w:vAlign w:val="center"/>
          </w:tcPr>
          <w:p w14:paraId="45DC66E8">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50</w:t>
            </w:r>
          </w:p>
        </w:tc>
        <w:tc>
          <w:tcPr>
            <w:tcW w:w="4159" w:type="dxa"/>
            <w:tcBorders>
              <w:top w:val="outset" w:color="auto" w:sz="6" w:space="0"/>
              <w:left w:val="outset" w:color="auto" w:sz="6" w:space="0"/>
              <w:right w:val="outset" w:color="auto" w:sz="6" w:space="0"/>
            </w:tcBorders>
            <w:vAlign w:val="center"/>
          </w:tcPr>
          <w:p w14:paraId="6291CFD0">
            <w:pPr>
              <w:spacing w:line="360" w:lineRule="atLeast"/>
              <w:ind w:left="105" w:leftChars="50" w:right="105" w:rightChars="50"/>
              <w:jc w:val="left"/>
              <w:rPr>
                <w:rFonts w:hint="default" w:ascii="Times New Roman" w:hAnsi="Times New Roman" w:cs="Times New Roman"/>
                <w:color w:val="auto"/>
                <w:szCs w:val="21"/>
                <w:highlight w:val="none"/>
              </w:rPr>
            </w:pPr>
            <w:r>
              <w:rPr>
                <w:rFonts w:hint="default" w:ascii="Times New Roman" w:hAnsi="Times New Roman"/>
                <w:color w:val="auto"/>
                <w:szCs w:val="21"/>
                <w:highlight w:val="none"/>
              </w:rPr>
              <w:t>评标基准价：当有效投标少于【5】家(不含) ，则以所有有效投标报价的算术平均值。 当有效投标大于等于【5】家(含)去掉【1】个最高报价和【1】最低报价后的算术平均值作为评标基准价。投标报价的偏差率计算公式： 偏差率=（投标报价－评标基准价）÷评标基准价 ×  100%。投标报价评分M， M＝【50】- (投标报价-评标基准价) ÷评标基准价×100×【0.</w:t>
            </w:r>
            <w:r>
              <w:rPr>
                <w:rFonts w:hint="eastAsia" w:ascii="Times New Roman" w:hAnsi="Times New Roman" w:cs="Times New Roman"/>
                <w:color w:val="auto"/>
                <w:szCs w:val="21"/>
                <w:highlight w:val="none"/>
                <w:lang w:val="en-US" w:eastAsia="zh-CN"/>
              </w:rPr>
              <w:t>2</w:t>
            </w:r>
            <w:r>
              <w:rPr>
                <w:rFonts w:hint="default" w:ascii="Times New Roman" w:hAnsi="Times New Roman"/>
                <w:color w:val="auto"/>
                <w:szCs w:val="21"/>
                <w:highlight w:val="none"/>
              </w:rPr>
              <w:t>】 (投标报价＞基准价时)， M＝【50】- (评标基准价-投标报价) ÷评标基准价×100×【0.1】 (投标报价≤基准价时) 。 其中：M≥0</w:t>
            </w:r>
          </w:p>
        </w:tc>
      </w:tr>
      <w:tr w14:paraId="244E22B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23" w:hRule="atLeast"/>
        </w:trPr>
        <w:tc>
          <w:tcPr>
            <w:tcW w:w="705" w:type="dxa"/>
            <w:vMerge w:val="restart"/>
            <w:tcBorders>
              <w:top w:val="outset" w:color="auto" w:sz="6" w:space="0"/>
              <w:left w:val="outset" w:color="auto" w:sz="6" w:space="0"/>
              <w:right w:val="outset" w:color="auto" w:sz="6" w:space="0"/>
            </w:tcBorders>
            <w:vAlign w:val="center"/>
          </w:tcPr>
          <w:p w14:paraId="682746A9">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2.2.2 （2）</w:t>
            </w:r>
          </w:p>
        </w:tc>
        <w:tc>
          <w:tcPr>
            <w:tcW w:w="981" w:type="dxa"/>
            <w:vMerge w:val="restart"/>
            <w:tcBorders>
              <w:top w:val="outset" w:color="auto" w:sz="6" w:space="0"/>
              <w:left w:val="outset" w:color="auto" w:sz="6" w:space="0"/>
              <w:right w:val="outset" w:color="auto" w:sz="6" w:space="0"/>
            </w:tcBorders>
            <w:vAlign w:val="center"/>
          </w:tcPr>
          <w:p w14:paraId="1B638C28">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商务评审</w:t>
            </w:r>
          </w:p>
        </w:tc>
        <w:tc>
          <w:tcPr>
            <w:tcW w:w="2306" w:type="dxa"/>
            <w:tcBorders>
              <w:top w:val="outset" w:color="auto" w:sz="6" w:space="0"/>
              <w:left w:val="outset" w:color="auto" w:sz="6" w:space="0"/>
              <w:right w:val="outset" w:color="auto" w:sz="6" w:space="0"/>
            </w:tcBorders>
            <w:vAlign w:val="center"/>
          </w:tcPr>
          <w:p w14:paraId="51B50A36">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业绩</w:t>
            </w:r>
          </w:p>
        </w:tc>
        <w:tc>
          <w:tcPr>
            <w:tcW w:w="767" w:type="dxa"/>
            <w:tcBorders>
              <w:top w:val="outset" w:color="auto" w:sz="6" w:space="0"/>
              <w:left w:val="outset" w:color="auto" w:sz="6" w:space="0"/>
              <w:right w:val="outset" w:color="auto" w:sz="6" w:space="0"/>
            </w:tcBorders>
            <w:vAlign w:val="center"/>
          </w:tcPr>
          <w:p w14:paraId="34A90913">
            <w:pPr>
              <w:spacing w:line="360" w:lineRule="atLeast"/>
              <w:jc w:val="center"/>
              <w:rPr>
                <w:rFonts w:hint="default" w:ascii="Times New Roman" w:hAnsi="Times New Roman" w:cs="Times New Roman"/>
                <w:color w:val="auto"/>
                <w:szCs w:val="21"/>
                <w:highlight w:val="none"/>
                <w:lang w:val="en-US"/>
              </w:rPr>
            </w:pPr>
            <w:r>
              <w:rPr>
                <w:rFonts w:hint="eastAsia" w:ascii="Times New Roman" w:hAnsi="Times New Roman" w:cs="Times New Roman"/>
                <w:color w:val="auto"/>
                <w:szCs w:val="21"/>
                <w:highlight w:val="none"/>
                <w:lang w:val="en-US" w:eastAsia="zh-CN"/>
              </w:rPr>
              <w:t>15.0</w:t>
            </w:r>
          </w:p>
        </w:tc>
        <w:tc>
          <w:tcPr>
            <w:tcW w:w="4159" w:type="dxa"/>
            <w:tcBorders>
              <w:top w:val="outset" w:color="auto" w:sz="6" w:space="0"/>
              <w:left w:val="outset" w:color="auto" w:sz="6" w:space="0"/>
              <w:bottom w:val="single" w:color="auto" w:sz="4" w:space="0"/>
              <w:right w:val="outset" w:color="auto" w:sz="6" w:space="0"/>
            </w:tcBorders>
            <w:vAlign w:val="center"/>
          </w:tcPr>
          <w:p w14:paraId="54FDFE52">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1、满足资格审查条件要求的，得基本分9分；</w:t>
            </w:r>
          </w:p>
          <w:p w14:paraId="3508E0FC">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2、勘察设计业绩加分：在满足资格审查条件要求的基础上，近10年内独立投标人或承担勘察设计任务的联合体成员每增加1项新建或改扩建二级及以上等级公路的勘察设计业绩的加1分，本项最多加2分。</w:t>
            </w:r>
          </w:p>
          <w:p w14:paraId="77035119">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3、路基施工业绩加分：在满足资格审查条件要求的基础上，近10年内独立投标人或承担路面施工任务的联合体成员每增加1项新建或改扩建二级及以上等级公路的路基施工业绩的加1分，最多2分。</w:t>
            </w:r>
          </w:p>
          <w:p w14:paraId="253CA9EB">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4、路面施工业绩加分：在满足资格审查条件要求的基础上，近10年内独立投标人或承担路面施工任务的联合体成员每增加1项新建或改扩建二级及以上等级公路的路面施工业绩的加1分，最多加2分。</w:t>
            </w:r>
          </w:p>
          <w:p w14:paraId="38B7AF6F">
            <w:pPr>
              <w:spacing w:line="240" w:lineRule="auto"/>
              <w:ind w:left="0" w:leftChars="0" w:right="0" w:rightChars="0"/>
              <w:jc w:val="left"/>
              <w:rPr>
                <w:rFonts w:hint="default" w:ascii="Times New Roman" w:hAnsi="Times New Roman"/>
                <w:color w:val="auto"/>
                <w:szCs w:val="21"/>
                <w:highlight w:val="none"/>
              </w:rPr>
            </w:pPr>
            <w:r>
              <w:rPr>
                <w:rFonts w:hint="default" w:ascii="Times New Roman" w:hAnsi="Times New Roman"/>
                <w:color w:val="auto"/>
                <w:szCs w:val="21"/>
                <w:highlight w:val="none"/>
              </w:rPr>
              <w:t>（注：①加分项业绩要求详见第一章招标公告附录2 ，以联合体形式投标的，根据联合体协议书中的任务分工仅对其所承担专业内容对应业绩进行认定，未承担相关专业内容的联合体成员所提供的对应业绩不予认定；</w:t>
            </w:r>
          </w:p>
          <w:p w14:paraId="04948F2B">
            <w:pPr>
              <w:spacing w:line="240" w:lineRule="auto"/>
              <w:ind w:left="0" w:leftChars="0" w:right="0" w:rightChars="0"/>
              <w:rPr>
                <w:rFonts w:hint="default" w:ascii="Times New Roman" w:hAnsi="Times New Roman" w:cs="Times New Roman"/>
              </w:rPr>
            </w:pPr>
            <w:r>
              <w:rPr>
                <w:rFonts w:hint="default" w:ascii="Times New Roman" w:hAnsi="Times New Roman"/>
                <w:color w:val="auto"/>
                <w:szCs w:val="21"/>
                <w:highlight w:val="none"/>
              </w:rPr>
              <w:t>②对于联合体投标的，承担同一专业的不同联合体成员的业绩不累加计算，按同一专业的不同联合体成员中业绩得分最高的予以计算，联合体其他成员的业绩不参与计算。</w:t>
            </w:r>
          </w:p>
        </w:tc>
      </w:tr>
      <w:tr w14:paraId="3431145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restart"/>
            <w:tcBorders>
              <w:top w:val="single" w:color="auto" w:sz="4" w:space="0"/>
              <w:left w:val="single" w:color="auto" w:sz="4" w:space="0"/>
              <w:bottom w:val="single" w:color="auto" w:sz="4" w:space="0"/>
              <w:right w:val="outset" w:color="auto" w:sz="6" w:space="0"/>
            </w:tcBorders>
            <w:vAlign w:val="center"/>
          </w:tcPr>
          <w:p w14:paraId="7DB7E114">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2.2.2 （3）</w:t>
            </w:r>
          </w:p>
        </w:tc>
        <w:tc>
          <w:tcPr>
            <w:tcW w:w="981" w:type="dxa"/>
            <w:vMerge w:val="restart"/>
            <w:tcBorders>
              <w:top w:val="single" w:color="auto" w:sz="4" w:space="0"/>
              <w:left w:val="outset" w:color="auto" w:sz="6" w:space="0"/>
              <w:bottom w:val="single" w:color="auto" w:sz="4" w:space="0"/>
              <w:right w:val="single" w:color="auto" w:sz="4" w:space="0"/>
            </w:tcBorders>
            <w:vAlign w:val="center"/>
          </w:tcPr>
          <w:p w14:paraId="5C958C34">
            <w:pPr>
              <w:spacing w:line="360" w:lineRule="atLeas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技术评审</w:t>
            </w:r>
          </w:p>
        </w:tc>
        <w:tc>
          <w:tcPr>
            <w:tcW w:w="2306" w:type="dxa"/>
            <w:tcBorders>
              <w:top w:val="outset" w:color="auto" w:sz="6" w:space="0"/>
              <w:left w:val="single" w:color="auto" w:sz="4" w:space="0"/>
              <w:right w:val="outset" w:color="auto" w:sz="6" w:space="0"/>
            </w:tcBorders>
            <w:vAlign w:val="center"/>
          </w:tcPr>
          <w:p w14:paraId="76AEC71D">
            <w:pPr>
              <w:spacing w:line="360" w:lineRule="atLeast"/>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default" w:ascii="Times New Roman" w:hAnsi="Times New Roman"/>
                <w:color w:val="auto"/>
                <w:highlight w:val="none"/>
              </w:rPr>
              <w:t>对工程的理解、设计思路及方案</w:t>
            </w:r>
          </w:p>
        </w:tc>
        <w:tc>
          <w:tcPr>
            <w:tcW w:w="767" w:type="dxa"/>
            <w:tcBorders>
              <w:top w:val="outset" w:color="auto" w:sz="6" w:space="0"/>
              <w:left w:val="outset" w:color="auto" w:sz="6" w:space="0"/>
              <w:right w:val="outset" w:color="auto" w:sz="6" w:space="0"/>
            </w:tcBorders>
            <w:vAlign w:val="center"/>
          </w:tcPr>
          <w:p w14:paraId="1066C3BC">
            <w:pPr>
              <w:spacing w:line="360" w:lineRule="atLeast"/>
              <w:jc w:val="cente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10</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0</w:t>
            </w:r>
          </w:p>
        </w:tc>
        <w:tc>
          <w:tcPr>
            <w:tcW w:w="4159" w:type="dxa"/>
            <w:tcBorders>
              <w:top w:val="outset" w:color="auto" w:sz="6" w:space="0"/>
              <w:left w:val="outset" w:color="auto" w:sz="6" w:space="0"/>
              <w:right w:val="outset" w:color="auto" w:sz="6" w:space="0"/>
            </w:tcBorders>
            <w:vAlign w:val="center"/>
          </w:tcPr>
          <w:p w14:paraId="32028E73">
            <w:pPr>
              <w:spacing w:line="360" w:lineRule="atLeast"/>
              <w:ind w:left="105" w:leftChars="50" w:right="105" w:rightChars="50"/>
              <w:rPr>
                <w:rFonts w:hint="default" w:ascii="Times New Roman" w:hAnsi="Times New Roman"/>
                <w:color w:val="auto"/>
                <w:szCs w:val="21"/>
                <w:highlight w:val="none"/>
              </w:rPr>
            </w:pPr>
            <w:r>
              <w:rPr>
                <w:rFonts w:hint="default" w:ascii="Times New Roman" w:hAnsi="Times New Roman"/>
                <w:color w:val="auto"/>
                <w:szCs w:val="21"/>
                <w:highlight w:val="none"/>
              </w:rPr>
              <w:t>（1）对工程的理解、设计思路及方案基本合理可行的，得6~8分；</w:t>
            </w:r>
          </w:p>
          <w:p w14:paraId="6A3A7101">
            <w:pPr>
              <w:spacing w:line="360" w:lineRule="atLeast"/>
              <w:ind w:left="105" w:leftChars="50" w:right="105" w:rightChars="50"/>
              <w:rPr>
                <w:rFonts w:hint="default" w:ascii="Times New Roman" w:hAnsi="Times New Roman" w:cs="Times New Roman"/>
                <w:color w:val="auto"/>
                <w:szCs w:val="21"/>
                <w:highlight w:val="none"/>
              </w:rPr>
            </w:pPr>
            <w:r>
              <w:rPr>
                <w:rFonts w:hint="default" w:ascii="Times New Roman" w:hAnsi="Times New Roman"/>
                <w:color w:val="auto"/>
                <w:szCs w:val="21"/>
                <w:highlight w:val="none"/>
              </w:rPr>
              <w:t>（2）对工程的理解、设计思路及方案合理可行的，得8~10分</w:t>
            </w:r>
          </w:p>
        </w:tc>
      </w:tr>
      <w:tr w14:paraId="302D7B6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top w:val="single" w:color="auto" w:sz="4" w:space="0"/>
              <w:left w:val="single" w:color="auto" w:sz="4" w:space="0"/>
              <w:bottom w:val="single" w:color="auto" w:sz="4" w:space="0"/>
              <w:right w:val="outset" w:color="auto" w:sz="6" w:space="0"/>
            </w:tcBorders>
            <w:vAlign w:val="center"/>
          </w:tcPr>
          <w:p w14:paraId="755729AC">
            <w:pPr>
              <w:spacing w:line="360" w:lineRule="atLeast"/>
              <w:jc w:val="center"/>
              <w:rPr>
                <w:rFonts w:hint="default" w:ascii="Times New Roman" w:hAnsi="Times New Roman" w:cs="Times New Roman"/>
                <w:color w:val="auto"/>
                <w:szCs w:val="21"/>
                <w:highlight w:val="none"/>
              </w:rPr>
            </w:pPr>
          </w:p>
        </w:tc>
        <w:tc>
          <w:tcPr>
            <w:tcW w:w="981" w:type="dxa"/>
            <w:vMerge w:val="continue"/>
            <w:tcBorders>
              <w:top w:val="single" w:color="auto" w:sz="4" w:space="0"/>
              <w:left w:val="outset" w:color="auto" w:sz="6" w:space="0"/>
              <w:bottom w:val="single" w:color="auto" w:sz="4" w:space="0"/>
              <w:right w:val="single" w:color="auto" w:sz="4" w:space="0"/>
            </w:tcBorders>
            <w:vAlign w:val="center"/>
          </w:tcPr>
          <w:p w14:paraId="138B3B92">
            <w:pPr>
              <w:spacing w:line="360" w:lineRule="atLeast"/>
              <w:jc w:val="center"/>
              <w:rPr>
                <w:rFonts w:hint="default" w:ascii="Times New Roman" w:hAnsi="Times New Roman" w:cs="Times New Roman"/>
                <w:color w:val="auto"/>
                <w:szCs w:val="21"/>
                <w:highlight w:val="none"/>
              </w:rPr>
            </w:pPr>
          </w:p>
        </w:tc>
        <w:tc>
          <w:tcPr>
            <w:tcW w:w="2306" w:type="dxa"/>
            <w:tcBorders>
              <w:top w:val="outset" w:color="auto" w:sz="6" w:space="0"/>
              <w:left w:val="single" w:color="auto" w:sz="4" w:space="0"/>
              <w:right w:val="outset" w:color="auto" w:sz="6" w:space="0"/>
            </w:tcBorders>
            <w:vAlign w:val="center"/>
          </w:tcPr>
          <w:p w14:paraId="48DA11AE">
            <w:pPr>
              <w:spacing w:line="360" w:lineRule="atLeas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w:t>
            </w:r>
            <w:r>
              <w:rPr>
                <w:rFonts w:hint="default" w:ascii="宋体" w:hAnsi="宋体" w:eastAsia="宋体" w:cs="宋体"/>
                <w:color w:val="3333FF"/>
                <w:kern w:val="0"/>
                <w:sz w:val="21"/>
                <w:szCs w:val="24"/>
                <w:lang w:val="en-US" w:eastAsia="en-US" w:bidi="ar-SA"/>
              </w:rPr>
              <w:t>EPC总承包管理</w:t>
            </w:r>
          </w:p>
        </w:tc>
        <w:tc>
          <w:tcPr>
            <w:tcW w:w="767" w:type="dxa"/>
            <w:tcBorders>
              <w:top w:val="outset" w:color="auto" w:sz="6" w:space="0"/>
              <w:left w:val="outset" w:color="auto" w:sz="6" w:space="0"/>
              <w:right w:val="outset" w:color="auto" w:sz="6" w:space="0"/>
            </w:tcBorders>
            <w:vAlign w:val="center"/>
          </w:tcPr>
          <w:p w14:paraId="7DCCB149">
            <w:pPr>
              <w:spacing w:line="360" w:lineRule="atLeast"/>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5.0</w:t>
            </w:r>
          </w:p>
        </w:tc>
        <w:tc>
          <w:tcPr>
            <w:tcW w:w="4159" w:type="dxa"/>
            <w:tcBorders>
              <w:top w:val="outset" w:color="auto" w:sz="6" w:space="0"/>
              <w:left w:val="outset" w:color="auto" w:sz="6" w:space="0"/>
              <w:right w:val="outset" w:color="auto" w:sz="6" w:space="0"/>
            </w:tcBorders>
            <w:vAlign w:val="center"/>
          </w:tcPr>
          <w:p w14:paraId="16FEA47B">
            <w:pPr>
              <w:spacing w:line="360" w:lineRule="atLeast"/>
              <w:ind w:left="105" w:leftChars="50" w:right="105" w:rightChars="50"/>
              <w:rPr>
                <w:rFonts w:hint="default" w:ascii="Times New Roman" w:hAnsi="Times New Roman" w:cs="Times New Roman"/>
                <w:color w:val="auto"/>
                <w:szCs w:val="21"/>
                <w:highlight w:val="none"/>
              </w:rPr>
            </w:pPr>
            <w:r>
              <w:rPr>
                <w:rFonts w:hint="default" w:ascii="Times New Roman" w:hAnsi="Times New Roman"/>
                <w:color w:val="auto"/>
                <w:szCs w:val="21"/>
                <w:highlight w:val="none"/>
              </w:rPr>
              <w:t>根据项目管理编制设计、施工全流程的组织、协调的计划方案，包括与设计的密切配合程度，且方案切合实际，满足项目实施需要。要点相对合理、可行得3-4分；科学、合理、针对性强的得4-5分；</w:t>
            </w:r>
          </w:p>
        </w:tc>
      </w:tr>
      <w:tr w14:paraId="65EFAC4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top w:val="single" w:color="auto" w:sz="4" w:space="0"/>
              <w:left w:val="single" w:color="auto" w:sz="4" w:space="0"/>
              <w:bottom w:val="single" w:color="auto" w:sz="4" w:space="0"/>
              <w:right w:val="outset" w:color="auto" w:sz="6" w:space="0"/>
            </w:tcBorders>
            <w:vAlign w:val="center"/>
          </w:tcPr>
          <w:p w14:paraId="7C5340D0">
            <w:pPr>
              <w:spacing w:line="360" w:lineRule="atLeast"/>
              <w:jc w:val="center"/>
              <w:rPr>
                <w:rFonts w:hint="default" w:ascii="Times New Roman" w:hAnsi="Times New Roman" w:cs="Times New Roman"/>
                <w:color w:val="auto"/>
                <w:szCs w:val="21"/>
                <w:highlight w:val="none"/>
              </w:rPr>
            </w:pPr>
          </w:p>
        </w:tc>
        <w:tc>
          <w:tcPr>
            <w:tcW w:w="981" w:type="dxa"/>
            <w:vMerge w:val="continue"/>
            <w:tcBorders>
              <w:top w:val="single" w:color="auto" w:sz="4" w:space="0"/>
              <w:left w:val="outset" w:color="auto" w:sz="6" w:space="0"/>
              <w:bottom w:val="single" w:color="auto" w:sz="4" w:space="0"/>
              <w:right w:val="single" w:color="auto" w:sz="4" w:space="0"/>
            </w:tcBorders>
            <w:vAlign w:val="center"/>
          </w:tcPr>
          <w:p w14:paraId="086019CB">
            <w:pPr>
              <w:spacing w:line="360" w:lineRule="atLeast"/>
              <w:jc w:val="center"/>
              <w:rPr>
                <w:rFonts w:hint="default" w:ascii="Times New Roman" w:hAnsi="Times New Roman" w:cs="Times New Roman"/>
                <w:color w:val="auto"/>
                <w:szCs w:val="21"/>
                <w:highlight w:val="none"/>
              </w:rPr>
            </w:pPr>
          </w:p>
        </w:tc>
        <w:tc>
          <w:tcPr>
            <w:tcW w:w="2306" w:type="dxa"/>
            <w:tcBorders>
              <w:top w:val="outset" w:color="auto" w:sz="6" w:space="0"/>
              <w:left w:val="single" w:color="auto" w:sz="4" w:space="0"/>
              <w:bottom w:val="outset" w:color="auto" w:sz="6" w:space="0"/>
              <w:right w:val="outset" w:color="auto" w:sz="6" w:space="0"/>
            </w:tcBorders>
            <w:vAlign w:val="center"/>
          </w:tcPr>
          <w:p w14:paraId="62AE041B">
            <w:pPr>
              <w:spacing w:line="360" w:lineRule="atLeas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w:t>
            </w:r>
            <w:r>
              <w:rPr>
                <w:rFonts w:hint="default" w:ascii="Times New Roman" w:hAnsi="Times New Roman"/>
                <w:color w:val="auto"/>
                <w:szCs w:val="21"/>
                <w:highlight w:val="none"/>
              </w:rPr>
              <w:t>勘察设计（含初步设计优化）的特点、关键技术问题的认识及其对策措施</w:t>
            </w:r>
          </w:p>
        </w:tc>
        <w:tc>
          <w:tcPr>
            <w:tcW w:w="767" w:type="dxa"/>
            <w:tcBorders>
              <w:top w:val="outset" w:color="auto" w:sz="6" w:space="0"/>
              <w:left w:val="outset" w:color="auto" w:sz="6" w:space="0"/>
              <w:bottom w:val="outset" w:color="auto" w:sz="6" w:space="0"/>
              <w:right w:val="outset" w:color="auto" w:sz="6" w:space="0"/>
            </w:tcBorders>
            <w:vAlign w:val="center"/>
          </w:tcPr>
          <w:p w14:paraId="08AC3B2D">
            <w:pPr>
              <w:spacing w:line="360" w:lineRule="atLeast"/>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10.0</w:t>
            </w:r>
          </w:p>
        </w:tc>
        <w:tc>
          <w:tcPr>
            <w:tcW w:w="4159" w:type="dxa"/>
            <w:tcBorders>
              <w:top w:val="outset" w:color="auto" w:sz="6" w:space="0"/>
              <w:left w:val="outset" w:color="auto" w:sz="6" w:space="0"/>
              <w:bottom w:val="outset" w:color="auto" w:sz="6" w:space="0"/>
              <w:right w:val="outset" w:color="auto" w:sz="6" w:space="0"/>
            </w:tcBorders>
            <w:vAlign w:val="center"/>
          </w:tcPr>
          <w:p w14:paraId="79A7EBFE">
            <w:pPr>
              <w:spacing w:line="360" w:lineRule="atLeast"/>
              <w:ind w:left="105" w:leftChars="50" w:right="105" w:rightChars="50"/>
              <w:rPr>
                <w:rFonts w:hint="default" w:ascii="Times New Roman" w:hAnsi="Times New Roman"/>
                <w:color w:val="auto"/>
                <w:highlight w:val="none"/>
              </w:rPr>
            </w:pPr>
            <w:r>
              <w:rPr>
                <w:rFonts w:hint="default" w:ascii="Times New Roman" w:hAnsi="Times New Roman"/>
                <w:color w:val="auto"/>
                <w:highlight w:val="none"/>
              </w:rPr>
              <w:t>（1）对项目勘察设计（含初步设计优化）特点、关键技术问题的认识及其对策措施理解基本到位，分析较深入，得6-8分。</w:t>
            </w:r>
          </w:p>
          <w:p w14:paraId="1A1D633A">
            <w:pPr>
              <w:spacing w:line="360" w:lineRule="atLeast"/>
              <w:ind w:left="105" w:leftChars="50" w:right="105" w:rightChars="50"/>
              <w:rPr>
                <w:rFonts w:hint="default" w:ascii="Times New Roman" w:hAnsi="Times New Roman" w:cs="Times New Roman"/>
                <w:color w:val="auto"/>
                <w:highlight w:val="none"/>
              </w:rPr>
            </w:pPr>
            <w:r>
              <w:rPr>
                <w:rFonts w:hint="default" w:ascii="Times New Roman" w:hAnsi="Times New Roman"/>
                <w:color w:val="auto"/>
                <w:highlight w:val="none"/>
              </w:rPr>
              <w:t>（2）对项目勘察设计（含初步设计优化）特点、关键技术问题的认识及对其策措施理解到位，分析深入，得8-10分；</w:t>
            </w:r>
          </w:p>
        </w:tc>
      </w:tr>
      <w:tr w14:paraId="6345B96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705" w:type="dxa"/>
            <w:vMerge w:val="continue"/>
            <w:tcBorders>
              <w:top w:val="single" w:color="auto" w:sz="4" w:space="0"/>
              <w:left w:val="single" w:color="auto" w:sz="4" w:space="0"/>
              <w:bottom w:val="single" w:color="auto" w:sz="4" w:space="0"/>
              <w:right w:val="outset" w:color="auto" w:sz="6" w:space="0"/>
            </w:tcBorders>
            <w:vAlign w:val="center"/>
          </w:tcPr>
          <w:p w14:paraId="7A8D60DA">
            <w:pPr>
              <w:spacing w:line="360" w:lineRule="atLeast"/>
              <w:jc w:val="center"/>
              <w:rPr>
                <w:rFonts w:hint="default" w:ascii="Times New Roman" w:hAnsi="Times New Roman" w:cs="Times New Roman"/>
                <w:color w:val="auto"/>
                <w:szCs w:val="21"/>
                <w:highlight w:val="none"/>
              </w:rPr>
            </w:pPr>
          </w:p>
        </w:tc>
        <w:tc>
          <w:tcPr>
            <w:tcW w:w="981" w:type="dxa"/>
            <w:vMerge w:val="continue"/>
            <w:tcBorders>
              <w:top w:val="single" w:color="auto" w:sz="4" w:space="0"/>
              <w:left w:val="outset" w:color="auto" w:sz="6" w:space="0"/>
              <w:bottom w:val="single" w:color="auto" w:sz="4" w:space="0"/>
              <w:right w:val="single" w:color="auto" w:sz="4" w:space="0"/>
            </w:tcBorders>
            <w:vAlign w:val="center"/>
          </w:tcPr>
          <w:p w14:paraId="0B890168">
            <w:pPr>
              <w:spacing w:line="360" w:lineRule="atLeast"/>
              <w:jc w:val="center"/>
              <w:rPr>
                <w:rFonts w:hint="default" w:ascii="Times New Roman" w:hAnsi="Times New Roman" w:cs="Times New Roman"/>
                <w:color w:val="auto"/>
                <w:szCs w:val="21"/>
                <w:highlight w:val="none"/>
              </w:rPr>
            </w:pPr>
          </w:p>
        </w:tc>
        <w:tc>
          <w:tcPr>
            <w:tcW w:w="2306" w:type="dxa"/>
            <w:tcBorders>
              <w:top w:val="outset" w:color="auto" w:sz="6" w:space="0"/>
              <w:left w:val="single" w:color="auto" w:sz="4" w:space="0"/>
              <w:bottom w:val="outset" w:color="auto" w:sz="6" w:space="0"/>
              <w:right w:val="outset" w:color="auto" w:sz="6" w:space="0"/>
            </w:tcBorders>
            <w:vAlign w:val="center"/>
          </w:tcPr>
          <w:p w14:paraId="42A086A2">
            <w:pPr>
              <w:spacing w:line="360" w:lineRule="atLeas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w:t>
            </w:r>
            <w:r>
              <w:rPr>
                <w:rFonts w:hint="default" w:ascii="Times New Roman" w:hAnsi="Times New Roman"/>
                <w:color w:val="000000"/>
              </w:rPr>
              <w:t>施工技术问题的认识及其对策措施</w:t>
            </w:r>
          </w:p>
        </w:tc>
        <w:tc>
          <w:tcPr>
            <w:tcW w:w="767" w:type="dxa"/>
            <w:tcBorders>
              <w:top w:val="outset" w:color="auto" w:sz="6" w:space="0"/>
              <w:left w:val="outset" w:color="auto" w:sz="6" w:space="0"/>
              <w:bottom w:val="outset" w:color="auto" w:sz="6" w:space="0"/>
              <w:right w:val="outset" w:color="auto" w:sz="6" w:space="0"/>
            </w:tcBorders>
            <w:vAlign w:val="center"/>
          </w:tcPr>
          <w:p w14:paraId="485F444F">
            <w:pPr>
              <w:spacing w:line="360" w:lineRule="atLeast"/>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10.0</w:t>
            </w:r>
          </w:p>
        </w:tc>
        <w:tc>
          <w:tcPr>
            <w:tcW w:w="4159" w:type="dxa"/>
            <w:tcBorders>
              <w:top w:val="outset" w:color="auto" w:sz="6" w:space="0"/>
              <w:left w:val="outset" w:color="auto" w:sz="6" w:space="0"/>
              <w:bottom w:val="outset" w:color="auto" w:sz="6" w:space="0"/>
              <w:right w:val="outset" w:color="auto" w:sz="6" w:space="0"/>
            </w:tcBorders>
            <w:vAlign w:val="center"/>
          </w:tcPr>
          <w:p w14:paraId="3E94BABE">
            <w:pPr>
              <w:spacing w:line="360" w:lineRule="atLeast"/>
              <w:ind w:left="105" w:leftChars="50" w:right="105" w:rightChars="50"/>
              <w:rPr>
                <w:rFonts w:hint="default" w:ascii="Times New Roman" w:hAnsi="Times New Roman"/>
                <w:color w:val="auto"/>
                <w:highlight w:val="none"/>
              </w:rPr>
            </w:pPr>
            <w:r>
              <w:rPr>
                <w:rFonts w:hint="default" w:ascii="Times New Roman" w:hAnsi="Times New Roman"/>
                <w:color w:val="auto"/>
                <w:highlight w:val="none"/>
              </w:rPr>
              <w:t>（1）对项目施工技术问题的认识及其对策措施理解基本到位，分析较深入，得6-8分；</w:t>
            </w:r>
          </w:p>
          <w:p w14:paraId="3ABDB2F2">
            <w:pPr>
              <w:spacing w:line="360" w:lineRule="atLeast"/>
              <w:ind w:left="105" w:leftChars="50" w:right="105" w:rightChars="50"/>
              <w:rPr>
                <w:rFonts w:hint="default" w:ascii="Times New Roman" w:hAnsi="Times New Roman" w:cs="Times New Roman"/>
                <w:color w:val="auto"/>
                <w:highlight w:val="none"/>
              </w:rPr>
            </w:pPr>
            <w:r>
              <w:rPr>
                <w:rFonts w:hint="default" w:ascii="Times New Roman" w:hAnsi="Times New Roman"/>
                <w:color w:val="auto"/>
                <w:highlight w:val="none"/>
              </w:rPr>
              <w:t>（2）对项目施工技术问题的认识及对其策措施理解到位，分析深入，得8-10分。</w:t>
            </w:r>
          </w:p>
        </w:tc>
      </w:tr>
      <w:bookmarkEnd w:id="236"/>
      <w:bookmarkEnd w:id="237"/>
    </w:tbl>
    <w:p w14:paraId="1D8C2C4D">
      <w:pPr>
        <w:spacing w:after="100" w:afterAutospacing="1"/>
        <w:rPr>
          <w:rFonts w:hint="default" w:ascii="Times New Roman" w:hAnsi="Times New Roman" w:cs="Times New Roman"/>
          <w:color w:val="000000"/>
        </w:rPr>
      </w:pPr>
    </w:p>
    <w:p w14:paraId="0294F054">
      <w:pPr>
        <w:pStyle w:val="34"/>
        <w:rPr>
          <w:rFonts w:hint="default" w:ascii="Times New Roman" w:hAnsi="Times New Roman" w:cs="Times New Roman"/>
          <w:color w:val="000000"/>
        </w:rPr>
      </w:pPr>
      <w:bookmarkStart w:id="239" w:name="_Toc16977"/>
      <w:bookmarkStart w:id="240" w:name="_Toc491075848"/>
    </w:p>
    <w:p w14:paraId="4D731BDF">
      <w:pPr>
        <w:pStyle w:val="34"/>
        <w:rPr>
          <w:rFonts w:hint="default" w:ascii="Times New Roman" w:hAnsi="Times New Roman" w:cs="Times New Roman"/>
          <w:color w:val="000000"/>
        </w:rPr>
      </w:pPr>
      <w:r>
        <w:rPr>
          <w:rFonts w:hint="default" w:ascii="Times New Roman" w:hAnsi="Times New Roman" w:cs="Times New Roman"/>
          <w:color w:val="000000"/>
        </w:rPr>
        <w:t>1. 评标方法</w:t>
      </w:r>
      <w:bookmarkEnd w:id="239"/>
      <w:bookmarkEnd w:id="240"/>
    </w:p>
    <w:p w14:paraId="747D330D">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w:t>
      </w:r>
    </w:p>
    <w:p w14:paraId="4F4A0492">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综合评分相等时，以投标报价低的优先；投标报价也相等的，由招标人自行确定。</w:t>
      </w:r>
    </w:p>
    <w:p w14:paraId="3980D769">
      <w:pPr>
        <w:pStyle w:val="34"/>
        <w:rPr>
          <w:rFonts w:hint="default" w:ascii="Times New Roman" w:hAnsi="Times New Roman" w:cs="Times New Roman"/>
          <w:color w:val="000000"/>
        </w:rPr>
      </w:pPr>
      <w:bookmarkStart w:id="241" w:name="_Toc10131"/>
      <w:bookmarkStart w:id="242" w:name="_Toc491075849"/>
      <w:r>
        <w:rPr>
          <w:rFonts w:hint="default" w:ascii="Times New Roman" w:hAnsi="Times New Roman" w:cs="Times New Roman"/>
          <w:color w:val="000000"/>
        </w:rPr>
        <w:t>2. 评审标准</w:t>
      </w:r>
      <w:bookmarkEnd w:id="241"/>
      <w:bookmarkEnd w:id="242"/>
    </w:p>
    <w:p w14:paraId="74E8876A">
      <w:pPr>
        <w:pStyle w:val="35"/>
        <w:rPr>
          <w:rFonts w:hint="default" w:ascii="Times New Roman" w:hAnsi="Times New Roman" w:cs="Times New Roman"/>
          <w:color w:val="000000"/>
        </w:rPr>
      </w:pPr>
      <w:r>
        <w:rPr>
          <w:rFonts w:hint="default" w:ascii="Times New Roman" w:hAnsi="Times New Roman" w:cs="Times New Roman"/>
          <w:color w:val="000000"/>
        </w:rPr>
        <w:t>2.1 初步评审标准</w:t>
      </w:r>
    </w:p>
    <w:p w14:paraId="2B27D52A">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2.1.1 形式评审标准：见评标办法前附表。</w:t>
      </w:r>
    </w:p>
    <w:p w14:paraId="44FC77EC">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2.1.2 资格评审标准：见评标办法前附表。</w:t>
      </w:r>
    </w:p>
    <w:p w14:paraId="3F40480C">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2.1.3 响应性评审标准：见评标办法前附表。</w:t>
      </w:r>
    </w:p>
    <w:p w14:paraId="2B26A71B">
      <w:pPr>
        <w:pStyle w:val="35"/>
        <w:rPr>
          <w:rFonts w:hint="default" w:ascii="Times New Roman" w:hAnsi="Times New Roman" w:cs="Times New Roman"/>
          <w:color w:val="000000"/>
        </w:rPr>
      </w:pPr>
      <w:r>
        <w:rPr>
          <w:rFonts w:hint="default" w:ascii="Times New Roman" w:hAnsi="Times New Roman" w:cs="Times New Roman"/>
          <w:color w:val="000000"/>
        </w:rPr>
        <w:t>2.2 分值构成与评分标准</w:t>
      </w:r>
    </w:p>
    <w:p w14:paraId="79DB2BB0">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2.2.1 分值构成</w:t>
      </w:r>
    </w:p>
    <w:p w14:paraId="26172F4D">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（1）投标报价：见评标办法前附表；</w:t>
      </w:r>
    </w:p>
    <w:p w14:paraId="6978752F">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（2）商务评审：见评标办法前附表；</w:t>
      </w:r>
    </w:p>
    <w:p w14:paraId="03A7B7A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（3）技术评审：见评标办法前附表；</w:t>
      </w:r>
    </w:p>
    <w:p w14:paraId="68467D4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（4）其他评审：见评标办法前附表。</w:t>
      </w:r>
    </w:p>
    <w:p w14:paraId="734B6E8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2.2.2 评分标准</w:t>
      </w:r>
    </w:p>
    <w:p w14:paraId="2C3C3E73">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（1）投标报价评分标准：见评标办法前附表；</w:t>
      </w:r>
    </w:p>
    <w:p w14:paraId="2D5BAADE">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（2）商务评审评分标准：见评标办法前附表；</w:t>
      </w:r>
    </w:p>
    <w:p w14:paraId="336A867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（3）技术评审评分标准：见评标办法前附表；</w:t>
      </w:r>
    </w:p>
    <w:p w14:paraId="4C13F29A">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（4）其他评审评分标准：见评标办法前附表。</w:t>
      </w:r>
    </w:p>
    <w:p w14:paraId="318FEDF9">
      <w:pPr>
        <w:pStyle w:val="34"/>
        <w:rPr>
          <w:rFonts w:hint="default" w:ascii="Times New Roman" w:hAnsi="Times New Roman" w:cs="Times New Roman"/>
          <w:color w:val="000000"/>
        </w:rPr>
      </w:pPr>
      <w:bookmarkStart w:id="243" w:name="_Toc9054"/>
      <w:bookmarkStart w:id="244" w:name="_Toc491075850"/>
      <w:r>
        <w:rPr>
          <w:rFonts w:hint="default" w:ascii="Times New Roman" w:hAnsi="Times New Roman" w:cs="Times New Roman"/>
          <w:color w:val="000000"/>
        </w:rPr>
        <w:t>3. 评标程序</w:t>
      </w:r>
      <w:bookmarkEnd w:id="243"/>
      <w:bookmarkEnd w:id="244"/>
    </w:p>
    <w:p w14:paraId="3454223B">
      <w:pPr>
        <w:pStyle w:val="35"/>
        <w:rPr>
          <w:rFonts w:hint="default" w:ascii="Times New Roman" w:hAnsi="Times New Roman" w:cs="Times New Roman"/>
          <w:color w:val="000000"/>
        </w:rPr>
      </w:pPr>
      <w:r>
        <w:rPr>
          <w:rFonts w:hint="default" w:ascii="Times New Roman" w:hAnsi="Times New Roman" w:cs="Times New Roman"/>
          <w:color w:val="000000"/>
        </w:rPr>
        <w:t>3.1 评标准备</w:t>
      </w:r>
    </w:p>
    <w:p w14:paraId="17BA9A7B">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3.1.1 评标委员会成员签到</w:t>
      </w:r>
    </w:p>
    <w:p w14:paraId="794F62F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评标委员会成员到达评标现场时应在签到表上签到以证明其出席。</w:t>
      </w:r>
    </w:p>
    <w:p w14:paraId="62F37AD8">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3.1.2 评标委员会的分工</w:t>
      </w:r>
    </w:p>
    <w:p w14:paraId="2E63C2C2">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由评标委员会首先推选一名评标委员会负责人，评标委员会负责人负责评标活动的组织领导工作，评标委员会负责人在与其他评标委员会成员具有同等表决权。</w:t>
      </w:r>
    </w:p>
    <w:p w14:paraId="167B5FB9">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3.1.3 熟悉文件资料</w:t>
      </w:r>
    </w:p>
    <w:p w14:paraId="3DF1C8B7">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3.1.3.1 评标委员会负责人应组织评标委员会成员认真研究招标文件，了解和熟悉招标目的、招标范围、主要合同条件、技术标准和要求、质量目标和履约期限要求，掌握评标标准和方法，熟悉评标流程。未在招标文件中规定的标准和方法不得作为评标的依据。</w:t>
      </w:r>
    </w:p>
    <w:p w14:paraId="7FB7DE32">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3.1.3.2 评标委员会成员在评标前应当了解招标工程概况及招标文件内容。招标人或其委托的招标代理机构应当向评标委员会提供评标所需的重要信息和相关数据资料，主要包括：</w:t>
      </w:r>
    </w:p>
    <w:p w14:paraId="25D9CE8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（一）招标文件；</w:t>
      </w:r>
    </w:p>
    <w:p w14:paraId="561C43E9">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（二）未在开标会上当场拒绝的投标文件；</w:t>
      </w:r>
    </w:p>
    <w:p w14:paraId="1020A36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（三）开标记录；</w:t>
      </w:r>
    </w:p>
    <w:p w14:paraId="5BB7A4E2">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（四）最高投标限价。</w:t>
      </w:r>
    </w:p>
    <w:p w14:paraId="5E24E539">
      <w:pPr>
        <w:pStyle w:val="35"/>
        <w:rPr>
          <w:rFonts w:hint="default" w:ascii="Times New Roman" w:hAnsi="Times New Roman" w:cs="Times New Roman"/>
          <w:color w:val="000000"/>
        </w:rPr>
      </w:pPr>
      <w:r>
        <w:rPr>
          <w:rFonts w:hint="default" w:ascii="Times New Roman" w:hAnsi="Times New Roman" w:cs="Times New Roman"/>
          <w:color w:val="000000"/>
        </w:rPr>
        <w:t>3.2 初步评审</w:t>
      </w:r>
    </w:p>
    <w:p w14:paraId="6AF59F90">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3.2.1评标委员会依据本章第2.1款规定的标准对投标文件进行初步评审。有一项不符合评审标准的，应当否决其投标。。</w:t>
      </w:r>
    </w:p>
    <w:p w14:paraId="00CBF0B9">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3.2.2 投标人有以下情形之一的，，评标委员会应当否决其投标：</w:t>
      </w:r>
    </w:p>
    <w:p w14:paraId="0537EC7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（1）第二章“投标人须知”第1.4.3项、第1.4.4项规定的任何一种情形的；</w:t>
      </w:r>
    </w:p>
    <w:p w14:paraId="0E2A260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（2）串通投标或弄虚作假或有其他违法行为的；</w:t>
      </w:r>
    </w:p>
    <w:p w14:paraId="64380E6E">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1）有下列情形之一的，视为投标人相互串通投标：</w:t>
      </w:r>
    </w:p>
    <w:p w14:paraId="120A8F1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① 不同投标人的投标文件由同一单位或者个人编制；</w:t>
      </w:r>
    </w:p>
    <w:p w14:paraId="08C8F9DF">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② 不同投标人委托同一单位或者个人办理投标事宜；</w:t>
      </w:r>
    </w:p>
    <w:p w14:paraId="54948653">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③ 不同投标人的投标文件载明的项目管理成员为同一人；</w:t>
      </w:r>
    </w:p>
    <w:p w14:paraId="218B37E3">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④ 不同投标人的投标文件异常一致或者投标报价呈规律性差异；</w:t>
      </w:r>
    </w:p>
    <w:p w14:paraId="4D6BD28A">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⑤ 不同投标人的投标文件相互混装；</w:t>
      </w:r>
    </w:p>
    <w:p w14:paraId="7EE0F672">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⑥ 不同投标人的投标保证金从同一单位或者个人的账户转出。</w:t>
      </w:r>
    </w:p>
    <w:p w14:paraId="175D96E7">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2）有下列情形之一的，属于弄虚作假行为：</w:t>
      </w:r>
    </w:p>
    <w:p w14:paraId="466EF4D3">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① 使用通过受让或者租借等方式获取的资格、资质证书投标的，即以他人名义投标的。</w:t>
      </w:r>
    </w:p>
    <w:p w14:paraId="13A45B03">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② 使用伪造、变造的许可证件；</w:t>
      </w:r>
    </w:p>
    <w:p w14:paraId="495CC725">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③ 提供虚假的财务状况或者业绩；</w:t>
      </w:r>
    </w:p>
    <w:p w14:paraId="4EC572C1">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④ 提供虚假的项目负责人或者主要技术人员简历、劳动关系证明；</w:t>
      </w:r>
    </w:p>
    <w:p w14:paraId="05DE6589">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⑤ 提供虚假的信用状况；</w:t>
      </w:r>
    </w:p>
    <w:p w14:paraId="05CC7CA0">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⑥ 其他弄虚作假的行为。</w:t>
      </w:r>
    </w:p>
    <w:p w14:paraId="5EB61897">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（3）不按评标委员会要求澄清、说明或补正的。</w:t>
      </w:r>
    </w:p>
    <w:p w14:paraId="26D9789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3.2.3投标报价有算术错误的，评标委员会按以下原则对投标报价进行修正，修正的价格经投标人书面确认后具有约束力。</w:t>
      </w:r>
    </w:p>
    <w:p w14:paraId="1CC29B4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（1）投标文件中的大写金额与小写金额不一致的，以大写金额为准；</w:t>
      </w:r>
    </w:p>
    <w:p w14:paraId="5CF2A8BE">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（2）总价金额与依据单价计算出的结果不一致的，以单价金额为准修正总价，但单价金额小数点有明显错误的除外。</w:t>
      </w:r>
    </w:p>
    <w:p w14:paraId="01F5BF8E">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投标人不接受修正价格的，或者修正后的投标报价超过最高投标限价的（如有），评标委员会应当否决其投标。</w:t>
      </w:r>
    </w:p>
    <w:p w14:paraId="1A89E1CD">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3.2.4 评标委员会发现投标人的报价明显低于其他投标报价，或者在设有最高投标限价时明显低于最高投标限价，使得其投标报价可能低于其个别成本的，应当要求该投标人作出书面说明并提供相应的证明材料。投标人不能合理说明或者不能提供相应证明材料的，由评标委员会认定该投标人以低于成本报价竞标，否决其投标。</w:t>
      </w:r>
    </w:p>
    <w:p w14:paraId="310E9E91">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3.2.5 评标委员会否决不合格投标后，因有效投标不足三个使得投标明显缺乏竞争的，评标委员会可以否决全部投标。</w:t>
      </w:r>
    </w:p>
    <w:p w14:paraId="0A90EE71">
      <w:pPr>
        <w:pStyle w:val="35"/>
        <w:rPr>
          <w:rFonts w:hint="default" w:ascii="Times New Roman" w:hAnsi="Times New Roman" w:cs="Times New Roman"/>
          <w:color w:val="000000"/>
        </w:rPr>
      </w:pPr>
      <w:r>
        <w:rPr>
          <w:rFonts w:hint="default" w:ascii="Times New Roman" w:hAnsi="Times New Roman" w:cs="Times New Roman"/>
          <w:color w:val="000000"/>
        </w:rPr>
        <w:t>3.3 详细评审</w:t>
      </w:r>
    </w:p>
    <w:p w14:paraId="6BD7DEFA">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3.3.1评标委员会对通过了初步评审的投标文件进行详细评审。</w:t>
      </w:r>
    </w:p>
    <w:p w14:paraId="5E2BFD0D">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3.3. 2 评标委员会按本章第2.2款规定的量化因素和分值进行打分，并计算出综合评估得分。</w:t>
      </w:r>
    </w:p>
    <w:p w14:paraId="028B4F4C">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（1）按本章第2.2.4（1）目规定的评审因素和分值对投标报价计算出得分A；</w:t>
      </w:r>
    </w:p>
    <w:p w14:paraId="4C8DFD61">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（2）按本章第2.2.4（2）目规定的评审因素和分值对商务评审计算出得分B；</w:t>
      </w:r>
    </w:p>
    <w:p w14:paraId="4B70AD57">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（3）按本章第2.2.4（3）目规定的评审因素和分值对技术评审计算出得分C；</w:t>
      </w:r>
    </w:p>
    <w:p w14:paraId="1B30863D">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（4）按本章第2.2.4（4）目规定的评审因素和分值对其他评审计算出得分D。</w:t>
      </w:r>
    </w:p>
    <w:p w14:paraId="1AA54BC1">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3.3. 3 评分分值计算保留小数点后两位，小数点后第三位“四舍五入”。</w:t>
      </w:r>
    </w:p>
    <w:p w14:paraId="14BB3D57">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3.3. 4 评标委员会成员对各投标人的综合评分为其各分项得分之和，即投标人得分=A+B+C+D。</w:t>
      </w:r>
    </w:p>
    <w:p w14:paraId="559FF367">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3.3.5 投标人的最终得分为所有评标委员会成员的综合评分中去掉一个最高分和一个最低分之后的算术平均值。</w:t>
      </w:r>
    </w:p>
    <w:p w14:paraId="60C249EF">
      <w:pPr>
        <w:pStyle w:val="35"/>
        <w:rPr>
          <w:rFonts w:hint="default" w:ascii="Times New Roman" w:hAnsi="Times New Roman" w:cs="Times New Roman"/>
          <w:color w:val="000000"/>
        </w:rPr>
      </w:pPr>
      <w:r>
        <w:rPr>
          <w:rFonts w:hint="default" w:ascii="Times New Roman" w:hAnsi="Times New Roman" w:cs="Times New Roman"/>
          <w:color w:val="000000"/>
        </w:rPr>
        <w:t>3.4 投标文件的澄清和补正</w:t>
      </w:r>
    </w:p>
    <w:p w14:paraId="675EF42B">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 xml:space="preserve">3.4.1 在评标过程中，评标委员会可以要求投标人在评标委员会规定的时间内对所提交投标文件中不明确的内容进行澄清或说明（附件七），或者对细微偏差进行补正。评标委员会不接受投标人主动提出的澄清、说明或补正。 </w:t>
      </w:r>
    </w:p>
    <w:p w14:paraId="272CEB99">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3.4.2 澄清、说明和补正不得改变投标文件的实质性内容（算术性错误修正的除外）。投标人的澄清、说明和补正（附件八）属于投标文件的组成部分。</w:t>
      </w:r>
    </w:p>
    <w:p w14:paraId="1C24257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3.4.3 评标委员会对投标人提交的澄清、说明或补正有疑问的，可以要求投标人进一步澄清、说明或补正，直至满足评标委员会的要求。</w:t>
      </w:r>
    </w:p>
    <w:p w14:paraId="78046667">
      <w:pPr>
        <w:pStyle w:val="35"/>
        <w:rPr>
          <w:rFonts w:hint="default" w:ascii="Times New Roman" w:hAnsi="Times New Roman" w:cs="Times New Roman"/>
          <w:color w:val="000000"/>
        </w:rPr>
      </w:pPr>
      <w:r>
        <w:rPr>
          <w:rFonts w:hint="default" w:ascii="Times New Roman" w:hAnsi="Times New Roman" w:cs="Times New Roman"/>
          <w:color w:val="000000"/>
        </w:rPr>
        <w:t>3.5 评标结果</w:t>
      </w:r>
    </w:p>
    <w:p w14:paraId="01D8D2EF">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3.5.1 除第二章“投标人须知”前附表授权直接确定中标人外，评标委员会按照得分由高到低的顺序推荐中标候选人。</w:t>
      </w:r>
    </w:p>
    <w:p w14:paraId="3FCD42B4">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3.5.2 招标文件允许多标段（包）投标、多标段（包）中标的，各标段（包）中标候选人的推荐按第二章“投标人须知” 第10.1款规定执行，对某些标段（包）由此产生的空缺由排序在后的投标人依次替补。</w:t>
      </w:r>
    </w:p>
    <w:p w14:paraId="3E303FC9">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3.5.3 评标委员会完成评标后，应当向招标人提交书面评标报告。</w:t>
      </w:r>
    </w:p>
    <w:p w14:paraId="325CC3B7">
      <w:pPr>
        <w:pStyle w:val="34"/>
        <w:rPr>
          <w:rFonts w:hint="default" w:ascii="Times New Roman" w:hAnsi="Times New Roman" w:cs="Times New Roman"/>
          <w:color w:val="000000"/>
        </w:rPr>
      </w:pPr>
      <w:bookmarkStart w:id="245" w:name="_Toc31994"/>
      <w:bookmarkStart w:id="246" w:name="_Toc491075851"/>
      <w:r>
        <w:rPr>
          <w:rFonts w:hint="default" w:ascii="Times New Roman" w:hAnsi="Times New Roman" w:cs="Times New Roman"/>
          <w:color w:val="000000"/>
        </w:rPr>
        <w:t>4. 特殊情况的处置程序</w:t>
      </w:r>
      <w:bookmarkEnd w:id="245"/>
      <w:bookmarkEnd w:id="246"/>
    </w:p>
    <w:p w14:paraId="18A13E01">
      <w:pPr>
        <w:pStyle w:val="35"/>
        <w:rPr>
          <w:rFonts w:hint="default" w:ascii="Times New Roman" w:hAnsi="Times New Roman" w:cs="Times New Roman"/>
          <w:color w:val="000000"/>
        </w:rPr>
      </w:pPr>
      <w:r>
        <w:rPr>
          <w:rFonts w:hint="default" w:ascii="Times New Roman" w:hAnsi="Times New Roman" w:cs="Times New Roman"/>
          <w:color w:val="000000"/>
        </w:rPr>
        <w:t>4.1 关于评标活动暂停</w:t>
      </w:r>
    </w:p>
    <w:p w14:paraId="1D8E0AD7">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4.1.1 评标委员会应当执行连续评标的原则，按评标办法中规定的程序、内容、方法、标准完成全部评标工作。只有发生不可抗力导致评标工作无法继续时，评标活动方可暂停。</w:t>
      </w:r>
    </w:p>
    <w:p w14:paraId="5C8FF83A">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4.1.2 发生评标暂停情况时，评标委员会应当封存全部投标文件和评标记录，待不可抗力的影响结束且具备继续评标的条件时，由原评标委员会继续评标。</w:t>
      </w:r>
    </w:p>
    <w:p w14:paraId="026DAC16">
      <w:pPr>
        <w:pStyle w:val="35"/>
        <w:rPr>
          <w:rFonts w:hint="default" w:ascii="Times New Roman" w:hAnsi="Times New Roman" w:cs="Times New Roman"/>
          <w:color w:val="000000"/>
        </w:rPr>
      </w:pPr>
      <w:r>
        <w:rPr>
          <w:rFonts w:hint="default" w:ascii="Times New Roman" w:hAnsi="Times New Roman" w:cs="Times New Roman"/>
          <w:color w:val="000000"/>
        </w:rPr>
        <w:t>4.2 关于评标中途更换评标委员会成员</w:t>
      </w:r>
    </w:p>
    <w:p w14:paraId="760348A3">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4.2.1 除非发生下列情况之一，评标委员会成员不得在评标中途更换：</w:t>
      </w:r>
    </w:p>
    <w:p w14:paraId="7B61F51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(1) 因不可抗拒的客观原因，不能到场或需在评标中途退出评标活动。</w:t>
      </w:r>
    </w:p>
    <w:p w14:paraId="0C87BFE6">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(2) 根据法律法规规定，某个或某几个评标委员会成员需要回避。</w:t>
      </w:r>
    </w:p>
    <w:p w14:paraId="04916D29">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4.2.2 退出评标的评标委员会成员，其已完成的评标行为无效。由招标人根据本招标文件规定的评标委员会成员产生方式另行确定替代者进行评标。</w:t>
      </w:r>
    </w:p>
    <w:p w14:paraId="744FD448">
      <w:pPr>
        <w:pStyle w:val="35"/>
        <w:rPr>
          <w:rFonts w:hint="default" w:ascii="Times New Roman" w:hAnsi="Times New Roman" w:cs="Times New Roman"/>
          <w:color w:val="000000"/>
        </w:rPr>
      </w:pPr>
      <w:r>
        <w:rPr>
          <w:rFonts w:hint="default" w:ascii="Times New Roman" w:hAnsi="Times New Roman" w:cs="Times New Roman"/>
          <w:color w:val="000000"/>
        </w:rPr>
        <w:t>4.3 评标争议处理</w:t>
      </w:r>
    </w:p>
    <w:p w14:paraId="6DA0BE3B">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4.3.1 评标委员会全体成员应独立评审，对所提出的评审意见承担个人责任。</w:t>
      </w:r>
    </w:p>
    <w:p w14:paraId="09FB8ACD">
      <w:pPr>
        <w:spacing w:line="400" w:lineRule="exact"/>
        <w:ind w:firstLine="482"/>
        <w:rPr>
          <w:rFonts w:hint="default" w:ascii="Times New Roman" w:hAnsi="Times New Roman" w:cs="Times New Roman"/>
          <w:color w:val="000000"/>
        </w:rPr>
      </w:pPr>
      <w:r>
        <w:rPr>
          <w:rFonts w:hint="default" w:ascii="Times New Roman" w:hAnsi="Times New Roman" w:cs="Times New Roman"/>
          <w:color w:val="000000"/>
        </w:rPr>
        <w:t>4.3.2 在任何评标环节中，需评标委员会就某项定性的评审结论做出表决的，由评标委员会全体成员按照少数服从多数的原则，以记名投票方式表决。表决不得违背法律、法规、规章和招标文件的规定。</w:t>
      </w:r>
    </w:p>
    <w:p w14:paraId="7717790D">
      <w:pPr>
        <w:spacing w:line="400" w:lineRule="exact"/>
        <w:ind w:firstLine="482"/>
        <w:rPr>
          <w:rFonts w:hint="default" w:ascii="Times New Roman" w:hAnsi="Times New Roman" w:cs="Times New Roman"/>
          <w:color w:val="000000"/>
        </w:rPr>
        <w:sectPr>
          <w:footerReference r:id="rId12" w:type="default"/>
          <w:pgSz w:w="11907" w:h="16840"/>
          <w:pgMar w:top="1701" w:right="1531" w:bottom="1588" w:left="1474" w:header="851" w:footer="992" w:gutter="0"/>
          <w:cols w:space="720" w:num="1"/>
          <w:docGrid w:linePitch="312" w:charSpace="0"/>
        </w:sectPr>
      </w:pPr>
      <w:r>
        <w:rPr>
          <w:rFonts w:hint="default" w:ascii="Times New Roman" w:hAnsi="Times New Roman" w:cs="Times New Roman"/>
          <w:color w:val="000000"/>
        </w:rPr>
        <w:t>4.3.3 评标委员会成员对集体决议或评审结论持有异议的，可以书面阐述其不同意见和理由。拒绝在集体决议或评标报告上签名，且不陈述其不同意见和理由的，视为同意集体决议或评标结论，评标委员会应当对此在评标报告中做出说明。</w:t>
      </w:r>
    </w:p>
    <w:p w14:paraId="0EE0E7B6">
      <w:pPr>
        <w:pStyle w:val="26"/>
        <w:keepNext w:val="0"/>
        <w:keepLines w:val="0"/>
        <w:pageBreakBefore/>
        <w:widowControl/>
        <w:numPr>
          <w:ilvl w:val="0"/>
          <w:numId w:val="4"/>
        </w:numPr>
        <w:spacing w:before="0" w:after="0" w:line="540" w:lineRule="exact"/>
        <w:ind w:firstLine="482"/>
        <w:rPr>
          <w:rFonts w:hint="default" w:ascii="Times New Roman" w:hAnsi="Times New Roman" w:cs="Times New Roman"/>
          <w:color w:val="000000"/>
        </w:rPr>
      </w:pPr>
      <w:r>
        <w:rPr>
          <w:rFonts w:hint="default" w:ascii="Times New Roman" w:hAnsi="Times New Roman" w:cs="Times New Roman"/>
          <w:color w:val="000000"/>
        </w:rPr>
        <w:t xml:space="preserve"> 合同条款及格式</w:t>
      </w:r>
    </w:p>
    <w:p w14:paraId="06BB37D5">
      <w:pPr>
        <w:keepNext/>
        <w:keepLines/>
        <w:widowControl w:val="0"/>
        <w:spacing w:before="200" w:after="200" w:line="360" w:lineRule="auto"/>
        <w:jc w:val="center"/>
        <w:outlineLvl w:val="0"/>
        <w:rPr>
          <w:rFonts w:hint="default" w:ascii="Times New Roman" w:hAnsi="Times New Roman" w:eastAsia="黑体" w:cs="Times New Roman"/>
          <w:bCs/>
          <w:sz w:val="28"/>
          <w:szCs w:val="24"/>
        </w:rPr>
      </w:pPr>
      <w:bookmarkStart w:id="247" w:name="_Toc20186"/>
      <w:bookmarkStart w:id="248" w:name="_Toc238552261"/>
      <w:bookmarkStart w:id="249" w:name="_Toc238797616"/>
      <w:bookmarkStart w:id="250" w:name="_Toc243475831"/>
      <w:bookmarkStart w:id="251" w:name="_Toc1525"/>
      <w:bookmarkStart w:id="252" w:name="_Toc179632628"/>
      <w:r>
        <w:rPr>
          <w:rFonts w:hint="default" w:ascii="Times New Roman" w:hAnsi="Times New Roman" w:eastAsia="黑体" w:cs="Times New Roman"/>
          <w:bCs/>
          <w:kern w:val="2"/>
          <w:sz w:val="32"/>
          <w:szCs w:val="32"/>
          <w:lang w:val="en-US" w:eastAsia="zh-CN" w:bidi="ar-SA"/>
        </w:rPr>
        <w:t>第一节 通用合同条款</w:t>
      </w:r>
      <w:bookmarkEnd w:id="247"/>
      <w:bookmarkEnd w:id="248"/>
      <w:bookmarkEnd w:id="249"/>
      <w:bookmarkEnd w:id="250"/>
      <w:bookmarkEnd w:id="251"/>
      <w:bookmarkEnd w:id="252"/>
      <w:bookmarkStart w:id="253" w:name="_Toc238552262"/>
    </w:p>
    <w:bookmarkEnd w:id="253"/>
    <w:p w14:paraId="6CD67934">
      <w:pPr>
        <w:keepNext/>
        <w:keepLines/>
        <w:spacing w:line="400" w:lineRule="atLeast"/>
        <w:jc w:val="both"/>
        <w:outlineLvl w:val="1"/>
        <w:rPr>
          <w:rFonts w:ascii="Times New Roman" w:hAnsi="Times New Roman" w:eastAsia="黑体"/>
          <w:b/>
          <w:bCs/>
          <w:sz w:val="28"/>
          <w:szCs w:val="28"/>
        </w:rPr>
      </w:pPr>
      <w:bookmarkStart w:id="254" w:name="_Toc63255701"/>
      <w:bookmarkStart w:id="255" w:name="_Toc138951365"/>
      <w:bookmarkStart w:id="256" w:name="_Toc11506"/>
      <w:r>
        <w:rPr>
          <w:rFonts w:ascii="Times New Roman" w:hAnsi="Times New Roman" w:eastAsia="黑体"/>
          <w:b/>
          <w:bCs/>
          <w:sz w:val="28"/>
          <w:szCs w:val="28"/>
        </w:rPr>
        <w:t>1. 一般约定</w:t>
      </w:r>
      <w:bookmarkEnd w:id="254"/>
      <w:bookmarkEnd w:id="255"/>
    </w:p>
    <w:p w14:paraId="378CF881">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 词语定义</w:t>
      </w:r>
    </w:p>
    <w:p w14:paraId="6048115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通用合同条款、专用合同条款中的下列词语应具有本款所赋予的含义。</w:t>
      </w:r>
    </w:p>
    <w:p w14:paraId="1C37675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1.1.1 合同</w:t>
      </w:r>
    </w:p>
    <w:p w14:paraId="4F3EADB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1.1.1.1 合同文件(或称合同)：指合同协议书、中标通知书、投标函及投标函附录、专用合同条款、通用合同条款、发包人要求、价格清单、承包人建议书，以及其他构成合同组成部分的文件。</w:t>
      </w:r>
    </w:p>
    <w:p w14:paraId="6F2E035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1.1.1.2 合同协议书：指第1.5 款所指的合同协议书。</w:t>
      </w:r>
    </w:p>
    <w:p w14:paraId="7B49E4E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1.1.1.3 中标通知书：指发包人通知承包人中标的函件。中标通知书随附的澄清、说明、补正事项纪要等，是中标通知书的组成部分。</w:t>
      </w:r>
    </w:p>
    <w:p w14:paraId="7260EA0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1.1.1.4 投标函：指构成合同文件组成部分的由承包人填写并签署的投标函。</w:t>
      </w:r>
    </w:p>
    <w:p w14:paraId="3A91D1F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1.1.1.5 投标函附录：指附在投标函后构成合同文件的投标函附录。</w:t>
      </w:r>
    </w:p>
    <w:p w14:paraId="1060396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1.1.1.6 发包人要求：指构成合同文件组成部分的名为发包人要求的文件，包括招标项目的目的、范围、设计与其他技术标准和要求，以及合同双方当事人约定对其所作的修改或补充。</w:t>
      </w:r>
    </w:p>
    <w:p w14:paraId="0E5826F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1.1.1.7 价格清单：指构成合同文件组成部分的由承包人按规定的格式和要求填写并标明价格的清单。</w:t>
      </w:r>
    </w:p>
    <w:p w14:paraId="522359C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1.1.1.8承包人建议书：指构成合同文件组成部分的名为承包人建议书的文件。承包人建议书由承包人随投标函一起提交。承包人建议书应包括承包人的设计图纸及相应说明等设计文件。</w:t>
      </w:r>
    </w:p>
    <w:p w14:paraId="6443FF5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1.1.1.9 其他合同文件：指经合同双方当事人确认构成合同文件的其他文件。</w:t>
      </w:r>
    </w:p>
    <w:p w14:paraId="2A7BDA5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1.1.2 合同当事人和人员</w:t>
      </w:r>
    </w:p>
    <w:p w14:paraId="3C2AF85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1.1.2.1 合同当事人：指发包人和(或)承包人。</w:t>
      </w:r>
    </w:p>
    <w:p w14:paraId="32B5D72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1.1.2.2 发包人：指专用合同条款中指明并与承包人在合同协议书中签字的当事人。</w:t>
      </w:r>
    </w:p>
    <w:p w14:paraId="2C579A7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1.1.2.3 承包人：指与发包人签订合同协议书的当事人。</w:t>
      </w:r>
    </w:p>
    <w:p w14:paraId="2C8E22C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1.1.2.4 承包人项目负责人：指承包人指定代表承包人履行义务的负责人。</w:t>
      </w:r>
    </w:p>
    <w:p w14:paraId="44CE165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1.1.2.5 勘察设计负责人：指承包人指定负责组织指导协调勘察设计工作并具有相应资格的人员。</w:t>
      </w:r>
    </w:p>
    <w:p w14:paraId="2AE63E0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1.1.2.6 施工负责人：指承包人指定负责组织指导协调施工工作并具有相应资格的人员。</w:t>
      </w:r>
    </w:p>
    <w:p w14:paraId="1890032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1.1.2.7 采购负责人：指承包人指定负责组织指导协调采购工作的人员。</w:t>
      </w:r>
    </w:p>
    <w:p w14:paraId="71A7240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1.1.2.8 分包人：指从承包人处分包合同中某一部分工作，并与其签订分包合同的分包人。</w:t>
      </w:r>
    </w:p>
    <w:p w14:paraId="6555A84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1.1.2.9 监理人：指在专用合同条款中指明的，受发包人委托对合同履行实施管理的法人或其他组织。属于国家强制监理的，监理人应当具有相应的监理资质。</w:t>
      </w:r>
    </w:p>
    <w:p w14:paraId="734FCE1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1.1.2.10 总监理工程师：指由监理人委派对合同履行实施管理的全权负责人。</w:t>
      </w:r>
    </w:p>
    <w:p w14:paraId="50FE109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1.1.3 工程和设备</w:t>
      </w:r>
    </w:p>
    <w:p w14:paraId="035D757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1.1.3.1 工程：指永久工程和(或)临时工程。</w:t>
      </w:r>
    </w:p>
    <w:p w14:paraId="0FB26E1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1.1.3.2 永久工程：指按合同约定建造并移交给发包人的工程，包括工程设备。</w:t>
      </w:r>
    </w:p>
    <w:p w14:paraId="001D88C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1.1.3.3 临时工程：指为完成合同约定的永久工程所修建的各类临时性工程，不包括施工设备。</w:t>
      </w:r>
    </w:p>
    <w:p w14:paraId="08E95A5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1.1.3.4 区段工程：指专用合同条款中指明特定范围的能单独接收并使用的永久工程。</w:t>
      </w:r>
    </w:p>
    <w:p w14:paraId="13FD6D4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1.1.3.5 工程设备：指构成或计划构成永久工程的机电设备、仪器装置、运载工具及其他类似的设备和装置。</w:t>
      </w:r>
    </w:p>
    <w:p w14:paraId="73F6E78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1.1.3.6 施工设备：指为完成合同约定的各项工作所需的设备、器具和其他物品，不包括临时工程和材料。</w:t>
      </w:r>
    </w:p>
    <w:p w14:paraId="15EC546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1.1.3.7 临时设施：指为完成合同约定的各项工作所服务的临时性生产和生活设施。</w:t>
      </w:r>
    </w:p>
    <w:p w14:paraId="48B60F5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1.1.3.8 承包人设备：指承包人为工程实施提供的施工设备。</w:t>
      </w:r>
    </w:p>
    <w:p w14:paraId="2AA1EA6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1.1.3.9 施工场地(或称工地、现场)：指用于合同工程施工的场所，以及在合同中指定作为施工场地组成部分的其他场所，包括永久占地和临时占地。</w:t>
      </w:r>
    </w:p>
    <w:p w14:paraId="2479DC5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1.1.3.10 永久占地：指专用合同条款中指明为实施合同工程需永久占用的土地。</w:t>
      </w:r>
    </w:p>
    <w:p w14:paraId="55247C0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1.1.3.11 临时占地：指专用合同条款中指明为实施合同工程需临时占用的土地。</w:t>
      </w:r>
    </w:p>
    <w:p w14:paraId="7967A6F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1.1.4 日期、检验和竣工</w:t>
      </w:r>
    </w:p>
    <w:p w14:paraId="1E21143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1.1.4.1 开始工作通知：指监理人按第11.1 款通知承包人开始工作的函件。</w:t>
      </w:r>
    </w:p>
    <w:p w14:paraId="2092958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1.1.4.2 开始工作日期：指监理人按第11.1款发出的开始工作通知中写明的开始工作日期。</w:t>
      </w:r>
    </w:p>
    <w:p w14:paraId="561C4B5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1.1.4.3 工期：指承包人在投标函中承诺的完成合同工作所需的期限，包括按第11.3款、第11.4款和第11.6款约定所作的变更。</w:t>
      </w:r>
    </w:p>
    <w:p w14:paraId="34D4DA7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1.1.4.4 竣工日期：指第1.1.4.3目约定工期届满时的日期。实际竣工日期以工程接收证书中写明的日期为准。</w:t>
      </w:r>
    </w:p>
    <w:p w14:paraId="15570BA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1.1.4.5 缺陷责任期：指履行第19.2款约定的缺陷责任的期限，具体期限在发包人要求中明确的包括根据第19.3 款约定所作的延长。</w:t>
      </w:r>
    </w:p>
    <w:p w14:paraId="262B41D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1.1.4.6 基准日期：指投标截止之日前28天的日期。</w:t>
      </w:r>
    </w:p>
    <w:p w14:paraId="0F93BD3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1.1.4.7 天：除特别指明外，指日历天。合同中按天计算时间的，开始当天不计入，从次日开始计算。期限最后一天的截止时间为当天24:00。</w:t>
      </w:r>
    </w:p>
    <w:p w14:paraId="692E98B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1.1.4.8 竣工试验：是指在工程竣工验收前，根据第18.1款要求进行的试验。</w:t>
      </w:r>
    </w:p>
    <w:p w14:paraId="29C6ECB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1.1.4.9 竣工验收：是指承包人完成了全部合同工作后，发包人按合同要求进行的验收。</w:t>
      </w:r>
    </w:p>
    <w:p w14:paraId="550361B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1.1.4.10 竣工后试验：是指在工程竣工验收后，根据第18.9款约定进行的试验。</w:t>
      </w:r>
    </w:p>
    <w:p w14:paraId="60BE091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1.1.4.11国家验收：是指政府有关部门根据法律、规范、规程和政策要求，针对发包人全面组织实施的整个工程正式交付投运前的验收。</w:t>
      </w:r>
    </w:p>
    <w:p w14:paraId="61F3178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1.1.5 合同价格和费用</w:t>
      </w:r>
    </w:p>
    <w:p w14:paraId="07BF41D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1.1.5.1 签约合同价：指中标通知书明确的并在签定合同时于合同协议书中写明的，包括了暂列金额、暂估价的合同总金额。</w:t>
      </w:r>
    </w:p>
    <w:p w14:paraId="444395D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1.1.5.2 合同价格：指承包人按合同约定完成了包括缺陷责任期内的全部承包工作后，发包人应付给承包人的金额，包括在履行合同过程中按合同约定进行的变更和调整。</w:t>
      </w:r>
    </w:p>
    <w:p w14:paraId="6EF61C9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1.1.5.3 费用：指为履行合同所发生的或将要发生的所有合理开支，包括管理费和应分摊的其他费用，但不包括利润。</w:t>
      </w:r>
    </w:p>
    <w:p w14:paraId="1597942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1.1.5.4 暂列金额：指招标文件中给定的，用于在签订协议书时尚未确定或不可预见变更的设计、施工及其所需材料、工程设备、服务等的金额，包括以计日工方式支付的金额。</w:t>
      </w:r>
    </w:p>
    <w:p w14:paraId="52740DC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1.1.5.5 暂估价：指招标文件中给定的，用于支付必然发生但暂时不能确定价格的专业服务、材料、设备专业工程的金额。</w:t>
      </w:r>
    </w:p>
    <w:p w14:paraId="6DC861C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1.1.5.6 计日工：指对零星工作采取的一种计价方式，按合同中的计日工子目及其单价计价付款。</w:t>
      </w:r>
    </w:p>
    <w:p w14:paraId="4E15C7F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1.1.5.7 质量保证金：指按第17.4.1项约定用于保证在缺陷责任期内履行缺陷修复义务的金额。</w:t>
      </w:r>
    </w:p>
    <w:p w14:paraId="0AED03D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1.1.6 其他</w:t>
      </w:r>
    </w:p>
    <w:p w14:paraId="470417D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1.1.6.1 书面形式：指合同文件、信函、电报、传真、数据电文、电子邮件、会议纪要等可以有形地表现所载内容的形式。</w:t>
      </w:r>
    </w:p>
    <w:p w14:paraId="329D114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1.1.6.2 承包人文件：指由承包人根据合同应提交的所有图纸、手册、模型、计算书、软件和其他文件。</w:t>
      </w:r>
    </w:p>
    <w:p w14:paraId="613B342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1.1.6.3 变更是指根据第15条的约定，经指示或批准对发包人要求或工程所做的改变。</w:t>
      </w:r>
    </w:p>
    <w:p w14:paraId="1B016438">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1.2 语言文字</w:t>
      </w:r>
    </w:p>
    <w:p w14:paraId="6D6EE62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合同使用的语言文字为中文。专用术语使用外文的，应附有中文注释。</w:t>
      </w:r>
    </w:p>
    <w:p w14:paraId="383AE4E1">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1.3 法律</w:t>
      </w:r>
    </w:p>
    <w:p w14:paraId="1B64BB0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适用于合同的法律包括中华人民共和国法律、行政法规、部门规章，以及工程所在地的地方法规、自治条例、单行条例和地方政府规章。</w:t>
      </w:r>
    </w:p>
    <w:p w14:paraId="4B2DB27A">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1.4 合同文件的优先顺序</w:t>
      </w:r>
    </w:p>
    <w:p w14:paraId="1EF93AE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组成合同的各项文件应互相解释，互为说明。除专用合同条款另有约定外，解释合同文件的优先顺序如下：</w:t>
      </w:r>
    </w:p>
    <w:p w14:paraId="3C9AE115">
      <w:pPr>
        <w:spacing w:line="400" w:lineRule="exact"/>
        <w:ind w:firstLine="420"/>
        <w:rPr>
          <w:rFonts w:ascii="Times New Roman" w:hAnsi="Times New Roman" w:eastAsia="宋体"/>
          <w:sz w:val="28"/>
          <w:szCs w:val="28"/>
        </w:rPr>
      </w:pPr>
      <w:r>
        <w:rPr>
          <w:rFonts w:ascii="Times New Roman" w:hAnsi="Times New Roman" w:eastAsia="宋体"/>
          <w:sz w:val="28"/>
          <w:szCs w:val="28"/>
        </w:rPr>
        <w:t>(1)合同协议书；</w:t>
      </w:r>
    </w:p>
    <w:p w14:paraId="28CE0D49">
      <w:pPr>
        <w:spacing w:line="400" w:lineRule="exact"/>
        <w:ind w:firstLine="420"/>
        <w:rPr>
          <w:rFonts w:ascii="Times New Roman" w:hAnsi="Times New Roman" w:eastAsia="宋体"/>
          <w:sz w:val="28"/>
          <w:szCs w:val="28"/>
        </w:rPr>
      </w:pPr>
      <w:r>
        <w:rPr>
          <w:rFonts w:ascii="Times New Roman" w:hAnsi="Times New Roman" w:eastAsia="宋体"/>
          <w:sz w:val="28"/>
          <w:szCs w:val="28"/>
        </w:rPr>
        <w:t>(2)中标通知书；</w:t>
      </w:r>
    </w:p>
    <w:p w14:paraId="1FABFA9D">
      <w:pPr>
        <w:spacing w:line="400" w:lineRule="exact"/>
        <w:ind w:firstLine="420"/>
        <w:rPr>
          <w:rFonts w:ascii="Times New Roman" w:hAnsi="Times New Roman" w:eastAsia="宋体"/>
          <w:sz w:val="28"/>
          <w:szCs w:val="28"/>
        </w:rPr>
      </w:pPr>
      <w:r>
        <w:rPr>
          <w:rFonts w:ascii="Times New Roman" w:hAnsi="Times New Roman" w:eastAsia="宋体"/>
          <w:sz w:val="28"/>
          <w:szCs w:val="28"/>
        </w:rPr>
        <w:t>(3)投标函及投标函附录；</w:t>
      </w:r>
    </w:p>
    <w:p w14:paraId="78670D20">
      <w:pPr>
        <w:spacing w:line="400" w:lineRule="exact"/>
        <w:ind w:firstLine="420"/>
        <w:rPr>
          <w:rFonts w:ascii="Times New Roman" w:hAnsi="Times New Roman" w:eastAsia="宋体"/>
          <w:sz w:val="28"/>
          <w:szCs w:val="28"/>
        </w:rPr>
      </w:pPr>
      <w:r>
        <w:rPr>
          <w:rFonts w:ascii="Times New Roman" w:hAnsi="Times New Roman" w:eastAsia="宋体"/>
          <w:sz w:val="28"/>
          <w:szCs w:val="28"/>
        </w:rPr>
        <w:t>(4)专用合同条款；</w:t>
      </w:r>
    </w:p>
    <w:p w14:paraId="76C27CD6">
      <w:pPr>
        <w:spacing w:line="400" w:lineRule="exact"/>
        <w:ind w:firstLine="420"/>
        <w:rPr>
          <w:rFonts w:ascii="Times New Roman" w:hAnsi="Times New Roman" w:eastAsia="宋体"/>
          <w:sz w:val="28"/>
          <w:szCs w:val="28"/>
        </w:rPr>
      </w:pPr>
      <w:r>
        <w:rPr>
          <w:rFonts w:ascii="Times New Roman" w:hAnsi="Times New Roman" w:eastAsia="宋体"/>
          <w:sz w:val="28"/>
          <w:szCs w:val="28"/>
        </w:rPr>
        <w:t>(5)通用合同条款；</w:t>
      </w:r>
    </w:p>
    <w:p w14:paraId="300C2A5D">
      <w:pPr>
        <w:spacing w:line="400" w:lineRule="exact"/>
        <w:ind w:firstLine="420"/>
        <w:rPr>
          <w:rFonts w:ascii="Times New Roman" w:hAnsi="Times New Roman" w:eastAsia="宋体"/>
          <w:sz w:val="28"/>
          <w:szCs w:val="28"/>
        </w:rPr>
      </w:pPr>
      <w:r>
        <w:rPr>
          <w:rFonts w:ascii="Times New Roman" w:hAnsi="Times New Roman" w:eastAsia="宋体"/>
          <w:sz w:val="28"/>
          <w:szCs w:val="28"/>
        </w:rPr>
        <w:t>(6)发包人要求；</w:t>
      </w:r>
    </w:p>
    <w:p w14:paraId="263A5DC5">
      <w:pPr>
        <w:spacing w:line="400" w:lineRule="exact"/>
        <w:ind w:firstLine="420"/>
        <w:rPr>
          <w:rFonts w:ascii="Times New Roman" w:hAnsi="Times New Roman" w:eastAsia="宋体"/>
          <w:sz w:val="28"/>
          <w:szCs w:val="28"/>
        </w:rPr>
      </w:pPr>
      <w:r>
        <w:rPr>
          <w:rFonts w:ascii="Times New Roman" w:hAnsi="Times New Roman" w:eastAsia="宋体"/>
          <w:sz w:val="28"/>
          <w:szCs w:val="28"/>
        </w:rPr>
        <w:t xml:space="preserve">(7)承包人建议书； </w:t>
      </w:r>
    </w:p>
    <w:p w14:paraId="2347F570">
      <w:pPr>
        <w:spacing w:line="400" w:lineRule="exact"/>
        <w:ind w:firstLine="420"/>
        <w:rPr>
          <w:rFonts w:ascii="Times New Roman" w:hAnsi="Times New Roman" w:eastAsia="宋体"/>
          <w:sz w:val="28"/>
          <w:szCs w:val="28"/>
        </w:rPr>
      </w:pPr>
      <w:r>
        <w:rPr>
          <w:rFonts w:ascii="Times New Roman" w:hAnsi="Times New Roman" w:eastAsia="宋体"/>
          <w:sz w:val="28"/>
          <w:szCs w:val="28"/>
        </w:rPr>
        <w:t>(8)价格清单；</w:t>
      </w:r>
    </w:p>
    <w:p w14:paraId="7A1FF53D">
      <w:pPr>
        <w:spacing w:line="400" w:lineRule="exact"/>
        <w:ind w:firstLine="420"/>
        <w:rPr>
          <w:rFonts w:ascii="Times New Roman" w:hAnsi="Times New Roman" w:eastAsia="宋体"/>
          <w:sz w:val="28"/>
          <w:szCs w:val="28"/>
        </w:rPr>
      </w:pPr>
      <w:r>
        <w:rPr>
          <w:rFonts w:ascii="Times New Roman" w:hAnsi="Times New Roman" w:eastAsia="宋体"/>
          <w:sz w:val="28"/>
          <w:szCs w:val="28"/>
        </w:rPr>
        <w:t>(9)其他合同文件。</w:t>
      </w:r>
    </w:p>
    <w:p w14:paraId="547D1A4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1.5 合同协议书</w:t>
      </w:r>
    </w:p>
    <w:p w14:paraId="3D7457E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承包人按中标通知书规定的时间与发包人签订合同协议书。除法律另有规定或合同另有约定外，发包人和承包人的法定代表人或其委托代理人在合同协议书上签字并盖单位章后，合同生效。</w:t>
      </w:r>
    </w:p>
    <w:p w14:paraId="163A6E42">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1.6 文件的提供和照管</w:t>
      </w:r>
    </w:p>
    <w:p w14:paraId="3C1A30A0">
      <w:pPr>
        <w:spacing w:line="400" w:lineRule="exact"/>
        <w:rPr>
          <w:rFonts w:ascii="Times New Roman" w:hAnsi="Times New Roman" w:eastAsia="宋体"/>
          <w:sz w:val="28"/>
          <w:szCs w:val="28"/>
        </w:rPr>
      </w:pPr>
      <w:r>
        <w:rPr>
          <w:rFonts w:ascii="Times New Roman" w:hAnsi="Times New Roman" w:eastAsia="宋体"/>
          <w:sz w:val="28"/>
          <w:szCs w:val="28"/>
        </w:rPr>
        <w:t xml:space="preserve">    1.6.1 承包人文件的提供</w:t>
      </w:r>
    </w:p>
    <w:p w14:paraId="5129F42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专用合同条款另有约定外，承包人应在合理的期限内按照合同约定的数量向监理人提供承包人文件。合同约定承包人文件应批准的，监理人应当在合同约定的期限内批复。承包人的设计文件的提供和审查按第5.3款和第5.5款的约定执行。</w:t>
      </w:r>
    </w:p>
    <w:p w14:paraId="2FAF945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1.6.2 发包人提供的文件</w:t>
      </w:r>
    </w:p>
    <w:p w14:paraId="487403C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按专用合同条款约定由发包人提供的文件，包括前期工作相关文件、环境保护、气象水文、地质条件等，发包人应按约定的数量和期限交给承包人。由于发包人未按时提供文件造成工期延误的，按第11.3款约定执行。</w:t>
      </w:r>
    </w:p>
    <w:p w14:paraId="300E276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1.6.3 文件错误的通知</w:t>
      </w:r>
    </w:p>
    <w:p w14:paraId="35417DC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任何一方发现了文件中存在的明显错误或疏忽，应及时通知另一方。</w:t>
      </w:r>
    </w:p>
    <w:p w14:paraId="13DE351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1.6.4 文件的照管</w:t>
      </w:r>
    </w:p>
    <w:p w14:paraId="25D4981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承包人应在现场保留一份合同、发包人要求中列出的所有文件、承包人文件、变更以及其它根据合同收发的往来信函。发包人有权在任何合理的时间查阅和使用上述所有文件。</w:t>
      </w:r>
    </w:p>
    <w:p w14:paraId="609582B1">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1.7 联络</w:t>
      </w:r>
    </w:p>
    <w:p w14:paraId="7CCAC4C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1.7.1 与合同有关的通知、批准、证明、证书、指示、要求、请求、同意、意见、确定和决定等，均应采用书面形式。</w:t>
      </w:r>
    </w:p>
    <w:p w14:paraId="37427E2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1.7.2 第1.7.1 项中的通知、批准、证明、证书、指示、要求、请求、同意、意见、确定和决定等来往函件，均应在合同约定的期限内送达指定的地点和指定的接收人，并办理签收手续。</w:t>
      </w:r>
    </w:p>
    <w:p w14:paraId="4F7787D9">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1.8 转让</w:t>
      </w:r>
    </w:p>
    <w:p w14:paraId="0AD6B5A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合同另有约定外，未经承包人同意，发包人不得将合同权利全部或部分转让给第三人，也不得全部或部分转让合同义务。承包人不得将合同权利和义务全部转让给第三人，也不得将合同的义务全部或部分转让给第三人，法律另有规定的除外。</w:t>
      </w:r>
    </w:p>
    <w:p w14:paraId="439C68DC">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1.9 严禁贿赂</w:t>
      </w:r>
    </w:p>
    <w:p w14:paraId="5C3EAF7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合同双方当事人不得以贿赂或变相贿赂的方式，谋取不当利益或损害对方权益。因贿赂造成对方损失的，行为人应赔偿损失，并承担相应的法律责任。</w:t>
      </w:r>
    </w:p>
    <w:p w14:paraId="1DA68886">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1.10 化石、文物</w:t>
      </w:r>
    </w:p>
    <w:p w14:paraId="6CD62F2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和发包人。发包人、监理人和承包人应按文物行政部门要求采取妥善保护措施，由此导致费用增加和(或)工期延误由发包人承担。</w:t>
      </w:r>
    </w:p>
    <w:p w14:paraId="430037E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1.10.2 承包人发现文物后不及时报告或隐瞒不报，致使文物丢失或损坏的，应赔偿损失，并承担相应的法律责任。</w:t>
      </w:r>
    </w:p>
    <w:p w14:paraId="2B20FDE3">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1.11 知识产权</w:t>
      </w:r>
    </w:p>
    <w:p w14:paraId="1D5EAF4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1.11.1除专用合同条款另有约定外，承包人完成的设计工作成果和建造完成的建筑物，除署名权以外的著作权以及建筑物形象使用收益等其他知识产权均归发包人享有。</w:t>
      </w:r>
    </w:p>
    <w:p w14:paraId="59BF58B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1.11.2 承包人在进行设计，以及使用任何材料、承包人设备、工程设备或采用施工工艺时，因侵犯专利权或其他知识产权所引起的责任，由承包人承担。</w:t>
      </w:r>
    </w:p>
    <w:p w14:paraId="4E8A0D8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1.11.3 承包人在投标文件中采用专利技术的，专利技术的使用费包含在投标报价内。</w:t>
      </w:r>
    </w:p>
    <w:p w14:paraId="5A8DAC73">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1.12 文件及信息的保密</w:t>
      </w:r>
    </w:p>
    <w:p w14:paraId="2918D15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未经对方同意，任何一方当事人不得将有关文件、技术秘密、需要保密的资料和信息泄露给他人或公开发表与引用。</w:t>
      </w:r>
    </w:p>
    <w:p w14:paraId="0F7A3BC7">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1.13 发包人要求中的错误(A)</w:t>
      </w:r>
    </w:p>
    <w:p w14:paraId="39530607">
      <w:pPr>
        <w:spacing w:line="400" w:lineRule="exact"/>
        <w:ind w:firstLine="420"/>
        <w:rPr>
          <w:rFonts w:ascii="Times New Roman" w:hAnsi="Times New Roman" w:eastAsia="宋体"/>
          <w:sz w:val="28"/>
          <w:szCs w:val="28"/>
        </w:rPr>
      </w:pPr>
      <w:r>
        <w:rPr>
          <w:rFonts w:ascii="Times New Roman" w:hAnsi="Times New Roman" w:eastAsia="宋体"/>
          <w:sz w:val="28"/>
          <w:szCs w:val="28"/>
        </w:rPr>
        <w:t>1.13.1承包人应认真阅读、复核发包人要求，发现错误的，应及时书面通知发包人。</w:t>
      </w:r>
    </w:p>
    <w:p w14:paraId="4022580E">
      <w:pPr>
        <w:spacing w:line="400" w:lineRule="exact"/>
        <w:ind w:firstLine="420"/>
        <w:rPr>
          <w:rFonts w:ascii="Times New Roman" w:hAnsi="Times New Roman" w:eastAsia="宋体"/>
          <w:sz w:val="28"/>
          <w:szCs w:val="28"/>
        </w:rPr>
      </w:pPr>
      <w:r>
        <w:rPr>
          <w:rFonts w:ascii="Times New Roman" w:hAnsi="Times New Roman" w:eastAsia="宋体"/>
          <w:sz w:val="28"/>
          <w:szCs w:val="28"/>
        </w:rPr>
        <w:t>1.13.2发包人要求中的错误导致承包人增加费用和(或)工期延误的，发包人应承担由此增加的费用和(或)工期延误，并向承包人支付合理利润。</w:t>
      </w:r>
    </w:p>
    <w:p w14:paraId="09B5B820">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1.13 发包人要求中的错误(B)</w:t>
      </w:r>
    </w:p>
    <w:p w14:paraId="1B95C32C">
      <w:pPr>
        <w:spacing w:line="400" w:lineRule="exact"/>
        <w:ind w:firstLine="420"/>
        <w:rPr>
          <w:rFonts w:ascii="Times New Roman" w:hAnsi="Times New Roman" w:eastAsia="宋体"/>
          <w:sz w:val="28"/>
          <w:szCs w:val="28"/>
        </w:rPr>
      </w:pPr>
      <w:r>
        <w:rPr>
          <w:rFonts w:ascii="Times New Roman" w:hAnsi="Times New Roman" w:eastAsia="宋体"/>
          <w:sz w:val="28"/>
          <w:szCs w:val="28"/>
        </w:rPr>
        <w:t>1.13.1 承包人应认真阅读、复核发包人要求，发现错误的，应及时书面通知发包人。发包人作相应修改的，按照第15条约定处理。对确实存在的错误，发包人坚持不作修改的，应承担由此导致承包人增加的费用和(或)延误的工期。</w:t>
      </w:r>
    </w:p>
    <w:p w14:paraId="6277FB56">
      <w:pPr>
        <w:spacing w:line="400" w:lineRule="exact"/>
        <w:ind w:firstLine="420"/>
        <w:rPr>
          <w:rFonts w:ascii="Times New Roman" w:hAnsi="Times New Roman" w:eastAsia="宋体"/>
          <w:sz w:val="28"/>
          <w:szCs w:val="28"/>
        </w:rPr>
      </w:pPr>
      <w:r>
        <w:rPr>
          <w:rFonts w:ascii="Times New Roman" w:hAnsi="Times New Roman" w:eastAsia="宋体"/>
          <w:sz w:val="28"/>
          <w:szCs w:val="28"/>
        </w:rPr>
        <w:t>1.13.2 承包人未发现发包人要求中存在错误的，承包人自行承担由此导致的费用增加和(或) 工期延误，但专用合同条款另有约定的除外。</w:t>
      </w:r>
    </w:p>
    <w:p w14:paraId="15FE4397">
      <w:pPr>
        <w:spacing w:line="400" w:lineRule="exact"/>
        <w:ind w:firstLine="420"/>
        <w:rPr>
          <w:rFonts w:ascii="Times New Roman" w:hAnsi="Times New Roman" w:eastAsia="宋体"/>
          <w:sz w:val="28"/>
          <w:szCs w:val="28"/>
        </w:rPr>
      </w:pPr>
      <w:r>
        <w:rPr>
          <w:rFonts w:ascii="Times New Roman" w:hAnsi="Times New Roman" w:eastAsia="宋体"/>
          <w:sz w:val="28"/>
          <w:szCs w:val="28"/>
        </w:rPr>
        <w:t>1.13.3 无论承包人发现与否，在任何情况下，发包人要求中的下列错误导致承包人增加的费用和(或)延误的工期，由发包人承担，并向承包人支付合理利润。</w:t>
      </w:r>
    </w:p>
    <w:p w14:paraId="224EC8D3">
      <w:pPr>
        <w:spacing w:line="400" w:lineRule="exact"/>
        <w:ind w:firstLine="420"/>
        <w:rPr>
          <w:rFonts w:ascii="Times New Roman" w:hAnsi="Times New Roman" w:eastAsia="宋体"/>
          <w:sz w:val="28"/>
          <w:szCs w:val="28"/>
        </w:rPr>
      </w:pPr>
      <w:r>
        <w:rPr>
          <w:rFonts w:ascii="Times New Roman" w:hAnsi="Times New Roman" w:eastAsia="宋体"/>
          <w:sz w:val="28"/>
          <w:szCs w:val="28"/>
        </w:rPr>
        <w:t>(1)发包人要求中引用的原始数据和资料；</w:t>
      </w:r>
    </w:p>
    <w:p w14:paraId="5BF44090">
      <w:pPr>
        <w:spacing w:line="400" w:lineRule="exact"/>
        <w:ind w:firstLine="420"/>
        <w:rPr>
          <w:rFonts w:ascii="Times New Roman" w:hAnsi="Times New Roman" w:eastAsia="宋体"/>
          <w:sz w:val="28"/>
          <w:szCs w:val="28"/>
        </w:rPr>
      </w:pPr>
      <w:r>
        <w:rPr>
          <w:rFonts w:ascii="Times New Roman" w:hAnsi="Times New Roman" w:eastAsia="宋体"/>
          <w:sz w:val="28"/>
          <w:szCs w:val="28"/>
        </w:rPr>
        <w:t>(2)对工程或其任何部分的功能要求；</w:t>
      </w:r>
    </w:p>
    <w:p w14:paraId="32B29DAA">
      <w:pPr>
        <w:spacing w:line="400" w:lineRule="exact"/>
        <w:ind w:firstLine="420"/>
        <w:rPr>
          <w:rFonts w:ascii="Times New Roman" w:hAnsi="Times New Roman" w:eastAsia="宋体"/>
          <w:sz w:val="28"/>
          <w:szCs w:val="28"/>
        </w:rPr>
      </w:pPr>
      <w:r>
        <w:rPr>
          <w:rFonts w:ascii="Times New Roman" w:hAnsi="Times New Roman" w:eastAsia="宋体"/>
          <w:sz w:val="28"/>
          <w:szCs w:val="28"/>
        </w:rPr>
        <w:t>(3)对工程的工艺安排或要求；</w:t>
      </w:r>
    </w:p>
    <w:p w14:paraId="26BDE501">
      <w:pPr>
        <w:spacing w:line="400" w:lineRule="exact"/>
        <w:ind w:firstLine="420"/>
        <w:rPr>
          <w:rFonts w:ascii="Times New Roman" w:hAnsi="Times New Roman" w:eastAsia="宋体"/>
          <w:sz w:val="28"/>
          <w:szCs w:val="28"/>
        </w:rPr>
      </w:pPr>
      <w:r>
        <w:rPr>
          <w:rFonts w:ascii="Times New Roman" w:hAnsi="Times New Roman" w:eastAsia="宋体"/>
          <w:sz w:val="28"/>
          <w:szCs w:val="28"/>
        </w:rPr>
        <w:t>(4)试验和检验标准；</w:t>
      </w:r>
    </w:p>
    <w:p w14:paraId="183C62DD">
      <w:pPr>
        <w:spacing w:line="400" w:lineRule="exact"/>
        <w:ind w:firstLine="420"/>
        <w:rPr>
          <w:rFonts w:ascii="Times New Roman" w:hAnsi="Times New Roman" w:eastAsia="宋体"/>
          <w:sz w:val="28"/>
          <w:szCs w:val="28"/>
        </w:rPr>
      </w:pPr>
      <w:r>
        <w:rPr>
          <w:rFonts w:ascii="Times New Roman" w:hAnsi="Times New Roman" w:eastAsia="宋体"/>
          <w:sz w:val="28"/>
          <w:szCs w:val="28"/>
        </w:rPr>
        <w:t>(5)除合同另有约定外，承包人无法核实的数据和资料。</w:t>
      </w:r>
    </w:p>
    <w:p w14:paraId="4D0793FC">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1.14 发包人要求违法</w:t>
      </w:r>
    </w:p>
    <w:p w14:paraId="6BF6F110">
      <w:pPr>
        <w:spacing w:line="400" w:lineRule="exact"/>
        <w:ind w:firstLine="420"/>
        <w:rPr>
          <w:rFonts w:ascii="Times New Roman" w:hAnsi="Times New Roman" w:eastAsia="宋体"/>
          <w:sz w:val="28"/>
          <w:szCs w:val="28"/>
        </w:rPr>
      </w:pPr>
      <w:r>
        <w:rPr>
          <w:rFonts w:ascii="Times New Roman" w:hAnsi="Times New Roman" w:eastAsia="宋体"/>
          <w:sz w:val="28"/>
          <w:szCs w:val="28"/>
        </w:rPr>
        <w:t>发包人要求违反法律规定的，承包人发现后应书面通知发包人，并要求其改正。发包人收到通知书后不予改正或不予答复的，承包人有权拒绝履行合同义务，直至解除合同。发包人应承担由此引起的承包人全部损失。</w:t>
      </w:r>
    </w:p>
    <w:p w14:paraId="5ADEB903">
      <w:pPr>
        <w:spacing w:before="120" w:beforeLines="50" w:after="120" w:afterLines="50" w:line="360" w:lineRule="atLeast"/>
        <w:rPr>
          <w:rFonts w:ascii="Times New Roman" w:hAnsi="Times New Roman" w:eastAsia="黑体"/>
          <w:b/>
          <w:bCs/>
          <w:sz w:val="28"/>
          <w:szCs w:val="28"/>
        </w:rPr>
      </w:pPr>
      <w:bookmarkStart w:id="257" w:name="_Toc138951366"/>
      <w:bookmarkStart w:id="258" w:name="_Toc63255702"/>
      <w:r>
        <w:rPr>
          <w:rFonts w:ascii="Times New Roman" w:hAnsi="Times New Roman" w:eastAsia="黑体"/>
          <w:b/>
          <w:bCs/>
          <w:sz w:val="28"/>
          <w:szCs w:val="28"/>
        </w:rPr>
        <w:t>2．发包人义务</w:t>
      </w:r>
      <w:bookmarkEnd w:id="257"/>
      <w:bookmarkEnd w:id="258"/>
    </w:p>
    <w:p w14:paraId="1A94A00D">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2.1 遵守法律</w:t>
      </w:r>
    </w:p>
    <w:p w14:paraId="7759B23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发包人在履行合同过程中应遵守法律，并保证承包人免于承担因发包人违反法律而引起的任何责任。</w:t>
      </w:r>
    </w:p>
    <w:p w14:paraId="3ED5733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2.2 发出承包人开始工作通知</w:t>
      </w:r>
    </w:p>
    <w:p w14:paraId="6C4C20D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发包人应委托监理人按第11.1 款的约定向承包人发出开始工作通知。</w:t>
      </w:r>
    </w:p>
    <w:p w14:paraId="590CD205">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2.3 提供施工场地</w:t>
      </w:r>
    </w:p>
    <w:p w14:paraId="4DEC7A2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发包人应按专用合同条款约定向承包人提供施工场地及进场施工条件，并明确与承包人的交接界面。</w:t>
      </w:r>
    </w:p>
    <w:p w14:paraId="4184F763">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2.4 办理证件和批件</w:t>
      </w:r>
    </w:p>
    <w:p w14:paraId="1C10EDF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法律规定和(或)合同约定由发包人负责办理的工程建设项目必须履行的各类审批、核准或备案手续，发包人应按时办理。</w:t>
      </w:r>
    </w:p>
    <w:p w14:paraId="46BEFA4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法律规定和(或)合同约定由承包人负责的有关设计、施工证件和批件，发包人应给予必要的协助。</w:t>
      </w:r>
    </w:p>
    <w:p w14:paraId="3A20AD40">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2.5 支付合同价款</w:t>
      </w:r>
    </w:p>
    <w:p w14:paraId="082ADD9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发包人应按合同约定向承包人及时支付合同价款。专用合同条款对发包人工程款支付担保有约定的，从其约定。</w:t>
      </w:r>
    </w:p>
    <w:p w14:paraId="08EFA8CC">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2.6 组织竣工验收</w:t>
      </w:r>
    </w:p>
    <w:p w14:paraId="0F8AB76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发包人应按合同约定及时组织竣工验收。</w:t>
      </w:r>
    </w:p>
    <w:p w14:paraId="6477B1BB">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2.7 其他义务</w:t>
      </w:r>
    </w:p>
    <w:p w14:paraId="026F5A0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发包人应履行合同约定的其他义务。</w:t>
      </w:r>
    </w:p>
    <w:p w14:paraId="4140CCD6">
      <w:pPr>
        <w:spacing w:before="120" w:beforeLines="50" w:after="120" w:afterLines="50" w:line="360" w:lineRule="atLeast"/>
        <w:rPr>
          <w:rFonts w:ascii="Times New Roman" w:hAnsi="Times New Roman" w:eastAsia="黑体"/>
          <w:b/>
          <w:bCs/>
          <w:sz w:val="28"/>
          <w:szCs w:val="28"/>
        </w:rPr>
      </w:pPr>
      <w:bookmarkStart w:id="259" w:name="_Toc63255703"/>
      <w:bookmarkStart w:id="260" w:name="_Toc138951367"/>
      <w:r>
        <w:rPr>
          <w:rFonts w:ascii="Times New Roman" w:hAnsi="Times New Roman" w:eastAsia="黑体"/>
          <w:b/>
          <w:bCs/>
          <w:sz w:val="28"/>
          <w:szCs w:val="28"/>
        </w:rPr>
        <w:t>3. 监理人</w:t>
      </w:r>
      <w:bookmarkEnd w:id="259"/>
      <w:bookmarkEnd w:id="260"/>
    </w:p>
    <w:p w14:paraId="5E93946D">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3.1 监理人的职责和权力</w:t>
      </w:r>
    </w:p>
    <w:p w14:paraId="7AFDD98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3.1.1 监理人受发包人委托，享有合同约定的权力，其所发出的任何指示应视为已得到发包人的批准。监理人在行使某项权力前需要经发包人事先批准而通用合同条款没有指明的，应在专用合同条款中指明。未经发包人批准，监理人无权修改合同。</w:t>
      </w:r>
    </w:p>
    <w:p w14:paraId="133A45C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3.1.2 合同约定应由承包人承担的义务和责任，不因监理人对承包人文件的审查或批准，对工程、材料和工程设备的检查和检验，以及为实施监理作出的指示等职务行为而减轻或解除。</w:t>
      </w:r>
    </w:p>
    <w:p w14:paraId="4E852783">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3.2 总监理工程师</w:t>
      </w:r>
    </w:p>
    <w:p w14:paraId="44F82BC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发包人应在发出开始工作通知前将总监理工程师的任命通知承包人。总监理工程师更换时，应提前14 天通知承包人。总监理工程师超过２天不能履行职责的，应委派代表代行其职责，并通知承包人。</w:t>
      </w:r>
    </w:p>
    <w:p w14:paraId="3543FD33">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3.3 监理人员</w:t>
      </w:r>
    </w:p>
    <w:p w14:paraId="5F0D73D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发包人和承包人。</w:t>
      </w:r>
    </w:p>
    <w:p w14:paraId="6E32678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3.3.2 总监理工程师授权的监理人员对承包人文件、工程或其采用的材料和工程设备未在约定的或合理的期限内提出否定意见的，视为已获批准，但不影响监理人在以后拒绝该项工作、工程、材料或工程设备的权利，监理人的拒绝应当符合法律规定和合同约定。</w:t>
      </w:r>
    </w:p>
    <w:p w14:paraId="2E05552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3.3.3 承包人对总监理工程师授权的监理人员发出的指示有疑问的，可在该指示发出的48小时内向总监理工程师提出书面异议，总监理工程师应在48小时内对该指示予以确认、更改或撤销。</w:t>
      </w:r>
    </w:p>
    <w:p w14:paraId="4CCA50D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3.3.4 除专用合同条款另有约定外，总监理工程师不应将第3.5 款约定应由总监理工程师作出确定的权力授权或委托给其他监理人员。</w:t>
      </w:r>
    </w:p>
    <w:p w14:paraId="51AA8E7A">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3.4 监理人的指示</w:t>
      </w:r>
    </w:p>
    <w:p w14:paraId="67CA18F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3.4.1 监理人应按第3.1 款的约定向承包人发出指示，监理人的指示应盖有监理人授权的项目管理机构章，并由总监理工程师或总监理工程师约定授权的监理人员签字。</w:t>
      </w:r>
    </w:p>
    <w:p w14:paraId="73DD35E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3.4.2 承包人收到监理人作出的指示后应遵照执行。指示构成变更的，应按第15条执行。</w:t>
      </w:r>
    </w:p>
    <w:p w14:paraId="652DE0B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3.4.3 在紧急情况下，总监理工程师或其授权的监理人员可以当场签发临时书面指示，承包人应遵照执行。监理应在临时书面指示发出后24小时内发出书面确认函，监理人在24小时内未发出书面确认函的，该临时书面指示应被视为监理人的正式指示。</w:t>
      </w:r>
    </w:p>
    <w:p w14:paraId="2BF6B23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3.4.4 除合同另有约定外，承包人只从总监理工程师或按第3.3.1项被授权的监理人员处取得指示。</w:t>
      </w:r>
    </w:p>
    <w:p w14:paraId="4B01DC78">
      <w:pPr>
        <w:spacing w:line="400" w:lineRule="exact"/>
        <w:ind w:firstLine="420"/>
        <w:rPr>
          <w:rFonts w:ascii="Times New Roman" w:hAnsi="Times New Roman" w:eastAsia="宋体"/>
          <w:sz w:val="28"/>
          <w:szCs w:val="28"/>
        </w:rPr>
      </w:pPr>
      <w:r>
        <w:rPr>
          <w:rFonts w:ascii="Times New Roman" w:hAnsi="Times New Roman" w:eastAsia="宋体"/>
          <w:sz w:val="28"/>
          <w:szCs w:val="28"/>
        </w:rPr>
        <w:t>3.4.5 由于监理人未能按合同约定发出指示、指示延误或指示错误而导致承包人费用增加和(或)工期延误的，发包人应承担由此增加的费用和(或)工期延误，并向承包人支付合理利润。</w:t>
      </w:r>
    </w:p>
    <w:p w14:paraId="53AFAE04">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3.5 商定或确定</w:t>
      </w:r>
    </w:p>
    <w:p w14:paraId="613F33D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3.5.1 合同约定总监理工程师应按照本款对任何事项进行商定或确定时，总监理工程师应与合同当事人协商，尽量达成一致。不能达成一致的，总监理工程师应认真研究后审慎确定。</w:t>
      </w:r>
    </w:p>
    <w:p w14:paraId="7D54970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3.5.2 总监理工程师应将商定或确定的事项通知合同当事人，并附详细依据。对总监理工程师的确定有异议的，构成争议，按照第24 条的约定处理。在争议解决前，双方应暂按总监理工程师的确定执行，按照第24 条的约定对总监理工程师的确定作出修改的，按修改后的结果执行，由此导致承包人增加的费用和(或)延误的工期由发包人承担。</w:t>
      </w:r>
    </w:p>
    <w:p w14:paraId="645041BC">
      <w:pPr>
        <w:spacing w:before="120" w:beforeLines="50" w:after="120" w:afterLines="50" w:line="360" w:lineRule="atLeast"/>
        <w:rPr>
          <w:rFonts w:ascii="Times New Roman" w:hAnsi="Times New Roman" w:eastAsia="黑体"/>
          <w:b/>
          <w:bCs/>
          <w:sz w:val="28"/>
          <w:szCs w:val="28"/>
        </w:rPr>
      </w:pPr>
      <w:bookmarkStart w:id="261" w:name="_Toc138951368"/>
      <w:bookmarkStart w:id="262" w:name="_Toc63255704"/>
      <w:r>
        <w:rPr>
          <w:rFonts w:ascii="Times New Roman" w:hAnsi="Times New Roman" w:eastAsia="黑体"/>
          <w:b/>
          <w:bCs/>
          <w:sz w:val="28"/>
          <w:szCs w:val="28"/>
        </w:rPr>
        <w:t>4. 承包人</w:t>
      </w:r>
      <w:bookmarkEnd w:id="261"/>
      <w:bookmarkEnd w:id="262"/>
    </w:p>
    <w:p w14:paraId="738E5F5C">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4.1 承包人的一般义务</w:t>
      </w:r>
    </w:p>
    <w:p w14:paraId="7806771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4.1.1 遵守法律</w:t>
      </w:r>
    </w:p>
    <w:p w14:paraId="4B83810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承包人在履行合同过程中应遵守法律，并保证发包人免于承担因承包人违反法律而引起的任何责任。</w:t>
      </w:r>
    </w:p>
    <w:p w14:paraId="30FA41C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4.1.2 依法纳税</w:t>
      </w:r>
    </w:p>
    <w:p w14:paraId="2EBC2E8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承包人应按有关法律规定纳税，应缴纳的税金包括在合同价格内。</w:t>
      </w:r>
    </w:p>
    <w:p w14:paraId="18AC44E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4.1.3 完成各项承包工作</w:t>
      </w:r>
    </w:p>
    <w:p w14:paraId="4459699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按合同约定以及监理人根据第3.4款作出的指示，完成合同约定的全部工作，并对工作中的任何缺陷进行整改、完善和修补，使其满足合同约定的目的。除专用合同条款另有约定外，承包人应提供合同约定的工程设备和承包人文件，以及为完成合同工作所需的劳务、材料、施工设备和其他物品，并按合同约定负责临时设施的设计、施工、运行、维护、管理和拆除。</w:t>
      </w:r>
    </w:p>
    <w:p w14:paraId="316FDBE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4.1.4 对设计、施工作业和施工方法，以及工程的完备性负责</w:t>
      </w:r>
    </w:p>
    <w:p w14:paraId="651A878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承包人应按合同约定的工作内容和进度要求，编制设计、施工的组织和实施计划，并对所有设计、施工作业和施工方法，以及全部工程的完备性和安全可靠性负责。</w:t>
      </w:r>
    </w:p>
    <w:p w14:paraId="6F4D5B7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4.1.5 保证工程施工和人员的安全</w:t>
      </w:r>
    </w:p>
    <w:p w14:paraId="792CD89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承包人应按第10.2 款约定采取施工安全措施，确保工程及其人员、材料、设备和设施的安全，防止因工程施工造成的人身伤害和财产损失。</w:t>
      </w:r>
    </w:p>
    <w:p w14:paraId="64A23BC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4.1.6 负责施工场地及其周边环境与生态的保护工作</w:t>
      </w:r>
    </w:p>
    <w:p w14:paraId="0DC9ED5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承包人应按照第10.4 款约定负责施工场地及其周边环境与生态的保护工作。</w:t>
      </w:r>
    </w:p>
    <w:p w14:paraId="657A55A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4.1.7 避免施工对公众与他人的利益造成损害</w:t>
      </w:r>
    </w:p>
    <w:p w14:paraId="5FCBC84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2FD2144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4.1.8 为他人提供方便</w:t>
      </w:r>
    </w:p>
    <w:p w14:paraId="4DF7090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承包人应按监理人的指示为他人在施工场地或附近实施与工程有关的其他各项工作提供可能的条件。除合同另有约定外，提供有关条件的内容和可能发生的费用，由监理人按第3.5 款商定或确定。</w:t>
      </w:r>
    </w:p>
    <w:p w14:paraId="24D2F63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4.1.9 工程的维护和照管</w:t>
      </w:r>
    </w:p>
    <w:p w14:paraId="7FE2268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工程接收证书颁发前，承包人应负责照管和维护工程。工程接收证书颁发时尚有部分未竣工工程的，承包人还应负责该未竣工工程的照管和维护工作，直至竣工后移交给发包人。</w:t>
      </w:r>
    </w:p>
    <w:p w14:paraId="712A34FC">
      <w:pPr>
        <w:spacing w:line="400" w:lineRule="exact"/>
        <w:ind w:firstLine="560" w:firstLineChars="200"/>
        <w:rPr>
          <w:rFonts w:ascii="Times New Roman" w:hAnsi="Times New Roman" w:eastAsia="宋体"/>
          <w:sz w:val="28"/>
          <w:szCs w:val="28"/>
        </w:rPr>
      </w:pPr>
      <w:bookmarkStart w:id="263" w:name="_Hlk126915340"/>
      <w:r>
        <w:rPr>
          <w:rFonts w:ascii="Times New Roman" w:hAnsi="Times New Roman" w:eastAsia="宋体"/>
          <w:sz w:val="28"/>
          <w:szCs w:val="28"/>
        </w:rPr>
        <w:t>4.1.10 其他义务</w:t>
      </w:r>
      <w:bookmarkEnd w:id="263"/>
    </w:p>
    <w:p w14:paraId="2F441B8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承包人应履行合同约定的其他义务。</w:t>
      </w:r>
    </w:p>
    <w:p w14:paraId="0397D344">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4.2 履约担保</w:t>
      </w:r>
    </w:p>
    <w:p w14:paraId="572560B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4.2.1 承包人应保证其履约担保在发包人颁发工程接收证书前一直有效。发包人应在工程接收证书颁发后28 天内将履约担保退还给承包人。需进行竣工后试验的，承包人应保证其履约担保在竣工后试验通过前一直有效，发包人应在通过竣工验收后7天内将履约担保退还给承包人。</w:t>
      </w:r>
    </w:p>
    <w:p w14:paraId="6C9BC91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4.2.2 如工程延期，承包人有义务继续提供履约担保。由于发包人原因导致延期的，继续提供履约担保所需的费用由发包人承担；由于承包人原因导致延期的，继续提供履约担保所需费用由承包人承担。</w:t>
      </w:r>
    </w:p>
    <w:p w14:paraId="38E6C928">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4.3 分包和不得转包</w:t>
      </w:r>
    </w:p>
    <w:p w14:paraId="55CEF10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4.3.1 承包人不得将其承包的全部工程转包给第三人，也不得将其承包的全部工程肢解后以分包的名义分别转包给第三人。</w:t>
      </w:r>
    </w:p>
    <w:p w14:paraId="22F63D4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4.3.2 承包人不得将设计和施工的主体、关键性工作分包给第三人。除专用合同条款另有约定外，未经发包人同意，承包人也不得将非主体、非关键性工作分包给第三人。</w:t>
      </w:r>
    </w:p>
    <w:p w14:paraId="3BEFBAD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4.3.3 分包人的资格能力应与其分包工作的标准和规模相适应。</w:t>
      </w:r>
    </w:p>
    <w:p w14:paraId="26D36F0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4.3.4 发包人同意承包人分包工作的，承包人应向发包人和监理人提交分包合同副本。</w:t>
      </w:r>
    </w:p>
    <w:p w14:paraId="1109E231">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4.4 联合体</w:t>
      </w:r>
    </w:p>
    <w:p w14:paraId="466B842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4.4.1 联合体各方应共同与发包人签订合同。联合体各方应为履行合同承担连带责任。</w:t>
      </w:r>
    </w:p>
    <w:p w14:paraId="08347DD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4.4.2 联合体协议经发包人确认后作为合同附件。在履行合同过程中，未经发包人同意，不得修改联合体协议。</w:t>
      </w:r>
    </w:p>
    <w:p w14:paraId="3EC991D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4.4.3 联合体牵头人或联合体授权的代表负责与发包人和监理人联系，并接受指示，负责组织联合体各成员全面履行合同。</w:t>
      </w:r>
    </w:p>
    <w:p w14:paraId="4EB75161">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4.5 承包人项目负责人</w:t>
      </w:r>
    </w:p>
    <w:p w14:paraId="6127585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4.5.1 承包人应按合同协议书的约定指派项目负责人，并在约定的期限内到职。承包人更换项目负责人应事先征得发包人同意，并应在更换14天前将拟更换的项目负责人的姓名和详细资料提交发包人和监理人。承包人项目负责人2天内不能履行职责的，应事先征得监理人同意，并委派代表代行其职责。</w:t>
      </w:r>
    </w:p>
    <w:p w14:paraId="0335E18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4.5.2 承包人项目负责人应按合同约定以及监理人按第3.4 款作出的指示，负责组织合同工作的实施。在情况紧急且无法与监理人取得联系时，可采取保证工程和人员生命财产安全的紧急措施，并在采取措施后24小时内向监理人提交书面报告。</w:t>
      </w:r>
    </w:p>
    <w:p w14:paraId="0D761E7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4.5.3 承包人为履行合同发出的一切函件均应盖有承包人单位章或由承包人项目负责人签字。</w:t>
      </w:r>
    </w:p>
    <w:p w14:paraId="435453E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4.5.4 承包人项目负责人可以授权其下属人员履行其某项职责，但事先应将这些人员的姓名和授权范围书面通知发包人和监理人。</w:t>
      </w:r>
    </w:p>
    <w:p w14:paraId="5B4E2A94">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4.6 承包人人员的管理</w:t>
      </w:r>
    </w:p>
    <w:p w14:paraId="1091AE0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4.6.1 承包人应在接到开始工作通知之日起28天内，向监理人提交承包人的项目管理机构以及人员安排的报告，其内容应包括项目管理机构的设置、各主要岗位的技术和管理人员名单及其资格，以及设计人员和各工种技术工人的安排状况。承包人安排的主要管理人员和技术人员应相对稳定，更换主要管理人员和技术人员的，应取得监理人的同意,并向监理人提交继任人员的资格、管理经验等资料。项目负责人的更换，应按照本章第4.5款规定执行。</w:t>
      </w:r>
    </w:p>
    <w:p w14:paraId="45F4DBC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4.6.2 承包人安排的主要管理人员包括项目负责人、勘察设计负责人、施工负责人、采购负责人以及专职质量、安全生产管理人员等；技术人员包括设计师、建筑师、土木工程师、设备工程师、建造师等。</w:t>
      </w:r>
    </w:p>
    <w:p w14:paraId="20B4D07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4.6.3 承包人的设计人员应由具有国家规定和发包人要求中约定的资格，并具有从事设计所必需的经验与能力。</w:t>
      </w:r>
    </w:p>
    <w:p w14:paraId="07739BF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承包人应保证其设计人员(包括分包人的设计人员)在合同期限内的任何时候，都能按时参加发包人或其委托的监理人组织的工作会议。</w:t>
      </w:r>
    </w:p>
    <w:p w14:paraId="280326C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4.6.4 国家规定应当持证上岗的工作人员均应持有相应的资格证明，监理人有权随时检查。监理人认为有必要时，可进行现场考核。</w:t>
      </w:r>
    </w:p>
    <w:p w14:paraId="3717311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4.6.5 除专用合同条款另有约定外，承包人的主要施工管理人员离开施工现场连续超过3天的，应事先征得监理人同意。承包人擅自更换项目负责人或主要施工管理人员，或前述人员未经监理人许可擅自离开施工现场连续超过3天的，应按照专用合同条款约定承担违约责任。</w:t>
      </w:r>
    </w:p>
    <w:p w14:paraId="4EE5ADE2">
      <w:pPr>
        <w:spacing w:line="400" w:lineRule="exact"/>
        <w:ind w:firstLine="560" w:firstLineChars="200"/>
        <w:rPr>
          <w:rFonts w:ascii="Times New Roman" w:hAnsi="Times New Roman" w:eastAsia="宋体"/>
          <w:sz w:val="28"/>
          <w:szCs w:val="28"/>
        </w:rPr>
      </w:pPr>
    </w:p>
    <w:p w14:paraId="1DFF9262">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4.7 撤换承包人项目负责人和其他人员</w:t>
      </w:r>
    </w:p>
    <w:p w14:paraId="4D248D2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承包人应对其项目负责人和其他人员进行有效管理。监理人要求撤换不能胜任本职工作、行为不端或玩忽职守的承包人项目负责人和其他人员的，承包人应予以撤换。</w:t>
      </w:r>
    </w:p>
    <w:p w14:paraId="74613570">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4.8 保障承包人人员的合法权益</w:t>
      </w:r>
    </w:p>
    <w:p w14:paraId="1B2D8E3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4.8.1 承包人应与其雇佣的人员签订劳动合同，并按时发放工资。</w:t>
      </w:r>
    </w:p>
    <w:p w14:paraId="2A82908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4.8.2 承包人应按劳动法的规定安排工作时间，保证其雇佣人员享有休息和休假的权利。因设计、施工的特殊需要占用休假日或延长工作时间的，应不超过法律规定的限度，并按法律规定给予补休或付酬。</w:t>
      </w:r>
    </w:p>
    <w:p w14:paraId="373983E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4.8.3 承包人应为其雇佣人员提供必要的食宿条件，以及符合环境保护和卫生要求的生活环境，在远离城镇的施工场地，还应配备必要的伤病防治和急救的医务人员与医疗设施。</w:t>
      </w:r>
    </w:p>
    <w:p w14:paraId="2F4E90B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184086F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4.8.5 承包人应按有关法律规定和合同约定，为其雇佣人员办理保险。</w:t>
      </w:r>
    </w:p>
    <w:p w14:paraId="3E34988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4.8.6 承包人应负责处理其雇佣人员因工伤亡事故的善后事宜。</w:t>
      </w:r>
    </w:p>
    <w:p w14:paraId="30059768">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4.9 工程价款应专款专用</w:t>
      </w:r>
    </w:p>
    <w:p w14:paraId="65E1BB1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发包人按合同约定支付给承包人的各项价款应专用于合同工作。</w:t>
      </w:r>
    </w:p>
    <w:p w14:paraId="3E7C2A18">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4.10 承包人现场查勘</w:t>
      </w:r>
    </w:p>
    <w:p w14:paraId="4BB87BC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4.10.1 发包人应向承包人提供施工场地及毗邻区域内的供水、排水、供电、供气、供热、通信、广播电视等地下管线资料、气象和水文观测资料，相邻建筑物和构筑物、地下工程的有关资料，以及其他与建设工程有关的原始资料，并承担原始资料错误造成的全部责任，但承包人应对其阅读上述有关资料后所作出的解释和推断负责。</w:t>
      </w:r>
    </w:p>
    <w:p w14:paraId="4435D60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4.10.2 承包人应对施工场地和周围环境进行查勘，并收集除发包人提供外为完成合同工作有关的当地资料。在全部合同工作中，视为承包人已充分估计了应承担的责任和风险。</w:t>
      </w:r>
    </w:p>
    <w:p w14:paraId="350E389D">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4.11 不可预见物质条件(A)</w:t>
      </w:r>
    </w:p>
    <w:p w14:paraId="400760D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4.11.1 不可预见物质条件，除专用合同条款另有约定外，是指承包人在施工场地遇到的不可预见的自然物质条件、非自然的物质障碍和污染物，包括地下和水文条件，但不包括气候条件。</w:t>
      </w:r>
    </w:p>
    <w:p w14:paraId="0035A0A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4.11.2 承包人遇到不可预见物质条件时，应采取适应不利物质条件的合理措施继续设计和(或)施工，并及时通知监理人，通知应载明不利物质条件的内容以及承包人认为不可预见的理由。监理人应当及时发出指示，指示构成变更的，按第15条约定执行。监理人没有发出指示的，承包人因采取合理措施而增加的费用和(或)工期延误，由发包人承担。</w:t>
      </w:r>
    </w:p>
    <w:p w14:paraId="5CCEF500">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4.11 不可预见的困难和费用(B)</w:t>
      </w:r>
    </w:p>
    <w:p w14:paraId="7A68B76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除合同另有约定外，承包人应视为已取得工程有关风险、意外事件和其他情况的全部必要资料，并预见工程所有困难和费用。承包人遇到不可预见的困难和费用时，合同价格不予调整。</w:t>
      </w:r>
    </w:p>
    <w:p w14:paraId="7FFF1E7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4.12 进度计划</w:t>
      </w:r>
    </w:p>
    <w:p w14:paraId="1D07213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4.12.1 合同进度计划</w:t>
      </w:r>
    </w:p>
    <w:p w14:paraId="69879F0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按合同约定的内容和期限，编制详细的进度计划，包括设计、承包人文件提交、采购、制造、检验、运达现场、施工、安装、试验的各个阶段的预期时间以及设计和施工组织方案说明等报送监理人。监理人应在专用合同条款约定的期限内批复或提出修改意见，否则该进度计划视为已得到批准。经监理人批准的进度计划称合同进度计划，是控制合同工程进度的依据。承包人还应根据合同进度计划，编制更为详细的分阶段或分项进度计划，报监理人批准。</w:t>
      </w:r>
    </w:p>
    <w:p w14:paraId="5AE198B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4.12.2 合同进度计划的修订</w:t>
      </w:r>
    </w:p>
    <w:p w14:paraId="793AEE0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不论何种原因造成工程的实际进度与第4.12.1项的合同进度计划不符时，承包人可以在专用合同条款约定的期限内向监理人提交修订合同进度计划的申请报告，并附有关措施和相关资料，报监理人批准；监理人也可以直接向承包人作出修订合同进度计划的指示，承包人应按该指示修订合同进度计划，报监理人批准。监理人应在专用合同条款约定的期限内批复。监理人在批复前应获得发包人同意。</w:t>
      </w:r>
    </w:p>
    <w:p w14:paraId="4F95B4C4">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4.13 质量保证</w:t>
      </w:r>
    </w:p>
    <w:p w14:paraId="3AE3342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4.13.1 为保证工程质量，承包人应按照合同要求建立质量保证体系。监理人有权对承包人的质量保证体系进行审查。</w:t>
      </w:r>
    </w:p>
    <w:p w14:paraId="130CABD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4.13.2 承包人应在各设计和实施阶段开始前，向监理人提交其具体的质量保证细则和工作程序。</w:t>
      </w:r>
    </w:p>
    <w:p w14:paraId="7B0D5C6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4.13.3 遵守质量保证体系，不应免除合同约定的承包人的义务和责任。</w:t>
      </w:r>
    </w:p>
    <w:p w14:paraId="20962FCD">
      <w:pPr>
        <w:spacing w:before="120" w:beforeLines="50" w:after="120" w:afterLines="50" w:line="360" w:lineRule="atLeast"/>
        <w:rPr>
          <w:rFonts w:ascii="Times New Roman" w:hAnsi="Times New Roman" w:eastAsia="黑体"/>
          <w:b/>
          <w:bCs/>
          <w:sz w:val="28"/>
          <w:szCs w:val="28"/>
        </w:rPr>
      </w:pPr>
      <w:bookmarkStart w:id="264" w:name="_Toc138951369"/>
      <w:bookmarkStart w:id="265" w:name="_Toc63255705"/>
      <w:r>
        <w:rPr>
          <w:rFonts w:ascii="Times New Roman" w:hAnsi="Times New Roman" w:eastAsia="黑体"/>
          <w:b/>
          <w:bCs/>
          <w:sz w:val="28"/>
          <w:szCs w:val="28"/>
        </w:rPr>
        <w:t>5. 设计</w:t>
      </w:r>
      <w:bookmarkEnd w:id="264"/>
      <w:bookmarkEnd w:id="265"/>
    </w:p>
    <w:p w14:paraId="6E9B8377">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5.1 承包人的设计义务</w:t>
      </w:r>
    </w:p>
    <w:p w14:paraId="767F7F8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5.1.1 设计义务的一般要求</w:t>
      </w:r>
    </w:p>
    <w:p w14:paraId="2D55583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承包人应按照法律规定，以及国家、行业和地方的规范和标准完成设计工作，并符合发包人要求。</w:t>
      </w:r>
    </w:p>
    <w:p w14:paraId="5325F55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5.1.2 法律和标准的变化</w:t>
      </w:r>
    </w:p>
    <w:p w14:paraId="56760AA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合同另有约定外，承包人完成设计工作所应遵守的法律规定，以及国家、行业和地方的规范和标准，均应视为在基准日适用的版本。基准日之后，前述版本发生重大变化，或者有新的法律，以及国家、行业和地方的规范和标准实施的，承包人应向发包人或发包人委托的监理人提出遵守新规定的建议。发包人或其委托的监理人应在收到建议后7天内发出是否遵守新规定的指示。发包人或其委托的监理人指示遵守新规定的，按照第15条或第16.2款约定执行。</w:t>
      </w:r>
    </w:p>
    <w:p w14:paraId="4A78621B">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5.2 承包人设计进度计划</w:t>
      </w:r>
    </w:p>
    <w:p w14:paraId="4C36FA4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承包人应按照发包人要求，在合同进度计划中专门列出设计进度计划，报发包人批准后执行。承包人需按照经批准后的计划开展设计工作。</w:t>
      </w:r>
    </w:p>
    <w:p w14:paraId="78CF20D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因承包人原因影响设计进度的，按第11.5款的约定执行。因发包人原因影响设计进度的，按第15条变更处理。</w:t>
      </w:r>
    </w:p>
    <w:p w14:paraId="2DC9D84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发包人或其委托的监理人有权要求承包人根据第11.5款提交修正的进度计划、增加投入资源并加快设计进度。</w:t>
      </w:r>
    </w:p>
    <w:p w14:paraId="6FB8D6E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5.3 设计审查</w:t>
      </w:r>
    </w:p>
    <w:p w14:paraId="680B68E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5.3.1 承包人的设计文件应报发包人审查同意。审查的范围和内容在发包人要求中约定。</w:t>
      </w:r>
    </w:p>
    <w:p w14:paraId="60199F6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合同另有约定外，自监理人收到承包人的设计文件以及承包人的通知之日起，发包人对承包人的设计文件审查期不超过21天。承包人的设计文件对于合同约定有偏离的，应在通知中说明。承包人需要修改已提交的承包人文件的，应立即通知监理人，并向监理人提交修改后的承包人的设计文件，审查期重新起算。</w:t>
      </w:r>
    </w:p>
    <w:p w14:paraId="74DE6AF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发包人不同意设计文件的，应通过监理人以书面形式通知承包人，并说明不符合合同要求的具体内容。承包人应根据监理人的书面说明，对承包人文件进行修改后重新报送发包人审查，审查期重新起算。</w:t>
      </w:r>
    </w:p>
    <w:p w14:paraId="5CD831C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合同约定的审查期满，发包人没有做出审查结论也没有提出异议的，视为承包人的设计文件已获发包人同意。</w:t>
      </w:r>
    </w:p>
    <w:p w14:paraId="6C5C0EB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5.3.2 承包人的设计文件不需要政府有关部门审查或批准的，承包人应当严格按照经发包人审查同意的设计文件设计和实施工程。</w:t>
      </w:r>
    </w:p>
    <w:p w14:paraId="617ACFB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5.3.3 设计文件需政府有关部门审查或批准的，发包人应在审查同意承包人的设计文件后7天内，向政府有关部门报送设计文件，承包人应予以协助。</w:t>
      </w:r>
    </w:p>
    <w:p w14:paraId="229DF04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对于政府有关部门的审查意见，不需要修改发包人要求的，承包人需按该审查意见修改承包人的设计文件；需要修改发包人要求的，发包人应重新提出发包人要求，承包人应根据新提出的发包人要求修改承包人文件。上述情形还应适用第15条、第1.13款的有关约定。</w:t>
      </w:r>
    </w:p>
    <w:p w14:paraId="704397E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政府有关部门审查批准的，承包人应当严格按照批准后的承包人的设计文件设计和实施工程。</w:t>
      </w:r>
    </w:p>
    <w:p w14:paraId="37055E6B">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5.4 培训</w:t>
      </w:r>
    </w:p>
    <w:p w14:paraId="08033B8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承包人应按照发包人要求，对发包人的人员进行工程操作和维修方面的培训。合同约定接收之前进行培训的，应在第18.3款约定的竣工验收前完成培训。</w:t>
      </w:r>
    </w:p>
    <w:p w14:paraId="0A8A083A">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5.5 竣工文件</w:t>
      </w:r>
    </w:p>
    <w:p w14:paraId="222D6FE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5.5.1 承包人应编制并及时更新反映工程实施结果的竣工记录，如实记载竣工工程的确切位置、尺寸和已实施工作的详细说明。竣工记录应保存在施工场地，并在竣工试验开始前，按照专用合同条款约定的份数提交给监理人。</w:t>
      </w:r>
    </w:p>
    <w:p w14:paraId="79055E4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5.5.2 在颁发工程接收证书之前，承包人应按照发包人要求的份数和形式向监理人提交相应竣工图纸，并取得监理人对尺寸、参照系统及其他有关细节的认可。监理人应按照第5.3款的约定进行审查。</w:t>
      </w:r>
    </w:p>
    <w:p w14:paraId="134B320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5.5.3 在监理人收到上述文件前，不应认为工程已根据第18.3款和第18.5款约定完成验收。</w:t>
      </w:r>
    </w:p>
    <w:p w14:paraId="120F1EC3">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5.6 操作和维修手册</w:t>
      </w:r>
    </w:p>
    <w:p w14:paraId="46DB8C3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5.6.1 在竣工试验开始前，承包人应向监理人提交暂行的操作和维修手册，该手册应足够详细，以便发包人能够对生产设备进行操作、维修、拆卸、重新安装、调整及修理。</w:t>
      </w:r>
    </w:p>
    <w:p w14:paraId="2210C40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5.6.2 承包人应提交足够详细的最终操作和维修手册，以及在发包人要求中明确的相关操作和维修手册。在监理人收到上述文件前，不应认为工程已根据第18.3款和第18.5款约定完成验收。</w:t>
      </w:r>
    </w:p>
    <w:p w14:paraId="27EBCF23">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5.7 承包人文件错误</w:t>
      </w:r>
    </w:p>
    <w:p w14:paraId="1F09AE6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文件存在错误、遗漏、含混、矛盾、不充分之处或其他缺陷，无论承包人是否根据本款获得了批准，承包人均应自费对前述问题带来的缺陷和工程问题进行改正。第1.13款发包人要求的错误导致承包人文件错误、遗漏、含混、矛盾、不充分或其他缺陷的除外。</w:t>
      </w:r>
    </w:p>
    <w:p w14:paraId="0D1256E4">
      <w:pPr>
        <w:spacing w:before="120" w:beforeLines="50" w:after="120" w:afterLines="50" w:line="360" w:lineRule="atLeast"/>
        <w:rPr>
          <w:rFonts w:ascii="Times New Roman" w:hAnsi="Times New Roman" w:eastAsia="黑体"/>
          <w:b/>
          <w:bCs/>
          <w:sz w:val="28"/>
          <w:szCs w:val="28"/>
        </w:rPr>
      </w:pPr>
      <w:bookmarkStart w:id="266" w:name="_Toc138951370"/>
      <w:bookmarkStart w:id="267" w:name="_Toc63255706"/>
      <w:r>
        <w:rPr>
          <w:rFonts w:ascii="Times New Roman" w:hAnsi="Times New Roman" w:eastAsia="黑体"/>
          <w:b/>
          <w:bCs/>
          <w:sz w:val="28"/>
          <w:szCs w:val="28"/>
        </w:rPr>
        <w:t>6. 材料和工程设备</w:t>
      </w:r>
      <w:bookmarkEnd w:id="266"/>
      <w:bookmarkEnd w:id="267"/>
    </w:p>
    <w:p w14:paraId="56ADD449">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6.1 承包人提供的材料和工程设备</w:t>
      </w:r>
    </w:p>
    <w:p w14:paraId="482A1F1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6.1.1 除专用合同条款另有约定外，承包人提供的材料和工程设备均由承包人负责采购、运输和保管。承包人应对其采购的材料和工程设备负责。</w:t>
      </w:r>
    </w:p>
    <w:p w14:paraId="39CE977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6.1.2 承包人应按专用合同条款的约定，将各项材料和工程设备的供货人及品种、技术要求、规格、数量和供货时间等报送监理人批准。承包人应向监理人提交其负责提供的材料和工程设备的质量证明文件，并满足合同约定的质量标准。</w:t>
      </w:r>
    </w:p>
    <w:p w14:paraId="33A036A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71969AB3">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6.2 发包人提供的材料和工程设备(A)</w:t>
      </w:r>
    </w:p>
    <w:p w14:paraId="105EA2F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6.2.1 专用合同条款约定发包人提供部分材料和工程设备的，应写明材料和工程设备的名称、规格、数量、价格、交货方式、交货地点等。</w:t>
      </w:r>
    </w:p>
    <w:p w14:paraId="62F61A6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6.2.2 承包人应根据合同进度计划的安排，向监理人报送要求发包人交货的日期计划。发包人应按照监理人与合同双方当事人商定的交货日期，向承包人提交材料和工程设备。</w:t>
      </w:r>
    </w:p>
    <w:p w14:paraId="65782DF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6.2.3 发包人应在材料和工程设备到货7 天前通知承包人，承包人应会同监理人在约定的时间内，赴交货地点共同进行验收。除专用合同条款另有约定外，发包人提供的材料和工程设备验收后，由承包人负责接收、运输和保管。</w:t>
      </w:r>
    </w:p>
    <w:p w14:paraId="3E61C5F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6.2.4 发包人要求向承包人提前交货的，承包人不得拒绝，但发包人应承担承包人由此增加的费用。</w:t>
      </w:r>
    </w:p>
    <w:p w14:paraId="115E5F1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6.2.5 承包人要求更改交货日期或地点的，应事先报请监理人批准。由于承包人要求更改交货时间或地点所增加的费用和(或)工期延误由承包人承担。</w:t>
      </w:r>
    </w:p>
    <w:p w14:paraId="248035F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6.2.6 发包人提供的材料和工程设备的规格、数量或质量不符合合同要求，或由于发包人原因发生交货日期延误及交货地点变更等情况的，发包人应承担由此增加的费用和(或)工期延误，并向承包人支付合理利润。</w:t>
      </w:r>
    </w:p>
    <w:p w14:paraId="6B5BE4C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6.2 发包人提供的材料和工程设备(B)</w:t>
      </w:r>
    </w:p>
    <w:p w14:paraId="27682A8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发包人不提供材料和工程设备。</w:t>
      </w:r>
    </w:p>
    <w:p w14:paraId="0942AC51">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6.3 专用于工程的材料和工程设备</w:t>
      </w:r>
    </w:p>
    <w:p w14:paraId="7AEAA62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6.3.1 运入施工场地的材料、工程设备，包括备品备件、安装专用工器具与随机资料，必须专用于合同约定范围内的工程，未经监理人同意，承包人不得运出施工场地或挪作他用。</w:t>
      </w:r>
    </w:p>
    <w:p w14:paraId="074F3D2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2F14DF41">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6.4 实施方法</w:t>
      </w:r>
    </w:p>
    <w:p w14:paraId="781FD55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承包人对材料的加工、工程设备的采购、制造、安装应当按照法律规定、合同约定以及行业习惯来实施。</w:t>
      </w:r>
    </w:p>
    <w:p w14:paraId="497D04E2">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6.5 禁止使用不合格的材料和工程设备</w:t>
      </w:r>
    </w:p>
    <w:p w14:paraId="08C5B79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6.5.1 监理人有权拒绝承包人提供的不合格材料或工程设备，并要求承包人立即进行更换。监理人应在更换后再次进行检查和检验，由此增加的费用和(或)工期延误由承包人承担。</w:t>
      </w:r>
    </w:p>
    <w:p w14:paraId="79F18DE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6.5.2 监理人发现承包人使用了不合格的材料和工程设备，应即时发出指示要求承包人立即改正，并禁止在工程中继续使用不合格的材料和工程设备。</w:t>
      </w:r>
    </w:p>
    <w:p w14:paraId="5610539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6.5.3 发包人提供的材料或工程设备不符合合同要求的，承包人有权拒绝，并可要求发包人更换，由此增加的费用和(或)工期延误由发包人承担。</w:t>
      </w:r>
    </w:p>
    <w:p w14:paraId="04AFF824">
      <w:pPr>
        <w:spacing w:before="120" w:beforeLines="50" w:after="120" w:afterLines="50" w:line="360" w:lineRule="atLeast"/>
        <w:rPr>
          <w:rFonts w:ascii="Times New Roman" w:hAnsi="Times New Roman" w:eastAsia="黑体"/>
          <w:b/>
          <w:bCs/>
          <w:sz w:val="28"/>
          <w:szCs w:val="28"/>
        </w:rPr>
      </w:pPr>
      <w:bookmarkStart w:id="268" w:name="_Toc63255707"/>
      <w:bookmarkStart w:id="269" w:name="_Toc138951371"/>
      <w:r>
        <w:rPr>
          <w:rFonts w:ascii="Times New Roman" w:hAnsi="Times New Roman" w:eastAsia="黑体"/>
          <w:b/>
          <w:bCs/>
          <w:sz w:val="28"/>
          <w:szCs w:val="28"/>
        </w:rPr>
        <w:t>7. 施工设备和临时设施</w:t>
      </w:r>
      <w:bookmarkEnd w:id="268"/>
      <w:bookmarkEnd w:id="269"/>
    </w:p>
    <w:p w14:paraId="4101B021">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7.1 承包人提供的施工设备和临时设施</w:t>
      </w:r>
    </w:p>
    <w:p w14:paraId="702CBB5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7.1.1 承包人应按合同进度计划的要求，及时配置施工设备和修建临时设施。进入施工场地的承包人设备需经监理人核查后才能投入使用。承包人更换合同约定的承包人设备的，应报监理人批准。</w:t>
      </w:r>
    </w:p>
    <w:p w14:paraId="2B998B9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7.1.2 除专用合同条款另有约定外，承包人应自行承担修建临时设施的费用。需要临时占地的，应由发包人办理申请手续并承担相应费用。</w:t>
      </w:r>
    </w:p>
    <w:p w14:paraId="61C9955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7.2 发包人提供的施工设备和临时设施(A)</w:t>
      </w:r>
    </w:p>
    <w:p w14:paraId="74E0B8E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发包人提供的施工设备或临时设施在专用合同条款中约定。</w:t>
      </w:r>
    </w:p>
    <w:p w14:paraId="32003B55">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7.2 发包人提供的施工设备和临时设施(B)</w:t>
      </w:r>
    </w:p>
    <w:p w14:paraId="6BA28FD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发包人不提供施工设备或临时设施。</w:t>
      </w:r>
    </w:p>
    <w:p w14:paraId="7130203A">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7.3 要求承包人增加或更换施工设备</w:t>
      </w:r>
    </w:p>
    <w:p w14:paraId="1B24174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承包人使用的施工设备不能满足合同进度计划和(或)质量标准时，监理人有权要求承包人增加或更换施工设备，承包人应及时增加或更换，由此增加的费用和(或)工期延误由承包人承担。</w:t>
      </w:r>
    </w:p>
    <w:p w14:paraId="09351C82">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7.4 施工设备和临时设施专用于合同工程</w:t>
      </w:r>
    </w:p>
    <w:p w14:paraId="3C3CEF9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7.4.1 除合同另有约定外，运入施工场地的所有施工设备以及在施工场地建设的临时设施应专用于合同工程。未经监理人同意，不得将上述施工设备和临时设施中的任何部分运出施工场地或挪作他用。</w:t>
      </w:r>
    </w:p>
    <w:p w14:paraId="58D205C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7.4.2 经监理人同意，承包人可根据合同进度计划撤走闲置的施工设备。</w:t>
      </w:r>
    </w:p>
    <w:p w14:paraId="44A0D374">
      <w:pPr>
        <w:spacing w:before="120" w:beforeLines="50" w:after="120" w:afterLines="50" w:line="360" w:lineRule="atLeast"/>
        <w:rPr>
          <w:rFonts w:ascii="Times New Roman" w:hAnsi="Times New Roman" w:eastAsia="黑体"/>
          <w:b/>
          <w:bCs/>
          <w:sz w:val="28"/>
          <w:szCs w:val="28"/>
        </w:rPr>
      </w:pPr>
      <w:bookmarkStart w:id="270" w:name="_Toc63255708"/>
      <w:bookmarkStart w:id="271" w:name="_Toc138951372"/>
      <w:r>
        <w:rPr>
          <w:rFonts w:ascii="Times New Roman" w:hAnsi="Times New Roman" w:eastAsia="黑体"/>
          <w:b/>
          <w:bCs/>
          <w:sz w:val="28"/>
          <w:szCs w:val="28"/>
        </w:rPr>
        <w:t>8. 交通运输</w:t>
      </w:r>
      <w:bookmarkEnd w:id="270"/>
      <w:bookmarkEnd w:id="271"/>
    </w:p>
    <w:p w14:paraId="5C31D56D">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8.1 道路通行权和场外设施(A)</w:t>
      </w:r>
    </w:p>
    <w:p w14:paraId="2132252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发包人应根据工程的施工需要，负责办理取得出入施工场地的专用和临时道路的通行权，以及取得为工程建设所需修建场外设施的权利，并承担有关费用。承包人应协助发包人办理上述手续。</w:t>
      </w:r>
    </w:p>
    <w:p w14:paraId="7EEA66E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8.1 道路通行权和场外设施(B)</w:t>
      </w:r>
    </w:p>
    <w:p w14:paraId="18FB2B5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承包人应根据工程的施工需要，负责办理取得出入施工场地的专用和临时道路的通行权，以及取得为工程建设所需修建场外设施的权利，并承担有关费用。发包人应协助承包人办理上述手续。</w:t>
      </w:r>
    </w:p>
    <w:p w14:paraId="253EA8FC">
      <w:pPr>
        <w:spacing w:line="400" w:lineRule="exact"/>
        <w:ind w:firstLine="560" w:firstLineChars="200"/>
        <w:rPr>
          <w:rFonts w:ascii="Times New Roman" w:hAnsi="Times New Roman" w:eastAsia="宋体"/>
          <w:sz w:val="28"/>
          <w:szCs w:val="28"/>
        </w:rPr>
      </w:pPr>
    </w:p>
    <w:p w14:paraId="4D43DF89">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8.2 场内施工道路</w:t>
      </w:r>
    </w:p>
    <w:p w14:paraId="3D09412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8.2.1 除专用合同条款另有约定外，承包人应负责修建、维修、养护和管理施工所需的临时道路和交通设施，包括维修、养护和管理发包人提供的道路和交通设施，并承担相应费用。</w:t>
      </w:r>
    </w:p>
    <w:p w14:paraId="65037D7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8.2.2 除专用合同条款另有约定外，承包人修建的临时道路和交通设施应免费提供发包人和监理人为实现合同目的使用。</w:t>
      </w:r>
    </w:p>
    <w:p w14:paraId="09270CCC">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8.3 场外交通</w:t>
      </w:r>
    </w:p>
    <w:p w14:paraId="1E939F5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8.3.1 承包人车辆外出行驶所需的场外公共道路的通行费、养路费和税款等由承包人承担。</w:t>
      </w:r>
    </w:p>
    <w:p w14:paraId="220AE23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8.3.2 承包人应遵守有关交通法规，严格按照道路和桥梁的限制荷重安全行驶，并服从交通管理部门的检查和监督。</w:t>
      </w:r>
    </w:p>
    <w:p w14:paraId="08BEEAF2">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8.4 超大件和超重件的运输</w:t>
      </w:r>
    </w:p>
    <w:p w14:paraId="3B90E66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F46C8DC">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8.5 道路和桥梁的损坏责任</w:t>
      </w:r>
    </w:p>
    <w:p w14:paraId="73BD66E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因承包人运输造成施工场地内外公共道路和桥梁损坏的，由承包人承担修复损坏的全部费用和可能引起的赔偿。</w:t>
      </w:r>
    </w:p>
    <w:p w14:paraId="41DFC07F">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8.6 水路和航空运输</w:t>
      </w:r>
    </w:p>
    <w:p w14:paraId="5BCA836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本条上述各款的内容适用于水路运输和航空运输，其中“道路”一词的涵义包括河道、航线、船闸、机场、码头、堤防以及水路或航空运输中其他相似结构物；“车辆”一词的涵义包括船舶和飞机等。</w:t>
      </w:r>
    </w:p>
    <w:p w14:paraId="084919C3">
      <w:pPr>
        <w:spacing w:before="120" w:beforeLines="50" w:after="120" w:afterLines="50" w:line="360" w:lineRule="atLeast"/>
        <w:rPr>
          <w:rFonts w:ascii="Times New Roman" w:hAnsi="Times New Roman" w:eastAsia="黑体"/>
          <w:b/>
          <w:bCs/>
          <w:sz w:val="28"/>
          <w:szCs w:val="28"/>
        </w:rPr>
      </w:pPr>
      <w:bookmarkStart w:id="272" w:name="_Toc63255709"/>
      <w:bookmarkStart w:id="273" w:name="_Toc138951373"/>
      <w:r>
        <w:rPr>
          <w:rFonts w:ascii="Times New Roman" w:hAnsi="Times New Roman" w:eastAsia="黑体"/>
          <w:b/>
          <w:bCs/>
          <w:sz w:val="28"/>
          <w:szCs w:val="28"/>
        </w:rPr>
        <w:t>9. 测量放线</w:t>
      </w:r>
      <w:bookmarkEnd w:id="272"/>
      <w:bookmarkEnd w:id="273"/>
    </w:p>
    <w:p w14:paraId="38AD2BD0">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9.1 施工控制网</w:t>
      </w:r>
    </w:p>
    <w:p w14:paraId="14B8DED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9.1.1 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批准。</w:t>
      </w:r>
    </w:p>
    <w:p w14:paraId="1F9D2C2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9.1.2 承包人应负责管理施工控制网点。施工控制网点丢失或损坏的，承包人应及时修复。承包人应承担施工控制网点的管理与修复费用，并在工程竣工后将施工控制网点移交发包人。</w:t>
      </w:r>
    </w:p>
    <w:p w14:paraId="513D7605">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9.2 施工测量</w:t>
      </w:r>
    </w:p>
    <w:p w14:paraId="79E7B58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9.2.1 承包人应负责施工过程中的全部施工测量放线工作，并配置合格的人员、仪器、设备和其他物品。</w:t>
      </w:r>
    </w:p>
    <w:p w14:paraId="129C962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9.2.2 监理人可以指示承包人进行抽样复测，当复测中发现错误或出现超过合同约定的误差时，承包人应按监理人指示进行修正或补测，并承担相应的复测费用。</w:t>
      </w:r>
    </w:p>
    <w:p w14:paraId="4B7465B6">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9.3 基准资料错误的责任</w:t>
      </w:r>
    </w:p>
    <w:p w14:paraId="44007E9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应对其提供的测量基准点、基准线和水准点及其书面资料的真实性、准确性和完整性负责，对其提供上述基准资料错误导致承包人损失的，发包人应当承担由此增加的费用和(或)工期延误，并向承包人支付合理利润。承包人应在设计或施工中对上述资料的准确性进行核实，发现存在明显错误或疏忽的，应及时通知监理人。</w:t>
      </w:r>
    </w:p>
    <w:p w14:paraId="398A44BD">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9.4 监理人使用施工控制网</w:t>
      </w:r>
    </w:p>
    <w:p w14:paraId="5A14CD3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监理人需要使用施工控制网的，承包人应提供必要的协助，发包人不再为此支付费用。</w:t>
      </w:r>
    </w:p>
    <w:p w14:paraId="7FF8EC33">
      <w:pPr>
        <w:spacing w:before="120" w:beforeLines="50" w:after="120" w:afterLines="50" w:line="360" w:lineRule="atLeast"/>
        <w:rPr>
          <w:rFonts w:ascii="Times New Roman" w:hAnsi="Times New Roman" w:eastAsia="黑体"/>
          <w:b/>
          <w:bCs/>
          <w:sz w:val="28"/>
          <w:szCs w:val="28"/>
        </w:rPr>
      </w:pPr>
      <w:bookmarkStart w:id="274" w:name="_Toc63255710"/>
      <w:bookmarkStart w:id="275" w:name="_Toc138951374"/>
      <w:r>
        <w:rPr>
          <w:rFonts w:ascii="Times New Roman" w:hAnsi="Times New Roman" w:eastAsia="黑体"/>
          <w:b/>
          <w:bCs/>
          <w:sz w:val="28"/>
          <w:szCs w:val="28"/>
        </w:rPr>
        <w:t>10. 安全、治安保卫和环境保护</w:t>
      </w:r>
      <w:bookmarkEnd w:id="274"/>
      <w:bookmarkEnd w:id="275"/>
    </w:p>
    <w:p w14:paraId="671A85BA">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10.1 发包人的安全责任</w:t>
      </w:r>
    </w:p>
    <w:p w14:paraId="5BACE37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10.1.1 发包人应按合同约定履行安全职责，授权监理人按合同约定的安全工作内容监督、检查承包人安全工作的实施，组织承包人和有关单位进行安全检查。</w:t>
      </w:r>
    </w:p>
    <w:p w14:paraId="434095E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10.1.2 发包人应对其现场机构雇佣的全部人员的工伤事故承担责任，但由于承包人原因造成发包人人员工伤的，应由承包人承担责任。</w:t>
      </w:r>
    </w:p>
    <w:p w14:paraId="73C6F6B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10.1.3 发包人应负责赔偿以下各种情况造成的第三者人身伤亡和财产损失：</w:t>
      </w:r>
    </w:p>
    <w:p w14:paraId="28620B5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(1)工程或工程的任何部分对土地的占用所造成的第三者财产损失；</w:t>
      </w:r>
    </w:p>
    <w:p w14:paraId="1C4CC0C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(2)由于发包人原因在施工场地及其毗邻地带、履行合同工作中造成的第三者人身伤亡和财产损失。</w:t>
      </w:r>
    </w:p>
    <w:p w14:paraId="0F52D247">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10.2 承包人的安全责任</w:t>
      </w:r>
    </w:p>
    <w:p w14:paraId="7FB7D99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10.2.1 承包人应按合同约定履行安全职责，执行监理人有关安全工作的指示，并在专用合同条款约定的期限内，按合同约定的安全工作内容，编制安全措施计划报送监理人批准。</w:t>
      </w:r>
    </w:p>
    <w:p w14:paraId="7FBFD43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10.2.2 承包人按照合同约定需要进行勘察的，应严格执行操作规程，采取措施保证各类管线、设施和周边建筑物、构筑物的安全。</w:t>
      </w:r>
    </w:p>
    <w:p w14:paraId="2A85A0F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10.2.3 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3FA7690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10.2.4 承包人应加强施工作业安全管理，特别应加强易燃、易爆材料、火工器材、有毒与腐蚀性材料和其他危险品的管理，以及对爆破作业和地下工程施工等危险作业的管理。</w:t>
      </w:r>
    </w:p>
    <w:p w14:paraId="3136421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10.2.5 承包人应严格按照国家安全标准制定施工安全操作规程，配备必要的安全生产和劳动保护设施，加强对承包人人员的安全教育，并发放安全工作手册和劳动保护用具。</w:t>
      </w:r>
    </w:p>
    <w:p w14:paraId="621799A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10.2.6 承包人应按监理人的指示制定应对灾害的紧急预案，报送监理人批准。承包人还应按预案做好安全检查，配置必要的救助物资和器材，切实保护好有关人员的人身和财产安全。</w:t>
      </w:r>
    </w:p>
    <w:p w14:paraId="15E32A3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10.2.7 合同约定的安全作业环境及安全施工措施所需费用应遵守有关规定，并包括在相关工作的合同价格中。因采取合同未约定的安全作业环境及安全施工措施增加的费用，由监理人按第3.5 款商定或确定。</w:t>
      </w:r>
    </w:p>
    <w:p w14:paraId="5C8452A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10.2.8 承包人应对其履行合同所雇佣的全部人员，包括分包人人员的工伤事故承担责任，但由于发包人原因造成承包人人员工伤事故的，应由发包人承担责任。</w:t>
      </w:r>
    </w:p>
    <w:p w14:paraId="6D26790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10.2.9 由于承包人原因在施工场地内及其毗邻地带造成的第三者人员伤亡和财产损失，由承包人负责赔偿。</w:t>
      </w:r>
    </w:p>
    <w:p w14:paraId="4718BA4C">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10.3 治安保卫</w:t>
      </w:r>
    </w:p>
    <w:p w14:paraId="6FAD26B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10.3.1 除合同另有约定外，承包人应与当地公安部门协商，在现场建立治安管理机构或联防组织，统一管理施工场地的治安保卫事项，履行合同工程的治安保卫职责。</w:t>
      </w:r>
    </w:p>
    <w:p w14:paraId="60108D7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10.3.2 发包人和承包人除应协助现场治安管理机构或联防组织维护施工场地的社会治安外，还应做好包括生活区在内的各自管辖区的治安保卫工作。</w:t>
      </w:r>
    </w:p>
    <w:p w14:paraId="47E8EAD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10.3.3 除合同另有约定外，承包人应编制施工场地治安管理计划，并制定应对突发治安事件的紧急预案，报监理人批准。自承包人进入施工现场，至发包人接收工程的期间，施工现场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6B262548">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10.4 环境保护</w:t>
      </w:r>
    </w:p>
    <w:p w14:paraId="6E3306C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10.4.1 承包人在履行合同过程中，应遵守有关环境保护的法律，履行合同约定的环境保护义务，并对违反法律和合同约定义务所造成的环境破坏、人身伤害和财产损失负责。</w:t>
      </w:r>
    </w:p>
    <w:p w14:paraId="671B407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10.4.2 承包人应按合同约定的环保工作内容，编制环保措施计划，报送监理人批准。</w:t>
      </w:r>
    </w:p>
    <w:p w14:paraId="2872291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10.4.3 承包人应确保施工过程中产生的气体排放物、粉尘、噪声、地面排水及排污等，符合法律规定和发包人要求。</w:t>
      </w:r>
    </w:p>
    <w:p w14:paraId="07BC466B">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10.5 事故处理</w:t>
      </w:r>
    </w:p>
    <w:p w14:paraId="089B16B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合同履行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5E79D174">
      <w:pPr>
        <w:spacing w:before="120" w:beforeLines="50" w:after="120" w:afterLines="50" w:line="360" w:lineRule="atLeast"/>
        <w:rPr>
          <w:rFonts w:ascii="Times New Roman" w:hAnsi="Times New Roman" w:eastAsia="黑体"/>
          <w:b/>
          <w:bCs/>
          <w:sz w:val="28"/>
          <w:szCs w:val="28"/>
        </w:rPr>
      </w:pPr>
      <w:bookmarkStart w:id="276" w:name="_Toc63255711"/>
      <w:bookmarkStart w:id="277" w:name="_Toc138951375"/>
      <w:r>
        <w:rPr>
          <w:rFonts w:ascii="Times New Roman" w:hAnsi="Times New Roman" w:eastAsia="黑体"/>
          <w:b/>
          <w:bCs/>
          <w:sz w:val="28"/>
          <w:szCs w:val="28"/>
        </w:rPr>
        <w:t>11. 开始工作和竣工</w:t>
      </w:r>
      <w:bookmarkEnd w:id="276"/>
      <w:bookmarkEnd w:id="277"/>
    </w:p>
    <w:p w14:paraId="50A1414F">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11.1 开始工作</w:t>
      </w:r>
    </w:p>
    <w:p w14:paraId="72554077">
      <w:pPr>
        <w:spacing w:line="400" w:lineRule="exact"/>
        <w:ind w:firstLine="560" w:firstLineChars="200"/>
        <w:rPr>
          <w:rFonts w:hint="default" w:ascii="Times New Roman" w:hAnsi="Times New Roman" w:eastAsia="宋体"/>
          <w:sz w:val="28"/>
          <w:szCs w:val="28"/>
          <w:lang w:val="en-US" w:eastAsia="zh-CN"/>
        </w:rPr>
      </w:pPr>
      <w:r>
        <w:rPr>
          <w:rFonts w:ascii="Times New Roman" w:hAnsi="Times New Roman" w:eastAsia="宋体"/>
          <w:sz w:val="28"/>
          <w:szCs w:val="28"/>
        </w:rPr>
        <w:t>符合专用合同条款约定的开始工作的条件的，监理人应提前7天向承包人发出开始工作通知。监理人在发出开始工作通知前应获得发包人同意。工期自开始工作通知中载明的开始工作日期起计算。除专用合同条款另有约定外，因发包人原因造成监理人未能在合同签订之日起90天内发出开始工作通知的，承包人有权提出价格调整要求，或者解除合同。发包人应当承担由此增加的费用和(或)工期延误，并向承包人支付合理利润。</w:t>
      </w:r>
      <w:r>
        <w:rPr>
          <w:rFonts w:hint="eastAsia" w:ascii="Times New Roman" w:hAnsi="Times New Roman" w:eastAsia="宋体"/>
          <w:sz w:val="28"/>
          <w:szCs w:val="28"/>
          <w:lang w:val="en-US" w:eastAsia="zh-CN"/>
        </w:rPr>
        <w:t xml:space="preserve">  </w:t>
      </w:r>
    </w:p>
    <w:p w14:paraId="39CEBA98">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11.2 竣工</w:t>
      </w:r>
    </w:p>
    <w:p w14:paraId="64F5732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承包人应在第1.1.4.3 目约定的期限内完成合同工作。实际竣工日期按第18.3款约定确定，并在工程接收证书中载明。</w:t>
      </w:r>
    </w:p>
    <w:p w14:paraId="7C67540D">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11.3 发包人引起的工期延误</w:t>
      </w:r>
    </w:p>
    <w:p w14:paraId="63E5906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在履行合同过程中，由于发包人的下列原因造成工期延误的，承包人有权要求发包人延长工期和(或)增加费用，并支付合理利润。需要修订合同进度计划的，按照第4.12.2项的约定执行。</w:t>
      </w:r>
    </w:p>
    <w:p w14:paraId="1C45338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(l)变更；</w:t>
      </w:r>
    </w:p>
    <w:p w14:paraId="7B4A9B7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(2)未能按照合同要求的期限对承包人文件进行审查；</w:t>
      </w:r>
    </w:p>
    <w:p w14:paraId="5DCFC07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 xml:space="preserve">(3)因发包人原因导致的暂停施工； </w:t>
      </w:r>
    </w:p>
    <w:p w14:paraId="42B828A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(4)未按合同约定及时支付预付款、进度款；</w:t>
      </w:r>
    </w:p>
    <w:p w14:paraId="3D4C09E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(5)发包人按第9.3款提供的基准资料错误；</w:t>
      </w:r>
    </w:p>
    <w:p w14:paraId="08AD24A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(6)发包人按第6.2款迟延提供材料、工程设备或变更交货地点的；</w:t>
      </w:r>
    </w:p>
    <w:p w14:paraId="05BE31F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(7)发包人未及时按照“发包人要求”履行相关义务；</w:t>
      </w:r>
    </w:p>
    <w:p w14:paraId="6DC69F6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(8)发包人造成工期延误的其他原因。</w:t>
      </w:r>
    </w:p>
    <w:p w14:paraId="152F4C6F">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11.4 异常恶劣的气候条件</w:t>
      </w:r>
    </w:p>
    <w:p w14:paraId="6CE4E0B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由于出现专用合同条款规定的异常恶劣气候的条件导致工期延误的，承包人有权要求发包人延长工期和(或)增加费用。</w:t>
      </w:r>
    </w:p>
    <w:p w14:paraId="036A4293">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11.5 承包人引起的工期延误</w:t>
      </w:r>
    </w:p>
    <w:p w14:paraId="3219EB9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由于承包人原因，未能按合同进度计划完成工作，或监理人认为承包人工作进度不能满足合同工期要求的，承包人应采取措施加快进度，并承担加快进度所增加的费用。由于承包人原因造成工期延误，承包人应支付逾期竣工违约金。逾期竣工违约金的计算方法和最高限额在专用合同条款中约定。承包人支付逾期竣工违约金，不免除承包人完成工作及修补缺陷的义务。</w:t>
      </w:r>
    </w:p>
    <w:p w14:paraId="3E7E28FB">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11.6 工期提前</w:t>
      </w:r>
    </w:p>
    <w:p w14:paraId="19893FE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p>
    <w:p w14:paraId="1402ACD0">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11.7 行政审批迟延</w:t>
      </w:r>
    </w:p>
    <w:p w14:paraId="7222288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合同约定范围内的工作需国家有关部门审批的，发包人和(或)承包人应按照合同约定的职责分工完成行政审批报送。因国家有关部门审批迟延造成费用增加和(或)工期延误的，由发包人承担。</w:t>
      </w:r>
    </w:p>
    <w:p w14:paraId="5D789F4B">
      <w:pPr>
        <w:spacing w:before="120" w:beforeLines="50" w:after="120" w:afterLines="50" w:line="360" w:lineRule="atLeast"/>
        <w:rPr>
          <w:rFonts w:ascii="Times New Roman" w:hAnsi="Times New Roman" w:eastAsia="黑体"/>
          <w:b/>
          <w:bCs/>
          <w:sz w:val="28"/>
          <w:szCs w:val="28"/>
        </w:rPr>
      </w:pPr>
      <w:bookmarkStart w:id="278" w:name="_Toc138951376"/>
      <w:bookmarkStart w:id="279" w:name="_Toc63255712"/>
      <w:r>
        <w:rPr>
          <w:rFonts w:ascii="Times New Roman" w:hAnsi="Times New Roman" w:eastAsia="黑体"/>
          <w:b/>
          <w:bCs/>
          <w:sz w:val="28"/>
          <w:szCs w:val="28"/>
        </w:rPr>
        <w:t>12. 暂停工作</w:t>
      </w:r>
      <w:bookmarkEnd w:id="278"/>
      <w:bookmarkEnd w:id="279"/>
    </w:p>
    <w:p w14:paraId="05D30FEB">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12.1 由发包人暂停工作</w:t>
      </w:r>
    </w:p>
    <w:p w14:paraId="377C619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12.1.1 发包人认为必要时，可通过监理人向承包人发出暂停工作的指示，承包人应按监理人指示暂停工作。由于发包人原因引起的暂停工作造成工期延误的，承包人有权要求发包人延长工期和(或)增加费用，并支付合理利润。</w:t>
      </w:r>
    </w:p>
    <w:p w14:paraId="0038D2C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12.1.2 由于承包人下列原因造成发包人暂停工作的，由此造成费用的增加和(或)工期延误由承包人承担：</w:t>
      </w:r>
    </w:p>
    <w:p w14:paraId="4501791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(1)承包人违约；</w:t>
      </w:r>
    </w:p>
    <w:p w14:paraId="5B9ED2A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(2)承包人擅自暂停工作；</w:t>
      </w:r>
    </w:p>
    <w:p w14:paraId="755CB83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(3)合同约定由承包人承担责任的其他暂停工作。</w:t>
      </w:r>
    </w:p>
    <w:p w14:paraId="1A34928D">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12.2 由承包人暂停工作</w:t>
      </w:r>
    </w:p>
    <w:p w14:paraId="4E0F2FA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12.2.1 合同履行过程中发生下列情形之一的，承包人可向发包人发出通知，要求发包人采取有效措施予以纠正。发包人收到承包人通知后的28天内仍不履行合同义务，承包人有权暂停施工，并通知监理人，发包人应承担由此增加的费用和(或)工期延误责任，并支付承包人合理利润。</w:t>
      </w:r>
    </w:p>
    <w:p w14:paraId="34863A4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(1)发包人未能按合同约定支付价款，或拖延、拒绝批准付款申请和支付证书，导致付款延误的；</w:t>
      </w:r>
    </w:p>
    <w:p w14:paraId="2A42948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(2)监理人无正当理由没有在约定期限内发出复工指示，导致承包人无法复工的；</w:t>
      </w:r>
    </w:p>
    <w:p w14:paraId="7789984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(3)发包人无法继续履行或明确表示不履行或实质上已停止履行合同的；</w:t>
      </w:r>
    </w:p>
    <w:p w14:paraId="026E1A3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(4)发包人不履行合同约定其他义务的。</w:t>
      </w:r>
    </w:p>
    <w:p w14:paraId="5D8551C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12.2.2 由于发包人的原因发生暂停施工的紧急情况，且监理人未及时下达暂停工作指示的，承包人可先暂停施工，并及时向监理人提出暂停工作的书面请求。监理人应在收到书面请求后的24小时内予以答复，逾期未答复的，视为同意承包人的暂停工作请求。</w:t>
      </w:r>
    </w:p>
    <w:p w14:paraId="18E622E8">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12.3 暂停工作后的照管</w:t>
      </w:r>
    </w:p>
    <w:p w14:paraId="2C197E1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不论由于何种原因引起暂停工作的，暂停工作期间，承包人应负责妥善保护工程并提供安全保障，由此增加的费用由责任方承担。</w:t>
      </w:r>
    </w:p>
    <w:p w14:paraId="312157E2">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12.4 暂停工作后的复工</w:t>
      </w:r>
    </w:p>
    <w:p w14:paraId="54402BE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12.4.1暂停工作后，监理人应与发包人和承包人协商，采取有效措施积极消除暂停工作的影响。当工程具备复工条件时，监理人应立即向承包人发出复工通知。承包人收到复工通知后，应在监理人指定的期限内复工。</w:t>
      </w:r>
    </w:p>
    <w:p w14:paraId="6CB7DD0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12.4.2承包人无故拖延和拒绝复工的，由此增加的费用和工期延误由承包人承担；因发包人原因无法按时复工的，承包人有权要求发包人延长工期和(或)增加费用，并支付合理利润。</w:t>
      </w:r>
    </w:p>
    <w:p w14:paraId="6EB1C296">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12.5 暂停工作56天以上</w:t>
      </w:r>
    </w:p>
    <w:p w14:paraId="7D13082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12.5.1监理人发出暂停工作指示后56 天内未向承包人发出复工通知的，除该项暂停由于承包人违约造成之外，承包人可向监理人提交书面通知，要求监理人在收到书面通知后28天内准许已暂停工作的全部或部分继续工作。如监理人逾期不予批准，则承包人可以通知监理人，将工程受影响的部分按第15条的约定作为可取消工作的变更处理。暂停工作影响到整个工程的，视为发包人违约，应按第12.2.1项的约定执行，同时承包人有权解除合同。</w:t>
      </w:r>
    </w:p>
    <w:p w14:paraId="3AD4D96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12.5.2由于承包人原因引起暂停工作的，如承包人在收到监理人暂停工作指示后56 天内不采取有效的复工措施，造成工期延误的，视为承包人违约，应按第12.1.2 项的约定执行。</w:t>
      </w:r>
    </w:p>
    <w:p w14:paraId="614FC42A">
      <w:pPr>
        <w:spacing w:before="120" w:beforeLines="50" w:after="120" w:afterLines="50" w:line="360" w:lineRule="atLeast"/>
        <w:rPr>
          <w:rFonts w:ascii="Times New Roman" w:hAnsi="Times New Roman" w:eastAsia="黑体"/>
          <w:b/>
          <w:bCs/>
          <w:sz w:val="28"/>
          <w:szCs w:val="28"/>
        </w:rPr>
      </w:pPr>
      <w:bookmarkStart w:id="280" w:name="_Toc63255713"/>
      <w:bookmarkStart w:id="281" w:name="_Toc138951377"/>
      <w:r>
        <w:rPr>
          <w:rFonts w:ascii="Times New Roman" w:hAnsi="Times New Roman" w:eastAsia="黑体"/>
          <w:b/>
          <w:bCs/>
          <w:sz w:val="28"/>
          <w:szCs w:val="28"/>
        </w:rPr>
        <w:t>13. 工程质量</w:t>
      </w:r>
      <w:bookmarkEnd w:id="280"/>
      <w:bookmarkEnd w:id="281"/>
    </w:p>
    <w:p w14:paraId="484F2D38">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13.1 工程质量要求</w:t>
      </w:r>
    </w:p>
    <w:p w14:paraId="6885356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13.1.1 工程质量验收按法律规定和合同约定的验收标准执行。</w:t>
      </w:r>
    </w:p>
    <w:p w14:paraId="66F6AF3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13.1.2 因承包人原因造成工程质量不符合法律的规定和合同约定的，监理人有权要求承包人返工直至符合合同要求为止，由此造成的费用增加和(或)工期延误由承包人承担。</w:t>
      </w:r>
    </w:p>
    <w:p w14:paraId="40C764C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13.1.3 因发包人原因造成工程质量达不到合同约定验收标准的，发包人应承担由于承包人返工造成的费用增加和(或)工期延误，并支付承包人合理利润。</w:t>
      </w:r>
    </w:p>
    <w:p w14:paraId="7E3D4177">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13.2 承包人的质量检查</w:t>
      </w:r>
    </w:p>
    <w:p w14:paraId="0C8A0A6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承包人应按合同约定对设计、材料、工程设备以及全部工程内容及其施工工艺进行全过程的质量检查和检验，并作详细记录，编制工程质量报表，报送监理人审查。</w:t>
      </w:r>
    </w:p>
    <w:p w14:paraId="17E705A0">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13.3 监理人的质量检查</w:t>
      </w:r>
    </w:p>
    <w:p w14:paraId="486A318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监理人有权对全部工程内容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6BE6C0D8">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13.4 工程隐蔽部位覆盖前的检查</w:t>
      </w:r>
    </w:p>
    <w:p w14:paraId="4C95702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13.4.1 通知监理人检查</w:t>
      </w:r>
    </w:p>
    <w:p w14:paraId="2569CC8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4A690BB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13.4.2 监理人未到场检查</w:t>
      </w:r>
    </w:p>
    <w:p w14:paraId="79D2CF3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监理人未按第13.4.l 项约定的时间进行检查的，除监理人另有指示外，承包人可自行完成覆盖工作，并作相应记录报送监理人，监理人应签字确认。监理人事后对检查记录有疑问的，可按第13.4.3 项的约定重新检查。</w:t>
      </w:r>
    </w:p>
    <w:p w14:paraId="7191DF9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13.4.3 监理人重新检查</w:t>
      </w:r>
    </w:p>
    <w:p w14:paraId="0878722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承包人按第13.4.1 项或第13.4.2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6A125BE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13.4.4 承包人私自覆盖</w:t>
      </w:r>
    </w:p>
    <w:p w14:paraId="56FA4B5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承包人未通知监理人到场检查，私自将工程隐蔽部位覆盖的，监理人有权指示承包人钻孔探测或揭开检查，由此增加的费用和(或)工期延误由承包人承担。</w:t>
      </w:r>
    </w:p>
    <w:p w14:paraId="77F23141">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13.5 清除不合格工程</w:t>
      </w:r>
    </w:p>
    <w:p w14:paraId="0CB9AA7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13.5.1 因承包人设计失误，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609D966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13.5.2 由于发包人提供的材料或工程设备不合格造成的工程不合格，需要承包人采取措施补救的，发包人应承担由此增加的费用和(或)工期延误，并支付承包人合理利润。</w:t>
      </w:r>
    </w:p>
    <w:p w14:paraId="24106C6A">
      <w:pPr>
        <w:spacing w:before="120" w:beforeLines="50" w:after="120" w:afterLines="50" w:line="360" w:lineRule="atLeast"/>
        <w:rPr>
          <w:rFonts w:ascii="Times New Roman" w:hAnsi="Times New Roman" w:eastAsia="黑体"/>
          <w:b/>
          <w:bCs/>
          <w:sz w:val="28"/>
          <w:szCs w:val="28"/>
        </w:rPr>
      </w:pPr>
      <w:bookmarkStart w:id="282" w:name="_Toc138951378"/>
      <w:bookmarkStart w:id="283" w:name="_Toc63255714"/>
      <w:r>
        <w:rPr>
          <w:rFonts w:ascii="Times New Roman" w:hAnsi="Times New Roman" w:eastAsia="黑体"/>
          <w:b/>
          <w:bCs/>
          <w:sz w:val="28"/>
          <w:szCs w:val="28"/>
        </w:rPr>
        <w:t>14. 试验和检验</w:t>
      </w:r>
      <w:bookmarkEnd w:id="282"/>
      <w:bookmarkEnd w:id="283"/>
    </w:p>
    <w:p w14:paraId="26432211">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14.1 材料、工程设备和工程的试验和检验</w:t>
      </w:r>
    </w:p>
    <w:p w14:paraId="61AB004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14.1.1 本款适用于竣工试验之前的试验和检验。</w:t>
      </w:r>
    </w:p>
    <w:p w14:paraId="17D14D4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14.1.2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02DA44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14.1.3 监理人未按合同约定派员参加试验和检验的，除监理人另有指示外，承包人可自行试验和检验，并应立即将试验和检验结果报送监理人，监理人应签字确认。</w:t>
      </w:r>
    </w:p>
    <w:p w14:paraId="0CCCA17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14.1.4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0E6CEF5F">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14.2 现场材料试验</w:t>
      </w:r>
    </w:p>
    <w:p w14:paraId="5D82B18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14.2.1 承包人根据合同约定或监理人指示进行的现场材料试验，应由承包人提供试验场所、试验人员、试验设备器材以及其他必要的试验条件。</w:t>
      </w:r>
    </w:p>
    <w:p w14:paraId="1F096EB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14.2.2 监理人在必要时可以使用承包人的试验场所、试验设备器材以及其他试验条件，进行以工程质量检查为目的的复核性材料试验，承包人应予以协助。</w:t>
      </w:r>
    </w:p>
    <w:p w14:paraId="2A91E17B">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14.3 现场工艺试验</w:t>
      </w:r>
    </w:p>
    <w:p w14:paraId="3D69576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承包人应按合同约定或监理人指示进行现场工艺试验。对大型的现场工艺试验，监理人认为必要时，应由承包人根据监理人提出的工艺试验要求，编制工艺试验措施计划，报送监理人批准。</w:t>
      </w:r>
    </w:p>
    <w:p w14:paraId="7AE98D41">
      <w:pPr>
        <w:spacing w:before="120" w:beforeLines="50" w:after="120" w:afterLines="50" w:line="360" w:lineRule="atLeast"/>
        <w:rPr>
          <w:rFonts w:ascii="Times New Roman" w:hAnsi="Times New Roman" w:eastAsia="黑体"/>
          <w:b/>
          <w:bCs/>
          <w:sz w:val="28"/>
          <w:szCs w:val="28"/>
        </w:rPr>
      </w:pPr>
      <w:bookmarkStart w:id="284" w:name="_Toc138951379"/>
      <w:bookmarkStart w:id="285" w:name="_Toc63255715"/>
      <w:r>
        <w:rPr>
          <w:rFonts w:ascii="Times New Roman" w:hAnsi="Times New Roman" w:eastAsia="黑体"/>
          <w:b/>
          <w:bCs/>
          <w:sz w:val="28"/>
          <w:szCs w:val="28"/>
        </w:rPr>
        <w:t>15. 变更</w:t>
      </w:r>
      <w:bookmarkEnd w:id="284"/>
      <w:bookmarkEnd w:id="285"/>
    </w:p>
    <w:p w14:paraId="4050B0C8">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15.1 变更权</w:t>
      </w:r>
    </w:p>
    <w:p w14:paraId="27D641B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在履行合同过程中，经发包人同意，监理人可按第15.3 款约定的变更程序向承包人作出有关发包人要求改变的变更指示，承包人应遵照执行。变更应在相应内容实施前提出，否则发包人应承担承包人损失。没有监理人的变更指示，承包人不得擅自变更。</w:t>
      </w:r>
    </w:p>
    <w:p w14:paraId="4532E72B">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15.2 承包人的合理化建议</w:t>
      </w:r>
    </w:p>
    <w:p w14:paraId="6C5C88C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15.2.1 在履行合同过程中，承包人对发包人要求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款约定向承包人发出变更指示。</w:t>
      </w:r>
    </w:p>
    <w:p w14:paraId="71FBD7C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15.2.2 承包人提出的合理化建议降低了合同价格、缩短了工期或者提高了工程经济效益的，发包人可按国家有关规定在专用合同条款中约定给予奖励。</w:t>
      </w:r>
    </w:p>
    <w:p w14:paraId="12D17CD2">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15.3 变更程序</w:t>
      </w:r>
    </w:p>
    <w:p w14:paraId="3B46759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15.3.1 变更的提出</w:t>
      </w:r>
    </w:p>
    <w:p w14:paraId="1001958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在合同履行过程中，监理人可向承包人发出变更意向书。变更意向书应说明变更的具体内容和发包人对变更的时间要求，并附必要的相关资料。变更意向书应要求承包人提交包括拟实施变更工作的设计和计划、措施和竣工时间等内容的实施方案。发包人同意承包人根据变更意向书要求提交的变更实施方案的，由监理人按第15.3.3 项约定发出变更指示。</w:t>
      </w:r>
    </w:p>
    <w:p w14:paraId="056C7D8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承包人收到监理人按合同约定发出的文件，经检查认为其中存在对发包人要求变更情形的，可向监理人提出书面变更建议。变更建议应阐明要求变更的依据，以及实施该变更工作对合同价款和工期的影响，并附必要的图纸和说明。监理人收到承包人书面建议后，应与发包人共同研究，确认存在变更的，应在收到承包人书面建议后的14 天内作出变更指示。经研究后不同意作为变更的，应由监理人书面答复承包人。</w:t>
      </w:r>
    </w:p>
    <w:p w14:paraId="1FB617F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(3)承包人收到监理人的变更意向书后认为难以实施此项变更的，应立即通知监理人，说明原因并附详细依据。监理人与承包人和发包人协商后确定撤销、改变或不改变原变更意向书。</w:t>
      </w:r>
    </w:p>
    <w:p w14:paraId="0282FA6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15.3.2 变更估价</w:t>
      </w:r>
    </w:p>
    <w:p w14:paraId="2FDD19D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监理人应按照第3.5 款商定或确定变更价格。变更价格应包括合理的利润，并应考虑承包人根据第15.2款提出的合理化建议。</w:t>
      </w:r>
    </w:p>
    <w:p w14:paraId="6FB2AA3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15.3.3 变更指示</w:t>
      </w:r>
    </w:p>
    <w:p w14:paraId="0C7736C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(1)变更指示只能由监理人发出。</w:t>
      </w:r>
    </w:p>
    <w:p w14:paraId="0BD36E3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(2)变更指示应说明变更的目的、范围、变更内容以及变更的工程量及其进度和技术要求，并附有关图纸和文件。承包人收到变更指示后，应按变更指示进行变更工作。</w:t>
      </w:r>
    </w:p>
    <w:p w14:paraId="0BD68533">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15.4 暂列金额</w:t>
      </w:r>
    </w:p>
    <w:p w14:paraId="2D2B3CE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经发包人同意，承包人可使用暂列金额，但应按照第15.6款规定的程序进行，并对合同价格进行相应调整。</w:t>
      </w:r>
    </w:p>
    <w:p w14:paraId="06E2F128">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15.5 计日工(A)</w:t>
      </w:r>
    </w:p>
    <w:p w14:paraId="6C3C89F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15.5.1 发包人认为有必要时，由监理人通知承包人以计日工方式实施变更的零星工作。其价款按列入合同中的计日工计价子目及其单价进行计算。</w:t>
      </w:r>
    </w:p>
    <w:p w14:paraId="64A2682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15.5.2 采用计日工计价的任何一项变更工作，应从暂列金额中支付，承包人应在该项变更的实施过程中，每天提交以下报表和有关凭证报送监理人批准：</w:t>
      </w:r>
    </w:p>
    <w:p w14:paraId="4C31842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(1)工作名称、内容和数量；</w:t>
      </w:r>
    </w:p>
    <w:p w14:paraId="1A1D05A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(2)投入该工作所有人员的姓名、专业/工种、级别和耗用工时；</w:t>
      </w:r>
    </w:p>
    <w:p w14:paraId="125396D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(3)投入该工作的材料类别和数量；</w:t>
      </w:r>
    </w:p>
    <w:p w14:paraId="4CD672C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(4)投入该工作的施工设备型号、台数和耗用台时；</w:t>
      </w:r>
    </w:p>
    <w:p w14:paraId="427703B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(5)监理人要求提交的其他资料和凭证。</w:t>
      </w:r>
    </w:p>
    <w:p w14:paraId="2BD7B28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15.5.3 计日工由承包人汇总后，按第17.3.3 项的约定列入进度付款申请单，由监理人复核并经发包人同意后列入进度付款。</w:t>
      </w:r>
    </w:p>
    <w:p w14:paraId="34888544">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15.5 计日工(B)</w:t>
      </w:r>
    </w:p>
    <w:p w14:paraId="5CCBF54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签约合同价包括计日工的，按合同约定进行支付。</w:t>
      </w:r>
    </w:p>
    <w:p w14:paraId="0DCDA987">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15.6 暂估价(A)</w:t>
      </w:r>
    </w:p>
    <w:p w14:paraId="1BCE969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15.6.1 发包人在价格清单中给定暂估价的专业服务、材料、工程设备和专业工程属于依法必须招标的范围并达到规定的规模标准的，由发包人和承包人以招标的方式选择供应商或分包人。发包人和承包人的权利义务关系在专用合同条款中约定。中标金额与价格清单中所列的暂估价的金额差以及相应的税金等其他费用列入合同价格。</w:t>
      </w:r>
    </w:p>
    <w:p w14:paraId="28417F7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15.6.2 发包人在价格清单中给定暂估价的专业服务、材料和工程设备不属于依法必须招标的范围或未达到规定的规模标准的，应由承包人按第6.1 款的约定提供。经监理人确认的专业服务、材料、工程设备的价格与价格清单中所列的暂估价的金额差以及相应的税金等其他费用列入合同价格。</w:t>
      </w:r>
    </w:p>
    <w:p w14:paraId="1E0C67B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15.6.3 发包人在价格清单中给定暂估价的专业工程不属于依法必须招标的范围或未达到规定的规模标准的，由监理人按照第15.3.2项进行估价，但专用合同条款另有约定的除外。经估价的专业工程与价格清单中所列的暂估价的金额差以及相应的税金等其他费用列入合同价格。</w:t>
      </w:r>
    </w:p>
    <w:p w14:paraId="171C73AB">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15.6 暂估价(B)</w:t>
      </w:r>
    </w:p>
    <w:p w14:paraId="6D3FAB8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签约合同价包括暂估价的，按合同约定进行支付。</w:t>
      </w:r>
    </w:p>
    <w:p w14:paraId="6C22D889">
      <w:pPr>
        <w:spacing w:before="120" w:beforeLines="50" w:after="120" w:afterLines="50" w:line="360" w:lineRule="atLeast"/>
        <w:rPr>
          <w:rFonts w:ascii="Times New Roman" w:hAnsi="Times New Roman" w:eastAsia="黑体"/>
          <w:b/>
          <w:bCs/>
          <w:sz w:val="28"/>
          <w:szCs w:val="28"/>
        </w:rPr>
      </w:pPr>
      <w:bookmarkStart w:id="286" w:name="_Toc138951380"/>
      <w:bookmarkStart w:id="287" w:name="_Toc63255716"/>
      <w:r>
        <w:rPr>
          <w:rFonts w:ascii="Times New Roman" w:hAnsi="Times New Roman" w:eastAsia="黑体"/>
          <w:b/>
          <w:bCs/>
          <w:sz w:val="28"/>
          <w:szCs w:val="28"/>
        </w:rPr>
        <w:t>16. 价格调整</w:t>
      </w:r>
      <w:bookmarkEnd w:id="286"/>
      <w:bookmarkEnd w:id="287"/>
    </w:p>
    <w:p w14:paraId="6E90B8D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16.1 物价波动引起的调整(Ａ)</w:t>
      </w:r>
    </w:p>
    <w:p w14:paraId="3EFDD41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除专用合同条款另有约定外，因物价波动引起的价格调整按照本款约定处理。</w:t>
      </w:r>
    </w:p>
    <w:p w14:paraId="29E385B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16.1.1 采用价格指数调整价格差额(适用于投标函附录约定了价格指数和权重的)</w:t>
      </w:r>
    </w:p>
    <w:p w14:paraId="4D6819E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16.1.1.1 价格调整公式</w:t>
      </w:r>
    </w:p>
    <w:p w14:paraId="7F20AAB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因人工、材料和设备等价格波动影响合同价格时，根据投标函附录中的价格指数和权重表约定的数据，按以下公式计算差额并调整合同价格。</w:t>
      </w:r>
    </w:p>
    <w:p w14:paraId="35AABD66">
      <w:pPr>
        <w:spacing w:line="400" w:lineRule="exact"/>
        <w:ind w:firstLine="2940" w:firstLineChars="1050"/>
        <w:rPr>
          <w:rFonts w:ascii="Times New Roman" w:hAnsi="Times New Roman" w:eastAsia="宋体"/>
          <w:sz w:val="28"/>
          <w:szCs w:val="28"/>
        </w:rPr>
      </w:pPr>
      <w:r>
        <w:rPr>
          <w:rFonts w:ascii="Times New Roman" w:hAnsi="Times New Roman" w:eastAsia="宋体"/>
          <w:sz w:val="28"/>
          <w:szCs w:val="28"/>
        </w:rPr>
        <w:t>F</w:t>
      </w:r>
      <w:r>
        <w:rPr>
          <w:rFonts w:ascii="Times New Roman" w:hAnsi="Times New Roman" w:eastAsia="宋体"/>
          <w:sz w:val="28"/>
          <w:szCs w:val="28"/>
          <w:vertAlign w:val="subscript"/>
        </w:rPr>
        <w:t xml:space="preserve">t1        </w:t>
      </w:r>
      <w:r>
        <w:rPr>
          <w:rFonts w:ascii="Times New Roman" w:hAnsi="Times New Roman" w:eastAsia="宋体"/>
          <w:sz w:val="28"/>
          <w:szCs w:val="28"/>
        </w:rPr>
        <w:t xml:space="preserve"> F</w:t>
      </w:r>
      <w:r>
        <w:rPr>
          <w:rFonts w:ascii="Times New Roman" w:hAnsi="Times New Roman" w:eastAsia="宋体"/>
          <w:sz w:val="28"/>
          <w:szCs w:val="28"/>
          <w:vertAlign w:val="subscript"/>
        </w:rPr>
        <w:t xml:space="preserve">t2         </w:t>
      </w:r>
      <w:r>
        <w:rPr>
          <w:rFonts w:ascii="Times New Roman" w:hAnsi="Times New Roman" w:eastAsia="宋体"/>
          <w:sz w:val="28"/>
          <w:szCs w:val="28"/>
        </w:rPr>
        <w:t>F</w:t>
      </w:r>
      <w:r>
        <w:rPr>
          <w:rFonts w:ascii="Times New Roman" w:hAnsi="Times New Roman" w:eastAsia="宋体"/>
          <w:sz w:val="28"/>
          <w:szCs w:val="28"/>
          <w:vertAlign w:val="subscript"/>
        </w:rPr>
        <w:t xml:space="preserve">t3                 </w:t>
      </w:r>
      <w:r>
        <w:rPr>
          <w:rFonts w:ascii="Times New Roman" w:hAnsi="Times New Roman" w:eastAsia="宋体"/>
          <w:sz w:val="28"/>
          <w:szCs w:val="28"/>
        </w:rPr>
        <w:t>F</w:t>
      </w:r>
      <w:r>
        <w:rPr>
          <w:rFonts w:ascii="Times New Roman" w:hAnsi="Times New Roman" w:eastAsia="宋体"/>
          <w:sz w:val="28"/>
          <w:szCs w:val="28"/>
          <w:vertAlign w:val="subscript"/>
        </w:rPr>
        <w:t>tn</w:t>
      </w:r>
    </w:p>
    <w:p w14:paraId="1381A1EB">
      <w:pPr>
        <w:spacing w:line="400" w:lineRule="exact"/>
        <w:ind w:left="420" w:leftChars="200" w:firstLine="140" w:firstLineChars="50"/>
        <w:rPr>
          <w:rFonts w:ascii="Times New Roman" w:hAnsi="Times New Roman" w:eastAsia="宋体"/>
          <w:sz w:val="28"/>
          <w:szCs w:val="28"/>
        </w:rPr>
      </w:pPr>
      <w:r>
        <w:rPr>
          <w:rFonts w:ascii="Cambria Math" w:hAnsi="Cambria Math" w:eastAsia="宋体" w:cs="Cambria Math"/>
          <w:sz w:val="28"/>
          <w:szCs w:val="28"/>
        </w:rPr>
        <w:t>△</w:t>
      </w:r>
      <w:r>
        <w:rPr>
          <w:rFonts w:ascii="Times New Roman" w:hAnsi="Times New Roman" w:eastAsia="宋体"/>
          <w:sz w:val="28"/>
          <w:szCs w:val="28"/>
        </w:rPr>
        <w:t>P=P</w:t>
      </w:r>
      <w:r>
        <w:rPr>
          <w:rFonts w:ascii="Times New Roman" w:hAnsi="Times New Roman" w:eastAsia="宋体"/>
          <w:sz w:val="28"/>
          <w:szCs w:val="28"/>
          <w:vertAlign w:val="subscript"/>
        </w:rPr>
        <w:t>O</w:t>
      </w:r>
      <w:r>
        <w:rPr>
          <w:rFonts w:ascii="Times New Roman" w:hAnsi="Times New Roman" w:eastAsia="宋体"/>
          <w:sz w:val="28"/>
          <w:szCs w:val="28"/>
        </w:rPr>
        <w:t>［A+｛B</w:t>
      </w:r>
      <w:r>
        <w:rPr>
          <w:rFonts w:ascii="Times New Roman" w:hAnsi="Times New Roman" w:eastAsia="宋体"/>
          <w:sz w:val="28"/>
          <w:szCs w:val="28"/>
          <w:vertAlign w:val="subscript"/>
        </w:rPr>
        <w:t>1</w:t>
      </w:r>
      <w:r>
        <w:rPr>
          <w:rFonts w:ascii="Times New Roman" w:hAnsi="Times New Roman" w:eastAsia="宋体"/>
          <w:sz w:val="28"/>
          <w:szCs w:val="28"/>
        </w:rPr>
        <w:t>×—＋B</w:t>
      </w:r>
      <w:r>
        <w:rPr>
          <w:rFonts w:ascii="Times New Roman" w:hAnsi="Times New Roman" w:eastAsia="宋体"/>
          <w:sz w:val="28"/>
          <w:szCs w:val="28"/>
          <w:vertAlign w:val="subscript"/>
        </w:rPr>
        <w:t>2</w:t>
      </w:r>
      <w:r>
        <w:rPr>
          <w:rFonts w:ascii="Times New Roman" w:hAnsi="Times New Roman" w:eastAsia="宋体"/>
          <w:sz w:val="28"/>
          <w:szCs w:val="28"/>
        </w:rPr>
        <w:t>×—＋B</w:t>
      </w:r>
      <w:r>
        <w:rPr>
          <w:rFonts w:ascii="Times New Roman" w:hAnsi="Times New Roman" w:eastAsia="宋体"/>
          <w:sz w:val="28"/>
          <w:szCs w:val="28"/>
          <w:vertAlign w:val="subscript"/>
        </w:rPr>
        <w:t>3</w:t>
      </w:r>
      <w:r>
        <w:rPr>
          <w:rFonts w:ascii="Times New Roman" w:hAnsi="Times New Roman" w:eastAsia="宋体"/>
          <w:sz w:val="28"/>
          <w:szCs w:val="28"/>
        </w:rPr>
        <w:t>×—＋…＋B</w:t>
      </w:r>
      <w:r>
        <w:rPr>
          <w:rFonts w:ascii="Times New Roman" w:hAnsi="Times New Roman" w:eastAsia="宋体"/>
          <w:sz w:val="28"/>
          <w:szCs w:val="28"/>
          <w:vertAlign w:val="subscript"/>
        </w:rPr>
        <w:t>n</w:t>
      </w:r>
      <w:r>
        <w:rPr>
          <w:rFonts w:ascii="Times New Roman" w:hAnsi="Times New Roman" w:eastAsia="宋体"/>
          <w:sz w:val="28"/>
          <w:szCs w:val="28"/>
        </w:rPr>
        <w:t xml:space="preserve">×—｝－1］ </w:t>
      </w:r>
    </w:p>
    <w:p w14:paraId="64FE2956">
      <w:pPr>
        <w:spacing w:line="400" w:lineRule="exact"/>
        <w:ind w:left="420" w:leftChars="200" w:firstLine="2380" w:firstLineChars="850"/>
        <w:rPr>
          <w:rFonts w:ascii="Times New Roman" w:hAnsi="Times New Roman" w:eastAsia="宋体"/>
          <w:sz w:val="28"/>
          <w:szCs w:val="28"/>
        </w:rPr>
      </w:pPr>
      <w:r>
        <w:rPr>
          <w:rFonts w:ascii="Times New Roman" w:hAnsi="Times New Roman" w:eastAsia="宋体"/>
          <w:sz w:val="28"/>
          <w:szCs w:val="28"/>
        </w:rPr>
        <w:t>F</w:t>
      </w:r>
      <w:r>
        <w:rPr>
          <w:rFonts w:ascii="Times New Roman" w:hAnsi="Times New Roman" w:eastAsia="宋体"/>
          <w:sz w:val="28"/>
          <w:szCs w:val="28"/>
          <w:vertAlign w:val="subscript"/>
        </w:rPr>
        <w:t xml:space="preserve">01        </w:t>
      </w:r>
      <w:r>
        <w:rPr>
          <w:rFonts w:ascii="Times New Roman" w:hAnsi="Times New Roman" w:eastAsia="宋体"/>
          <w:sz w:val="28"/>
          <w:szCs w:val="28"/>
        </w:rPr>
        <w:t>F</w:t>
      </w:r>
      <w:r>
        <w:rPr>
          <w:rFonts w:ascii="Times New Roman" w:hAnsi="Times New Roman" w:eastAsia="宋体"/>
          <w:sz w:val="28"/>
          <w:szCs w:val="28"/>
          <w:vertAlign w:val="subscript"/>
        </w:rPr>
        <w:t xml:space="preserve">02       </w:t>
      </w:r>
      <w:r>
        <w:rPr>
          <w:rFonts w:ascii="Times New Roman" w:hAnsi="Times New Roman" w:eastAsia="宋体"/>
          <w:sz w:val="28"/>
          <w:szCs w:val="28"/>
        </w:rPr>
        <w:t>F</w:t>
      </w:r>
      <w:r>
        <w:rPr>
          <w:rFonts w:ascii="Times New Roman" w:hAnsi="Times New Roman" w:eastAsia="宋体"/>
          <w:sz w:val="28"/>
          <w:szCs w:val="28"/>
          <w:vertAlign w:val="subscript"/>
        </w:rPr>
        <w:t xml:space="preserve">03              </w:t>
      </w:r>
      <w:r>
        <w:rPr>
          <w:rFonts w:ascii="Times New Roman" w:hAnsi="Times New Roman" w:eastAsia="宋体"/>
          <w:sz w:val="28"/>
          <w:szCs w:val="28"/>
        </w:rPr>
        <w:t>F</w:t>
      </w:r>
      <w:r>
        <w:rPr>
          <w:rFonts w:ascii="Times New Roman" w:hAnsi="Times New Roman" w:eastAsia="宋体"/>
          <w:sz w:val="28"/>
          <w:szCs w:val="28"/>
          <w:vertAlign w:val="subscript"/>
        </w:rPr>
        <w:t>04</w:t>
      </w:r>
    </w:p>
    <w:p w14:paraId="501C77B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式中：</w:t>
      </w:r>
      <w:r>
        <w:rPr>
          <w:rFonts w:ascii="Cambria Math" w:hAnsi="Cambria Math" w:eastAsia="宋体" w:cs="Cambria Math"/>
          <w:sz w:val="28"/>
          <w:szCs w:val="28"/>
        </w:rPr>
        <w:t>△</w:t>
      </w:r>
      <w:r>
        <w:rPr>
          <w:rFonts w:ascii="Times New Roman" w:hAnsi="Times New Roman" w:eastAsia="宋体"/>
          <w:sz w:val="28"/>
          <w:szCs w:val="28"/>
        </w:rPr>
        <w:t>P---需调整的价格差额；</w:t>
      </w:r>
    </w:p>
    <w:p w14:paraId="25A2C4B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P</w:t>
      </w:r>
      <w:r>
        <w:rPr>
          <w:rFonts w:ascii="Times New Roman" w:hAnsi="Times New Roman" w:eastAsia="宋体"/>
          <w:sz w:val="28"/>
          <w:szCs w:val="28"/>
          <w:vertAlign w:val="subscript"/>
        </w:rPr>
        <w:t>O</w:t>
      </w:r>
      <w:r>
        <w:rPr>
          <w:rFonts w:ascii="Times New Roman" w:hAnsi="Times New Roman" w:eastAsia="宋体"/>
          <w:sz w:val="28"/>
          <w:szCs w:val="28"/>
        </w:rPr>
        <w:t>---第17.3.4 项、第17.5.2 项和第17.6.2 项约定的付款证书中承包人应得到的已完成工作量的金额。此项金额应不包括价格调整、不计质量保证金的扣留和支付、预付款的支付和扣回。第15条约定的变更及其他金额已按当期价格计价的，也不计在内；</w:t>
      </w:r>
    </w:p>
    <w:p w14:paraId="37A9C7E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 xml:space="preserve">A ---定值权重(即不调部分的权重)； </w:t>
      </w:r>
    </w:p>
    <w:p w14:paraId="0C8C0FD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B</w:t>
      </w:r>
      <w:r>
        <w:rPr>
          <w:rFonts w:ascii="Times New Roman" w:hAnsi="Times New Roman" w:eastAsia="宋体"/>
          <w:sz w:val="28"/>
          <w:szCs w:val="28"/>
          <w:vertAlign w:val="subscript"/>
        </w:rPr>
        <w:t>1</w:t>
      </w:r>
      <w:r>
        <w:rPr>
          <w:rFonts w:ascii="Times New Roman" w:hAnsi="Times New Roman" w:eastAsia="宋体"/>
          <w:sz w:val="28"/>
          <w:szCs w:val="28"/>
        </w:rPr>
        <w:t>；B</w:t>
      </w:r>
      <w:r>
        <w:rPr>
          <w:rFonts w:ascii="Times New Roman" w:hAnsi="Times New Roman" w:eastAsia="宋体"/>
          <w:sz w:val="28"/>
          <w:szCs w:val="28"/>
          <w:vertAlign w:val="subscript"/>
        </w:rPr>
        <w:t>2</w:t>
      </w:r>
      <w:r>
        <w:rPr>
          <w:rFonts w:ascii="Times New Roman" w:hAnsi="Times New Roman" w:eastAsia="宋体"/>
          <w:sz w:val="28"/>
          <w:szCs w:val="28"/>
        </w:rPr>
        <w:t>；B</w:t>
      </w:r>
      <w:r>
        <w:rPr>
          <w:rFonts w:ascii="Times New Roman" w:hAnsi="Times New Roman" w:eastAsia="宋体"/>
          <w:sz w:val="28"/>
          <w:szCs w:val="28"/>
          <w:vertAlign w:val="subscript"/>
        </w:rPr>
        <w:t>3</w:t>
      </w:r>
      <w:r>
        <w:rPr>
          <w:rFonts w:ascii="Times New Roman" w:hAnsi="Times New Roman" w:eastAsia="宋体"/>
          <w:sz w:val="28"/>
          <w:szCs w:val="28"/>
        </w:rPr>
        <w:t>；……B</w:t>
      </w:r>
      <w:r>
        <w:rPr>
          <w:rFonts w:ascii="Times New Roman" w:hAnsi="Times New Roman" w:eastAsia="宋体"/>
          <w:sz w:val="28"/>
          <w:szCs w:val="28"/>
          <w:vertAlign w:val="subscript"/>
        </w:rPr>
        <w:t>n</w:t>
      </w:r>
      <w:r>
        <w:rPr>
          <w:rFonts w:ascii="Times New Roman" w:hAnsi="Times New Roman" w:eastAsia="宋体"/>
          <w:sz w:val="28"/>
          <w:szCs w:val="28"/>
        </w:rPr>
        <w:t>---各可调因子的变值权重(即可调部分的权重)为各可调因子在投标函投标总报价中所占的比例；</w:t>
      </w:r>
    </w:p>
    <w:p w14:paraId="37383A5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F</w:t>
      </w:r>
      <w:r>
        <w:rPr>
          <w:rFonts w:ascii="Times New Roman" w:hAnsi="Times New Roman" w:eastAsia="宋体"/>
          <w:sz w:val="28"/>
          <w:szCs w:val="28"/>
          <w:vertAlign w:val="subscript"/>
        </w:rPr>
        <w:t>t1</w:t>
      </w:r>
      <w:r>
        <w:rPr>
          <w:rFonts w:ascii="Times New Roman" w:hAnsi="Times New Roman" w:eastAsia="宋体"/>
          <w:sz w:val="28"/>
          <w:szCs w:val="28"/>
        </w:rPr>
        <w:t>；F</w:t>
      </w:r>
      <w:r>
        <w:rPr>
          <w:rFonts w:ascii="Times New Roman" w:hAnsi="Times New Roman" w:eastAsia="宋体"/>
          <w:sz w:val="28"/>
          <w:szCs w:val="28"/>
          <w:vertAlign w:val="subscript"/>
        </w:rPr>
        <w:t>t2</w:t>
      </w:r>
      <w:r>
        <w:rPr>
          <w:rFonts w:ascii="Times New Roman" w:hAnsi="Times New Roman" w:eastAsia="宋体"/>
          <w:sz w:val="28"/>
          <w:szCs w:val="28"/>
        </w:rPr>
        <w:t>；F</w:t>
      </w:r>
      <w:r>
        <w:rPr>
          <w:rFonts w:ascii="Times New Roman" w:hAnsi="Times New Roman" w:eastAsia="宋体"/>
          <w:sz w:val="28"/>
          <w:szCs w:val="28"/>
          <w:vertAlign w:val="subscript"/>
        </w:rPr>
        <w:t>t3</w:t>
      </w:r>
      <w:r>
        <w:rPr>
          <w:rFonts w:ascii="Times New Roman" w:hAnsi="Times New Roman" w:eastAsia="宋体"/>
          <w:sz w:val="28"/>
          <w:szCs w:val="28"/>
        </w:rPr>
        <w:t>；……F</w:t>
      </w:r>
      <w:r>
        <w:rPr>
          <w:rFonts w:ascii="Times New Roman" w:hAnsi="Times New Roman" w:eastAsia="宋体"/>
          <w:sz w:val="28"/>
          <w:szCs w:val="28"/>
          <w:vertAlign w:val="subscript"/>
        </w:rPr>
        <w:t>tn</w:t>
      </w:r>
      <w:r>
        <w:rPr>
          <w:rFonts w:ascii="Times New Roman" w:hAnsi="Times New Roman" w:eastAsia="宋体"/>
          <w:sz w:val="28"/>
          <w:szCs w:val="28"/>
        </w:rPr>
        <w:t>---各可调因子的当期价格指数，指第17.3.3 项、第17.5.2 项和第17.6.2 项约定的付款证书相关周期最后一天的前42天的各可调因子的价格指数；</w:t>
      </w:r>
    </w:p>
    <w:p w14:paraId="24A5142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F</w:t>
      </w:r>
      <w:r>
        <w:rPr>
          <w:rFonts w:ascii="Times New Roman" w:hAnsi="Times New Roman" w:eastAsia="宋体"/>
          <w:sz w:val="28"/>
          <w:szCs w:val="28"/>
          <w:vertAlign w:val="subscript"/>
        </w:rPr>
        <w:t>01</w:t>
      </w:r>
      <w:r>
        <w:rPr>
          <w:rFonts w:ascii="Times New Roman" w:hAnsi="Times New Roman" w:eastAsia="宋体"/>
          <w:sz w:val="28"/>
          <w:szCs w:val="28"/>
        </w:rPr>
        <w:t>；F</w:t>
      </w:r>
      <w:r>
        <w:rPr>
          <w:rFonts w:ascii="Times New Roman" w:hAnsi="Times New Roman" w:eastAsia="宋体"/>
          <w:sz w:val="28"/>
          <w:szCs w:val="28"/>
          <w:vertAlign w:val="subscript"/>
        </w:rPr>
        <w:t>02</w:t>
      </w:r>
      <w:r>
        <w:rPr>
          <w:rFonts w:ascii="Times New Roman" w:hAnsi="Times New Roman" w:eastAsia="宋体"/>
          <w:sz w:val="28"/>
          <w:szCs w:val="28"/>
        </w:rPr>
        <w:t>；F</w:t>
      </w:r>
      <w:r>
        <w:rPr>
          <w:rFonts w:ascii="Times New Roman" w:hAnsi="Times New Roman" w:eastAsia="宋体"/>
          <w:sz w:val="28"/>
          <w:szCs w:val="28"/>
          <w:vertAlign w:val="subscript"/>
        </w:rPr>
        <w:t>03</w:t>
      </w:r>
      <w:r>
        <w:rPr>
          <w:rFonts w:ascii="Times New Roman" w:hAnsi="Times New Roman" w:eastAsia="宋体"/>
          <w:sz w:val="28"/>
          <w:szCs w:val="28"/>
        </w:rPr>
        <w:t>；……F</w:t>
      </w:r>
      <w:r>
        <w:rPr>
          <w:rFonts w:ascii="Times New Roman" w:hAnsi="Times New Roman" w:eastAsia="宋体"/>
          <w:sz w:val="28"/>
          <w:szCs w:val="28"/>
          <w:vertAlign w:val="subscript"/>
        </w:rPr>
        <w:t>0n</w:t>
      </w:r>
      <w:r>
        <w:rPr>
          <w:rFonts w:ascii="Times New Roman" w:hAnsi="Times New Roman" w:eastAsia="宋体"/>
          <w:sz w:val="28"/>
          <w:szCs w:val="28"/>
        </w:rPr>
        <w:t>---各可调因子的基本价格指数，指基准日期的各可调因子的价格指数。</w:t>
      </w:r>
    </w:p>
    <w:p w14:paraId="79AD0E5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40FCBE3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16.1.1.2 暂时确定调整差额</w:t>
      </w:r>
    </w:p>
    <w:p w14:paraId="78BE971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在计算调整差额时得不到当期价格指数的，可暂用上一次价格指数计算，并在以后的付款中再按实际价格指数进行调整。</w:t>
      </w:r>
    </w:p>
    <w:p w14:paraId="6195489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16.1.1.3 权重的调整</w:t>
      </w:r>
    </w:p>
    <w:p w14:paraId="5D58DCB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按第15.1 款约定的变更导致原定合同中的权重不合理的，由监理人与承包人和发包人协商后进行调整。</w:t>
      </w:r>
    </w:p>
    <w:p w14:paraId="203478E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16.1.1.4 承包人引起的工期延误后的价格调整</w:t>
      </w:r>
    </w:p>
    <w:p w14:paraId="12D0E72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由于承包人原因未在约定的工期内竣工的，则对原约定竣工日期后继续施工的工程，在使用第16.1.1. 1目价格调整公式时，应采用原约定竣工日期与实际竣工日期的两个价格指数中较低的一个作为当期价格指数。</w:t>
      </w:r>
    </w:p>
    <w:p w14:paraId="6489178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16.1.1.5 发包人引起的工期延误后的价格调整</w:t>
      </w:r>
    </w:p>
    <w:p w14:paraId="6C33EEF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由于发包人原因未在约定的工期内竣工的，则对原约定竣工日期后继续施工的工程，在使用第16.1.1.1目价格调整公式时，应采用原约定竣工日期与实际竣工日期的两个价格指数中较高的一个作为当期价格指数。</w:t>
      </w:r>
    </w:p>
    <w:p w14:paraId="6FBEA16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16.1.2 采用造价信息调整价格差额(适用于投标函附录没有约定价格指数和权重的)</w:t>
      </w:r>
    </w:p>
    <w:p w14:paraId="5E92149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合同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合同价格差额的依据。</w:t>
      </w:r>
    </w:p>
    <w:p w14:paraId="07F277C9">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16.1 物价波动引起的调整(B)</w:t>
      </w:r>
    </w:p>
    <w:p w14:paraId="1B810A8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除法律规定或专用合同条款另有约定外，合同价格不因物价波动进行调整。</w:t>
      </w:r>
    </w:p>
    <w:p w14:paraId="128E4DAF">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16.2 法律变化引起的调整</w:t>
      </w:r>
    </w:p>
    <w:p w14:paraId="0C26A69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在基准日后，因法律变化导致承包人在合同履行中所需费用发生除第16.1 款约定以外的增减时，监理人应根据法律、国家或省、自治区、直辖市有关部门的规定，按第3.5 款商定或确定需调整的合同价格。</w:t>
      </w:r>
    </w:p>
    <w:p w14:paraId="4EE84DA4">
      <w:pPr>
        <w:spacing w:before="120" w:beforeLines="50" w:after="120" w:afterLines="50" w:line="360" w:lineRule="atLeast"/>
        <w:rPr>
          <w:rFonts w:ascii="Times New Roman" w:hAnsi="Times New Roman" w:eastAsia="黑体"/>
          <w:b/>
          <w:bCs/>
          <w:sz w:val="28"/>
          <w:szCs w:val="28"/>
        </w:rPr>
      </w:pPr>
      <w:bookmarkStart w:id="288" w:name="_Toc63255717"/>
      <w:bookmarkStart w:id="289" w:name="_Toc138951381"/>
      <w:r>
        <w:rPr>
          <w:rFonts w:ascii="Times New Roman" w:hAnsi="Times New Roman" w:eastAsia="黑体"/>
          <w:b/>
          <w:bCs/>
          <w:sz w:val="28"/>
          <w:szCs w:val="28"/>
        </w:rPr>
        <w:t>17. 合同价格与支付</w:t>
      </w:r>
      <w:bookmarkEnd w:id="288"/>
      <w:bookmarkEnd w:id="289"/>
    </w:p>
    <w:p w14:paraId="3FEC2F8D">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17.1 合同价格</w:t>
      </w:r>
    </w:p>
    <w:p w14:paraId="7914A69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除专用合同条款另有约定外，</w:t>
      </w:r>
    </w:p>
    <w:p w14:paraId="558FFA3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(1)合同价格包括签约合同价以及按照合同约定进行的调整；</w:t>
      </w:r>
    </w:p>
    <w:p w14:paraId="64FDF1C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(2)合同价格包括承包人依据法律规定或合同约定应支付的规费和税金；</w:t>
      </w:r>
    </w:p>
    <w:p w14:paraId="468A7BD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5CE4ADE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合同约定工程的某部分按照实际完成的工程量进行支付的，应按照专用合同条款的约定进行计量和估价，并据此调整合同价格。</w:t>
      </w:r>
    </w:p>
    <w:p w14:paraId="7931A5BF">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17.2 预付款</w:t>
      </w:r>
    </w:p>
    <w:p w14:paraId="7085882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17.2.1 预付款</w:t>
      </w:r>
    </w:p>
    <w:p w14:paraId="11AE75D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预付款用于承包人为合同工程的设计和工程实施购置材料、工程设备、施工设备、修建临时设施以及组织施工队伍进场等。预付款的额度和支付在专用合同条款中约定。预付款必须专用于合同工作。</w:t>
      </w:r>
    </w:p>
    <w:p w14:paraId="68C79A4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17.2.2 预付款保函</w:t>
      </w:r>
    </w:p>
    <w:p w14:paraId="3F2FA47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除专用合同条款另有约定外，承包人应在收到预付款的同时向发包人提交预付款保函，预付款保函的担保金额应与预付款金额相同。保函的担保金额可根据预付款扣回的金额相应递减。</w:t>
      </w:r>
    </w:p>
    <w:p w14:paraId="11F3A2D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17.2.3 预付款的扣回与还清</w:t>
      </w:r>
    </w:p>
    <w:p w14:paraId="134BB45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预付款在进度付款中扣回，扣回办法在专用合同条款中约定。在颁发工程接收证书前，由于不可抗力或其他原因解除合同时，预付款尚未扣清的，尚未扣清的预付款余额应作为承包人的到期应付款。</w:t>
      </w:r>
    </w:p>
    <w:p w14:paraId="54711997">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17.3 工程进度付款</w:t>
      </w:r>
    </w:p>
    <w:p w14:paraId="2218D90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17.3.1 付款时间</w:t>
      </w:r>
    </w:p>
    <w:p w14:paraId="3553CC9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除专用合同条款另有约定外，工程进度付款按月支付。</w:t>
      </w:r>
    </w:p>
    <w:p w14:paraId="5324AF70">
      <w:pPr>
        <w:tabs>
          <w:tab w:val="left" w:pos="5670"/>
        </w:tabs>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17.3.2 支付分解表</w:t>
      </w:r>
    </w:p>
    <w:p w14:paraId="0C4E9E75">
      <w:pPr>
        <w:tabs>
          <w:tab w:val="left" w:pos="5670"/>
        </w:tabs>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除专用合同条款另有约定外，承包人应根据价格清单的价格构成、费用性质、计划发生时间和相应工作量等因素，按照以下分类和分解原则，结合第4.12.1项约定的合同进度计划，汇总形成月度支付分解报告。</w:t>
      </w:r>
    </w:p>
    <w:p w14:paraId="46EDBFB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 xml:space="preserve">(1)勘察设计费。按照提供勘察设计阶段性成果文件的时间、对应的工作量进行分解。 </w:t>
      </w:r>
    </w:p>
    <w:p w14:paraId="22884D7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(2)材料和工程设备费。分别按订立采购合同、进场验收合格、安装就位、工程竣工等阶段和专用条款约定的比例进行分解。</w:t>
      </w:r>
    </w:p>
    <w:p w14:paraId="5CE4216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(3)技术服务培训费。按照价格清单中的单价，结合第4.12.1项约定的合同进度计划对应的工作量进行分解。</w:t>
      </w:r>
    </w:p>
    <w:p w14:paraId="7908D5F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(4)其他工程价款。除第17.1款约定按已完成工程量计量支付的工程价款外，按照价格清单中的价格，结合第4.12.1项约定的合同进度计划拟完成的工程量或者比例进行分解。</w:t>
      </w:r>
    </w:p>
    <w:p w14:paraId="748CFCC2">
      <w:pPr>
        <w:tabs>
          <w:tab w:val="left" w:pos="5670"/>
        </w:tabs>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当在收到经监理人批复的合同进度计划后7天内，将支付分解报告以及形成支付分解报告的支持性资料报监理人审批，监理人应当在收到承包人报送的支付分解报告后7天内给予批复或提出修改意见，经监理人批准的支付分解报告为有合同约束力的支付分解表。合同进度计划进行了修订的，应相应修改支付分解表，并按本目规定报监理人批复。</w:t>
      </w:r>
    </w:p>
    <w:p w14:paraId="74BA29A7">
      <w:pPr>
        <w:tabs>
          <w:tab w:val="left" w:pos="5670"/>
        </w:tabs>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17.3.3 进度付款申请单</w:t>
      </w:r>
    </w:p>
    <w:p w14:paraId="6E079DD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承包人应在每笔进度款支付前，按监理人批准的格式和专用合同条款约定的份数，向监理人提交进度付款申请单，并附相应的支持性证明文件。除合同另有约定外，进度付款申请单应包括下列内容：</w:t>
      </w:r>
    </w:p>
    <w:p w14:paraId="6333BED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(1)当期应支付金额总额，以及截至当期期末累计应支付金额总额、已支付的进度付款金额总额；</w:t>
      </w:r>
    </w:p>
    <w:p w14:paraId="106A754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(2)当期根据支付分解表应支付金额，以及截至当期期末累计应支付金额；</w:t>
      </w:r>
    </w:p>
    <w:p w14:paraId="732D814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(3)当期根据第17.1款约定计量的已实施工程应支付金额，以及截至当期期末累计应支付金额；</w:t>
      </w:r>
    </w:p>
    <w:p w14:paraId="49BEFE2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(4)当期根据第15条应增加和扣减的变更金额，以及截至当期期末累计变更金额；</w:t>
      </w:r>
    </w:p>
    <w:p w14:paraId="5997116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(5)当期根据第23 条应增加和扣减的索赔金额，以及截至当期期末累计索赔金额；</w:t>
      </w:r>
    </w:p>
    <w:p w14:paraId="6B7D720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(6)当期根据第17.2 款约定应支付的预付款和扣减的返还预付款金额，以及截至当期期末累计返还预付款金额；</w:t>
      </w:r>
    </w:p>
    <w:p w14:paraId="2B587C9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(7)当期根据第17.4.1 项约定应扣减的质量保证金金额，以及截至当期期末累计扣减的质量保证金金额；</w:t>
      </w:r>
    </w:p>
    <w:p w14:paraId="5849801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(8)当期根据合同应增加和扣减的其他金额，以及截至当期期末累计增加和扣减的金额。</w:t>
      </w:r>
    </w:p>
    <w:p w14:paraId="65C2FC2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17.3.4 进度付款证书和支付时间</w:t>
      </w:r>
    </w:p>
    <w:p w14:paraId="1EF08C2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监理人在收到承包人进度付款申请单以及相应的支持性证明文件后的14天内完成审核，提出发包人到期应支付给承包人的金额以及相应的支持性材料，经发包人审批同意后，由监理人向承包人出具经发包人签认的进度付款证书。监理人未能在前述时间完成审核的，视为监理人同意承包人进度付款申请。监理人有权核减承包人未能按照合同要求履行任何工作或义务的相应金额。</w:t>
      </w:r>
    </w:p>
    <w:p w14:paraId="62515ED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(2)发包人最迟应在监理人收到进度付款申请单后的28 天内，将进度应付款支付给承包人。发包人未能在前述时间内完成审批或不予答复的，视为发包人同意进度付款申请。发包人不按期支付的，按专用合同条款的约定支付逾期付款违约金。</w:t>
      </w:r>
    </w:p>
    <w:p w14:paraId="5AC22D1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(3)监理人出具进度付款证书，不应视为监理人已同意、批准或接受了承包人完成的该部分工作。</w:t>
      </w:r>
    </w:p>
    <w:p w14:paraId="6571809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(4)进度付款涉及政府投资资金的，按照国库集中支付等国家相关规定和专用合同条款的约定执行。</w:t>
      </w:r>
    </w:p>
    <w:p w14:paraId="70503EC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17.3.5 工程进度付款的修正</w:t>
      </w:r>
    </w:p>
    <w:p w14:paraId="100BBF4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在对以往历次已签发的进度付款证书进行汇总和复核中发现错、漏或重复的，监理人有权予以修正，承包人也有权提出修正申请。经监理人、承包人复核同意的修正，应在本次进度付款中支付或扣除。</w:t>
      </w:r>
    </w:p>
    <w:p w14:paraId="4EE848E7">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17.4 质量保证金</w:t>
      </w:r>
    </w:p>
    <w:p w14:paraId="564E452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17.4.1 监理人应从发包人的每笔进度付款中，按专用合同条款的约定扣留质量保证金，直至扣留的质量保证金总额达到专用合同条款约定的金额或比例为止。质量保证金的计算额度不包括预付款的支付、扣回以及价格调整的金额。</w:t>
      </w:r>
    </w:p>
    <w:p w14:paraId="600AC5F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17.4.2 在第1.1.4.5 目约定的缺陷责任期满时，承包人向发包人申请到期应返还承包人剩余的质量保证金，发包人应在14天内会同承包人按照合同约定的内容核实承包人是否完成缺陷责任。如无异议，发包人应当在核实后将剩余质量保证金返还承包人。</w:t>
      </w:r>
    </w:p>
    <w:p w14:paraId="25E560E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17.4.3 在第1.1.4.5 目约定的缺陷责任期满时，承包人没有完成缺陷责任的，发包人有权扣留与未履行责任剩余工作所需金额相应的质量保证金余额，并有权根据第19.3 款约定要求延长缺陷责任期，直至完成剩余工作为止。</w:t>
      </w:r>
    </w:p>
    <w:p w14:paraId="20FCE3C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17.5 竣工结算</w:t>
      </w:r>
    </w:p>
    <w:p w14:paraId="4098A73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17.5.1 竣工付款申请单</w:t>
      </w:r>
    </w:p>
    <w:p w14:paraId="02BDC62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11A9117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(2)监理人对竣工付款申请单有异议的，有权要求承包人进行修正和提供补充资料。经监理人和承包人协商后，由承包人向监理人提交修正后的竣工付款申请单。</w:t>
      </w:r>
    </w:p>
    <w:p w14:paraId="31142BA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17.5.2 竣工付款证书及支付时间</w:t>
      </w:r>
    </w:p>
    <w:p w14:paraId="06BBA7F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053CE2E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(2)发包人应在监理人出具竣工付款证书后的14 天内，将应支付款支付给承包人。发包人不按期支付的，按第17.3.4(2)目的约定，将逾期付款违约金支付给承包人。</w:t>
      </w:r>
    </w:p>
    <w:p w14:paraId="1D2AC5A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(3)承包人对发包人签认的竣工付款证书有异议的，发包人可出具竣工付款申请单中承包人已同意部分的临时付款证书。存在争议的部分，按第24条的约定执行。</w:t>
      </w:r>
    </w:p>
    <w:p w14:paraId="748F43D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(4)竣工付款涉及政府投资资金的，按第17.3.4(4)目的约定执行。</w:t>
      </w:r>
    </w:p>
    <w:p w14:paraId="10807082">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17.6 最终结清</w:t>
      </w:r>
    </w:p>
    <w:p w14:paraId="7546A04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17.6.1 最终结清申请单</w:t>
      </w:r>
    </w:p>
    <w:p w14:paraId="3FB3BEE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(1)缺陷责任期终止证书签发后，承包人可按专用合同条款约定的份数和期限向监理人提交最终结清申请单，并提供相关证明材料。</w:t>
      </w:r>
    </w:p>
    <w:p w14:paraId="5307B34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(2)发包人对最终结清申请单内容有异议的，有权要求承包人进行修正和提供补充资料，由承包人向监理人提交修正后的最终结清申请单。</w:t>
      </w:r>
    </w:p>
    <w:p w14:paraId="079E423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17.6.2 最终结清证书和支付时间</w:t>
      </w:r>
    </w:p>
    <w:p w14:paraId="20A1107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7B47B16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(2)发包人应在监理人出具最终结清证书后的14 天内，将应支付款支付给承包人。</w:t>
      </w:r>
    </w:p>
    <w:p w14:paraId="4EA55FC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发包人不按期支付的，按第17.3.4(2)目的约定，将逾期付款违约金支付给承包人。</w:t>
      </w:r>
    </w:p>
    <w:p w14:paraId="7E0C026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(3)承包人对发包人签认的最终结清证书有异议的，按第24条的约定执行。</w:t>
      </w:r>
    </w:p>
    <w:p w14:paraId="5068ADF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(4)最终结清付款涉及政府投资资金的，按第17.3.4(4)目的约定执行。</w:t>
      </w:r>
    </w:p>
    <w:p w14:paraId="2FDF50A3">
      <w:pPr>
        <w:spacing w:before="120" w:beforeLines="50" w:after="120" w:afterLines="50" w:line="360" w:lineRule="atLeast"/>
        <w:rPr>
          <w:rFonts w:ascii="Times New Roman" w:hAnsi="Times New Roman" w:eastAsia="黑体"/>
          <w:b/>
          <w:bCs/>
          <w:sz w:val="28"/>
          <w:szCs w:val="28"/>
        </w:rPr>
      </w:pPr>
      <w:bookmarkStart w:id="290" w:name="_Toc63255718"/>
      <w:bookmarkStart w:id="291" w:name="_Toc138951382"/>
      <w:r>
        <w:rPr>
          <w:rFonts w:ascii="Times New Roman" w:hAnsi="Times New Roman" w:eastAsia="黑体"/>
          <w:b/>
          <w:bCs/>
          <w:sz w:val="28"/>
          <w:szCs w:val="28"/>
        </w:rPr>
        <w:t>18. 竣工试验和竣工验收</w:t>
      </w:r>
      <w:bookmarkEnd w:id="290"/>
      <w:bookmarkEnd w:id="291"/>
    </w:p>
    <w:p w14:paraId="1FCAA02C">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 xml:space="preserve">18.1 竣工试验   </w:t>
      </w:r>
    </w:p>
    <w:p w14:paraId="6A291DA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18.1.1承包人按照第5.5款和第5.6款提交文件后，进行竣工试验。</w:t>
      </w:r>
    </w:p>
    <w:p w14:paraId="7440CE2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18.1.2承包人应提前21天将可以开始进行竣工试验的日期通知监理人，监理人应在该日期后14天内，确定竣工试验具体时间。除专用合同条款中另有约定外，竣工试验应按下述顺序进行：</w:t>
      </w:r>
    </w:p>
    <w:p w14:paraId="13D548F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(1)第一阶段，承包人进行适当的检查和功能性试验，保证每一项工程设备都满足合同要求，并能安全地进入下一阶段试验；</w:t>
      </w:r>
    </w:p>
    <w:p w14:paraId="307C39F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(2)第二阶段，承包人进行试验，保证工程或区段工程满足合同要求，在所有可利用的操作条件下安全运行；</w:t>
      </w:r>
    </w:p>
    <w:p w14:paraId="1E79328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(3)第三阶段，当工程能安全运行时，承包人应通知监理人，可以进行其他竣工试验，包括各种性能测试，以证明工程符合发包人要求中列明的性能保证指标。</w:t>
      </w:r>
    </w:p>
    <w:p w14:paraId="6553CB2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18.1.3 承包人应按合同约定进行工程及工程设备试运行。试运行所需人员、设备、材料、燃料、电力、消耗品、工具等必要的条件以及试运行费用等由专用合同条款规定。</w:t>
      </w:r>
    </w:p>
    <w:p w14:paraId="0CC18FF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18.1.4 某项竣工试验未能通过的，承包人应按照监理人的指示限期改正，并承担合同约定的相应责任。</w:t>
      </w:r>
    </w:p>
    <w:p w14:paraId="30DD5581">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18.2 竣工验收申请报告</w:t>
      </w:r>
    </w:p>
    <w:p w14:paraId="4E0D8B6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当工程具备以下条件时，承包人即可向监理人报送竣工验收申请报告：</w:t>
      </w:r>
    </w:p>
    <w:p w14:paraId="01DFCCB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(1)除监理人同意列入缺陷责任期内完成的尾工(甩项)工程和缺陷修补工作外，合同范围内的全部区段工程以及有关工作，包括合同要求的试验和竣工试验均已完成，并符合合同要求；</w:t>
      </w:r>
    </w:p>
    <w:p w14:paraId="0409A2C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(2)已按合同约定的内容和份数备齐了符合要求的竣工文件；</w:t>
      </w:r>
    </w:p>
    <w:p w14:paraId="14196CA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(3)已按监理人的要求编制了在缺陷责任期内完成的尾工(甩项)工程和缺陷修补工作清单以及相应施工计划；</w:t>
      </w:r>
    </w:p>
    <w:p w14:paraId="3F1E04F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(4)监理人要求在竣工验收前应完成的其他工作；</w:t>
      </w:r>
    </w:p>
    <w:p w14:paraId="0F84585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(5)监理人要求提交的竣工验收资料清单。</w:t>
      </w:r>
    </w:p>
    <w:p w14:paraId="6DB4AC1A">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18.3 竣工验收</w:t>
      </w:r>
    </w:p>
    <w:p w14:paraId="110CDFD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监理人收到承包人按第18.2 款约定提交的竣工验收申请报告后，应审查申请报告的各项内容，并按以下不同情况进行处理。</w:t>
      </w:r>
    </w:p>
    <w:p w14:paraId="6AF2035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18.3.1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监理人收到竣工验收申请报告后28天内不予答复的，视为同意承包人的竣工验收申请，并应在收到该竣工验收申请报告后28天内提请发包人进行竣工验收。</w:t>
      </w:r>
    </w:p>
    <w:p w14:paraId="731F88A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18.3.2 监理人同意承包人提交的竣工验收申请报告的，应在收到该竣工验收申请报告后的28天内提请发包人进行工程验收。</w:t>
      </w:r>
    </w:p>
    <w:p w14:paraId="4BE8AA5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18.3.3 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3EE479B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 项、第18.3.2 项和第18.3.3 项的约定进行。</w:t>
      </w:r>
    </w:p>
    <w:p w14:paraId="452302E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18.3.5 除专用合同条款另有约定外，经验收合格工程的实际竣工日期，以提交竣工验收申请报告的日期为准，并在工程接收证书中写明。</w:t>
      </w:r>
    </w:p>
    <w:p w14:paraId="06D9FBC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18.3.6 发包人在收到承包人竣工验收申请报告56 天后未进行验收的，视为验收合格，实际竣工日期以提交竣工验收申请报告的日期为准，但发包人由于不可抗力不能进行验收的除外。</w:t>
      </w:r>
    </w:p>
    <w:p w14:paraId="7DBA02DF">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18.4 国家验收</w:t>
      </w:r>
    </w:p>
    <w:p w14:paraId="6FA6561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需要进行国家验收的，竣工验收是国家验收的一部分。竣工验收所采用的各项验收和评定标准应符合国家验收标准。发包人和承包人为竣工验收提供的各项竣工验收资料应符合国家验收的要求。</w:t>
      </w:r>
    </w:p>
    <w:p w14:paraId="1668B5B7">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18.5 区段工程验收</w:t>
      </w:r>
    </w:p>
    <w:p w14:paraId="1A030E7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18.5.1 发包人根据合同进度计划安排，在全部工程竣工前需要使用已经竣工的区段工程时，或承包人提出经发包人同意时，可进行区段工程验收。验收的程序可参照第18.2款与第18.3 款的约定进行。验收合格后，由监理人向承包人出具经发包人签认的区段工程验收证书。已签发区段工程接收证书的区段工程由发包人负责照管。区段工程的验收成果和结论作为全部工程竣工验收申请报告的附件。</w:t>
      </w:r>
    </w:p>
    <w:p w14:paraId="5AC8B50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18.5.2 发包人在全部工程竣工前，使用已接收的区段工程导致承包人费用增加的，发包人应承担由此增加的费用和(或)工期延误，并支付承包人合理利润。</w:t>
      </w:r>
    </w:p>
    <w:p w14:paraId="34E7B54A">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18.6 施工期运行</w:t>
      </w:r>
    </w:p>
    <w:p w14:paraId="54A1EC5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18.6.1 施工期运行是指合同工程尚未全部竣工，其中某项或某几项区段工程或工程设备安装已竣工，根据专用合同条款约定，需要投入施工期运行的，经发包人按第18.5 款的约定验收合格，证明能确保安全后，才能在施工期投入运行。</w:t>
      </w:r>
    </w:p>
    <w:p w14:paraId="323238C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18.6.2 在施工期运行中发现工程或工程设备损坏或存在缺陷的，由承包人按第19.2 款约定进行修复。</w:t>
      </w:r>
    </w:p>
    <w:p w14:paraId="60F3BC86">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18.7 竣工清场</w:t>
      </w:r>
    </w:p>
    <w:p w14:paraId="68BDA90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18.7.1 除合同另有约定外，工程接收证书颁发后，承包人应按以下要求对施工场地进行清理，直至监理人检验合格为止。竣工清场费用由承包人承担。</w:t>
      </w:r>
    </w:p>
    <w:p w14:paraId="4587ADC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(1)施工场地内残留的垃圾已全部清除出场；</w:t>
      </w:r>
    </w:p>
    <w:p w14:paraId="74D1ADD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(2)临时工程已拆除，场地已按合同要求进行清理、平整或复原；</w:t>
      </w:r>
    </w:p>
    <w:p w14:paraId="62BE210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(3)按合同约定应撤离的承包人设备和剩余的材料，包括废弃的施工设备和材料，已按计划撤离施工场地；</w:t>
      </w:r>
    </w:p>
    <w:p w14:paraId="4E25FE6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(4)工程建筑物周边及其附近道路、河道的施工堆积物，已按监理人指示全部清理；</w:t>
      </w:r>
    </w:p>
    <w:p w14:paraId="2E5C81C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(5)监理人指示的其他场地清理工作已全部完成。</w:t>
      </w:r>
    </w:p>
    <w:p w14:paraId="14D5468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18.7.2 承包人未按监理人的要求恢复临时占地，或者场地清理未达到合同约定的，发包人有权委托其他人恢复或清理，所发生的金额从拟支付给承包人的款项中扣除。</w:t>
      </w:r>
    </w:p>
    <w:p w14:paraId="234500FA">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18.8 施工队伍的撤离</w:t>
      </w:r>
    </w:p>
    <w:p w14:paraId="543251D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0B410D8A">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18.9 竣工后试验(A)</w:t>
      </w:r>
    </w:p>
    <w:p w14:paraId="01707E8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除专用合同条款另有约定外，发包人应：</w:t>
      </w:r>
    </w:p>
    <w:p w14:paraId="25F1A5D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(1)为竣工后试验提供必要的电力、设备、燃料、仪器、劳力、材料，以及具有适当资质和经验的工作人员；</w:t>
      </w:r>
    </w:p>
    <w:p w14:paraId="35DA9FB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(2)根据承包商按照第5.6款提供的手册，以及承包人给予的指导进行竣工后试验。</w:t>
      </w:r>
    </w:p>
    <w:p w14:paraId="7FA45E4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发包人应提前21天将竣工后试验的日期通知承包人。如果承包人未能在该日期出席竣工后试验，发包人可自行进行，承包人应对检验数据予以认可。</w:t>
      </w:r>
    </w:p>
    <w:p w14:paraId="7EFCADF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因承包人原因造成某项竣工后试验未能通过的，承包人应按照合同的约定进行赔偿，或者承包人提出修复建议，按照发包人指示的合理期限内改正，并承担合同约定的相应责任。</w:t>
      </w:r>
    </w:p>
    <w:p w14:paraId="541DF927">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18.9 竣工后试验(B)</w:t>
      </w:r>
    </w:p>
    <w:p w14:paraId="51998DA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除专用合同条款另有约定外：</w:t>
      </w:r>
    </w:p>
    <w:p w14:paraId="3574A61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(1)发包人为竣工后试验提供必要的电力、材料、燃料、发包人人员和工程设备；</w:t>
      </w:r>
    </w:p>
    <w:p w14:paraId="3B89E92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(2)承包人应提供竣工后试验所需要的所有其他设备、仪器，以及有资格和经验的工作人员；</w:t>
      </w:r>
    </w:p>
    <w:p w14:paraId="3BFB8C7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承包人应在发包人在场的情况下，进行竣工后试验。发包人应提前21天将竣工后试验的日期通知承包人。因承包人原因造成某项竣工后试验未能通过的，承包人应按照合同的约定进行赔偿，或者承包人提出修复建议，按照发包人指示的合理期限内改正，并承担合同约定的相应责任。</w:t>
      </w:r>
    </w:p>
    <w:p w14:paraId="00FA8D6F">
      <w:pPr>
        <w:spacing w:before="120" w:beforeLines="50" w:after="120" w:afterLines="50" w:line="360" w:lineRule="atLeast"/>
        <w:rPr>
          <w:rFonts w:ascii="Times New Roman" w:hAnsi="Times New Roman" w:eastAsia="黑体"/>
          <w:b/>
          <w:bCs/>
          <w:sz w:val="28"/>
          <w:szCs w:val="28"/>
        </w:rPr>
      </w:pPr>
      <w:bookmarkStart w:id="292" w:name="_Toc138951383"/>
      <w:bookmarkStart w:id="293" w:name="_Toc63255719"/>
      <w:r>
        <w:rPr>
          <w:rFonts w:ascii="Times New Roman" w:hAnsi="Times New Roman" w:eastAsia="黑体"/>
          <w:b/>
          <w:bCs/>
          <w:sz w:val="28"/>
          <w:szCs w:val="28"/>
        </w:rPr>
        <w:t>19. 缺陷责任与保修责任</w:t>
      </w:r>
      <w:bookmarkEnd w:id="292"/>
      <w:bookmarkEnd w:id="293"/>
    </w:p>
    <w:p w14:paraId="5092CB03">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19.1 缺陷责任期的起算时间</w:t>
      </w:r>
    </w:p>
    <w:p w14:paraId="5BC70ED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缺陷责任期自实际竣工日期起计算。在全部工程竣工验收前，已经发包人提前验收的区段工程或进入施工期运行的工程，其缺陷责任期的起算日期相应提前到相应工程竣工日。</w:t>
      </w:r>
    </w:p>
    <w:p w14:paraId="22C762B4">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19.2 缺陷责任</w:t>
      </w:r>
    </w:p>
    <w:p w14:paraId="2525AFD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19.2.1 承包人应在缺陷责任期内对已交付使用的工程承担缺陷责任。</w:t>
      </w:r>
    </w:p>
    <w:p w14:paraId="588628A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5EBB696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320E7A2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19.2.4 承包人不能在合理时间内修复缺陷的，发包人可自行修复或委托其他人修复，所需费用和利润的承担，按第19.2.3 项约定执行。</w:t>
      </w:r>
    </w:p>
    <w:p w14:paraId="7E01F2B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19.3 缺陷责任期的延长</w:t>
      </w:r>
    </w:p>
    <w:p w14:paraId="60BA8E2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由于承包人原因造成某项缺陷或损坏使某项工程或工程设备不能按原定目标使用而需要再次检查、检验和修复的，发包人有权要求承包人相应延长缺陷责任期，但缺陷责任期最长不超过2年。</w:t>
      </w:r>
    </w:p>
    <w:p w14:paraId="443A6DA0">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19.4 进一步试验和试运行</w:t>
      </w:r>
    </w:p>
    <w:p w14:paraId="0D85F8C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任何一项缺陷或损坏修复后，经检查证明其影响了工程或工程设备的使用性能，承包人应重新进行合同约定的试验和试运行，试验和试运行的全部费用应由责任方承担。</w:t>
      </w:r>
    </w:p>
    <w:p w14:paraId="520121E6">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19.5 承包人的进入权</w:t>
      </w:r>
    </w:p>
    <w:p w14:paraId="4F8FBE8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缺陷责任期内承包人为缺陷修复工作需要，有权进入工程现场，但应遵守发包人的保安和保密规定。</w:t>
      </w:r>
    </w:p>
    <w:p w14:paraId="2BA5C85B">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19.6 缺陷责任期终止证书</w:t>
      </w:r>
    </w:p>
    <w:p w14:paraId="17AEBD2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在第1.1.4.5目约定的缺陷责任期，包括根据第19.3款延长的期限终止后14天内，由监理人向承包人出具经发包人签认的缺陷责任期终止证书，并退还剩余的质量保证金。</w:t>
      </w:r>
    </w:p>
    <w:p w14:paraId="26DB6553">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19.7 保修责任</w:t>
      </w:r>
    </w:p>
    <w:p w14:paraId="087E978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合同当事人根据有关法律规定，在专用合同条款中约定工程质量保修范围、期限和责任。保修期自实际竣工日期起计算。在全部工程竣工验收前，已经发包人提前验收的区段工程，其保修期的起算日期相应提前。</w:t>
      </w:r>
    </w:p>
    <w:p w14:paraId="2E753AE9">
      <w:pPr>
        <w:spacing w:before="120" w:beforeLines="50" w:after="120" w:afterLines="50" w:line="360" w:lineRule="atLeast"/>
        <w:rPr>
          <w:rFonts w:ascii="Times New Roman" w:hAnsi="Times New Roman" w:eastAsia="黑体"/>
          <w:b/>
          <w:bCs/>
          <w:sz w:val="28"/>
          <w:szCs w:val="28"/>
        </w:rPr>
      </w:pPr>
      <w:bookmarkStart w:id="294" w:name="_Toc63255720"/>
      <w:bookmarkStart w:id="295" w:name="_Toc138951384"/>
      <w:r>
        <w:rPr>
          <w:rFonts w:ascii="Times New Roman" w:hAnsi="Times New Roman" w:eastAsia="黑体"/>
          <w:b/>
          <w:bCs/>
          <w:sz w:val="28"/>
          <w:szCs w:val="28"/>
        </w:rPr>
        <w:t>20. 保险</w:t>
      </w:r>
      <w:bookmarkEnd w:id="294"/>
      <w:bookmarkEnd w:id="295"/>
    </w:p>
    <w:p w14:paraId="17D285FA">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20.1 设计和工程保险</w:t>
      </w:r>
    </w:p>
    <w:p w14:paraId="2A024E2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本款约定为：</w:t>
      </w:r>
    </w:p>
    <w:p w14:paraId="62BC20C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建筑工程一切险和（或）安装工程一切险以暂估价形式计入总价，由发包人负责办理。</w:t>
      </w:r>
    </w:p>
    <w:p w14:paraId="498B4853">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20.2 工伤保险</w:t>
      </w:r>
    </w:p>
    <w:p w14:paraId="501E2C6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20.2.1 承包人员工伤保险</w:t>
      </w:r>
    </w:p>
    <w:p w14:paraId="4F72579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承包人应依照有关法律规定，为其履行合同所雇佣的全部人员投保工伤保险，缴纳工伤保险费，并要求其分包人也投保此项保险。</w:t>
      </w:r>
    </w:p>
    <w:p w14:paraId="60D053B0">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20.2.2 发包人员工伤保险</w:t>
      </w:r>
    </w:p>
    <w:p w14:paraId="79AF8E6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发包人应依照有关法律规定，为其现场机构雇佣的全部人员投保工伤保险，缴纳工伤保险费，并要求其监理人也进行此项保险。</w:t>
      </w:r>
    </w:p>
    <w:p w14:paraId="4E78BFE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20.3 人身意外伤害险</w:t>
      </w:r>
    </w:p>
    <w:p w14:paraId="34A7819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20.3.1 发包人应在整个施工期间为其现场机构雇用的全部人员，投保人身意外伤害险，缴纳保险费，并要求其监理人也进行此项保险。</w:t>
      </w:r>
    </w:p>
    <w:p w14:paraId="6FCF4A8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 xml:space="preserve">20.3.2 承包人应在整个施工期间为其现场机构雇用的全部人员，投保人身意外伤害险，缴纳保险费，并要求其分包人也进行此项保险。 </w:t>
      </w:r>
    </w:p>
    <w:p w14:paraId="77EC2679">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20.4 其他保险</w:t>
      </w:r>
    </w:p>
    <w:p w14:paraId="242D5AFE">
      <w:pPr>
        <w:spacing w:line="400" w:lineRule="exact"/>
        <w:ind w:firstLine="560" w:firstLineChars="200"/>
        <w:rPr>
          <w:rFonts w:ascii="Times New Roman" w:hAnsi="Times New Roman" w:eastAsia="宋体"/>
          <w:sz w:val="28"/>
          <w:szCs w:val="28"/>
        </w:rPr>
      </w:pPr>
      <w:r>
        <w:rPr>
          <w:rFonts w:hint="eastAsia" w:ascii="Times New Roman" w:hAnsi="Times New Roman" w:eastAsia="宋体"/>
          <w:sz w:val="28"/>
          <w:szCs w:val="28"/>
        </w:rPr>
        <w:t>第20.4.2项约定为：</w:t>
      </w:r>
    </w:p>
    <w:p w14:paraId="6DD101F1">
      <w:pPr>
        <w:spacing w:line="400" w:lineRule="exact"/>
        <w:ind w:firstLine="560" w:firstLineChars="200"/>
        <w:rPr>
          <w:rFonts w:ascii="Times New Roman" w:hAnsi="Times New Roman" w:eastAsia="宋体"/>
          <w:sz w:val="28"/>
          <w:szCs w:val="28"/>
        </w:rPr>
      </w:pPr>
      <w:r>
        <w:rPr>
          <w:rFonts w:hint="eastAsia" w:ascii="Times New Roman" w:hAnsi="Times New Roman" w:eastAsia="宋体"/>
          <w:sz w:val="28"/>
          <w:szCs w:val="28"/>
        </w:rPr>
        <w:t>第三者责任险的最低保险金额：100万元人民币，事故次数不限(不计免赔额)</w:t>
      </w:r>
    </w:p>
    <w:p w14:paraId="0091D462">
      <w:pPr>
        <w:spacing w:line="400" w:lineRule="exact"/>
        <w:ind w:firstLine="560" w:firstLineChars="200"/>
        <w:rPr>
          <w:rFonts w:ascii="Times New Roman" w:hAnsi="Times New Roman" w:eastAsia="宋体"/>
          <w:sz w:val="28"/>
          <w:szCs w:val="28"/>
        </w:rPr>
      </w:pPr>
      <w:r>
        <w:rPr>
          <w:rFonts w:hint="eastAsia" w:ascii="Times New Roman" w:hAnsi="Times New Roman" w:eastAsia="宋体"/>
          <w:sz w:val="28"/>
          <w:szCs w:val="28"/>
        </w:rPr>
        <w:t>保险费率：2.4‰</w:t>
      </w:r>
    </w:p>
    <w:p w14:paraId="0094454B">
      <w:pPr>
        <w:spacing w:line="400" w:lineRule="exact"/>
        <w:ind w:firstLine="560" w:firstLineChars="200"/>
        <w:rPr>
          <w:rFonts w:ascii="Times New Roman" w:hAnsi="Times New Roman" w:eastAsia="宋体"/>
          <w:sz w:val="28"/>
          <w:szCs w:val="28"/>
        </w:rPr>
      </w:pPr>
      <w:r>
        <w:rPr>
          <w:rFonts w:hint="eastAsia" w:ascii="Times New Roman" w:hAnsi="Times New Roman" w:eastAsia="宋体"/>
          <w:sz w:val="28"/>
          <w:szCs w:val="28"/>
        </w:rPr>
        <w:t>承包人应以发包人和承包人的共同名义投保第三者责任险。第三者责任险的保险费由承包人报价时列入工程量清单工程项目投标报价汇总表内。发包人在接到保险单后，将按照保险单的费用直接向承包人支付，但不超过工程量清单工程项目投标报价汇总表中所填报费用。</w:t>
      </w:r>
    </w:p>
    <w:p w14:paraId="1C6C245D">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20.5 对各项保险的一般要求</w:t>
      </w:r>
    </w:p>
    <w:p w14:paraId="348CCB8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20.5.1 保险凭证</w:t>
      </w:r>
    </w:p>
    <w:p w14:paraId="09A52CE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承包人应在专用合同条款约定的期限内向发包人提交各项保险生效的证据和保险单副本，保险单必须与专用合同条款约定的条件保持一致。</w:t>
      </w:r>
    </w:p>
    <w:p w14:paraId="2917782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20.5.2 保险合同条款的变动</w:t>
      </w:r>
    </w:p>
    <w:p w14:paraId="7386486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承包人需要变动保险合同条款时，应事先征得发包人同意，并通知监理人。保险人作出变动的，承包人应在收到保险人通知后立即通知发包人和监理人。</w:t>
      </w:r>
    </w:p>
    <w:p w14:paraId="4DA6261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20.5.3 持续保险</w:t>
      </w:r>
    </w:p>
    <w:p w14:paraId="28C4D3A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承包人应与保险人保持联系，使保险人能够随时了解工程实施中的变动，并确保按保险合同条款要求持续保险。</w:t>
      </w:r>
    </w:p>
    <w:p w14:paraId="2291652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20.5.4 保险金不足的补偿</w:t>
      </w:r>
    </w:p>
    <w:p w14:paraId="472E3AA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保险金不足以补偿损失的，应由承包人和(或)发包人按合同约定负责补偿。</w:t>
      </w:r>
    </w:p>
    <w:p w14:paraId="0FEE53E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20.5.5 未按约定投保的补救</w:t>
      </w:r>
    </w:p>
    <w:p w14:paraId="7AF5049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(1)由于负有投保义务的一方当事人未按合同约定办理保险，或未能使保险持续有效的，另一方当事人可代为办理，所需费用由对方当事人承担。</w:t>
      </w:r>
    </w:p>
    <w:p w14:paraId="7B2F48B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(2)由于负有投保义务的一方当事人未按合同约定办理某项保险，导致受益人未能得到保险人的赔偿，原应从该项保险得到的保险金应由负有投保义务的一方当事人支付。</w:t>
      </w:r>
    </w:p>
    <w:p w14:paraId="53E10D4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20.5.6 报告义务</w:t>
      </w:r>
    </w:p>
    <w:p w14:paraId="0ACE952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当保险事故发生时，投保人应按照保险单规定的条件和期限及时向保险人报告。</w:t>
      </w:r>
    </w:p>
    <w:p w14:paraId="54D38565">
      <w:pPr>
        <w:spacing w:before="120" w:beforeLines="50" w:after="120" w:afterLines="50" w:line="360" w:lineRule="atLeast"/>
        <w:rPr>
          <w:rFonts w:ascii="Times New Roman" w:hAnsi="Times New Roman" w:eastAsia="黑体"/>
          <w:b/>
          <w:bCs/>
          <w:sz w:val="28"/>
          <w:szCs w:val="28"/>
        </w:rPr>
      </w:pPr>
      <w:bookmarkStart w:id="296" w:name="_Toc138951385"/>
      <w:bookmarkStart w:id="297" w:name="_Toc63255721"/>
      <w:r>
        <w:rPr>
          <w:rFonts w:ascii="Times New Roman" w:hAnsi="Times New Roman" w:eastAsia="黑体"/>
          <w:b/>
          <w:bCs/>
          <w:sz w:val="28"/>
          <w:szCs w:val="28"/>
        </w:rPr>
        <w:t>21. 不可抗力</w:t>
      </w:r>
      <w:bookmarkEnd w:id="296"/>
      <w:bookmarkEnd w:id="297"/>
    </w:p>
    <w:p w14:paraId="2D271D6C">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21.1 不可抗力的确认</w:t>
      </w:r>
    </w:p>
    <w:p w14:paraId="302BE6F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21.1.1 不可抗力是指承包人和发包人在订立合同时不可预见，在履行合同过程中不可避免发生并不能克服的自然灾害和社会性突发事件，如地震、海啸、瘟疫、水灾、骚乱、暴动、战争和专用合同条款约定的其他情形。</w:t>
      </w:r>
    </w:p>
    <w:p w14:paraId="4D72B72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21.1.2 不可抗力发生后，发包人和承包人应及时认真统计所造成的损失，收集不可抗力造成损失的证据。合同双方对是否属于不可抗力或其损失的意见不一致的，由监理人按第3.5 款商定或确定。发生争议时，按第24条的约定执行。</w:t>
      </w:r>
    </w:p>
    <w:p w14:paraId="4D1FCF3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21.2 不可抗力的通知</w:t>
      </w:r>
    </w:p>
    <w:p w14:paraId="566E22A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21.2.1 合同一方当事人遇到不可抗力事件，使其履行合同义务受到阻碍时，应立即通知合同另一方当事人和监理人，书面说明不可抗力和受阻碍的详细情况，并提供必要的证明。</w:t>
      </w:r>
    </w:p>
    <w:p w14:paraId="02F98B6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21.2.2 如不可抗力持续发生，合同一方当事人应及时向合同另一方当事人和监理人提交中间报告，说明不可抗力和履行合同受阻的情况，并于不可抗力事件结束后28天内提交最终报告及有关资料。</w:t>
      </w:r>
    </w:p>
    <w:p w14:paraId="394F0887">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21.3 不可抗力后果及其处理</w:t>
      </w:r>
    </w:p>
    <w:p w14:paraId="22E208F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21.3.1 不可抗力造成损害的责任</w:t>
      </w:r>
    </w:p>
    <w:p w14:paraId="44853BA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除专用合同条款另有约定外，不可抗力导致的人员伤亡、财产损失、费用增加和(或)工期延误等后果，由合同双方按以下原则承担：</w:t>
      </w:r>
    </w:p>
    <w:p w14:paraId="43AB624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(1)永久工程，包括已运至施工场地的材料和工程设备的损害，以及因工程损害造成的第三者人员伤亡和财产损失由发包人承担；</w:t>
      </w:r>
    </w:p>
    <w:p w14:paraId="6DBC67A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(2)承包人设备的损坏由承包人承担；</w:t>
      </w:r>
    </w:p>
    <w:p w14:paraId="744BCF7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(3)发包人和承包人各自承担其人员伤亡和其他财产损失及其相关费用；</w:t>
      </w:r>
    </w:p>
    <w:p w14:paraId="61FA5D4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(4)承包人的停工损失由承包人承担，但停工期间应监理人要求照管工程和清理、修复工程的金额由发包人承担；</w:t>
      </w:r>
    </w:p>
    <w:p w14:paraId="3DA25D0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(5)不能按期竣工的，应合理延长工期，承包人不需支付逾期竣工违约金。发包人要求赶工的，承包人应采取赶工措施，赶工费用由发包人承担。</w:t>
      </w:r>
    </w:p>
    <w:p w14:paraId="1BCA1647">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21.3.2 延迟履行期间发生的不可抗力</w:t>
      </w:r>
    </w:p>
    <w:p w14:paraId="02630AE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合同一方当事人延迟履行，在延迟履行期间发生不可抗力的，不免除其责任。</w:t>
      </w:r>
    </w:p>
    <w:p w14:paraId="700B1D1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21.3.3 避免和减少不可抗力损失</w:t>
      </w:r>
    </w:p>
    <w:p w14:paraId="666AC98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不可抗力发生后，发包人和承包人均应采取措施尽量避免和减少损失的扩大，任何一方没有采取有效措施导致损失扩大的，应对扩大的损失承担责任。</w:t>
      </w:r>
    </w:p>
    <w:p w14:paraId="5EB6421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21.3.4 因不可抗力解除合同</w:t>
      </w:r>
    </w:p>
    <w:p w14:paraId="58FA8A0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合同一方当事人因不可抗力不能履行合同的，应当及时通知对方解除合同。合同解除后，承包人应按照第22.2.4 项约定撤离施工场地。已经订货的材料、设备由订货方负责退货或解除订货合同，不能退还的货款和因退货、解除订货合同发生的费用，由发包人承担，因未及时退货造成的损失由责任方承担。合同解除后的付款，参照第22.2.3 项约定，由监理人按第3.5 款商定或确定。</w:t>
      </w:r>
    </w:p>
    <w:p w14:paraId="4040FC5C">
      <w:pPr>
        <w:spacing w:before="120" w:beforeLines="50" w:after="120" w:afterLines="50" w:line="360" w:lineRule="atLeast"/>
        <w:rPr>
          <w:rFonts w:ascii="Times New Roman" w:hAnsi="Times New Roman" w:eastAsia="黑体"/>
          <w:b/>
          <w:bCs/>
          <w:sz w:val="28"/>
          <w:szCs w:val="28"/>
        </w:rPr>
      </w:pPr>
      <w:bookmarkStart w:id="298" w:name="_Toc138951386"/>
      <w:bookmarkStart w:id="299" w:name="_Toc63255722"/>
      <w:r>
        <w:rPr>
          <w:rFonts w:ascii="Times New Roman" w:hAnsi="Times New Roman" w:eastAsia="黑体"/>
          <w:b/>
          <w:bCs/>
          <w:sz w:val="28"/>
          <w:szCs w:val="28"/>
        </w:rPr>
        <w:t>22. 违约</w:t>
      </w:r>
      <w:bookmarkEnd w:id="298"/>
      <w:bookmarkEnd w:id="299"/>
    </w:p>
    <w:p w14:paraId="52396E1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22.1 承包人违约</w:t>
      </w:r>
    </w:p>
    <w:p w14:paraId="47C0597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22.1.1 承包人违约的情形</w:t>
      </w:r>
    </w:p>
    <w:p w14:paraId="12D195B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在履行合同过程中发生的下列情况之一的，属承包人违约：</w:t>
      </w:r>
    </w:p>
    <w:p w14:paraId="2464180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(1)承包人的设计、承包人文件、实施和竣工的工程不符合法律以及合同约定；</w:t>
      </w:r>
    </w:p>
    <w:p w14:paraId="1F5433B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(2)承包人违反第1.8 款或第4.3 款的约定，私自将合同的全部或部分权利转让给其他人，或私自将合同的全部或部分义务转移给其他人；</w:t>
      </w:r>
    </w:p>
    <w:p w14:paraId="30EAA18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(3)承包人违反第6.3 款或第7.4 款的约定，未经监理人批准，私自将已按合同约定进入施工场地的施工设备、临时设施或材料撤离施工场地；</w:t>
      </w:r>
    </w:p>
    <w:p w14:paraId="790C220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(4)承包人违反第6.5 款的约定使用了不合格材料或工程设备，工程质量达不到标准要求，又拒绝清除不合格工程；</w:t>
      </w:r>
    </w:p>
    <w:p w14:paraId="0F5C4D4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(5)承包人未能按合同进度计划及时完成合同约定的工作，造成工期延误；</w:t>
      </w:r>
    </w:p>
    <w:p w14:paraId="18EC804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(6)由于承包人原因未能通过竣工试验或竣工后试验的；</w:t>
      </w:r>
    </w:p>
    <w:p w14:paraId="5DBF191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(7)承包人在缺陷责任期内，未能对工程接收证书所列的缺陷清单的内容或缺陷责任期内发生的缺陷进行修复，而又拒绝按监理人指示再进行修补；</w:t>
      </w:r>
    </w:p>
    <w:p w14:paraId="7F770C6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(8)承包人无法继续履行或明确表示不履行或实质上已停止履行合同；</w:t>
      </w:r>
    </w:p>
    <w:p w14:paraId="2400E08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(9)承包人不按合同约定履行义务的其他情况。</w:t>
      </w:r>
    </w:p>
    <w:p w14:paraId="3954D86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22.1.2 对承包人违约的处理</w:t>
      </w:r>
    </w:p>
    <w:p w14:paraId="795F5DB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(1)承包人发生第22.1.1(6)目约定的违约情况时，按照发包人要求中的未能通过竣工/竣工后试验的损害进行赔偿。发生延期的，承包人应承担延期责任。</w:t>
      </w:r>
    </w:p>
    <w:p w14:paraId="32EAB4F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(2)承包人发生第22.1.1(8)目约定的违约情况时，发包人可通知承包人立即解除合同，并按第22.1.3项、第22.1.4项、第22.1.5项约定处理。</w:t>
      </w:r>
    </w:p>
    <w:p w14:paraId="77D3277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承包人发生除第22.1.1(6)目和第22.1.1(8)目约定以外的其他违约情况时，监理人可向承包人发出整改通知，要求其在指定的期限内纠正。除合同条款另有约定外，承包人应承担其违约所引起的费用增加和(或)工期延误。</w:t>
      </w:r>
    </w:p>
    <w:p w14:paraId="27C6814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22.1.3 因承包人违约解除合同</w:t>
      </w:r>
    </w:p>
    <w:p w14:paraId="73853EE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监理人发出整改通知28天后，承包人仍不纠正违约行为的，发包人有权解除合同并向承包人发出解除合同通知。承包人收到发包人解除合同通知后14天内，承包人应撤离现场，发包人派员进驻施工场地完成现场交接手续，发包人有权另行组织人员或委托其他承包人。发包人因继续完成该工程的需要，有权扣留使用承包人在现场的材料、设备和临时设施。但发包人的这一行动不免除承包人应承担的违约责任，也不影响发包人根据合同约定享有的索赔权利。</w:t>
      </w:r>
    </w:p>
    <w:p w14:paraId="25D54B2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22.1.4 发包人发出合同解除通知后的估价、付款和结清</w:t>
      </w:r>
    </w:p>
    <w:p w14:paraId="13D03F2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(1)承包人收到发包人解除合同通知后28天内，监理人按第3.5 款商定或确定承包人实际完成工作的价值，包括发包人扣留承包人的材料、设备及临时设施和承包人已提供的设计、材料、施工设备、工程设备、临时工程等的价值。</w:t>
      </w:r>
    </w:p>
    <w:p w14:paraId="0671848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(2)发包人发出解除合同通知后，发包人有权暂停对承包人的一切付款，查清各项付款和已扣款金额，包括承包人应支付的违约金。</w:t>
      </w:r>
    </w:p>
    <w:p w14:paraId="56FA6AD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(3)发包人发出解除合同通知后，发包人有权按第23.4 款的约定向承包人索赔由于解除合同给发包人造成的损失。</w:t>
      </w:r>
    </w:p>
    <w:p w14:paraId="7703D5E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(4)合同双方确认合同价款后，发包人颁发最终结清付款证书，并结清全部合同款项。</w:t>
      </w:r>
    </w:p>
    <w:p w14:paraId="198EC74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(5)发包人和承包人未能就解除合同后的结清达成一致而形成争议的，按第24条的约定执行。</w:t>
      </w:r>
    </w:p>
    <w:p w14:paraId="0B40ADB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22.1.5 协议利益的转让</w:t>
      </w:r>
    </w:p>
    <w:p w14:paraId="7660AD4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因承包人违约解除合同的，发包人有权要求承包人将其为实施合同而签订的材料和设备的订货协议或任何服务协议利益转让给发包人，并在承包人收到解除合同通知后的14天内，依法办理转让手续。发包人有权使用承包人文件和由承包人或以其名义编制的其他设计文件。</w:t>
      </w:r>
    </w:p>
    <w:p w14:paraId="73398F2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22.1.6 紧急情况下无能力或不愿进行抢救</w:t>
      </w:r>
    </w:p>
    <w:p w14:paraId="106A3D9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5CD8E672">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22.2 发包人违约</w:t>
      </w:r>
    </w:p>
    <w:p w14:paraId="520C22C6">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22.2.1 发包人违约的情形</w:t>
      </w:r>
    </w:p>
    <w:p w14:paraId="743DAD9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在履行合同过程中发生下列情形之一的，属发包人违约：</w:t>
      </w:r>
    </w:p>
    <w:p w14:paraId="324028D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(1)发包人未能按合同约定支付价款，或拖延、拒绝批准付款申请和支付凭证，导致付款延误；</w:t>
      </w:r>
    </w:p>
    <w:p w14:paraId="710A58A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(2)发包人原因造成停工；</w:t>
      </w:r>
    </w:p>
    <w:p w14:paraId="21ACC6EE">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(3)监理人无正当理由没有在约定期限内发出复工指示，导致承包人无法复工；</w:t>
      </w:r>
    </w:p>
    <w:p w14:paraId="45F664D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(4)发包人无法继续履行或明确表示不履行或实质上已停止履行合同；</w:t>
      </w:r>
    </w:p>
    <w:p w14:paraId="71E4453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(5)发包人不履行合同约定其他义务。</w:t>
      </w:r>
    </w:p>
    <w:p w14:paraId="5622598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22.2.2 因发包人违约解除合同</w:t>
      </w:r>
    </w:p>
    <w:p w14:paraId="137FA2E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(1)发生第22.2.1(4)目的违约情况时，承包人可书面通知发包人解除合同。</w:t>
      </w:r>
    </w:p>
    <w:p w14:paraId="2D64249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(2)承包人按12.2.1项约定暂停施工28天后，发包人仍不纠正违约行为的，承包人可向发包人发出解除合同通知。但承包人的这一行为不免除发包人承担的违约责任，也不影响承包人根据合同约定享有的索赔权利。</w:t>
      </w:r>
    </w:p>
    <w:p w14:paraId="17E55BE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22.2.3 解除合同后的付款</w:t>
      </w:r>
    </w:p>
    <w:p w14:paraId="7A770BD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因发包人违约解除合同的，发包人应在解除合同后28天内向承包人支付下列款项，承包人应在此期限内及时向发包人提交要求支付下列金额的有关资料和凭证：</w:t>
      </w:r>
    </w:p>
    <w:p w14:paraId="02D4710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(1)承包人发出解除合同通知前所完成工作的价款；</w:t>
      </w:r>
    </w:p>
    <w:p w14:paraId="4B37D75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(2)承包人为该工程施工订购并已付款的材料、工程设备和其他物品的金额。发包人付款后，该材料、工程设备和其他物品归发包人所有；</w:t>
      </w:r>
    </w:p>
    <w:p w14:paraId="05ECE86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(3)承包人为完成工程所发生的，而发包人未支付的金额；</w:t>
      </w:r>
    </w:p>
    <w:p w14:paraId="4EE3655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(4)承包人撤离施工场地以及遣散承包人人员的金额；</w:t>
      </w:r>
    </w:p>
    <w:p w14:paraId="089B09A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(5)因解除合同造成的承包人损失；</w:t>
      </w:r>
    </w:p>
    <w:p w14:paraId="5C424F6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(6)按合同约定在承包人发出解除合同通知前应支付给承包人的其他金额。</w:t>
      </w:r>
    </w:p>
    <w:p w14:paraId="6E1FA339">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发包人应按本项约定支付上述金额并退还质量保证金和履约担保，但有权要求承包人支付应偿还给发包人的各项金额。</w:t>
      </w:r>
    </w:p>
    <w:p w14:paraId="4A1B4968">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22.2.4 解除合同后的承包人撤离</w:t>
      </w:r>
    </w:p>
    <w:p w14:paraId="656F48E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因发包人违约而解除合同后，承包人应妥善处理正在施工的工程和已购材料、设备的保护和移交工作，并按发包人的要求将承包人设备和人员撤出施工场地。承包人撤出施工场地应遵守第18.7.1 项的约定，发包人应为承包人撤出提供必要条件并办理移交手续。</w:t>
      </w:r>
    </w:p>
    <w:p w14:paraId="55E02FBB">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22.3 第三人造成的违约</w:t>
      </w:r>
    </w:p>
    <w:p w14:paraId="51BEE77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在履行合同过程中，一方当事人因第三人的原因造成违约的，应当向对方当事人承担违约责任。一方当事人和第三人之间的纠纷，依照法律规定或者按照约定解决。</w:t>
      </w:r>
    </w:p>
    <w:p w14:paraId="6852A3A8">
      <w:pPr>
        <w:spacing w:before="120" w:beforeLines="50" w:after="120" w:afterLines="50" w:line="360" w:lineRule="atLeast"/>
        <w:rPr>
          <w:rFonts w:ascii="Times New Roman" w:hAnsi="Times New Roman" w:eastAsia="黑体"/>
          <w:b/>
          <w:bCs/>
          <w:sz w:val="28"/>
          <w:szCs w:val="28"/>
        </w:rPr>
      </w:pPr>
      <w:bookmarkStart w:id="300" w:name="_Toc63255723"/>
      <w:bookmarkStart w:id="301" w:name="_Toc138951387"/>
      <w:r>
        <w:rPr>
          <w:rFonts w:ascii="Times New Roman" w:hAnsi="Times New Roman" w:eastAsia="黑体"/>
          <w:b/>
          <w:bCs/>
          <w:sz w:val="28"/>
          <w:szCs w:val="28"/>
        </w:rPr>
        <w:t>23. 索赔</w:t>
      </w:r>
      <w:bookmarkEnd w:id="300"/>
      <w:bookmarkEnd w:id="301"/>
    </w:p>
    <w:p w14:paraId="7F15D91F">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23.1 承包人索赔的提出</w:t>
      </w:r>
    </w:p>
    <w:p w14:paraId="527176E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根据合同约定，承包人认为有权得到追加付款和(或)延长工期的，应按以下程序向发包人提出索赔：</w:t>
      </w:r>
    </w:p>
    <w:p w14:paraId="24097ED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(1)承包人应在知道或应当知道索赔事件发生后28 天内，向监理人递交索赔意向通知书，并说明发生索赔事件的事由。承包人未在前述28天内发出索赔意向通知书的，工期不予顺延，且承包人无权获得追加付款；</w:t>
      </w:r>
    </w:p>
    <w:p w14:paraId="5EA1B9B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(2)承包人应在发出索赔意向通知书后28天内，向监理人正式递交索赔通知书。索赔通知书应详细说明索赔理由以及要求追加的付款金额和(或)延长的工期，并附必要的记录和证明材料；</w:t>
      </w:r>
    </w:p>
    <w:p w14:paraId="674C7D2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(3)索赔事件具有连续影响的，承包人应按合理时间间隔继续递交延续索赔通知，说明连续影响的实际情况和记录，列出累计的追加付款金额和(或)工期延长天数；</w:t>
      </w:r>
    </w:p>
    <w:p w14:paraId="4DF5DDF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(4)在索赔事件影响结束后的28 天内，承包人应向监理人递交最终索赔通知书，说明最终要求索赔的追加付款金额和延长的工期，并附必要的记录和证明材料。</w:t>
      </w:r>
    </w:p>
    <w:p w14:paraId="33DC9A4E">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23.2 承包人索赔处理程序</w:t>
      </w:r>
    </w:p>
    <w:p w14:paraId="1A47F8C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(1)监理人收到承包人提交的索赔通知书后，应及时审查索赔通知书的内容、查验承包人的记录和证明材料，必要时监理人可要求承包人提交全部原始记录副本。</w:t>
      </w:r>
    </w:p>
    <w:p w14:paraId="22B3390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(2)监理人应按第3.5 款商定或确定追加的付款和(或)延长的工期，并在收到上述索赔通知书或有关索赔的进一步证明材料后的42天内，将索赔处理结果答复承包人。监理人应当在收到索赔通知书或有关索赔的进一步证明材料后的42天内不予答复的，视为认可索赔。</w:t>
      </w:r>
    </w:p>
    <w:p w14:paraId="746B267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(3)承包人接受索赔处理结果的，发包人应在作出索赔处理结果答复后28 天内完成赔付。承包人不接受索赔处理结果的，按第24条的约定执行。</w:t>
      </w:r>
    </w:p>
    <w:p w14:paraId="5F08F0BC">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23.3 承包人提出索赔的期限</w:t>
      </w:r>
    </w:p>
    <w:p w14:paraId="5122188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23.3.1 承包人按第17.5 款的约定接受了竣工付款证书后，应被认为已无权再提出在合同工程接收证书颁发前所发生的任何索赔。</w:t>
      </w:r>
    </w:p>
    <w:p w14:paraId="361628C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23.3.2 承包人按第17.6 款的约定提交的最终结清申请单中，只限于提出工程接收证书颁发后发生的索赔。提出索赔的期限自接受最终结清证书时终止。</w:t>
      </w:r>
    </w:p>
    <w:p w14:paraId="6339618D">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23.4 发包人的索赔</w:t>
      </w:r>
    </w:p>
    <w:p w14:paraId="5E23510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23.4.1 发包人应在知道或应当知道索赔事件发生后28天内，向承包人发出索赔通知，并说明发包人有权扣减的付款和(或)延长缺陷责任期的细节和依据。发包人未在前述28天内发出索赔通知的，丧失要求扣减付款和(或)延长缺陷责任期的权利。发包人提出索赔的期限和要求与第23.3 款的约定相同，要求延长缺陷责任期的通知应在缺陷责任期届满前发出。</w:t>
      </w:r>
    </w:p>
    <w:p w14:paraId="63C94F94">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23.4.2 发包人按第3.5 款商定或确定发包人从承包人处得到赔付的金额和(或)缺陷责任期的延长期。承包人应付给发包人的金额可从拟支付给承包人的合同价款中扣除，或由承包人以其他方式支付给发包人。</w:t>
      </w:r>
    </w:p>
    <w:p w14:paraId="63A3088F">
      <w:pPr>
        <w:spacing w:before="120" w:beforeLines="50" w:after="120" w:afterLines="50" w:line="360" w:lineRule="atLeast"/>
        <w:rPr>
          <w:rFonts w:ascii="Times New Roman" w:hAnsi="Times New Roman" w:eastAsia="黑体"/>
          <w:b/>
          <w:bCs/>
          <w:sz w:val="28"/>
          <w:szCs w:val="28"/>
        </w:rPr>
      </w:pPr>
      <w:bookmarkStart w:id="302" w:name="_Toc138951388"/>
      <w:bookmarkStart w:id="303" w:name="_Toc63255724"/>
      <w:r>
        <w:rPr>
          <w:rFonts w:ascii="Times New Roman" w:hAnsi="Times New Roman" w:eastAsia="黑体"/>
          <w:b/>
          <w:bCs/>
          <w:sz w:val="28"/>
          <w:szCs w:val="28"/>
        </w:rPr>
        <w:t>24. 争议的解决</w:t>
      </w:r>
      <w:bookmarkEnd w:id="302"/>
      <w:bookmarkEnd w:id="303"/>
    </w:p>
    <w:p w14:paraId="2CF30532">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24.1 争议的解决方式</w:t>
      </w:r>
    </w:p>
    <w:p w14:paraId="3468A092">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3583440B">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(1)向约定的仲裁委员会申请仲裁；</w:t>
      </w:r>
    </w:p>
    <w:p w14:paraId="6746599D">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(2)向有管辖权的人民法院提起诉讼。</w:t>
      </w:r>
    </w:p>
    <w:p w14:paraId="6B689536">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24.2 友好解决</w:t>
      </w:r>
    </w:p>
    <w:p w14:paraId="69B84CB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在提请争议评审、仲裁或者诉讼前，以及在争议评审、仲裁或诉讼过程中，发包人和承包人均可共同努力友好协商解决争议。</w:t>
      </w:r>
    </w:p>
    <w:p w14:paraId="5BA7D654">
      <w:pPr>
        <w:spacing w:before="120" w:beforeLines="50" w:after="120" w:afterLines="50" w:line="360" w:lineRule="atLeast"/>
        <w:rPr>
          <w:rFonts w:ascii="Times New Roman" w:hAnsi="Times New Roman" w:eastAsia="黑体"/>
          <w:b/>
          <w:bCs/>
          <w:sz w:val="28"/>
          <w:szCs w:val="28"/>
        </w:rPr>
      </w:pPr>
      <w:r>
        <w:rPr>
          <w:rFonts w:ascii="Times New Roman" w:hAnsi="Times New Roman" w:eastAsia="黑体"/>
          <w:b/>
          <w:bCs/>
          <w:sz w:val="28"/>
          <w:szCs w:val="28"/>
        </w:rPr>
        <w:t>24.3 争议评审</w:t>
      </w:r>
    </w:p>
    <w:p w14:paraId="7AEF102F">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24.3.1 采用争议评审的，发包人和承包人应在开工日后的28天内或在争议发生后，协商成立争议评审组。争议评审组由有合同管理和工程实践经验的专家组成。</w:t>
      </w:r>
    </w:p>
    <w:p w14:paraId="46157E6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24.3.2 合同双方的争议，应首先由申请人向争议评审组提交一份详细的评审申请报告，并附必要的文件、图纸和证明材料，申请人还应将上述报告的副本同时提交给被申请人和监理人。</w:t>
      </w:r>
    </w:p>
    <w:p w14:paraId="09CBA34C">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24.3.3 被申请人在收到申请人评审申请报告副本后的28 天内，向争议评审组提交一份答辩报告，并附证明材料。被申请人应将答辩报告的副本同时提交给申请人和监理人。</w:t>
      </w:r>
    </w:p>
    <w:p w14:paraId="62974281">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24.3.4 除专用合同条款另有约定外，争议评审组在收到合同双方报告后的14天内，邀请双方代表和有关人员举行调查会，向双方调查争议细节；必要时争议评审组可要求双方进一步提供补充材料。</w:t>
      </w:r>
    </w:p>
    <w:p w14:paraId="70248693">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14:paraId="6C2297F5">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24.3.6 发包人和承包人接受评审意见的，由监理人根据评审意见拟定执行协议，经争议双方签字后作为合同的补充文件，并遵照执行。</w:t>
      </w:r>
    </w:p>
    <w:p w14:paraId="491BDCDA">
      <w:pPr>
        <w:spacing w:line="400" w:lineRule="exact"/>
        <w:ind w:firstLine="560" w:firstLineChars="200"/>
        <w:rPr>
          <w:rFonts w:ascii="Times New Roman" w:hAnsi="Times New Roman" w:eastAsia="宋体"/>
          <w:sz w:val="28"/>
          <w:szCs w:val="28"/>
        </w:rPr>
      </w:pPr>
      <w:r>
        <w:rPr>
          <w:rFonts w:ascii="Times New Roman" w:hAnsi="Times New Roman" w:eastAsia="宋体"/>
          <w:sz w:val="28"/>
          <w:szCs w:val="28"/>
        </w:rPr>
        <w:t>24.3.7 发包人或承包人不接受评审意见，并要求提交仲裁或提起诉讼的，应在收到评审意见后的14 天内将仲裁或起诉意向书面通知另一方，并抄送监理人，但在仲裁或诉讼结束前应暂按总监理工程师的确定执行。</w:t>
      </w:r>
    </w:p>
    <w:bookmarkEnd w:id="256"/>
    <w:p w14:paraId="0D53FA6A">
      <w:pPr>
        <w:spacing w:line="360" w:lineRule="auto"/>
        <w:ind w:firstLine="420" w:firstLineChars="200"/>
        <w:rPr>
          <w:rFonts w:hint="default" w:ascii="Times New Roman" w:hAnsi="Times New Roman" w:cs="Times New Roman"/>
          <w:szCs w:val="20"/>
        </w:rPr>
      </w:pPr>
    </w:p>
    <w:p w14:paraId="08325E24">
      <w:pPr>
        <w:spacing w:line="360" w:lineRule="auto"/>
        <w:ind w:firstLine="420" w:firstLineChars="200"/>
        <w:rPr>
          <w:rFonts w:hint="default" w:ascii="Times New Roman" w:hAnsi="Times New Roman" w:cs="Times New Roman"/>
          <w:szCs w:val="20"/>
        </w:rPr>
      </w:pPr>
    </w:p>
    <w:p w14:paraId="09F9B52B">
      <w:pPr>
        <w:spacing w:line="360" w:lineRule="auto"/>
        <w:ind w:firstLine="420" w:firstLineChars="200"/>
        <w:rPr>
          <w:rFonts w:hint="default" w:ascii="Times New Roman" w:hAnsi="Times New Roman" w:cs="Times New Roman"/>
          <w:szCs w:val="20"/>
        </w:rPr>
      </w:pPr>
    </w:p>
    <w:p w14:paraId="3D5B8DA8">
      <w:pPr>
        <w:spacing w:line="360" w:lineRule="auto"/>
        <w:ind w:firstLine="420" w:firstLineChars="200"/>
        <w:rPr>
          <w:rFonts w:hint="default" w:ascii="Times New Roman" w:hAnsi="Times New Roman" w:cs="Times New Roman"/>
          <w:szCs w:val="20"/>
        </w:rPr>
      </w:pPr>
    </w:p>
    <w:p w14:paraId="1F175268">
      <w:pPr>
        <w:spacing w:line="360" w:lineRule="auto"/>
        <w:ind w:firstLine="420" w:firstLineChars="200"/>
        <w:rPr>
          <w:rFonts w:hint="default" w:ascii="Times New Roman" w:hAnsi="Times New Roman" w:cs="Times New Roman"/>
          <w:szCs w:val="20"/>
        </w:rPr>
      </w:pPr>
    </w:p>
    <w:p w14:paraId="1CA506A3">
      <w:pPr>
        <w:spacing w:line="360" w:lineRule="auto"/>
        <w:ind w:firstLine="420" w:firstLineChars="200"/>
        <w:rPr>
          <w:rFonts w:hint="default" w:ascii="Times New Roman" w:hAnsi="Times New Roman" w:cs="Times New Roman"/>
          <w:szCs w:val="20"/>
        </w:rPr>
      </w:pPr>
    </w:p>
    <w:p w14:paraId="379805FE">
      <w:pPr>
        <w:spacing w:line="360" w:lineRule="auto"/>
        <w:ind w:firstLine="420" w:firstLineChars="200"/>
        <w:rPr>
          <w:rFonts w:hint="default" w:ascii="Times New Roman" w:hAnsi="Times New Roman" w:cs="Times New Roman"/>
          <w:szCs w:val="20"/>
        </w:rPr>
      </w:pPr>
    </w:p>
    <w:p w14:paraId="20419741">
      <w:pPr>
        <w:spacing w:line="360" w:lineRule="auto"/>
        <w:ind w:firstLine="420" w:firstLineChars="200"/>
        <w:rPr>
          <w:rFonts w:hint="default" w:ascii="Times New Roman" w:hAnsi="Times New Roman" w:cs="Times New Roman"/>
          <w:szCs w:val="20"/>
        </w:rPr>
      </w:pPr>
    </w:p>
    <w:p w14:paraId="64B02C66">
      <w:pPr>
        <w:spacing w:line="360" w:lineRule="auto"/>
        <w:ind w:firstLine="420" w:firstLineChars="200"/>
        <w:rPr>
          <w:rFonts w:hint="default" w:ascii="Times New Roman" w:hAnsi="Times New Roman" w:cs="Times New Roman"/>
          <w:szCs w:val="20"/>
        </w:rPr>
      </w:pPr>
    </w:p>
    <w:p w14:paraId="71060AC3">
      <w:pPr>
        <w:spacing w:line="360" w:lineRule="auto"/>
        <w:ind w:firstLine="420" w:firstLineChars="200"/>
        <w:rPr>
          <w:rFonts w:hint="default" w:ascii="Times New Roman" w:hAnsi="Times New Roman" w:cs="Times New Roman"/>
          <w:szCs w:val="20"/>
        </w:rPr>
      </w:pPr>
    </w:p>
    <w:p w14:paraId="4F521900">
      <w:pPr>
        <w:spacing w:line="360" w:lineRule="auto"/>
        <w:ind w:firstLine="420" w:firstLineChars="200"/>
        <w:rPr>
          <w:rFonts w:hint="default" w:ascii="Times New Roman" w:hAnsi="Times New Roman" w:cs="Times New Roman"/>
          <w:szCs w:val="20"/>
        </w:rPr>
      </w:pPr>
    </w:p>
    <w:p w14:paraId="66121133">
      <w:pPr>
        <w:keepNext/>
        <w:keepLines/>
        <w:widowControl w:val="0"/>
        <w:spacing w:before="200" w:after="200" w:line="360" w:lineRule="auto"/>
        <w:jc w:val="center"/>
        <w:outlineLvl w:val="0"/>
        <w:rPr>
          <w:rFonts w:hint="default" w:ascii="Times New Roman" w:hAnsi="Times New Roman" w:eastAsia="黑体" w:cs="Times New Roman"/>
          <w:bCs/>
          <w:sz w:val="32"/>
          <w:szCs w:val="32"/>
        </w:rPr>
      </w:pPr>
      <w:bookmarkStart w:id="304" w:name="_Toc13405"/>
      <w:bookmarkStart w:id="305" w:name="_Toc29527"/>
      <w:r>
        <w:rPr>
          <w:rFonts w:hint="default" w:ascii="Times New Roman" w:hAnsi="Times New Roman" w:eastAsia="黑体" w:cs="Times New Roman"/>
          <w:bCs/>
          <w:kern w:val="2"/>
          <w:sz w:val="32"/>
          <w:szCs w:val="32"/>
          <w:lang w:val="en-US" w:eastAsia="zh-CN" w:bidi="ar-SA"/>
        </w:rPr>
        <w:t>第二节 专用合同条款</w:t>
      </w:r>
      <w:bookmarkEnd w:id="304"/>
      <w:bookmarkEnd w:id="305"/>
    </w:p>
    <w:p w14:paraId="76D19FE9">
      <w:pPr>
        <w:keepNext/>
        <w:keepLines/>
        <w:spacing w:before="48" w:beforeLines="20" w:line="440" w:lineRule="exact"/>
        <w:outlineLvl w:val="0"/>
        <w:rPr>
          <w:rFonts w:eastAsia="黑体"/>
          <w:b/>
          <w:bCs w:val="0"/>
          <w:color w:val="auto"/>
          <w:sz w:val="24"/>
          <w:szCs w:val="32"/>
        </w:rPr>
      </w:pPr>
      <w:bookmarkStart w:id="306" w:name="_Toc9385"/>
      <w:r>
        <w:rPr>
          <w:rFonts w:eastAsia="黑体"/>
          <w:b/>
          <w:bCs w:val="0"/>
          <w:color w:val="auto"/>
          <w:sz w:val="24"/>
          <w:szCs w:val="32"/>
        </w:rPr>
        <w:t>1.</w:t>
      </w:r>
      <w:r>
        <w:rPr>
          <w:rFonts w:hint="eastAsia" w:eastAsia="黑体"/>
          <w:b/>
          <w:bCs w:val="0"/>
          <w:color w:val="auto"/>
          <w:sz w:val="24"/>
          <w:szCs w:val="32"/>
        </w:rPr>
        <w:t xml:space="preserve"> </w:t>
      </w:r>
      <w:r>
        <w:rPr>
          <w:rFonts w:hAnsi="Arial" w:eastAsia="黑体"/>
          <w:b/>
          <w:bCs w:val="0"/>
          <w:color w:val="auto"/>
          <w:sz w:val="24"/>
          <w:szCs w:val="32"/>
        </w:rPr>
        <w:t>一般约定</w:t>
      </w:r>
    </w:p>
    <w:p w14:paraId="040397BD">
      <w:pPr>
        <w:keepNext/>
        <w:keepLines/>
        <w:spacing w:before="120" w:beforeLines="50" w:line="440" w:lineRule="exact"/>
        <w:outlineLvl w:val="0"/>
        <w:rPr>
          <w:rFonts w:ascii="黑体" w:hAnsi="黑体" w:eastAsia="黑体"/>
          <w:color w:val="auto"/>
        </w:rPr>
      </w:pPr>
      <w:r>
        <w:rPr>
          <w:rFonts w:ascii="黑体" w:hAnsi="黑体" w:eastAsia="黑体"/>
          <w:color w:val="auto"/>
        </w:rPr>
        <w:t>1.1 词语定义</w:t>
      </w:r>
    </w:p>
    <w:p w14:paraId="10112857">
      <w:pPr>
        <w:spacing w:line="440" w:lineRule="exact"/>
        <w:rPr>
          <w:rFonts w:eastAsia="宋体"/>
          <w:color w:val="auto"/>
        </w:rPr>
      </w:pPr>
      <w:r>
        <w:rPr>
          <w:rFonts w:eastAsia="宋体"/>
          <w:color w:val="auto"/>
        </w:rPr>
        <w:t xml:space="preserve">1.1.2  </w:t>
      </w:r>
      <w:r>
        <w:rPr>
          <w:rFonts w:hAnsi="宋体" w:eastAsia="宋体"/>
          <w:color w:val="auto"/>
        </w:rPr>
        <w:t>合同当事人和人员</w:t>
      </w:r>
    </w:p>
    <w:p w14:paraId="1D578FEE">
      <w:pPr>
        <w:spacing w:line="440" w:lineRule="exact"/>
        <w:rPr>
          <w:rFonts w:eastAsia="宋体"/>
          <w:color w:val="auto"/>
        </w:rPr>
      </w:pPr>
      <w:r>
        <w:rPr>
          <w:rFonts w:eastAsia="宋体"/>
          <w:color w:val="auto"/>
          <w:szCs w:val="21"/>
        </w:rPr>
        <w:t xml:space="preserve">1.1.2.2  </w:t>
      </w:r>
      <w:r>
        <w:rPr>
          <w:rFonts w:hAnsi="宋体" w:eastAsia="宋体"/>
          <w:color w:val="auto"/>
          <w:szCs w:val="21"/>
        </w:rPr>
        <w:t>发包人</w:t>
      </w:r>
      <w:r>
        <w:rPr>
          <w:rFonts w:hint="eastAsia" w:hAnsi="宋体" w:eastAsia="宋体"/>
          <w:color w:val="auto"/>
          <w:szCs w:val="21"/>
        </w:rPr>
        <w:t>代表</w:t>
      </w:r>
      <w:r>
        <w:rPr>
          <w:rFonts w:hAnsi="宋体" w:eastAsia="宋体"/>
          <w:color w:val="auto"/>
          <w:szCs w:val="21"/>
        </w:rPr>
        <w:t>：</w:t>
      </w:r>
      <w:r>
        <w:rPr>
          <w:rFonts w:hint="eastAsia" w:hAnsi="宋体" w:eastAsia="宋体"/>
          <w:color w:val="auto"/>
          <w:szCs w:val="21"/>
          <w:u w:val="single"/>
        </w:rPr>
        <w:t xml:space="preserve">  </w:t>
      </w:r>
      <w:r>
        <w:rPr>
          <w:rFonts w:hAnsi="宋体" w:eastAsia="宋体"/>
          <w:color w:val="auto"/>
          <w:szCs w:val="21"/>
          <w:u w:val="single"/>
        </w:rPr>
        <w:t xml:space="preserve"> </w:t>
      </w:r>
      <w:r>
        <w:rPr>
          <w:rFonts w:hint="eastAsia" w:eastAsia="宋体"/>
          <w:color w:val="auto"/>
          <w:u w:val="single"/>
        </w:rPr>
        <w:t xml:space="preserve">XXXX  </w:t>
      </w:r>
    </w:p>
    <w:p w14:paraId="6D43F223">
      <w:pPr>
        <w:adjustRightInd w:val="0"/>
        <w:snapToGrid w:val="0"/>
        <w:spacing w:line="440" w:lineRule="exact"/>
        <w:rPr>
          <w:rFonts w:hint="eastAsia" w:ascii="宋体" w:hAnsi="宋体" w:eastAsia="宋体"/>
          <w:b/>
          <w:color w:val="auto"/>
          <w:szCs w:val="21"/>
        </w:rPr>
      </w:pPr>
      <w:r>
        <w:rPr>
          <w:rFonts w:hint="eastAsia" w:ascii="宋体" w:hAnsi="宋体" w:eastAsia="宋体"/>
          <w:color w:val="auto"/>
          <w:szCs w:val="21"/>
        </w:rPr>
        <w:t>（1）</w:t>
      </w:r>
      <w:r>
        <w:rPr>
          <w:rFonts w:ascii="宋体" w:hAnsi="宋体" w:eastAsia="宋体"/>
          <w:color w:val="auto"/>
          <w:szCs w:val="21"/>
        </w:rPr>
        <w:t>发包人代表的职责：</w:t>
      </w:r>
      <w:r>
        <w:rPr>
          <w:rFonts w:hint="eastAsia" w:ascii="宋体" w:hAnsi="宋体" w:eastAsia="宋体"/>
          <w:bCs/>
          <w:color w:val="auto"/>
          <w:szCs w:val="21"/>
        </w:rPr>
        <w:t>代表发包人对工程设计全面管理，主导施工过程中的设计协调工作，并对设计变更等文件进行审核会签。</w:t>
      </w:r>
    </w:p>
    <w:p w14:paraId="1C863F8D">
      <w:pPr>
        <w:adjustRightInd w:val="0"/>
        <w:snapToGrid w:val="0"/>
        <w:spacing w:line="440" w:lineRule="exact"/>
        <w:rPr>
          <w:rFonts w:ascii="宋体" w:hAnsi="宋体" w:eastAsia="宋体"/>
          <w:b/>
          <w:color w:val="auto"/>
          <w:szCs w:val="21"/>
        </w:rPr>
      </w:pPr>
      <w:r>
        <w:rPr>
          <w:rFonts w:hint="eastAsia" w:ascii="宋体" w:hAnsi="宋体" w:eastAsia="宋体"/>
          <w:bCs/>
          <w:color w:val="auto"/>
          <w:szCs w:val="21"/>
        </w:rPr>
        <w:t>（2）代表发包人对工程质量控制、进度控制、投资控制、合同信息管理、安全生产、文明施工等进行监管及协调，负责会签经监理人审核合格工程的施工组织设计、计量支付、工程变更等文件。</w:t>
      </w:r>
    </w:p>
    <w:p w14:paraId="188DB28E">
      <w:pPr>
        <w:spacing w:line="440" w:lineRule="exact"/>
        <w:rPr>
          <w:rFonts w:eastAsia="宋体"/>
          <w:color w:val="auto"/>
          <w:szCs w:val="21"/>
          <w:u w:val="single"/>
        </w:rPr>
      </w:pPr>
      <w:r>
        <w:rPr>
          <w:rFonts w:eastAsia="宋体"/>
          <w:color w:val="auto"/>
          <w:szCs w:val="21"/>
        </w:rPr>
        <w:t xml:space="preserve">1.1.2.3 </w:t>
      </w:r>
      <w:r>
        <w:rPr>
          <w:rFonts w:hAnsi="宋体" w:eastAsia="宋体"/>
          <w:color w:val="auto"/>
          <w:szCs w:val="21"/>
        </w:rPr>
        <w:t>承包人：</w:t>
      </w:r>
      <w:r>
        <w:rPr>
          <w:rFonts w:hint="eastAsia" w:eastAsia="宋体"/>
          <w:color w:val="auto"/>
          <w:szCs w:val="21"/>
          <w:u w:val="single"/>
        </w:rPr>
        <w:t>XXXX有限公司（联合体牵头人），XXXX有限公司（联合体成员）</w:t>
      </w:r>
      <w:r>
        <w:rPr>
          <w:rFonts w:eastAsia="宋体"/>
          <w:color w:val="auto"/>
          <w:szCs w:val="21"/>
          <w:u w:val="single"/>
        </w:rPr>
        <w:t xml:space="preserve"> </w:t>
      </w:r>
    </w:p>
    <w:p w14:paraId="3D2A747F">
      <w:pPr>
        <w:spacing w:line="440" w:lineRule="exact"/>
        <w:rPr>
          <w:rFonts w:ascii="宋体" w:hAnsi="宋体" w:eastAsia="宋体"/>
          <w:color w:val="auto"/>
          <w:szCs w:val="21"/>
        </w:rPr>
      </w:pPr>
      <w:r>
        <w:rPr>
          <w:rFonts w:hint="eastAsia" w:ascii="宋体" w:hAnsi="宋体" w:eastAsia="宋体"/>
          <w:color w:val="auto"/>
          <w:szCs w:val="21"/>
        </w:rPr>
        <w:t>（1）工程总承包项目经理:</w:t>
      </w:r>
      <w:r>
        <w:rPr>
          <w:rFonts w:hint="eastAsia" w:hAnsi="宋体" w:eastAsia="宋体"/>
          <w:color w:val="auto"/>
          <w:szCs w:val="21"/>
          <w:u w:val="single"/>
        </w:rPr>
        <w:t xml:space="preserve">  </w:t>
      </w:r>
      <w:r>
        <w:rPr>
          <w:rFonts w:hint="eastAsia" w:eastAsia="宋体"/>
          <w:color w:val="auto"/>
          <w:u w:val="single"/>
        </w:rPr>
        <w:t xml:space="preserve">XXXX  </w:t>
      </w:r>
      <w:r>
        <w:rPr>
          <w:rFonts w:hint="eastAsia" w:ascii="宋体" w:hAnsi="宋体" w:eastAsia="宋体"/>
          <w:color w:val="auto"/>
          <w:szCs w:val="21"/>
        </w:rPr>
        <w:t>；</w:t>
      </w:r>
      <w:r>
        <w:rPr>
          <w:rFonts w:ascii="宋体" w:hAnsi="宋体" w:eastAsia="宋体"/>
          <w:color w:val="auto"/>
          <w:szCs w:val="21"/>
        </w:rPr>
        <w:t>项目经理职责：负责工程项目管理，全面负责项目的质量</w:t>
      </w:r>
      <w:r>
        <w:rPr>
          <w:rFonts w:hint="eastAsia" w:ascii="宋体" w:hAnsi="宋体" w:eastAsia="宋体"/>
          <w:color w:val="auto"/>
          <w:szCs w:val="21"/>
        </w:rPr>
        <w:t>、</w:t>
      </w:r>
      <w:r>
        <w:rPr>
          <w:rFonts w:ascii="宋体" w:hAnsi="宋体" w:eastAsia="宋体"/>
          <w:color w:val="auto"/>
          <w:szCs w:val="21"/>
        </w:rPr>
        <w:t>进度、安全</w:t>
      </w:r>
      <w:r>
        <w:rPr>
          <w:rFonts w:hint="eastAsia" w:ascii="宋体" w:hAnsi="宋体" w:eastAsia="宋体"/>
          <w:color w:val="auto"/>
          <w:szCs w:val="21"/>
        </w:rPr>
        <w:t>文明、造价管理等工作</w:t>
      </w:r>
      <w:r>
        <w:rPr>
          <w:rFonts w:ascii="宋体" w:hAnsi="宋体" w:eastAsia="宋体"/>
          <w:color w:val="auto"/>
          <w:szCs w:val="21"/>
        </w:rPr>
        <w:t>，及时解决</w:t>
      </w:r>
      <w:r>
        <w:rPr>
          <w:rFonts w:hint="eastAsia" w:ascii="宋体" w:hAnsi="宋体" w:eastAsia="宋体"/>
          <w:color w:val="auto"/>
          <w:szCs w:val="21"/>
        </w:rPr>
        <w:t>设计、</w:t>
      </w:r>
      <w:r>
        <w:rPr>
          <w:rFonts w:ascii="宋体" w:hAnsi="宋体" w:eastAsia="宋体"/>
          <w:color w:val="auto"/>
          <w:szCs w:val="21"/>
        </w:rPr>
        <w:t>施工过程中出现的问题；</w:t>
      </w:r>
      <w:r>
        <w:rPr>
          <w:rFonts w:hint="eastAsia" w:ascii="宋体" w:hAnsi="宋体" w:eastAsia="宋体"/>
          <w:color w:val="auto"/>
          <w:szCs w:val="21"/>
        </w:rPr>
        <w:t>协调承包方、发包方、监理方等参建方及政府监管部门的关系</w:t>
      </w:r>
      <w:r>
        <w:rPr>
          <w:rFonts w:ascii="宋体" w:hAnsi="宋体" w:eastAsia="宋体"/>
          <w:color w:val="auto"/>
          <w:szCs w:val="21"/>
        </w:rPr>
        <w:t xml:space="preserve">。   </w:t>
      </w:r>
    </w:p>
    <w:p w14:paraId="2174EC0D">
      <w:pPr>
        <w:spacing w:line="440" w:lineRule="exact"/>
        <w:rPr>
          <w:rFonts w:hint="eastAsia" w:ascii="宋体" w:hAnsi="宋体" w:eastAsia="宋体"/>
          <w:color w:val="auto"/>
          <w:szCs w:val="21"/>
        </w:rPr>
      </w:pPr>
      <w:r>
        <w:rPr>
          <w:rFonts w:ascii="宋体" w:hAnsi="宋体" w:eastAsia="宋体"/>
          <w:color w:val="auto"/>
          <w:szCs w:val="21"/>
        </w:rPr>
        <w:t>项目经理权限：承包人授权项目经理权限包括但不限于负责施工图设计、安全文明施工、质量、进度、投资等方面的管理工作。</w:t>
      </w:r>
      <w:r>
        <w:rPr>
          <w:rFonts w:hint="eastAsia" w:ascii="宋体" w:hAnsi="宋体" w:eastAsia="宋体"/>
          <w:color w:val="auto"/>
          <w:szCs w:val="21"/>
        </w:rPr>
        <w:t>项目经理为开展本项目建设所组织实施的一切工作及行为均视为代表承包方。</w:t>
      </w:r>
    </w:p>
    <w:p w14:paraId="168E7279">
      <w:pPr>
        <w:numPr>
          <w:ilvl w:val="0"/>
          <w:numId w:val="5"/>
        </w:numPr>
        <w:spacing w:after="120" w:line="440" w:lineRule="exact"/>
        <w:rPr>
          <w:rFonts w:hint="eastAsia" w:eastAsia="宋体"/>
          <w:color w:val="auto"/>
        </w:rPr>
      </w:pPr>
      <w:r>
        <w:rPr>
          <w:rFonts w:hint="eastAsia" w:ascii="宋体" w:hAnsi="宋体" w:eastAsia="宋体"/>
          <w:color w:val="auto"/>
          <w:szCs w:val="21"/>
        </w:rPr>
        <w:t>承</w:t>
      </w:r>
      <w:r>
        <w:rPr>
          <w:rFonts w:ascii="宋体" w:hAnsi="宋体" w:eastAsia="宋体"/>
          <w:color w:val="auto"/>
          <w:szCs w:val="21"/>
        </w:rPr>
        <w:t>包人</w:t>
      </w:r>
      <w:r>
        <w:rPr>
          <w:rFonts w:hint="eastAsia" w:ascii="宋体" w:hAnsi="宋体" w:eastAsia="宋体"/>
          <w:color w:val="auto"/>
          <w:szCs w:val="21"/>
        </w:rPr>
        <w:t>驻现场</w:t>
      </w:r>
      <w:r>
        <w:rPr>
          <w:rFonts w:ascii="宋体" w:hAnsi="宋体" w:eastAsia="宋体"/>
          <w:color w:val="auto"/>
          <w:szCs w:val="21"/>
        </w:rPr>
        <w:t>设计代表的姓名：</w:t>
      </w:r>
      <w:r>
        <w:rPr>
          <w:rFonts w:hint="eastAsia" w:hAnsi="宋体" w:eastAsia="宋体"/>
          <w:color w:val="auto"/>
          <w:szCs w:val="21"/>
          <w:u w:val="single"/>
        </w:rPr>
        <w:t xml:space="preserve">  </w:t>
      </w:r>
      <w:r>
        <w:rPr>
          <w:rFonts w:hint="eastAsia" w:eastAsia="宋体"/>
          <w:color w:val="auto"/>
          <w:u w:val="single"/>
        </w:rPr>
        <w:t xml:space="preserve">XXXX  </w:t>
      </w:r>
      <w:r>
        <w:rPr>
          <w:rFonts w:hint="eastAsia" w:ascii="宋体" w:hAnsi="宋体" w:eastAsia="宋体"/>
          <w:color w:val="auto"/>
          <w:szCs w:val="21"/>
        </w:rPr>
        <w:t>承</w:t>
      </w:r>
      <w:r>
        <w:rPr>
          <w:rFonts w:ascii="宋体" w:hAnsi="宋体" w:eastAsia="宋体"/>
          <w:color w:val="auto"/>
          <w:szCs w:val="21"/>
        </w:rPr>
        <w:t>包人</w:t>
      </w:r>
      <w:r>
        <w:rPr>
          <w:rFonts w:hint="eastAsia" w:ascii="宋体" w:hAnsi="宋体" w:eastAsia="宋体"/>
          <w:color w:val="auto"/>
          <w:szCs w:val="21"/>
        </w:rPr>
        <w:t>驻现场</w:t>
      </w:r>
      <w:r>
        <w:rPr>
          <w:rFonts w:ascii="宋体" w:hAnsi="宋体" w:eastAsia="宋体"/>
          <w:color w:val="auto"/>
          <w:szCs w:val="21"/>
        </w:rPr>
        <w:t>设计代表的职务：</w:t>
      </w:r>
      <w:r>
        <w:rPr>
          <w:rFonts w:hint="eastAsia" w:hAnsi="宋体" w:eastAsia="宋体"/>
          <w:color w:val="auto"/>
          <w:szCs w:val="21"/>
          <w:u w:val="single"/>
        </w:rPr>
        <w:t xml:space="preserve"> </w:t>
      </w:r>
      <w:r>
        <w:rPr>
          <w:rFonts w:hAnsi="宋体" w:eastAsia="宋体"/>
          <w:color w:val="auto"/>
          <w:szCs w:val="21"/>
          <w:u w:val="single"/>
        </w:rPr>
        <w:t xml:space="preserve"> </w:t>
      </w:r>
      <w:r>
        <w:rPr>
          <w:rFonts w:hint="eastAsia" w:hAnsi="宋体" w:eastAsia="宋体"/>
          <w:color w:val="auto"/>
          <w:szCs w:val="21"/>
          <w:u w:val="single"/>
        </w:rPr>
        <w:t xml:space="preserve"> </w:t>
      </w:r>
      <w:r>
        <w:rPr>
          <w:rFonts w:hint="eastAsia" w:eastAsia="宋体"/>
          <w:color w:val="auto"/>
          <w:u w:val="single"/>
        </w:rPr>
        <w:t xml:space="preserve">XXXX  </w:t>
      </w:r>
    </w:p>
    <w:p w14:paraId="23843B30">
      <w:pPr>
        <w:adjustRightInd w:val="0"/>
        <w:snapToGrid w:val="0"/>
        <w:spacing w:line="440" w:lineRule="exact"/>
        <w:rPr>
          <w:rFonts w:ascii="宋体" w:hAnsi="宋体" w:eastAsia="宋体"/>
          <w:color w:val="auto"/>
          <w:szCs w:val="21"/>
        </w:rPr>
      </w:pPr>
      <w:r>
        <w:rPr>
          <w:rFonts w:hint="eastAsia" w:ascii="宋体" w:hAnsi="宋体" w:eastAsia="宋体"/>
          <w:color w:val="auto"/>
          <w:szCs w:val="21"/>
        </w:rPr>
        <w:t>承包</w:t>
      </w:r>
      <w:r>
        <w:rPr>
          <w:rFonts w:ascii="宋体" w:hAnsi="宋体" w:eastAsia="宋体"/>
          <w:color w:val="auto"/>
          <w:szCs w:val="21"/>
        </w:rPr>
        <w:t>人</w:t>
      </w:r>
      <w:r>
        <w:rPr>
          <w:rFonts w:hint="eastAsia" w:ascii="宋体" w:hAnsi="宋体" w:eastAsia="宋体"/>
          <w:color w:val="auto"/>
          <w:szCs w:val="21"/>
        </w:rPr>
        <w:t>驻现场</w:t>
      </w:r>
      <w:r>
        <w:rPr>
          <w:rFonts w:ascii="宋体" w:hAnsi="宋体" w:eastAsia="宋体"/>
          <w:color w:val="auto"/>
          <w:szCs w:val="21"/>
        </w:rPr>
        <w:t>设计代表的职责：</w:t>
      </w:r>
    </w:p>
    <w:p w14:paraId="2C01E1AD">
      <w:pPr>
        <w:spacing w:line="440" w:lineRule="exact"/>
        <w:rPr>
          <w:rFonts w:hint="eastAsia" w:ascii="宋体" w:hAnsi="宋体" w:eastAsia="宋体" w:cs="宋体"/>
          <w:color w:val="auto"/>
          <w:szCs w:val="21"/>
        </w:rPr>
      </w:pPr>
      <w:r>
        <w:rPr>
          <w:rFonts w:ascii="宋体" w:hAnsi="宋体" w:eastAsia="宋体" w:cs="宋体"/>
          <w:color w:val="auto"/>
          <w:szCs w:val="21"/>
        </w:rPr>
        <w:t>①</w:t>
      </w:r>
      <w:r>
        <w:rPr>
          <w:rFonts w:hint="eastAsia" w:ascii="宋体" w:hAnsi="宋体" w:eastAsia="宋体" w:cs="宋体"/>
          <w:color w:val="auto"/>
          <w:szCs w:val="21"/>
        </w:rPr>
        <w:t>进行施工图交底；</w:t>
      </w:r>
    </w:p>
    <w:p w14:paraId="3C3B225E">
      <w:pPr>
        <w:spacing w:line="440" w:lineRule="exact"/>
        <w:rPr>
          <w:rFonts w:hint="eastAsia" w:ascii="宋体" w:hAnsi="宋体" w:eastAsia="宋体" w:cs="宋体"/>
          <w:color w:val="auto"/>
          <w:szCs w:val="21"/>
        </w:rPr>
      </w:pPr>
      <w:r>
        <w:rPr>
          <w:rFonts w:ascii="宋体" w:hAnsi="宋体" w:eastAsia="宋体" w:cs="宋体"/>
          <w:color w:val="auto"/>
          <w:szCs w:val="21"/>
        </w:rPr>
        <w:t>②</w:t>
      </w:r>
      <w:r>
        <w:rPr>
          <w:rFonts w:hint="eastAsia" w:ascii="宋体" w:hAnsi="宋体" w:eastAsia="宋体" w:cs="宋体"/>
          <w:color w:val="auto"/>
          <w:szCs w:val="21"/>
        </w:rPr>
        <w:t>协调施工过程中有关设计的问题；</w:t>
      </w:r>
    </w:p>
    <w:p w14:paraId="747D6AFB">
      <w:pPr>
        <w:spacing w:line="440" w:lineRule="exact"/>
        <w:rPr>
          <w:rFonts w:hint="eastAsia" w:ascii="宋体" w:hAnsi="宋体" w:eastAsia="宋体" w:cs="宋体"/>
          <w:color w:val="auto"/>
          <w:szCs w:val="21"/>
        </w:rPr>
      </w:pPr>
      <w:r>
        <w:rPr>
          <w:rFonts w:ascii="宋体" w:hAnsi="宋体" w:eastAsia="宋体" w:cs="宋体"/>
          <w:color w:val="auto"/>
          <w:szCs w:val="21"/>
        </w:rPr>
        <w:t>③</w:t>
      </w:r>
      <w:r>
        <w:rPr>
          <w:rFonts w:hint="eastAsia" w:ascii="宋体" w:hAnsi="宋体" w:eastAsia="宋体" w:cs="宋体"/>
          <w:color w:val="auto"/>
          <w:szCs w:val="21"/>
        </w:rPr>
        <w:t>协助发包人审查材料样品，提供所需的技术部分标准；</w:t>
      </w:r>
    </w:p>
    <w:p w14:paraId="79F371F9">
      <w:pPr>
        <w:spacing w:line="440" w:lineRule="exact"/>
        <w:rPr>
          <w:rFonts w:hint="eastAsia" w:ascii="宋体" w:hAnsi="宋体" w:eastAsia="宋体" w:cs="宋体"/>
          <w:color w:val="auto"/>
          <w:szCs w:val="21"/>
        </w:rPr>
      </w:pPr>
      <w:r>
        <w:rPr>
          <w:rFonts w:hint="eastAsia" w:ascii="宋体" w:hAnsi="宋体" w:eastAsia="宋体" w:cs="宋体"/>
          <w:color w:val="auto"/>
          <w:szCs w:val="21"/>
        </w:rPr>
        <w:t>④在规定的时间内积极配合发包人对施工及设计方案的优化设计；</w:t>
      </w:r>
    </w:p>
    <w:p w14:paraId="7786983B">
      <w:pPr>
        <w:spacing w:line="440" w:lineRule="exact"/>
        <w:rPr>
          <w:rFonts w:hint="eastAsia" w:ascii="宋体" w:hAnsi="宋体" w:eastAsia="宋体" w:cs="宋体"/>
          <w:color w:val="auto"/>
          <w:szCs w:val="21"/>
        </w:rPr>
      </w:pPr>
      <w:r>
        <w:rPr>
          <w:rFonts w:hint="eastAsia" w:ascii="宋体" w:hAnsi="宋体" w:eastAsia="宋体" w:cs="宋体"/>
          <w:color w:val="auto"/>
          <w:szCs w:val="21"/>
        </w:rPr>
        <w:t>⑤参与工程质量事故分析，提出相应的技术处理方案；</w:t>
      </w:r>
    </w:p>
    <w:p w14:paraId="655687B6">
      <w:pPr>
        <w:spacing w:line="440" w:lineRule="exact"/>
        <w:rPr>
          <w:rFonts w:ascii="宋体" w:hAnsi="宋体" w:eastAsia="宋体" w:cs="宋体"/>
          <w:color w:val="auto"/>
          <w:szCs w:val="21"/>
        </w:rPr>
      </w:pPr>
      <w:r>
        <w:rPr>
          <w:rFonts w:hint="eastAsia" w:ascii="宋体" w:hAnsi="宋体" w:eastAsia="宋体" w:cs="宋体"/>
          <w:color w:val="auto"/>
          <w:szCs w:val="21"/>
        </w:rPr>
        <w:t>⑥负责施工现场指导，并从设计角度进行施工监督；</w:t>
      </w:r>
    </w:p>
    <w:p w14:paraId="008DD76A">
      <w:pPr>
        <w:spacing w:line="440" w:lineRule="exact"/>
        <w:rPr>
          <w:rFonts w:ascii="宋体" w:hAnsi="宋体" w:eastAsia="宋体" w:cs="宋体"/>
          <w:color w:val="auto"/>
          <w:szCs w:val="21"/>
        </w:rPr>
      </w:pPr>
      <w:r>
        <w:rPr>
          <w:rFonts w:hint="eastAsia" w:ascii="宋体" w:hAnsi="宋体" w:eastAsia="宋体" w:cs="宋体"/>
          <w:color w:val="auto"/>
          <w:szCs w:val="21"/>
        </w:rPr>
        <w:t>⑦负责处理现场设计变更，并免费提供设</w:t>
      </w:r>
      <w:r>
        <w:rPr>
          <w:rFonts w:hint="eastAsia" w:ascii="宋体" w:hAnsi="宋体" w:eastAsia="宋体"/>
          <w:color w:val="auto"/>
          <w:szCs w:val="21"/>
        </w:rPr>
        <w:t>计变更图纸；一般性问题不超过二天，较复杂问题原则上不超过七天；参加分部工程验收和竣工验收；其他相关技术配合工作。</w:t>
      </w:r>
    </w:p>
    <w:p w14:paraId="0C91380A">
      <w:pPr>
        <w:spacing w:line="440" w:lineRule="exact"/>
        <w:rPr>
          <w:rFonts w:hint="eastAsia" w:eastAsia="宋体"/>
          <w:color w:val="auto"/>
          <w:u w:val="single"/>
        </w:rPr>
      </w:pPr>
      <w:r>
        <w:rPr>
          <w:rFonts w:eastAsia="宋体"/>
          <w:color w:val="auto"/>
          <w:szCs w:val="21"/>
        </w:rPr>
        <w:t xml:space="preserve">1.1.2.8  </w:t>
      </w:r>
      <w:r>
        <w:rPr>
          <w:rFonts w:hAnsi="宋体" w:eastAsia="宋体"/>
          <w:color w:val="auto"/>
          <w:szCs w:val="21"/>
        </w:rPr>
        <w:t>分包人：</w:t>
      </w:r>
      <w:r>
        <w:rPr>
          <w:rFonts w:hint="eastAsia" w:hAnsi="宋体" w:eastAsia="宋体"/>
          <w:color w:val="auto"/>
          <w:szCs w:val="21"/>
          <w:u w:val="single"/>
        </w:rPr>
        <w:t xml:space="preserve">  </w:t>
      </w:r>
      <w:r>
        <w:rPr>
          <w:rFonts w:hint="eastAsia" w:eastAsia="宋体"/>
          <w:color w:val="auto"/>
          <w:u w:val="single"/>
          <w:lang w:val="en-US" w:eastAsia="zh-CN"/>
        </w:rPr>
        <w:t>/</w:t>
      </w:r>
      <w:r>
        <w:rPr>
          <w:rFonts w:hint="eastAsia" w:eastAsia="宋体"/>
          <w:color w:val="auto"/>
          <w:u w:val="single"/>
        </w:rPr>
        <w:t xml:space="preserve">  </w:t>
      </w:r>
    </w:p>
    <w:p w14:paraId="30427963">
      <w:pPr>
        <w:spacing w:line="440" w:lineRule="exact"/>
        <w:rPr>
          <w:rFonts w:hint="eastAsia" w:eastAsia="宋体"/>
          <w:color w:val="auto"/>
          <w:u w:val="single"/>
          <w:lang w:val="en-US" w:eastAsia="zh-CN"/>
        </w:rPr>
      </w:pPr>
      <w:r>
        <w:rPr>
          <w:rFonts w:eastAsia="宋体"/>
          <w:color w:val="auto"/>
          <w:szCs w:val="21"/>
        </w:rPr>
        <w:t xml:space="preserve">1.1.2.9  </w:t>
      </w:r>
      <w:r>
        <w:rPr>
          <w:rFonts w:hAnsi="宋体" w:eastAsia="宋体"/>
          <w:color w:val="auto"/>
          <w:szCs w:val="21"/>
        </w:rPr>
        <w:t>监理人：</w:t>
      </w:r>
      <w:r>
        <w:rPr>
          <w:rFonts w:hint="eastAsia" w:hAnsi="宋体" w:eastAsia="宋体"/>
          <w:color w:val="auto"/>
          <w:szCs w:val="21"/>
          <w:u w:val="single"/>
        </w:rPr>
        <w:t xml:space="preserve">  </w:t>
      </w:r>
      <w:r>
        <w:rPr>
          <w:rFonts w:hint="eastAsia" w:eastAsia="宋体"/>
          <w:color w:val="auto"/>
          <w:u w:val="single"/>
          <w:lang w:val="en-US" w:eastAsia="zh-CN"/>
        </w:rPr>
        <w:t>/</w:t>
      </w:r>
      <w:r>
        <w:rPr>
          <w:rFonts w:hint="eastAsia" w:eastAsia="宋体"/>
          <w:color w:val="auto"/>
          <w:u w:val="single"/>
        </w:rPr>
        <w:t xml:space="preserve"> </w:t>
      </w:r>
      <w:r>
        <w:rPr>
          <w:rFonts w:hint="eastAsia" w:eastAsia="宋体"/>
          <w:color w:val="auto"/>
          <w:u w:val="single"/>
          <w:lang w:val="en-US" w:eastAsia="zh-CN"/>
        </w:rPr>
        <w:t xml:space="preserve"> </w:t>
      </w:r>
    </w:p>
    <w:p w14:paraId="3236BFFC">
      <w:pPr>
        <w:spacing w:line="440" w:lineRule="exact"/>
        <w:rPr>
          <w:rFonts w:eastAsia="宋体"/>
          <w:color w:val="auto"/>
          <w:szCs w:val="21"/>
        </w:rPr>
      </w:pPr>
      <w:r>
        <w:rPr>
          <w:rFonts w:eastAsia="宋体"/>
          <w:color w:val="auto"/>
          <w:szCs w:val="21"/>
        </w:rPr>
        <w:t xml:space="preserve">1.1.2.10 </w:t>
      </w:r>
      <w:r>
        <w:rPr>
          <w:rFonts w:hAnsi="宋体" w:eastAsia="宋体"/>
          <w:color w:val="auto"/>
          <w:szCs w:val="21"/>
        </w:rPr>
        <w:t>总监理工程师：</w:t>
      </w:r>
      <w:r>
        <w:rPr>
          <w:rFonts w:hint="eastAsia" w:hAnsi="宋体" w:eastAsia="宋体"/>
          <w:color w:val="auto"/>
          <w:szCs w:val="21"/>
          <w:u w:val="single"/>
        </w:rPr>
        <w:t xml:space="preserve">  </w:t>
      </w:r>
      <w:r>
        <w:rPr>
          <w:rFonts w:hint="eastAsia" w:hAnsi="宋体" w:eastAsia="宋体"/>
          <w:color w:val="auto"/>
          <w:szCs w:val="21"/>
          <w:u w:val="single"/>
          <w:lang w:val="en-US" w:eastAsia="zh-CN"/>
        </w:rPr>
        <w:t>/</w:t>
      </w:r>
      <w:r>
        <w:rPr>
          <w:rFonts w:hint="eastAsia" w:eastAsia="宋体"/>
          <w:color w:val="auto"/>
          <w:u w:val="single"/>
        </w:rPr>
        <w:t xml:space="preserve">  </w:t>
      </w:r>
    </w:p>
    <w:p w14:paraId="7D03B968">
      <w:pPr>
        <w:spacing w:line="440" w:lineRule="exact"/>
        <w:rPr>
          <w:rFonts w:eastAsia="宋体"/>
          <w:color w:val="auto"/>
          <w:szCs w:val="21"/>
        </w:rPr>
      </w:pPr>
      <w:r>
        <w:rPr>
          <w:rFonts w:eastAsia="宋体"/>
          <w:color w:val="auto"/>
          <w:szCs w:val="21"/>
        </w:rPr>
        <w:t xml:space="preserve">1.1.4  </w:t>
      </w:r>
      <w:r>
        <w:rPr>
          <w:rFonts w:hAnsi="宋体" w:eastAsia="宋体"/>
          <w:color w:val="auto"/>
          <w:szCs w:val="21"/>
        </w:rPr>
        <w:t>日期</w:t>
      </w:r>
    </w:p>
    <w:p w14:paraId="674DBD29">
      <w:pPr>
        <w:spacing w:line="440" w:lineRule="exact"/>
        <w:rPr>
          <w:rFonts w:hint="eastAsia" w:hAnsi="宋体" w:eastAsia="宋体"/>
          <w:color w:val="auto"/>
          <w:szCs w:val="21"/>
        </w:rPr>
      </w:pPr>
      <w:r>
        <w:rPr>
          <w:rFonts w:eastAsia="宋体"/>
          <w:color w:val="auto"/>
          <w:szCs w:val="21"/>
        </w:rPr>
        <w:t xml:space="preserve">1.1.4.5 </w:t>
      </w:r>
      <w:r>
        <w:rPr>
          <w:rFonts w:hAnsi="宋体" w:eastAsia="宋体"/>
          <w:color w:val="auto"/>
          <w:szCs w:val="21"/>
        </w:rPr>
        <w:t>缺陷责任期：</w:t>
      </w:r>
      <w:r>
        <w:rPr>
          <w:rFonts w:hint="eastAsia" w:hAnsi="宋体" w:eastAsia="宋体"/>
          <w:color w:val="auto"/>
          <w:szCs w:val="21"/>
        </w:rPr>
        <w:t>缺陷责任期2</w:t>
      </w:r>
      <w:r>
        <w:rPr>
          <w:rFonts w:hAnsi="宋体" w:eastAsia="宋体"/>
          <w:color w:val="auto"/>
          <w:szCs w:val="21"/>
        </w:rPr>
        <w:t>4</w:t>
      </w:r>
      <w:r>
        <w:rPr>
          <w:rFonts w:hint="eastAsia" w:hAnsi="宋体" w:eastAsia="宋体"/>
          <w:color w:val="auto"/>
          <w:szCs w:val="21"/>
        </w:rPr>
        <w:t>个月；缺陷责任期自实际竣工日期起计算。在全部工程竣工验收前，已经发包人提前验收的区段工程或提前投入使用的工程，其缺陷责任期的起算日期相应提前到相应工程竣工日。由于承包人原因造成某项缺陷或损坏使某项工程或工程设备不能按原定目标使用而需要再次检查、检验和修复的，发包人有权要求承包人相应延长缺陷责任期，但缺陷责任期最长不超过</w:t>
      </w:r>
      <w:r>
        <w:rPr>
          <w:rFonts w:hAnsi="宋体" w:eastAsia="宋体"/>
          <w:color w:val="auto"/>
          <w:szCs w:val="21"/>
        </w:rPr>
        <w:t>24</w:t>
      </w:r>
      <w:r>
        <w:rPr>
          <w:rFonts w:hint="eastAsia" w:hAnsi="宋体" w:eastAsia="宋体"/>
          <w:color w:val="auto"/>
          <w:szCs w:val="21"/>
        </w:rPr>
        <w:t>月。</w:t>
      </w:r>
    </w:p>
    <w:p w14:paraId="78F13337">
      <w:pPr>
        <w:spacing w:line="440" w:lineRule="exact"/>
        <w:rPr>
          <w:rFonts w:eastAsia="宋体"/>
          <w:color w:val="auto"/>
          <w:szCs w:val="21"/>
          <w:u w:val="single"/>
        </w:rPr>
      </w:pPr>
      <w:r>
        <w:rPr>
          <w:rFonts w:eastAsia="宋体"/>
          <w:color w:val="auto"/>
          <w:szCs w:val="21"/>
        </w:rPr>
        <w:t xml:space="preserve">1.1.3.4  </w:t>
      </w:r>
      <w:r>
        <w:rPr>
          <w:rFonts w:hAnsi="宋体" w:eastAsia="宋体"/>
          <w:color w:val="auto"/>
          <w:szCs w:val="21"/>
        </w:rPr>
        <w:t>区段工程：</w:t>
      </w:r>
      <w:r>
        <w:rPr>
          <w:rFonts w:eastAsia="宋体"/>
          <w:color w:val="auto"/>
          <w:szCs w:val="21"/>
          <w:u w:val="single"/>
        </w:rPr>
        <w:t xml:space="preserve">                  </w:t>
      </w:r>
    </w:p>
    <w:p w14:paraId="6E237C6D">
      <w:pPr>
        <w:spacing w:line="440" w:lineRule="exact"/>
        <w:rPr>
          <w:rFonts w:eastAsia="宋体"/>
          <w:color w:val="auto"/>
          <w:szCs w:val="21"/>
          <w:u w:val="single"/>
        </w:rPr>
      </w:pPr>
      <w:r>
        <w:rPr>
          <w:rFonts w:eastAsia="宋体"/>
          <w:color w:val="auto"/>
          <w:szCs w:val="21"/>
        </w:rPr>
        <w:t xml:space="preserve">1.1.3.10  </w:t>
      </w:r>
      <w:r>
        <w:rPr>
          <w:rFonts w:hAnsi="宋体" w:eastAsia="宋体"/>
          <w:color w:val="auto"/>
          <w:szCs w:val="21"/>
        </w:rPr>
        <w:t>永久占地：</w:t>
      </w:r>
      <w:r>
        <w:rPr>
          <w:rFonts w:hint="eastAsia" w:hAnsi="宋体" w:eastAsia="宋体"/>
          <w:color w:val="auto"/>
          <w:szCs w:val="21"/>
          <w:u w:val="single"/>
        </w:rPr>
        <w:t>用地</w:t>
      </w:r>
      <w:r>
        <w:rPr>
          <w:rFonts w:hint="eastAsia" w:eastAsia="宋体"/>
          <w:color w:val="auto"/>
          <w:szCs w:val="21"/>
          <w:u w:val="single"/>
        </w:rPr>
        <w:t>红线范围以内</w:t>
      </w:r>
      <w:r>
        <w:rPr>
          <w:rFonts w:eastAsia="宋体"/>
          <w:color w:val="auto"/>
          <w:szCs w:val="21"/>
          <w:u w:val="single"/>
        </w:rPr>
        <w:t xml:space="preserve"> </w:t>
      </w:r>
    </w:p>
    <w:p w14:paraId="7A5BF366">
      <w:pPr>
        <w:spacing w:line="440" w:lineRule="exact"/>
        <w:rPr>
          <w:rFonts w:hint="default" w:eastAsia="宋体"/>
          <w:color w:val="auto"/>
          <w:szCs w:val="21"/>
          <w:u w:val="single"/>
          <w:lang w:val="en-US" w:eastAsia="zh-CN"/>
        </w:rPr>
      </w:pPr>
      <w:r>
        <w:rPr>
          <w:rFonts w:eastAsia="宋体"/>
          <w:color w:val="auto"/>
          <w:szCs w:val="21"/>
        </w:rPr>
        <w:t xml:space="preserve">1.1.3.11  </w:t>
      </w:r>
      <w:r>
        <w:rPr>
          <w:rFonts w:hAnsi="宋体" w:eastAsia="宋体"/>
          <w:color w:val="auto"/>
          <w:szCs w:val="21"/>
        </w:rPr>
        <w:t>临时占地：</w:t>
      </w:r>
      <w:r>
        <w:rPr>
          <w:rFonts w:hint="eastAsia" w:eastAsia="宋体"/>
          <w:color w:val="auto"/>
          <w:szCs w:val="21"/>
          <w:u w:val="single"/>
        </w:rPr>
        <w:t>临时生活设施</w:t>
      </w:r>
      <w:r>
        <w:rPr>
          <w:rFonts w:hint="eastAsia" w:eastAsia="宋体"/>
          <w:color w:val="auto"/>
          <w:szCs w:val="21"/>
          <w:u w:val="single"/>
          <w:lang w:val="en-US" w:eastAsia="zh-CN"/>
        </w:rPr>
        <w:t xml:space="preserve">     </w:t>
      </w:r>
    </w:p>
    <w:p w14:paraId="034F1B9B">
      <w:pPr>
        <w:keepNext/>
        <w:keepLines/>
        <w:spacing w:before="120" w:beforeLines="50" w:line="440" w:lineRule="exact"/>
        <w:outlineLvl w:val="0"/>
        <w:rPr>
          <w:rFonts w:ascii="黑体" w:hAnsi="黑体" w:eastAsia="黑体"/>
          <w:color w:val="auto"/>
        </w:rPr>
      </w:pPr>
      <w:r>
        <w:rPr>
          <w:rFonts w:ascii="黑体" w:hAnsi="黑体" w:eastAsia="黑体"/>
          <w:color w:val="auto"/>
        </w:rPr>
        <w:t>1.4 合同文件的优先顺序</w:t>
      </w:r>
    </w:p>
    <w:p w14:paraId="2FF6901A">
      <w:pPr>
        <w:spacing w:line="440" w:lineRule="exact"/>
        <w:rPr>
          <w:rFonts w:hint="eastAsia" w:eastAsia="宋体"/>
          <w:color w:val="auto"/>
          <w:szCs w:val="21"/>
          <w:u w:val="single"/>
          <w:lang w:val="en-US" w:eastAsia="zh-CN"/>
        </w:rPr>
      </w:pPr>
      <w:r>
        <w:rPr>
          <w:rFonts w:hAnsi="宋体" w:eastAsia="宋体"/>
          <w:color w:val="auto"/>
          <w:szCs w:val="21"/>
        </w:rPr>
        <w:t>进入合同的各项文件及其优先顺序是</w:t>
      </w:r>
      <w:r>
        <w:rPr>
          <w:rFonts w:eastAsia="宋体"/>
          <w:color w:val="auto"/>
          <w:szCs w:val="21"/>
          <w:u w:val="single"/>
        </w:rPr>
        <w:t xml:space="preserve"> </w:t>
      </w:r>
      <w:r>
        <w:rPr>
          <w:rFonts w:hint="eastAsia" w:eastAsia="宋体"/>
          <w:color w:val="auto"/>
          <w:szCs w:val="21"/>
          <w:u w:val="single"/>
        </w:rPr>
        <w:t>执行通用条款1.4款</w:t>
      </w:r>
      <w:r>
        <w:rPr>
          <w:rFonts w:hint="eastAsia" w:eastAsia="宋体"/>
          <w:color w:val="auto"/>
          <w:szCs w:val="21"/>
          <w:u w:val="single"/>
          <w:lang w:eastAsia="zh-CN"/>
        </w:rPr>
        <w:t>：</w:t>
      </w:r>
      <w:r>
        <w:rPr>
          <w:rFonts w:hAnsi="宋体" w:eastAsia="宋体"/>
          <w:color w:val="auto"/>
          <w:u w:val="single"/>
        </w:rPr>
        <w:t>（</w:t>
      </w:r>
      <w:r>
        <w:rPr>
          <w:rFonts w:eastAsia="宋体"/>
          <w:color w:val="auto"/>
          <w:u w:val="single"/>
        </w:rPr>
        <w:t>1</w:t>
      </w:r>
      <w:r>
        <w:rPr>
          <w:rFonts w:hAnsi="宋体" w:eastAsia="宋体"/>
          <w:color w:val="auto"/>
          <w:u w:val="single"/>
        </w:rPr>
        <w:t>）合同协议书；（</w:t>
      </w:r>
      <w:r>
        <w:rPr>
          <w:rFonts w:eastAsia="宋体"/>
          <w:color w:val="auto"/>
          <w:u w:val="single"/>
        </w:rPr>
        <w:t>2</w:t>
      </w:r>
      <w:r>
        <w:rPr>
          <w:rFonts w:hAnsi="宋体" w:eastAsia="宋体"/>
          <w:color w:val="auto"/>
          <w:u w:val="single"/>
        </w:rPr>
        <w:t>）中标通知书；（</w:t>
      </w:r>
      <w:r>
        <w:rPr>
          <w:rFonts w:eastAsia="宋体"/>
          <w:color w:val="auto"/>
          <w:u w:val="single"/>
        </w:rPr>
        <w:t>3</w:t>
      </w:r>
      <w:r>
        <w:rPr>
          <w:rFonts w:hAnsi="宋体" w:eastAsia="宋体"/>
          <w:color w:val="auto"/>
          <w:u w:val="single"/>
        </w:rPr>
        <w:t>）投标函及投标函附录；（</w:t>
      </w:r>
      <w:r>
        <w:rPr>
          <w:rFonts w:eastAsia="宋体"/>
          <w:color w:val="auto"/>
          <w:u w:val="single"/>
        </w:rPr>
        <w:t>4</w:t>
      </w:r>
      <w:r>
        <w:rPr>
          <w:rFonts w:hAnsi="宋体" w:eastAsia="宋体"/>
          <w:color w:val="auto"/>
          <w:u w:val="single"/>
        </w:rPr>
        <w:t>）专用合同条款；（</w:t>
      </w:r>
      <w:r>
        <w:rPr>
          <w:rFonts w:eastAsia="宋体"/>
          <w:color w:val="auto"/>
          <w:u w:val="single"/>
        </w:rPr>
        <w:t>5</w:t>
      </w:r>
      <w:r>
        <w:rPr>
          <w:rFonts w:hAnsi="宋体" w:eastAsia="宋体"/>
          <w:color w:val="auto"/>
          <w:u w:val="single"/>
        </w:rPr>
        <w:t>）通用合同条款；（</w:t>
      </w:r>
      <w:r>
        <w:rPr>
          <w:rFonts w:eastAsia="宋体"/>
          <w:color w:val="auto"/>
          <w:u w:val="single"/>
        </w:rPr>
        <w:t>6</w:t>
      </w:r>
      <w:r>
        <w:rPr>
          <w:rFonts w:hAnsi="宋体" w:eastAsia="宋体"/>
          <w:color w:val="auto"/>
          <w:u w:val="single"/>
        </w:rPr>
        <w:t>）发包人要求；（</w:t>
      </w:r>
      <w:r>
        <w:rPr>
          <w:rFonts w:eastAsia="宋体"/>
          <w:color w:val="auto"/>
          <w:u w:val="single"/>
        </w:rPr>
        <w:t>7</w:t>
      </w:r>
      <w:r>
        <w:rPr>
          <w:rFonts w:hAnsi="宋体" w:eastAsia="宋体"/>
          <w:color w:val="auto"/>
          <w:u w:val="single"/>
        </w:rPr>
        <w:t>）承包人建议书</w:t>
      </w:r>
      <w:r>
        <w:rPr>
          <w:rFonts w:hint="eastAsia" w:hAnsi="宋体" w:eastAsia="宋体"/>
          <w:color w:val="auto"/>
          <w:u w:val="single"/>
          <w:lang w:eastAsia="zh-CN"/>
        </w:rPr>
        <w:t>；</w:t>
      </w:r>
      <w:r>
        <w:rPr>
          <w:rFonts w:hAnsi="宋体" w:eastAsia="宋体"/>
          <w:color w:val="auto"/>
          <w:u w:val="single"/>
        </w:rPr>
        <w:t>（</w:t>
      </w:r>
      <w:r>
        <w:rPr>
          <w:rFonts w:eastAsia="宋体"/>
          <w:color w:val="auto"/>
          <w:u w:val="single"/>
        </w:rPr>
        <w:t>8</w:t>
      </w:r>
      <w:r>
        <w:rPr>
          <w:rFonts w:hAnsi="宋体" w:eastAsia="宋体"/>
          <w:color w:val="auto"/>
          <w:u w:val="single"/>
        </w:rPr>
        <w:t>）价格清单；（</w:t>
      </w:r>
      <w:r>
        <w:rPr>
          <w:rFonts w:eastAsia="宋体"/>
          <w:color w:val="auto"/>
          <w:u w:val="single"/>
        </w:rPr>
        <w:t>9</w:t>
      </w:r>
      <w:r>
        <w:rPr>
          <w:rFonts w:hAnsi="宋体" w:eastAsia="宋体"/>
          <w:color w:val="auto"/>
          <w:u w:val="single"/>
        </w:rPr>
        <w:t>）其他合同</w:t>
      </w:r>
      <w:r>
        <w:rPr>
          <w:rFonts w:hAnsi="宋体" w:eastAsia="宋体"/>
          <w:color w:val="auto"/>
          <w:szCs w:val="21"/>
          <w:u w:val="single"/>
        </w:rPr>
        <w:t>文件。</w:t>
      </w:r>
    </w:p>
    <w:p w14:paraId="236171A0">
      <w:pPr>
        <w:keepNext/>
        <w:keepLines/>
        <w:spacing w:before="120" w:beforeLines="50" w:line="440" w:lineRule="exact"/>
        <w:outlineLvl w:val="0"/>
        <w:rPr>
          <w:rFonts w:ascii="黑体" w:hAnsi="黑体" w:eastAsia="黑体"/>
          <w:color w:val="auto"/>
        </w:rPr>
      </w:pPr>
      <w:r>
        <w:rPr>
          <w:rFonts w:ascii="黑体" w:hAnsi="黑体" w:eastAsia="黑体"/>
          <w:color w:val="auto"/>
        </w:rPr>
        <w:t>1.6文件的提供和照管</w:t>
      </w:r>
    </w:p>
    <w:p w14:paraId="57668662">
      <w:pPr>
        <w:widowControl/>
        <w:spacing w:line="440" w:lineRule="exact"/>
        <w:jc w:val="left"/>
        <w:rPr>
          <w:rFonts w:hint="eastAsia" w:ascii="宋体" w:hAnsi="宋体" w:eastAsia="宋体" w:cs="宋体"/>
          <w:color w:val="auto"/>
          <w:kern w:val="0"/>
          <w:szCs w:val="21"/>
          <w:lang w:bidi="ar"/>
        </w:rPr>
      </w:pPr>
      <w:r>
        <w:rPr>
          <w:rFonts w:eastAsia="宋体"/>
          <w:color w:val="auto"/>
          <w:szCs w:val="21"/>
        </w:rPr>
        <w:t xml:space="preserve">1.6.1 </w:t>
      </w:r>
      <w:r>
        <w:rPr>
          <w:rFonts w:hAnsi="宋体" w:eastAsia="宋体"/>
          <w:color w:val="auto"/>
          <w:szCs w:val="21"/>
        </w:rPr>
        <w:t>承包人提供的文件：</w:t>
      </w:r>
      <w:r>
        <w:rPr>
          <w:rFonts w:hint="eastAsia" w:ascii="宋体" w:hAnsi="宋体" w:eastAsia="宋体" w:cs="宋体"/>
          <w:color w:val="auto"/>
          <w:kern w:val="0"/>
          <w:szCs w:val="21"/>
          <w:lang w:bidi="ar"/>
        </w:rPr>
        <w:t xml:space="preserve">自本合同生效之日起应提供的文件包括但不限于：项目整体进度计划、设计进度计划、采购进度计划、施工进度计划、安全文明施工方案、专项施工方案、施工图纸等发包人认为有必要提供的资料、成果及图纸。 </w:t>
      </w:r>
    </w:p>
    <w:p w14:paraId="362266DA">
      <w:pPr>
        <w:widowControl/>
        <w:spacing w:line="440" w:lineRule="exact"/>
        <w:jc w:val="left"/>
        <w:rPr>
          <w:rFonts w:eastAsia="宋体"/>
          <w:color w:val="auto"/>
          <w:szCs w:val="21"/>
        </w:rPr>
      </w:pPr>
      <w:r>
        <w:rPr>
          <w:rFonts w:hint="eastAsia" w:ascii="宋体" w:hAnsi="宋体" w:eastAsia="宋体" w:cs="宋体"/>
          <w:color w:val="auto"/>
          <w:kern w:val="0"/>
          <w:szCs w:val="21"/>
          <w:lang w:bidi="ar"/>
        </w:rPr>
        <w:t>1</w:t>
      </w:r>
      <w:r>
        <w:rPr>
          <w:rFonts w:eastAsia="宋体"/>
          <w:color w:val="auto"/>
          <w:szCs w:val="21"/>
        </w:rPr>
        <w:t xml:space="preserve">.6.2 </w:t>
      </w:r>
      <w:r>
        <w:rPr>
          <w:rFonts w:hAnsi="宋体" w:eastAsia="宋体"/>
          <w:color w:val="auto"/>
          <w:szCs w:val="21"/>
        </w:rPr>
        <w:t>发包人提供的文件：</w:t>
      </w:r>
      <w:r>
        <w:rPr>
          <w:rFonts w:hint="eastAsia" w:ascii="宋体" w:hAnsi="宋体" w:eastAsia="宋体" w:cs="宋体"/>
          <w:color w:val="auto"/>
          <w:kern w:val="0"/>
          <w:szCs w:val="21"/>
          <w:lang w:bidi="ar"/>
        </w:rPr>
        <w:t>自本合同生效之日起</w:t>
      </w:r>
      <w:r>
        <w:rPr>
          <w:rFonts w:ascii="宋体" w:hAnsi="宋体" w:eastAsia="宋体" w:cs="宋体"/>
          <w:color w:val="auto"/>
          <w:kern w:val="0"/>
          <w:szCs w:val="21"/>
          <w:lang w:bidi="ar"/>
        </w:rPr>
        <w:t>10</w:t>
      </w:r>
      <w:r>
        <w:rPr>
          <w:rFonts w:hint="eastAsia" w:ascii="宋体" w:hAnsi="宋体" w:eastAsia="宋体" w:cs="宋体"/>
          <w:color w:val="auto"/>
          <w:kern w:val="0"/>
          <w:szCs w:val="21"/>
          <w:lang w:bidi="ar"/>
        </w:rPr>
        <w:t>日内向承包人提供的项目基础资料：项目投资备案证和建筑用地规划许可证等相关资料。</w:t>
      </w:r>
    </w:p>
    <w:p w14:paraId="0F27E463">
      <w:pPr>
        <w:keepNext/>
        <w:keepLines/>
        <w:spacing w:before="120" w:beforeLines="50" w:line="440" w:lineRule="exact"/>
        <w:outlineLvl w:val="0"/>
        <w:rPr>
          <w:rFonts w:ascii="黑体" w:hAnsi="黑体" w:eastAsia="黑体"/>
          <w:color w:val="auto"/>
        </w:rPr>
      </w:pPr>
      <w:r>
        <w:rPr>
          <w:rFonts w:ascii="黑体" w:hAnsi="黑体" w:eastAsia="黑体"/>
          <w:color w:val="auto"/>
        </w:rPr>
        <w:t>1.7 联络</w:t>
      </w:r>
    </w:p>
    <w:p w14:paraId="48367133">
      <w:pPr>
        <w:spacing w:line="440" w:lineRule="exact"/>
        <w:rPr>
          <w:rFonts w:hint="eastAsia" w:eastAsia="宋体"/>
          <w:color w:val="auto"/>
        </w:rPr>
      </w:pPr>
      <w:r>
        <w:rPr>
          <w:rFonts w:eastAsia="宋体"/>
          <w:color w:val="auto"/>
        </w:rPr>
        <w:t>1.7.2  来往函件均应按技术标准和要求（合同技术条款）约定的期限送达</w:t>
      </w:r>
      <w:r>
        <w:rPr>
          <w:rFonts w:hint="eastAsia" w:eastAsia="宋体"/>
          <w:color w:val="auto"/>
        </w:rPr>
        <w:t>：</w:t>
      </w:r>
    </w:p>
    <w:p w14:paraId="6018F88F">
      <w:pPr>
        <w:spacing w:line="440" w:lineRule="exact"/>
        <w:rPr>
          <w:rFonts w:hint="eastAsia" w:eastAsia="宋体"/>
          <w:color w:val="auto"/>
        </w:rPr>
      </w:pPr>
      <w:r>
        <w:rPr>
          <w:rFonts w:hint="eastAsia" w:eastAsia="宋体"/>
          <w:color w:val="auto"/>
        </w:rPr>
        <w:t xml:space="preserve">发包人地址： </w:t>
      </w:r>
      <w:r>
        <w:rPr>
          <w:rFonts w:hint="eastAsia" w:hAnsi="宋体" w:eastAsia="宋体"/>
          <w:color w:val="auto"/>
          <w:szCs w:val="21"/>
          <w:u w:val="single"/>
        </w:rPr>
        <w:t xml:space="preserve">  </w:t>
      </w:r>
      <w:r>
        <w:rPr>
          <w:rFonts w:hint="eastAsia" w:hAnsi="宋体" w:eastAsia="宋体"/>
          <w:color w:val="auto"/>
          <w:szCs w:val="21"/>
          <w:u w:val="single"/>
          <w:lang w:val="en-US" w:eastAsia="zh-CN"/>
        </w:rPr>
        <w:t>/</w:t>
      </w:r>
      <w:r>
        <w:rPr>
          <w:rFonts w:hint="eastAsia" w:eastAsia="宋体"/>
          <w:color w:val="auto"/>
          <w:u w:val="single"/>
        </w:rPr>
        <w:t xml:space="preserve">  </w:t>
      </w:r>
      <w:r>
        <w:rPr>
          <w:rFonts w:hint="eastAsia" w:eastAsia="宋体"/>
          <w:color w:val="auto"/>
        </w:rPr>
        <w:t xml:space="preserve"> </w:t>
      </w:r>
    </w:p>
    <w:p w14:paraId="4B19E619">
      <w:pPr>
        <w:spacing w:line="440" w:lineRule="exact"/>
        <w:rPr>
          <w:rFonts w:hint="eastAsia" w:eastAsia="宋体"/>
          <w:color w:val="auto"/>
          <w:u w:val="single"/>
        </w:rPr>
      </w:pPr>
      <w:r>
        <w:rPr>
          <w:rFonts w:hint="eastAsia" w:eastAsia="宋体"/>
          <w:color w:val="auto"/>
        </w:rPr>
        <w:t>发包人接收人姓名：</w:t>
      </w:r>
      <w:r>
        <w:rPr>
          <w:rFonts w:hint="eastAsia" w:hAnsi="宋体" w:eastAsia="宋体"/>
          <w:color w:val="auto"/>
          <w:szCs w:val="21"/>
          <w:u w:val="single"/>
        </w:rPr>
        <w:t xml:space="preserve">  </w:t>
      </w:r>
      <w:r>
        <w:rPr>
          <w:rFonts w:hint="eastAsia" w:hAnsi="宋体" w:eastAsia="宋体"/>
          <w:color w:val="auto"/>
          <w:szCs w:val="21"/>
          <w:u w:val="single"/>
          <w:lang w:val="en-US" w:eastAsia="zh-CN"/>
        </w:rPr>
        <w:t>/</w:t>
      </w:r>
      <w:r>
        <w:rPr>
          <w:rFonts w:hint="eastAsia" w:eastAsia="宋体"/>
          <w:color w:val="auto"/>
          <w:u w:val="single"/>
        </w:rPr>
        <w:t xml:space="preserve">  </w:t>
      </w:r>
    </w:p>
    <w:p w14:paraId="5A58D030">
      <w:pPr>
        <w:spacing w:line="440" w:lineRule="exact"/>
        <w:rPr>
          <w:rFonts w:hint="eastAsia" w:eastAsia="宋体"/>
          <w:color w:val="auto"/>
          <w:u w:val="single"/>
        </w:rPr>
      </w:pPr>
      <w:r>
        <w:rPr>
          <w:rFonts w:hint="eastAsia" w:eastAsia="宋体"/>
          <w:color w:val="auto"/>
        </w:rPr>
        <w:t xml:space="preserve">承包人地址： </w:t>
      </w:r>
      <w:r>
        <w:rPr>
          <w:rFonts w:hint="eastAsia" w:hAnsi="宋体" w:eastAsia="宋体"/>
          <w:color w:val="auto"/>
          <w:szCs w:val="21"/>
          <w:u w:val="single"/>
        </w:rPr>
        <w:t xml:space="preserve">  </w:t>
      </w:r>
      <w:r>
        <w:rPr>
          <w:rFonts w:hint="eastAsia" w:hAnsi="宋体" w:eastAsia="宋体"/>
          <w:color w:val="auto"/>
          <w:szCs w:val="21"/>
          <w:u w:val="single"/>
          <w:lang w:val="en-US" w:eastAsia="zh-CN"/>
        </w:rPr>
        <w:t>/</w:t>
      </w:r>
      <w:r>
        <w:rPr>
          <w:rFonts w:hint="eastAsia" w:eastAsia="宋体"/>
          <w:color w:val="auto"/>
          <w:u w:val="single"/>
        </w:rPr>
        <w:t xml:space="preserve">  </w:t>
      </w:r>
    </w:p>
    <w:p w14:paraId="083F0E84">
      <w:pPr>
        <w:spacing w:line="440" w:lineRule="exact"/>
        <w:rPr>
          <w:rFonts w:hint="eastAsia" w:eastAsia="宋体"/>
          <w:color w:val="auto"/>
          <w:u w:val="single"/>
        </w:rPr>
      </w:pPr>
      <w:r>
        <w:rPr>
          <w:rFonts w:hint="eastAsia" w:eastAsia="宋体"/>
          <w:color w:val="auto"/>
        </w:rPr>
        <w:t>承包人接收人姓名：</w:t>
      </w:r>
      <w:r>
        <w:rPr>
          <w:rFonts w:hint="eastAsia" w:hAnsi="宋体" w:eastAsia="宋体"/>
          <w:color w:val="auto"/>
          <w:szCs w:val="21"/>
          <w:u w:val="single"/>
        </w:rPr>
        <w:t xml:space="preserve">  </w:t>
      </w:r>
      <w:r>
        <w:rPr>
          <w:rFonts w:hint="eastAsia" w:hAnsi="宋体" w:eastAsia="宋体"/>
          <w:color w:val="auto"/>
          <w:szCs w:val="21"/>
          <w:u w:val="single"/>
          <w:lang w:val="en-US" w:eastAsia="zh-CN"/>
        </w:rPr>
        <w:t>/</w:t>
      </w:r>
      <w:r>
        <w:rPr>
          <w:rFonts w:hint="eastAsia" w:eastAsia="宋体"/>
          <w:color w:val="auto"/>
          <w:u w:val="single"/>
        </w:rPr>
        <w:t xml:space="preserve">  </w:t>
      </w:r>
    </w:p>
    <w:p w14:paraId="12BCF230">
      <w:pPr>
        <w:spacing w:line="440" w:lineRule="exact"/>
        <w:rPr>
          <w:rFonts w:eastAsia="宋体"/>
          <w:color w:val="auto"/>
        </w:rPr>
      </w:pPr>
      <w:r>
        <w:rPr>
          <w:rFonts w:eastAsia="宋体"/>
          <w:color w:val="auto"/>
        </w:rPr>
        <w:t>1.11 知识产权</w:t>
      </w:r>
    </w:p>
    <w:p w14:paraId="0D626C3A">
      <w:pPr>
        <w:spacing w:line="440" w:lineRule="exact"/>
        <w:rPr>
          <w:rFonts w:eastAsia="宋体"/>
          <w:u w:val="single"/>
        </w:rPr>
      </w:pPr>
      <w:r>
        <w:rPr>
          <w:rFonts w:eastAsia="宋体"/>
          <w:color w:val="auto"/>
        </w:rPr>
        <w:t>1.11.1 知识产权：</w:t>
      </w:r>
      <w:r>
        <w:rPr>
          <w:rFonts w:ascii="宋体" w:hAnsi="宋体" w:eastAsia="宋体"/>
          <w:color w:val="auto"/>
          <w:szCs w:val="21"/>
        </w:rPr>
        <w:t>发包人在使用本合同项下的工程和服务时，免受由于承包人的工程设计、制造、施工或使用设备、材料等原因导致的专利权、商标权或工业设计权等知识产权的任何侵权或索赔引起的损害。若因上述知识产权发生的争议及纠纷，由承包人承担全部责任，包括但不限于处理索赔或参加诉讼、承担被索赔的款项、诉讼费用、律师费用和其他法</w:t>
      </w:r>
      <w:r>
        <w:rPr>
          <w:rFonts w:ascii="宋体" w:hAnsi="宋体" w:eastAsia="宋体"/>
          <w:szCs w:val="21"/>
        </w:rPr>
        <w:t>律责任，发包人对此不承担任何责任。</w:t>
      </w:r>
    </w:p>
    <w:p w14:paraId="6D56B2B7">
      <w:pPr>
        <w:keepNext/>
        <w:keepLines/>
        <w:spacing w:before="120" w:beforeLines="50" w:line="440" w:lineRule="exact"/>
        <w:outlineLvl w:val="0"/>
        <w:rPr>
          <w:rFonts w:ascii="黑体" w:hAnsi="黑体" w:eastAsia="黑体"/>
        </w:rPr>
      </w:pPr>
      <w:r>
        <w:rPr>
          <w:rFonts w:ascii="黑体" w:hAnsi="黑体" w:eastAsia="黑体"/>
        </w:rPr>
        <w:t>1.13 发包人要求中的错误</w:t>
      </w:r>
    </w:p>
    <w:p w14:paraId="7FE6AD26">
      <w:pPr>
        <w:spacing w:line="440" w:lineRule="exact"/>
        <w:rPr>
          <w:rFonts w:eastAsia="宋体"/>
          <w:color w:val="auto"/>
          <w:szCs w:val="21"/>
        </w:rPr>
      </w:pPr>
      <w:r>
        <w:rPr>
          <w:rFonts w:eastAsia="宋体"/>
        </w:rPr>
        <w:t>适用通用条款中的</w:t>
      </w:r>
      <w:r>
        <w:rPr>
          <w:rFonts w:hint="eastAsia" w:eastAsia="宋体"/>
          <w:b/>
          <w:bCs/>
          <w:u w:val="single"/>
          <w:lang w:val="en-US" w:eastAsia="zh-CN"/>
        </w:rPr>
        <w:t xml:space="preserve"> </w:t>
      </w:r>
      <w:r>
        <w:rPr>
          <w:rFonts w:eastAsia="宋体"/>
          <w:u w:val="single"/>
        </w:rPr>
        <w:t>B</w:t>
      </w:r>
      <w:r>
        <w:rPr>
          <w:rFonts w:hint="eastAsia" w:eastAsia="宋体"/>
          <w:u w:val="single"/>
          <w:lang w:val="en-US" w:eastAsia="zh-CN"/>
        </w:rPr>
        <w:t xml:space="preserve"> </w:t>
      </w:r>
      <w:r>
        <w:rPr>
          <w:rFonts w:eastAsia="宋体"/>
        </w:rPr>
        <w:t>条款，</w:t>
      </w:r>
      <w:r>
        <w:rPr>
          <w:rFonts w:hint="eastAsia" w:eastAsia="宋体"/>
          <w:lang w:val="en-US" w:eastAsia="zh-CN"/>
        </w:rPr>
        <w:t>(</w:t>
      </w:r>
      <w:r>
        <w:rPr>
          <w:rFonts w:hint="eastAsia" w:eastAsia="宋体"/>
          <w:color w:val="auto"/>
          <w:lang w:val="en-US" w:eastAsia="zh-CN"/>
        </w:rPr>
        <w:t>1.</w:t>
      </w:r>
      <w:r>
        <w:rPr>
          <w:rFonts w:hAnsi="宋体" w:eastAsia="宋体"/>
          <w:color w:val="auto"/>
          <w:szCs w:val="21"/>
        </w:rPr>
        <w:t>承包人应认真阅读、复核发包人要求，</w:t>
      </w:r>
      <w:r>
        <w:rPr>
          <w:rFonts w:hAnsi="宋体" w:eastAsia="宋体"/>
          <w:color w:val="auto"/>
        </w:rPr>
        <w:t>发现</w:t>
      </w:r>
      <w:r>
        <w:rPr>
          <w:rFonts w:hAnsi="宋体" w:eastAsia="宋体"/>
          <w:color w:val="auto"/>
          <w:szCs w:val="21"/>
        </w:rPr>
        <w:t>错误的，应及时书面通知发包人。发包人作相应修改的，按照第</w:t>
      </w:r>
      <w:r>
        <w:rPr>
          <w:rFonts w:eastAsia="宋体"/>
          <w:color w:val="auto"/>
          <w:szCs w:val="21"/>
        </w:rPr>
        <w:t>15</w:t>
      </w:r>
      <w:r>
        <w:rPr>
          <w:rFonts w:hAnsi="宋体" w:eastAsia="宋体"/>
          <w:color w:val="auto"/>
          <w:szCs w:val="21"/>
        </w:rPr>
        <w:t>条约定处理。对确实存在的错误，发包人坚持不作修改的，应承担由此导致承包人增加的费用和</w:t>
      </w:r>
      <w:r>
        <w:rPr>
          <w:rFonts w:eastAsia="宋体"/>
          <w:color w:val="auto"/>
          <w:szCs w:val="21"/>
        </w:rPr>
        <w:t>(</w:t>
      </w:r>
      <w:r>
        <w:rPr>
          <w:rFonts w:hAnsi="宋体" w:eastAsia="宋体"/>
          <w:color w:val="auto"/>
          <w:szCs w:val="21"/>
        </w:rPr>
        <w:t>或</w:t>
      </w:r>
      <w:r>
        <w:rPr>
          <w:rFonts w:eastAsia="宋体"/>
          <w:color w:val="auto"/>
          <w:szCs w:val="21"/>
        </w:rPr>
        <w:t>)</w:t>
      </w:r>
      <w:r>
        <w:rPr>
          <w:rFonts w:hAnsi="宋体" w:eastAsia="宋体"/>
          <w:color w:val="auto"/>
          <w:szCs w:val="21"/>
        </w:rPr>
        <w:t>延误的工期。</w:t>
      </w:r>
      <w:r>
        <w:rPr>
          <w:rFonts w:hint="eastAsia" w:eastAsia="宋体"/>
          <w:color w:val="auto"/>
          <w:lang w:val="en-US" w:eastAsia="zh-CN"/>
        </w:rPr>
        <w:t>2.</w:t>
      </w:r>
      <w:r>
        <w:rPr>
          <w:rFonts w:hAnsi="宋体" w:eastAsia="宋体"/>
          <w:color w:val="auto"/>
        </w:rPr>
        <w:t>承包人未发现发包人要求中存在错误的，</w:t>
      </w:r>
      <w:r>
        <w:rPr>
          <w:rFonts w:hAnsi="宋体" w:eastAsia="宋体"/>
          <w:color w:val="auto"/>
          <w:szCs w:val="21"/>
        </w:rPr>
        <w:t>承包人自行承担由此导致的费用增加和</w:t>
      </w:r>
      <w:r>
        <w:rPr>
          <w:rFonts w:eastAsia="宋体"/>
          <w:color w:val="auto"/>
          <w:szCs w:val="21"/>
        </w:rPr>
        <w:t>(</w:t>
      </w:r>
      <w:r>
        <w:rPr>
          <w:rFonts w:hAnsi="宋体" w:eastAsia="宋体"/>
          <w:color w:val="auto"/>
          <w:szCs w:val="21"/>
        </w:rPr>
        <w:t>或</w:t>
      </w:r>
      <w:r>
        <w:rPr>
          <w:rFonts w:eastAsia="宋体"/>
          <w:color w:val="auto"/>
          <w:szCs w:val="21"/>
        </w:rPr>
        <w:t xml:space="preserve">) </w:t>
      </w:r>
      <w:r>
        <w:rPr>
          <w:rFonts w:hAnsi="宋体" w:eastAsia="宋体"/>
          <w:color w:val="auto"/>
          <w:szCs w:val="21"/>
        </w:rPr>
        <w:t>工期延误，</w:t>
      </w:r>
      <w:r>
        <w:rPr>
          <w:rFonts w:hAnsi="宋体" w:eastAsia="宋体"/>
          <w:color w:val="auto"/>
        </w:rPr>
        <w:t>但专用合同条款另有约定的除外。</w:t>
      </w:r>
    </w:p>
    <w:p w14:paraId="46D85131">
      <w:pPr>
        <w:spacing w:line="440" w:lineRule="exact"/>
        <w:rPr>
          <w:rFonts w:hint="eastAsia" w:eastAsia="宋体"/>
          <w:color w:val="auto"/>
          <w:lang w:val="en-US" w:eastAsia="zh-CN"/>
        </w:rPr>
      </w:pPr>
      <w:r>
        <w:rPr>
          <w:rFonts w:hint="eastAsia" w:eastAsia="宋体"/>
          <w:color w:val="auto"/>
          <w:lang w:val="en-US" w:eastAsia="zh-CN"/>
        </w:rPr>
        <w:t>3.</w:t>
      </w:r>
      <w:r>
        <w:rPr>
          <w:rFonts w:hAnsi="宋体" w:eastAsia="宋体"/>
          <w:color w:val="auto"/>
          <w:szCs w:val="21"/>
        </w:rPr>
        <w:t>无论承包人发现与否，在任何情况下，发包人要求中的下列错误导致承包人增加的费用和</w:t>
      </w:r>
      <w:r>
        <w:rPr>
          <w:rFonts w:eastAsia="宋体"/>
          <w:color w:val="auto"/>
          <w:szCs w:val="21"/>
        </w:rPr>
        <w:t>(</w:t>
      </w:r>
      <w:r>
        <w:rPr>
          <w:rFonts w:hAnsi="宋体" w:eastAsia="宋体"/>
          <w:color w:val="auto"/>
          <w:szCs w:val="21"/>
        </w:rPr>
        <w:t>或</w:t>
      </w:r>
      <w:r>
        <w:rPr>
          <w:rFonts w:eastAsia="宋体"/>
          <w:color w:val="auto"/>
          <w:szCs w:val="21"/>
        </w:rPr>
        <w:t>)</w:t>
      </w:r>
      <w:r>
        <w:rPr>
          <w:rFonts w:hAnsi="宋体" w:eastAsia="宋体"/>
          <w:color w:val="auto"/>
          <w:szCs w:val="21"/>
        </w:rPr>
        <w:t>延误的工期，由发包人承担，并向承包人支付合理利润。</w:t>
      </w:r>
      <w:r>
        <w:rPr>
          <w:rFonts w:hAnsi="宋体" w:eastAsia="宋体"/>
          <w:color w:val="auto"/>
        </w:rPr>
        <w:t>（</w:t>
      </w:r>
      <w:r>
        <w:rPr>
          <w:rFonts w:eastAsia="宋体"/>
          <w:color w:val="auto"/>
        </w:rPr>
        <w:t>1</w:t>
      </w:r>
      <w:r>
        <w:rPr>
          <w:rFonts w:hAnsi="宋体" w:eastAsia="宋体"/>
          <w:color w:val="auto"/>
        </w:rPr>
        <w:t>）发包人要求中引用的原始数据和资料；（</w:t>
      </w:r>
      <w:r>
        <w:rPr>
          <w:rFonts w:eastAsia="宋体"/>
          <w:color w:val="auto"/>
        </w:rPr>
        <w:t>2</w:t>
      </w:r>
      <w:r>
        <w:rPr>
          <w:rFonts w:hAnsi="宋体" w:eastAsia="宋体"/>
          <w:color w:val="auto"/>
        </w:rPr>
        <w:t>）对工程或其任何部分的功能要求；（</w:t>
      </w:r>
      <w:r>
        <w:rPr>
          <w:rFonts w:eastAsia="宋体"/>
          <w:color w:val="auto"/>
        </w:rPr>
        <w:t>3</w:t>
      </w:r>
      <w:r>
        <w:rPr>
          <w:rFonts w:hAnsi="宋体" w:eastAsia="宋体"/>
          <w:color w:val="auto"/>
        </w:rPr>
        <w:t>）对工程的工艺安排或要求；（</w:t>
      </w:r>
      <w:r>
        <w:rPr>
          <w:rFonts w:eastAsia="宋体"/>
          <w:color w:val="auto"/>
        </w:rPr>
        <w:t>4</w:t>
      </w:r>
      <w:r>
        <w:rPr>
          <w:rFonts w:hAnsi="宋体" w:eastAsia="宋体"/>
          <w:color w:val="auto"/>
        </w:rPr>
        <w:t>）试验和检验标准；（</w:t>
      </w:r>
      <w:r>
        <w:rPr>
          <w:rFonts w:eastAsia="宋体"/>
          <w:color w:val="auto"/>
        </w:rPr>
        <w:t>5</w:t>
      </w:r>
      <w:r>
        <w:rPr>
          <w:rFonts w:hAnsi="宋体" w:eastAsia="宋体"/>
          <w:color w:val="auto"/>
        </w:rPr>
        <w:t>）除合同另有约定外，承包人无法核实的数据和资料。</w:t>
      </w:r>
    </w:p>
    <w:p w14:paraId="0A64AF1A">
      <w:pPr>
        <w:spacing w:line="440" w:lineRule="exact"/>
        <w:rPr>
          <w:rFonts w:eastAsia="宋体"/>
          <w:u w:val="single"/>
        </w:rPr>
      </w:pPr>
      <w:r>
        <w:rPr>
          <w:rFonts w:eastAsia="宋体"/>
        </w:rPr>
        <w:t>其他要求：</w:t>
      </w:r>
      <w:r>
        <w:rPr>
          <w:rFonts w:eastAsia="宋体"/>
          <w:u w:val="single"/>
        </w:rPr>
        <w:t xml:space="preserve">               </w:t>
      </w:r>
    </w:p>
    <w:p w14:paraId="50F8736C">
      <w:pPr>
        <w:keepNext/>
        <w:keepLines/>
        <w:spacing w:before="48" w:beforeLines="20" w:line="440" w:lineRule="exact"/>
        <w:outlineLvl w:val="0"/>
        <w:rPr>
          <w:rFonts w:hint="eastAsia" w:eastAsia="黑体" w:cs="Times New Roman"/>
          <w:b/>
          <w:bCs w:val="0"/>
          <w:sz w:val="24"/>
          <w:szCs w:val="32"/>
        </w:rPr>
      </w:pPr>
      <w:r>
        <w:rPr>
          <w:rFonts w:eastAsia="黑体" w:cs="Times New Roman"/>
          <w:b/>
          <w:bCs w:val="0"/>
          <w:sz w:val="24"/>
          <w:szCs w:val="32"/>
        </w:rPr>
        <w:t>2. 发包人</w:t>
      </w:r>
      <w:r>
        <w:rPr>
          <w:rFonts w:hint="eastAsia" w:eastAsia="黑体" w:cs="Times New Roman"/>
          <w:b/>
          <w:bCs w:val="0"/>
          <w:sz w:val="24"/>
          <w:szCs w:val="32"/>
        </w:rPr>
        <w:t>义务</w:t>
      </w:r>
    </w:p>
    <w:p w14:paraId="3C149106">
      <w:pPr>
        <w:keepNext/>
        <w:keepLines/>
        <w:spacing w:before="120" w:beforeLines="50" w:line="440" w:lineRule="exact"/>
        <w:outlineLvl w:val="0"/>
        <w:rPr>
          <w:rFonts w:ascii="黑体" w:hAnsi="黑体" w:eastAsia="黑体"/>
        </w:rPr>
      </w:pPr>
      <w:r>
        <w:rPr>
          <w:rFonts w:ascii="黑体" w:hAnsi="黑体" w:eastAsia="黑体"/>
        </w:rPr>
        <w:t>2.3 提供施工场地</w:t>
      </w:r>
    </w:p>
    <w:p w14:paraId="54EE1283">
      <w:pPr>
        <w:spacing w:line="440" w:lineRule="exact"/>
        <w:ind w:right="248"/>
        <w:rPr>
          <w:rFonts w:eastAsia="宋体"/>
          <w:b/>
          <w:bCs/>
          <w:sz w:val="24"/>
        </w:rPr>
      </w:pPr>
      <w:r>
        <w:rPr>
          <w:rFonts w:eastAsia="宋体"/>
          <w:szCs w:val="21"/>
        </w:rPr>
        <w:t>发包人提供的施工场地范围为：</w:t>
      </w:r>
      <w:r>
        <w:rPr>
          <w:rFonts w:eastAsia="宋体"/>
          <w:szCs w:val="21"/>
          <w:u w:val="single"/>
        </w:rPr>
        <w:t xml:space="preserve"> </w:t>
      </w:r>
      <w:r>
        <w:rPr>
          <w:rFonts w:hint="eastAsia" w:eastAsia="宋体"/>
          <w:szCs w:val="21"/>
          <w:u w:val="single"/>
        </w:rPr>
        <w:t xml:space="preserve">本项目用地红线范围  </w:t>
      </w:r>
      <w:r>
        <w:rPr>
          <w:rFonts w:eastAsia="宋体"/>
          <w:szCs w:val="21"/>
        </w:rPr>
        <w:t xml:space="preserve">                                    </w:t>
      </w:r>
    </w:p>
    <w:p w14:paraId="10619639">
      <w:pPr>
        <w:keepNext/>
        <w:keepLines/>
        <w:spacing w:line="440" w:lineRule="exact"/>
        <w:outlineLvl w:val="0"/>
        <w:rPr>
          <w:rFonts w:ascii="黑体" w:hAnsi="黑体" w:eastAsia="黑体"/>
        </w:rPr>
      </w:pPr>
      <w:r>
        <w:rPr>
          <w:rFonts w:ascii="黑体" w:hAnsi="黑体" w:eastAsia="黑体"/>
        </w:rPr>
        <w:t xml:space="preserve">2.7 其它义务  </w:t>
      </w:r>
    </w:p>
    <w:p w14:paraId="496F116B">
      <w:pPr>
        <w:spacing w:line="440" w:lineRule="exact"/>
        <w:ind w:right="248"/>
        <w:rPr>
          <w:rFonts w:eastAsia="宋体"/>
          <w:szCs w:val="21"/>
        </w:rPr>
      </w:pPr>
      <w:r>
        <w:rPr>
          <w:rFonts w:hint="eastAsia" w:eastAsia="宋体"/>
          <w:szCs w:val="21"/>
        </w:rPr>
        <w:t>关于发包人应负责提供的工作条件包括：满足项目所在地政府防疫要求。</w:t>
      </w:r>
    </w:p>
    <w:p w14:paraId="776D95D6">
      <w:pPr>
        <w:keepNext/>
        <w:keepLines/>
        <w:spacing w:before="48" w:beforeLines="20" w:line="440" w:lineRule="exact"/>
        <w:outlineLvl w:val="0"/>
        <w:rPr>
          <w:rFonts w:eastAsia="黑体" w:cs="Times New Roman"/>
          <w:b/>
          <w:bCs w:val="0"/>
          <w:sz w:val="24"/>
          <w:szCs w:val="32"/>
        </w:rPr>
      </w:pPr>
      <w:r>
        <w:rPr>
          <w:rFonts w:eastAsia="黑体" w:cs="Times New Roman"/>
          <w:b/>
          <w:bCs w:val="0"/>
          <w:sz w:val="24"/>
          <w:szCs w:val="32"/>
        </w:rPr>
        <w:t>3. 监理人</w:t>
      </w:r>
    </w:p>
    <w:p w14:paraId="7B67AF02">
      <w:pPr>
        <w:spacing w:line="440" w:lineRule="exact"/>
        <w:rPr>
          <w:rFonts w:eastAsia="宋体"/>
          <w:szCs w:val="21"/>
        </w:rPr>
      </w:pPr>
      <w:r>
        <w:rPr>
          <w:rFonts w:ascii="宋体" w:hAnsi="宋体" w:eastAsia="宋体"/>
          <w:szCs w:val="21"/>
        </w:rPr>
        <w:t>监理的范围：</w:t>
      </w:r>
      <w:r>
        <w:rPr>
          <w:rFonts w:hint="eastAsia" w:eastAsia="宋体"/>
          <w:szCs w:val="21"/>
        </w:rPr>
        <w:t>设计、施工、保修等阶段的质量控制、投资控制、进度控制、组织协调、合同管理、安全文明施工等内容，以及审计结算的配合工作。</w:t>
      </w:r>
    </w:p>
    <w:p w14:paraId="17A480D2">
      <w:pPr>
        <w:spacing w:line="440" w:lineRule="exact"/>
        <w:outlineLvl w:val="0"/>
        <w:rPr>
          <w:rFonts w:hint="eastAsia" w:ascii="黑体" w:hAnsi="黑体" w:eastAsia="黑体" w:cs="黑体"/>
        </w:rPr>
      </w:pPr>
      <w:r>
        <w:rPr>
          <w:rFonts w:hint="eastAsia" w:ascii="黑体" w:hAnsi="黑体" w:eastAsia="黑体" w:cs="黑体"/>
        </w:rPr>
        <w:t>3.1 监理人的职责和权力</w:t>
      </w:r>
    </w:p>
    <w:p w14:paraId="6F5607C9">
      <w:pPr>
        <w:widowControl/>
        <w:spacing w:line="440" w:lineRule="exact"/>
        <w:jc w:val="left"/>
        <w:rPr>
          <w:rFonts w:ascii="宋体" w:hAnsi="宋体" w:eastAsia="宋体"/>
          <w:spacing w:val="8"/>
          <w:kern w:val="0"/>
          <w:szCs w:val="21"/>
        </w:rPr>
      </w:pPr>
      <w:r>
        <w:rPr>
          <w:rFonts w:hint="eastAsia" w:ascii="宋体" w:hAnsi="宋体" w:eastAsia="宋体"/>
          <w:spacing w:val="8"/>
          <w:kern w:val="0"/>
          <w:szCs w:val="21"/>
        </w:rPr>
        <w:t>（1）协调管理设计单位，监督设计合同履行，审查设计进度计划并监督实施，核查设计是否满足委托人需求及其合理性，核查设计大纲和设计深度、使用技术规范合理性，提出设计评估报告（包括但不限于各类设计的核查意见和优化建议），审核施工图预算，经委托人同意后签发施工图纸。对工程建设有关事项包括设计标准、生产工艺设计和使用功能要求，向委托人</w:t>
      </w:r>
      <w:r>
        <w:rPr>
          <w:rFonts w:hint="eastAsia" w:ascii="宋体" w:hAnsi="宋体" w:eastAsia="宋体"/>
          <w:spacing w:val="8"/>
          <w:kern w:val="0"/>
          <w:szCs w:val="21"/>
          <w:lang w:eastAsia="zh-CN"/>
        </w:rPr>
        <w:t>行使</w:t>
      </w:r>
      <w:r>
        <w:rPr>
          <w:rFonts w:hint="eastAsia" w:ascii="宋体" w:hAnsi="宋体" w:eastAsia="宋体"/>
          <w:spacing w:val="8"/>
          <w:kern w:val="0"/>
          <w:szCs w:val="21"/>
        </w:rPr>
        <w:t>建议权。对工程设计中的技术问题，按照安全和优化的原则，向设计人提出合理建议；如果拟提出的建议可能会提高工程造价或延长工期，应当事先征得委托人的同意。当发现工程设计不符合国家颁布的建设工程质量标准或设计合同约定的质量标准时，监理</w:t>
      </w:r>
      <w:r>
        <w:rPr>
          <w:rFonts w:hint="eastAsia" w:ascii="宋体" w:hAnsi="宋体" w:eastAsia="宋体" w:cs="Times New Roman"/>
          <w:spacing w:val="8"/>
          <w:kern w:val="0"/>
          <w:szCs w:val="21"/>
        </w:rPr>
        <w:t>人</w:t>
      </w:r>
      <w:r>
        <w:rPr>
          <w:rFonts w:hint="eastAsia" w:ascii="宋体" w:hAnsi="宋体" w:eastAsia="宋体" w:cs="Times New Roman"/>
          <w:spacing w:val="8"/>
          <w:kern w:val="0"/>
          <w:szCs w:val="21"/>
          <w:lang w:eastAsia="zh-CN"/>
        </w:rPr>
        <w:t>必须</w:t>
      </w:r>
      <w:r>
        <w:rPr>
          <w:rFonts w:hint="eastAsia" w:ascii="宋体" w:hAnsi="宋体" w:eastAsia="宋体" w:cs="Times New Roman"/>
          <w:spacing w:val="8"/>
          <w:kern w:val="0"/>
          <w:szCs w:val="21"/>
        </w:rPr>
        <w:t>书面</w:t>
      </w:r>
      <w:r>
        <w:rPr>
          <w:rFonts w:hint="eastAsia" w:ascii="宋体" w:hAnsi="宋体" w:eastAsia="宋体"/>
          <w:spacing w:val="8"/>
          <w:kern w:val="0"/>
          <w:szCs w:val="21"/>
        </w:rPr>
        <w:t>报告委托人并要求设计人更正。</w:t>
      </w:r>
    </w:p>
    <w:p w14:paraId="7AFAFEBA">
      <w:pPr>
        <w:widowControl/>
        <w:spacing w:line="440" w:lineRule="exact"/>
        <w:jc w:val="left"/>
        <w:rPr>
          <w:rFonts w:ascii="宋体" w:hAnsi="宋体" w:eastAsia="宋体"/>
          <w:spacing w:val="8"/>
          <w:kern w:val="0"/>
          <w:szCs w:val="21"/>
        </w:rPr>
      </w:pPr>
      <w:r>
        <w:rPr>
          <w:rFonts w:hint="eastAsia" w:ascii="宋体" w:hAnsi="宋体" w:eastAsia="宋体"/>
          <w:spacing w:val="8"/>
          <w:kern w:val="0"/>
          <w:szCs w:val="21"/>
        </w:rPr>
        <w:t>（2）对设备、材料的设计、零部件采购与生产、安装、调试、保修期运行等过程实施监督、管理、控制和协调。</w:t>
      </w:r>
    </w:p>
    <w:p w14:paraId="608725A3">
      <w:pPr>
        <w:widowControl/>
        <w:spacing w:line="440" w:lineRule="exact"/>
        <w:jc w:val="left"/>
        <w:rPr>
          <w:rFonts w:ascii="宋体" w:hAnsi="宋体" w:eastAsia="宋体"/>
          <w:b/>
          <w:bCs/>
          <w:color w:val="FF0000"/>
          <w:spacing w:val="8"/>
          <w:kern w:val="0"/>
          <w:szCs w:val="21"/>
          <w:u w:val="single"/>
        </w:rPr>
      </w:pPr>
      <w:r>
        <w:rPr>
          <w:rFonts w:hint="eastAsia" w:ascii="宋体" w:hAnsi="宋体" w:eastAsia="宋体"/>
          <w:spacing w:val="8"/>
          <w:kern w:val="0"/>
          <w:szCs w:val="21"/>
        </w:rPr>
        <w:t>（3）</w:t>
      </w:r>
      <w:r>
        <w:rPr>
          <w:rFonts w:hint="eastAsia" w:ascii="宋体" w:hAnsi="宋体" w:eastAsia="宋体" w:cs="Times New Roman"/>
          <w:spacing w:val="8"/>
          <w:kern w:val="0"/>
          <w:szCs w:val="21"/>
        </w:rPr>
        <w:t>审查承包人提交的施工组织设计、安全技术措施及专项施工方案等各类文件材料</w:t>
      </w:r>
      <w:r>
        <w:rPr>
          <w:rFonts w:hint="eastAsia" w:ascii="宋体" w:hAnsi="宋体" w:eastAsia="宋体" w:cs="Times New Roman"/>
          <w:spacing w:val="8"/>
          <w:kern w:val="0"/>
          <w:szCs w:val="21"/>
          <w:lang w:eastAsia="zh-CN"/>
        </w:rPr>
        <w:t>，并监督承包方严格实施</w:t>
      </w:r>
      <w:r>
        <w:rPr>
          <w:rFonts w:hint="eastAsia" w:ascii="宋体" w:hAnsi="宋体" w:eastAsia="宋体" w:cs="Times New Roman"/>
          <w:spacing w:val="8"/>
          <w:kern w:val="0"/>
          <w:szCs w:val="21"/>
          <w:lang w:val="en-US" w:eastAsia="zh-CN"/>
        </w:rPr>
        <w:t>,</w:t>
      </w:r>
      <w:r>
        <w:rPr>
          <w:rFonts w:hint="eastAsia" w:ascii="宋体" w:hAnsi="宋体" w:eastAsia="宋体" w:cs="Times New Roman"/>
          <w:spacing w:val="8"/>
          <w:kern w:val="0"/>
          <w:szCs w:val="21"/>
          <w:lang w:eastAsia="zh-CN"/>
        </w:rPr>
        <w:t>承担质量、安全事故的监管责任</w:t>
      </w:r>
      <w:r>
        <w:rPr>
          <w:rFonts w:hint="eastAsia" w:ascii="宋体" w:hAnsi="宋体" w:eastAsia="宋体" w:cs="Times New Roman"/>
          <w:spacing w:val="8"/>
          <w:kern w:val="0"/>
          <w:szCs w:val="21"/>
        </w:rPr>
        <w:t>。</w:t>
      </w:r>
    </w:p>
    <w:p w14:paraId="2B15ACB8">
      <w:pPr>
        <w:widowControl/>
        <w:spacing w:line="440" w:lineRule="exact"/>
        <w:jc w:val="left"/>
        <w:rPr>
          <w:rFonts w:ascii="宋体" w:hAnsi="宋体" w:eastAsia="宋体"/>
          <w:spacing w:val="8"/>
          <w:kern w:val="0"/>
          <w:szCs w:val="21"/>
        </w:rPr>
      </w:pPr>
      <w:r>
        <w:rPr>
          <w:rFonts w:hint="eastAsia" w:ascii="宋体" w:hAnsi="宋体" w:eastAsia="宋体"/>
          <w:spacing w:val="8"/>
          <w:kern w:val="0"/>
          <w:szCs w:val="21"/>
        </w:rPr>
        <w:t>（4）工程施工进度的检查、监督权，以及工程实际竣工日期提前或超过工程施工合同规定的竣工期限的签认权。签发合同项目开工令、暂停施工指示，但应事先征得委托人同意；签发进场通知、复工通知。</w:t>
      </w:r>
    </w:p>
    <w:p w14:paraId="210615C3">
      <w:pPr>
        <w:widowControl/>
        <w:spacing w:line="440" w:lineRule="exact"/>
        <w:jc w:val="left"/>
        <w:rPr>
          <w:rFonts w:ascii="宋体" w:hAnsi="宋体" w:eastAsia="宋体"/>
          <w:spacing w:val="8"/>
          <w:kern w:val="0"/>
          <w:szCs w:val="21"/>
        </w:rPr>
      </w:pPr>
      <w:r>
        <w:rPr>
          <w:rFonts w:hint="eastAsia" w:ascii="宋体" w:hAnsi="宋体" w:eastAsia="宋体"/>
          <w:spacing w:val="8"/>
          <w:kern w:val="0"/>
          <w:szCs w:val="21"/>
        </w:rPr>
        <w:t>（5）在工程施工合同约定的工程价格</w:t>
      </w:r>
      <w:r>
        <w:rPr>
          <w:rFonts w:hint="eastAsia" w:ascii="宋体" w:hAnsi="宋体" w:eastAsia="宋体" w:cs="Times New Roman"/>
          <w:spacing w:val="8"/>
          <w:kern w:val="0"/>
          <w:szCs w:val="21"/>
        </w:rPr>
        <w:t>范围内，</w:t>
      </w:r>
      <w:r>
        <w:rPr>
          <w:rFonts w:hint="eastAsia" w:ascii="宋体" w:hAnsi="宋体" w:eastAsia="宋体" w:cs="Times New Roman"/>
          <w:spacing w:val="8"/>
          <w:kern w:val="0"/>
          <w:szCs w:val="21"/>
          <w:lang w:eastAsia="zh-CN"/>
        </w:rPr>
        <w:t>对进场的主要材料价格、</w:t>
      </w:r>
      <w:r>
        <w:rPr>
          <w:rFonts w:hint="eastAsia" w:ascii="宋体" w:hAnsi="宋体" w:eastAsia="宋体" w:cs="Times New Roman"/>
          <w:spacing w:val="8"/>
          <w:kern w:val="0"/>
          <w:szCs w:val="21"/>
        </w:rPr>
        <w:t>工程款项支付的审核和签认权，以及工程结算送审资料的确认权与否决权，未经总监理工程师签</w:t>
      </w:r>
      <w:r>
        <w:rPr>
          <w:rFonts w:hint="eastAsia" w:ascii="宋体" w:hAnsi="宋体" w:eastAsia="宋体"/>
          <w:spacing w:val="8"/>
          <w:kern w:val="0"/>
          <w:szCs w:val="21"/>
        </w:rPr>
        <w:t>字确认，委托人不支付工程款。</w:t>
      </w:r>
    </w:p>
    <w:p w14:paraId="1EB0F974">
      <w:pPr>
        <w:widowControl/>
        <w:spacing w:line="440" w:lineRule="exact"/>
        <w:jc w:val="left"/>
        <w:rPr>
          <w:rFonts w:ascii="宋体" w:hAnsi="宋体" w:eastAsia="宋体"/>
          <w:spacing w:val="8"/>
          <w:kern w:val="0"/>
          <w:szCs w:val="21"/>
        </w:rPr>
      </w:pPr>
      <w:r>
        <w:rPr>
          <w:rFonts w:hint="eastAsia" w:ascii="宋体" w:hAnsi="宋体" w:eastAsia="宋体"/>
          <w:spacing w:val="8"/>
          <w:kern w:val="0"/>
          <w:szCs w:val="21"/>
        </w:rPr>
        <w:t>（6）核查承包人现场工作人员数量及相应岗位资格，经委托人同意后有权要求承包人更换不称职的现场工作人员。</w:t>
      </w:r>
    </w:p>
    <w:p w14:paraId="1FCE9D9D">
      <w:pPr>
        <w:widowControl/>
        <w:spacing w:line="440" w:lineRule="exact"/>
        <w:rPr>
          <w:rFonts w:ascii="宋体" w:hAnsi="宋体" w:eastAsia="宋体"/>
          <w:spacing w:val="8"/>
          <w:kern w:val="0"/>
          <w:szCs w:val="21"/>
        </w:rPr>
      </w:pPr>
      <w:r>
        <w:rPr>
          <w:rFonts w:hint="eastAsia" w:ascii="宋体" w:hAnsi="宋体" w:eastAsia="宋体"/>
          <w:spacing w:val="8"/>
          <w:kern w:val="0"/>
          <w:szCs w:val="21"/>
        </w:rPr>
        <w:t>（7）工程上使用的材料和施工质量检测的权利。对于不符合设计要求和合同约定及国家质量标准的材料、构配件、设备，有权通知承包人停止使用；对于不符合规范和质量标准的工序、分部、分项工程和不安全施工作业，有权通知承包人停工整改、返工。承包人得到监理人复工令后方可复工。</w:t>
      </w:r>
    </w:p>
    <w:p w14:paraId="698730D2">
      <w:pPr>
        <w:widowControl/>
        <w:spacing w:line="440" w:lineRule="exact"/>
        <w:jc w:val="left"/>
        <w:rPr>
          <w:rFonts w:ascii="宋体" w:hAnsi="宋体" w:eastAsia="宋体"/>
          <w:spacing w:val="8"/>
          <w:kern w:val="0"/>
          <w:szCs w:val="21"/>
        </w:rPr>
      </w:pPr>
      <w:r>
        <w:rPr>
          <w:rFonts w:hint="eastAsia" w:ascii="宋体" w:hAnsi="宋体" w:eastAsia="宋体"/>
          <w:spacing w:val="8"/>
          <w:kern w:val="0"/>
          <w:szCs w:val="21"/>
        </w:rPr>
        <w:t>（8）审查承包人拟选择的分包项目和分包人。</w:t>
      </w:r>
    </w:p>
    <w:p w14:paraId="26D9AF27">
      <w:pPr>
        <w:widowControl/>
        <w:spacing w:line="440" w:lineRule="exact"/>
        <w:jc w:val="left"/>
        <w:rPr>
          <w:rFonts w:ascii="宋体" w:hAnsi="宋体" w:eastAsia="宋体"/>
          <w:spacing w:val="8"/>
          <w:kern w:val="0"/>
          <w:szCs w:val="21"/>
        </w:rPr>
      </w:pPr>
      <w:r>
        <w:rPr>
          <w:rFonts w:hint="eastAsia" w:ascii="宋体" w:hAnsi="宋体" w:eastAsia="宋体"/>
          <w:spacing w:val="8"/>
          <w:kern w:val="0"/>
          <w:szCs w:val="21"/>
        </w:rPr>
        <w:t>（9）施工阶段的其他权利（包括但不限于）：</w:t>
      </w:r>
    </w:p>
    <w:p w14:paraId="0519A709">
      <w:pPr>
        <w:widowControl/>
        <w:spacing w:line="440" w:lineRule="exact"/>
        <w:jc w:val="left"/>
        <w:rPr>
          <w:rFonts w:ascii="宋体" w:hAnsi="宋体" w:eastAsia="宋体"/>
          <w:spacing w:val="8"/>
          <w:kern w:val="0"/>
          <w:szCs w:val="21"/>
        </w:rPr>
      </w:pPr>
      <w:r>
        <w:rPr>
          <w:rFonts w:hint="eastAsia" w:ascii="宋体" w:hAnsi="宋体" w:eastAsia="宋体"/>
          <w:spacing w:val="8"/>
          <w:kern w:val="0"/>
          <w:szCs w:val="21"/>
        </w:rPr>
        <w:t>1）对工程建设合同工期具有签认的权利；</w:t>
      </w:r>
    </w:p>
    <w:p w14:paraId="030C8AD2">
      <w:pPr>
        <w:widowControl/>
        <w:spacing w:line="440" w:lineRule="exact"/>
        <w:jc w:val="left"/>
        <w:rPr>
          <w:rFonts w:ascii="宋体" w:hAnsi="宋体" w:eastAsia="宋体"/>
          <w:spacing w:val="8"/>
          <w:kern w:val="0"/>
          <w:szCs w:val="21"/>
        </w:rPr>
      </w:pPr>
      <w:r>
        <w:rPr>
          <w:rFonts w:hint="eastAsia" w:ascii="宋体" w:hAnsi="宋体" w:eastAsia="宋体"/>
          <w:spacing w:val="8"/>
          <w:kern w:val="0"/>
          <w:szCs w:val="21"/>
        </w:rPr>
        <w:t>2）对承包人设计和施工的临时工程具有审查和监督的权利；</w:t>
      </w:r>
    </w:p>
    <w:p w14:paraId="50315C4C">
      <w:pPr>
        <w:widowControl/>
        <w:spacing w:line="440" w:lineRule="exact"/>
        <w:jc w:val="left"/>
        <w:rPr>
          <w:rFonts w:ascii="宋体" w:hAnsi="宋体" w:eastAsia="宋体"/>
          <w:spacing w:val="8"/>
          <w:kern w:val="0"/>
          <w:szCs w:val="21"/>
        </w:rPr>
      </w:pPr>
      <w:r>
        <w:rPr>
          <w:rFonts w:hint="eastAsia" w:ascii="宋体" w:hAnsi="宋体" w:eastAsia="宋体"/>
          <w:spacing w:val="8"/>
          <w:kern w:val="0"/>
          <w:szCs w:val="21"/>
        </w:rPr>
        <w:t>3）组织协调工程建设各方关系的权利；</w:t>
      </w:r>
    </w:p>
    <w:p w14:paraId="6E7C2EB9">
      <w:pPr>
        <w:widowControl/>
        <w:spacing w:line="440" w:lineRule="exact"/>
        <w:jc w:val="left"/>
        <w:rPr>
          <w:rFonts w:ascii="宋体" w:hAnsi="宋体" w:eastAsia="宋体"/>
          <w:spacing w:val="8"/>
          <w:kern w:val="0"/>
          <w:szCs w:val="21"/>
        </w:rPr>
      </w:pPr>
      <w:r>
        <w:rPr>
          <w:rFonts w:hint="eastAsia" w:ascii="宋体" w:hAnsi="宋体" w:eastAsia="宋体"/>
          <w:spacing w:val="8"/>
          <w:kern w:val="0"/>
          <w:szCs w:val="21"/>
        </w:rPr>
        <w:t>4）审核工程变更，并报委托人同意的权利；</w:t>
      </w:r>
    </w:p>
    <w:p w14:paraId="754780F2">
      <w:pPr>
        <w:widowControl/>
        <w:spacing w:line="440" w:lineRule="exact"/>
        <w:jc w:val="left"/>
        <w:rPr>
          <w:rFonts w:ascii="宋体" w:hAnsi="宋体" w:eastAsia="宋体"/>
          <w:spacing w:val="8"/>
          <w:kern w:val="0"/>
          <w:szCs w:val="21"/>
        </w:rPr>
      </w:pPr>
      <w:r>
        <w:rPr>
          <w:rFonts w:hint="eastAsia" w:ascii="宋体" w:hAnsi="宋体" w:eastAsia="宋体"/>
          <w:spacing w:val="8"/>
          <w:kern w:val="0"/>
          <w:szCs w:val="21"/>
        </w:rPr>
        <w:t>5）其他投资控制、进度控制、质量控制、安全文明施工管理、组织协调管理、合同管理、信息管理等监理事项。</w:t>
      </w:r>
    </w:p>
    <w:p w14:paraId="3F474346">
      <w:pPr>
        <w:widowControl/>
        <w:spacing w:line="440" w:lineRule="exact"/>
        <w:jc w:val="left"/>
        <w:rPr>
          <w:rFonts w:ascii="宋体" w:hAnsi="宋体" w:eastAsia="宋体"/>
          <w:spacing w:val="8"/>
          <w:kern w:val="0"/>
          <w:szCs w:val="21"/>
        </w:rPr>
      </w:pPr>
      <w:r>
        <w:rPr>
          <w:rFonts w:hint="eastAsia" w:ascii="宋体" w:hAnsi="宋体" w:eastAsia="宋体"/>
          <w:spacing w:val="8"/>
          <w:kern w:val="0"/>
          <w:szCs w:val="21"/>
        </w:rPr>
        <w:t>（10）保修阶段：检测和记录工程质量缺陷，对缺陷原因进行调查分析并确定责任归属，审核承包人提出的修复方案，监督修复过程并验收，审核修复费用。</w:t>
      </w:r>
    </w:p>
    <w:p w14:paraId="6820501B">
      <w:pPr>
        <w:keepNext/>
        <w:keepLines/>
        <w:spacing w:before="48" w:beforeLines="20" w:line="440" w:lineRule="exact"/>
        <w:outlineLvl w:val="0"/>
        <w:rPr>
          <w:rFonts w:eastAsia="黑体" w:cs="Times New Roman"/>
          <w:b/>
          <w:bCs w:val="0"/>
          <w:sz w:val="24"/>
          <w:szCs w:val="32"/>
        </w:rPr>
      </w:pPr>
      <w:r>
        <w:rPr>
          <w:rFonts w:eastAsia="黑体" w:cs="Times New Roman"/>
          <w:b/>
          <w:bCs w:val="0"/>
          <w:sz w:val="24"/>
          <w:szCs w:val="32"/>
        </w:rPr>
        <w:t>4. 承包人</w:t>
      </w:r>
    </w:p>
    <w:p w14:paraId="7660F259">
      <w:pPr>
        <w:keepNext/>
        <w:keepLines/>
        <w:spacing w:before="120" w:beforeLines="50" w:line="440" w:lineRule="exact"/>
        <w:outlineLvl w:val="0"/>
        <w:rPr>
          <w:rFonts w:ascii="黑体" w:hAnsi="黑体" w:eastAsia="黑体"/>
        </w:rPr>
      </w:pPr>
      <w:r>
        <w:rPr>
          <w:rFonts w:ascii="黑体" w:hAnsi="黑体" w:eastAsia="黑体"/>
        </w:rPr>
        <w:t>4.1 承包人的一般义务</w:t>
      </w:r>
    </w:p>
    <w:p w14:paraId="250A7E23">
      <w:pPr>
        <w:spacing w:line="440" w:lineRule="exact"/>
        <w:ind w:right="249"/>
        <w:rPr>
          <w:rFonts w:ascii="宋体" w:hAnsi="宋体" w:eastAsia="宋体"/>
          <w:szCs w:val="21"/>
          <w:u w:val="single"/>
        </w:rPr>
      </w:pPr>
      <w:r>
        <w:rPr>
          <w:rFonts w:eastAsia="宋体"/>
          <w:szCs w:val="21"/>
        </w:rPr>
        <w:t xml:space="preserve">4.1.3 </w:t>
      </w:r>
      <w:r>
        <w:rPr>
          <w:rFonts w:hint="eastAsia" w:eastAsia="宋体"/>
          <w:szCs w:val="21"/>
        </w:rPr>
        <w:t>补充</w:t>
      </w:r>
      <w:r>
        <w:rPr>
          <w:rFonts w:eastAsia="宋体"/>
          <w:szCs w:val="21"/>
        </w:rPr>
        <w:t>承包人完成的工作：</w:t>
      </w:r>
    </w:p>
    <w:p w14:paraId="50BCCE25">
      <w:pPr>
        <w:widowControl/>
        <w:spacing w:line="440" w:lineRule="exact"/>
        <w:jc w:val="left"/>
        <w:rPr>
          <w:rFonts w:hint="eastAsia" w:ascii="宋体" w:hAnsi="宋体" w:eastAsia="宋体"/>
          <w:spacing w:val="8"/>
          <w:kern w:val="0"/>
          <w:szCs w:val="21"/>
        </w:rPr>
      </w:pPr>
      <w:r>
        <w:rPr>
          <w:rFonts w:hint="eastAsia" w:ascii="宋体" w:hAnsi="宋体" w:eastAsia="宋体"/>
          <w:spacing w:val="8"/>
          <w:kern w:val="0"/>
          <w:szCs w:val="21"/>
        </w:rPr>
        <w:t>（1）承包人应提交的报表类别、名称、内容、报告期、提交的时间和份数：设计文件、施工进度计划、完成工程量及投资报表、采购材料清单、材料进场计划、劳动力和用款计划、存在的问题等文件报表；每周末前向发包人和监理人提供详细的本周上述文件报表事项完成情况和下周事项计划安排；每月底向发包人和监理人提供详细的本月上述文件报表事项完成情况和次月事项计划安排。</w:t>
      </w:r>
    </w:p>
    <w:p w14:paraId="315F01EA">
      <w:pPr>
        <w:widowControl/>
        <w:spacing w:line="440" w:lineRule="exact"/>
        <w:jc w:val="left"/>
        <w:rPr>
          <w:rFonts w:hint="eastAsia" w:ascii="宋体" w:hAnsi="宋体" w:eastAsia="宋体"/>
          <w:spacing w:val="8"/>
          <w:kern w:val="0"/>
          <w:szCs w:val="21"/>
        </w:rPr>
      </w:pPr>
      <w:r>
        <w:rPr>
          <w:rFonts w:hint="eastAsia" w:ascii="宋体" w:hAnsi="宋体" w:eastAsia="宋体"/>
          <w:spacing w:val="8"/>
          <w:kern w:val="0"/>
          <w:szCs w:val="21"/>
        </w:rPr>
        <w:t>（2）发包人和监理人将对确认的上述文件报表事项完成情况进行检查、核实、监督，如不符时承包人应按发包人和监理人的要求提出改进措施，经发包人和监理人书面确认后执行。承包人不得就改进措施提出增加价款。每月25日提交当月完成工程量报表，并提交下一月工作计划表，一式4份。承包人应当加强对工程总承包项目的管理，根据合同约定和项目特点，制定项目管理计划和项目实施计划，建立工程管理与协调制度，加强设计、采购与施工的协调，完善和优化设计，改进施工方案，合理调配设计、采购和施工力量，实现对工程总承包项目的有效控制。承包人对总承包工程范围内的工程设计、施工质量、安全生产、施工工期、工程造价等负总责。</w:t>
      </w:r>
    </w:p>
    <w:p w14:paraId="5483C839">
      <w:pPr>
        <w:widowControl/>
        <w:spacing w:line="440" w:lineRule="exact"/>
        <w:ind w:right="249"/>
        <w:jc w:val="left"/>
        <w:rPr>
          <w:rFonts w:hint="default" w:ascii="Calibri" w:hAnsi="Calibri" w:eastAsia="宋体" w:cs="Times New Roman"/>
          <w:spacing w:val="0"/>
          <w:kern w:val="2"/>
          <w:szCs w:val="21"/>
          <w:highlight w:val="none"/>
          <w:lang w:val="en-US" w:eastAsia="zh-CN"/>
        </w:rPr>
      </w:pPr>
      <w:r>
        <w:rPr>
          <w:rFonts w:hint="default" w:ascii="Calibri" w:hAnsi="Calibri" w:eastAsia="宋体" w:cs="Times New Roman"/>
          <w:sz w:val="21"/>
          <w:szCs w:val="21"/>
          <w:highlight w:val="none"/>
          <w:lang w:val="en-US" w:eastAsia="zh-CN"/>
        </w:rPr>
        <w:t>4.1.4</w:t>
      </w:r>
      <w:r>
        <w:rPr>
          <w:rFonts w:ascii="Calibri" w:hAnsi="Calibri" w:eastAsia="宋体" w:cs="Times New Roman"/>
          <w:sz w:val="21"/>
          <w:szCs w:val="21"/>
          <w:highlight w:val="none"/>
        </w:rPr>
        <w:t>对设计、施工作业和施工方法，以及工程的完备性负责</w:t>
      </w:r>
      <w:r>
        <w:rPr>
          <w:rFonts w:hint="default" w:eastAsia="宋体" w:cs="Times New Roman"/>
          <w:spacing w:val="0"/>
          <w:kern w:val="2"/>
          <w:szCs w:val="21"/>
          <w:highlight w:val="none"/>
          <w:lang w:val="en-US" w:eastAsia="zh-CN"/>
        </w:rPr>
        <w:tab/>
      </w:r>
    </w:p>
    <w:p w14:paraId="42EB942C">
      <w:pPr>
        <w:widowControl/>
        <w:spacing w:line="440" w:lineRule="exact"/>
        <w:ind w:right="249"/>
        <w:jc w:val="left"/>
        <w:rPr>
          <w:rFonts w:hint="eastAsia" w:eastAsia="宋体" w:cs="Times New Roman"/>
          <w:spacing w:val="0"/>
          <w:kern w:val="2"/>
          <w:szCs w:val="21"/>
          <w:highlight w:val="none"/>
          <w:lang w:val="en-US" w:eastAsia="zh-CN"/>
        </w:rPr>
      </w:pPr>
      <w:r>
        <w:rPr>
          <w:rFonts w:hint="eastAsia" w:eastAsia="宋体" w:cs="Times New Roman"/>
          <w:spacing w:val="0"/>
          <w:kern w:val="2"/>
          <w:szCs w:val="21"/>
          <w:highlight w:val="none"/>
          <w:lang w:val="en-US" w:eastAsia="zh-CN"/>
        </w:rPr>
        <w:t>本项条款补充：</w:t>
      </w:r>
    </w:p>
    <w:p w14:paraId="64E380B7">
      <w:pPr>
        <w:pStyle w:val="63"/>
        <w:spacing w:line="400" w:lineRule="atLeast"/>
        <w:ind w:firstLine="452" w:firstLineChars="200"/>
        <w:rPr>
          <w:rStyle w:val="19"/>
          <w:rFonts w:hint="eastAsia" w:ascii="宋体" w:hAnsi="宋体" w:eastAsia="宋体"/>
          <w:color w:val="auto"/>
          <w:spacing w:val="8"/>
          <w:kern w:val="0"/>
          <w:sz w:val="21"/>
          <w:szCs w:val="21"/>
          <w:highlight w:val="none"/>
        </w:rPr>
      </w:pPr>
      <w:r>
        <w:rPr>
          <w:rStyle w:val="19"/>
          <w:rFonts w:hint="eastAsia" w:ascii="宋体" w:hAnsi="宋体" w:eastAsia="宋体"/>
          <w:color w:val="auto"/>
          <w:spacing w:val="8"/>
          <w:kern w:val="0"/>
          <w:sz w:val="21"/>
          <w:szCs w:val="21"/>
          <w:highlight w:val="none"/>
        </w:rPr>
        <w:t>(1)承包人应对全部现场作业和施工方法的适用性、可靠性和安全性承担全部责任。但是，承包人对于不是由他负责的永久工程的设计和技术规范不承担责任。如果合同明确规定局部永久工程由承包人做施工图设计，则尽管有监理人的批准，承包人仍应对该永久工程负责。</w:t>
      </w:r>
    </w:p>
    <w:p w14:paraId="6202FBE8">
      <w:pPr>
        <w:pStyle w:val="63"/>
        <w:spacing w:line="400" w:lineRule="atLeast"/>
        <w:ind w:firstLine="452" w:firstLineChars="200"/>
        <w:rPr>
          <w:rStyle w:val="19"/>
          <w:rFonts w:hint="eastAsia" w:ascii="宋体" w:hAnsi="宋体" w:eastAsia="宋体"/>
          <w:color w:val="auto"/>
          <w:spacing w:val="8"/>
          <w:kern w:val="0"/>
          <w:sz w:val="21"/>
          <w:szCs w:val="21"/>
          <w:highlight w:val="none"/>
        </w:rPr>
      </w:pPr>
      <w:r>
        <w:rPr>
          <w:rStyle w:val="19"/>
          <w:rFonts w:hint="eastAsia" w:ascii="宋体" w:hAnsi="宋体" w:eastAsia="宋体"/>
          <w:color w:val="auto"/>
          <w:spacing w:val="8"/>
          <w:kern w:val="0"/>
          <w:sz w:val="21"/>
          <w:szCs w:val="21"/>
          <w:highlight w:val="none"/>
        </w:rPr>
        <w:t>(2)承包人应充分考虑在施工过程中可能采取的保通导改措施、交通安全保护措施和文明施工措施：凡是标段内与已建公路、电力线路、通讯缆线、供水、输油、输气管道、居民住宅区等有交叉、施工噪音、干扰的地段,承包人应充分调查，在不干扰铁公路正常运营以及注意保护地下管线、不干扰附近居民的正常生活的前提下合理安排施工组织计划，采取有效措施保证施工安全，在现场设置施工和安全标志，并在必要时疏导现有交通流；凡是标段内与其他在建工程有互扰的地段，承包人应做好与其他承包人的协调工作；凡是标段内地形复杂、场地狭窄的地段，承包人应按照施工要求制定完善的施工组织计划；发生其他客观情况需要承包人在施工过程中采取保通导改措施、交通安全保护措施以及文明施工措施的。</w:t>
      </w:r>
    </w:p>
    <w:p w14:paraId="18B29C7B">
      <w:pPr>
        <w:pStyle w:val="63"/>
        <w:spacing w:line="400" w:lineRule="atLeast"/>
        <w:ind w:firstLine="390"/>
        <w:rPr>
          <w:rStyle w:val="19"/>
          <w:rFonts w:hint="eastAsia" w:ascii="宋体" w:hAnsi="宋体" w:eastAsia="宋体"/>
          <w:color w:val="auto"/>
          <w:spacing w:val="8"/>
          <w:kern w:val="0"/>
          <w:sz w:val="21"/>
          <w:szCs w:val="21"/>
          <w:highlight w:val="none"/>
        </w:rPr>
      </w:pPr>
      <w:r>
        <w:rPr>
          <w:rStyle w:val="19"/>
          <w:rFonts w:hint="eastAsia" w:ascii="宋体" w:hAnsi="宋体" w:eastAsia="宋体"/>
          <w:color w:val="auto"/>
          <w:spacing w:val="8"/>
          <w:kern w:val="0"/>
          <w:sz w:val="21"/>
          <w:szCs w:val="21"/>
          <w:highlight w:val="none"/>
        </w:rPr>
        <w:t>(3)承包人应充分考虑到施工过程采取保通导改措施、交通安全保护措施以及环保措施和文明施工所需的费用，并计入工程量清单各支付子目的单价中。若承包人所采取的措施不能满足工程保通、交通安全和环境保护的需要，发包人有权指令其进一步采取补救或纠正措施，承包人应承担由于其措施不当所造成的一切后果及费用。</w:t>
      </w:r>
    </w:p>
    <w:p w14:paraId="55C95795">
      <w:pPr>
        <w:pStyle w:val="63"/>
        <w:spacing w:line="400" w:lineRule="atLeast"/>
        <w:ind w:firstLine="442" w:firstLineChars="196"/>
        <w:rPr>
          <w:rFonts w:hint="eastAsia" w:ascii="宋体" w:hAnsi="宋体" w:eastAsia="宋体"/>
          <w:spacing w:val="8"/>
          <w:kern w:val="0"/>
          <w:sz w:val="21"/>
          <w:szCs w:val="21"/>
          <w:highlight w:val="none"/>
        </w:rPr>
      </w:pPr>
      <w:r>
        <w:rPr>
          <w:rStyle w:val="19"/>
          <w:rFonts w:hint="eastAsia" w:ascii="宋体" w:hAnsi="宋体" w:eastAsia="宋体"/>
          <w:color w:val="auto"/>
          <w:spacing w:val="8"/>
          <w:kern w:val="0"/>
          <w:sz w:val="21"/>
          <w:szCs w:val="21"/>
          <w:highlight w:val="none"/>
        </w:rPr>
        <w:t>(4)对于特殊路段的特殊方案，需报</w:t>
      </w:r>
      <w:r>
        <w:rPr>
          <w:rStyle w:val="19"/>
          <w:rFonts w:hint="eastAsia" w:ascii="宋体" w:hAnsi="宋体" w:eastAsia="宋体"/>
          <w:color w:val="auto"/>
          <w:spacing w:val="8"/>
          <w:kern w:val="0"/>
          <w:sz w:val="21"/>
          <w:szCs w:val="21"/>
          <w:highlight w:val="none"/>
          <w:lang w:val="en-US" w:eastAsia="zh-CN"/>
        </w:rPr>
        <w:t>监理人或发包人</w:t>
      </w:r>
      <w:r>
        <w:rPr>
          <w:rStyle w:val="19"/>
          <w:rFonts w:hint="eastAsia" w:ascii="宋体" w:hAnsi="宋体" w:eastAsia="宋体"/>
          <w:color w:val="auto"/>
          <w:spacing w:val="8"/>
          <w:kern w:val="0"/>
          <w:sz w:val="21"/>
          <w:szCs w:val="21"/>
          <w:highlight w:val="none"/>
        </w:rPr>
        <w:t>批准后另行实施。</w:t>
      </w:r>
    </w:p>
    <w:p w14:paraId="781A06A9">
      <w:pPr>
        <w:widowControl/>
        <w:spacing w:line="440" w:lineRule="exact"/>
        <w:ind w:right="249"/>
        <w:jc w:val="left"/>
        <w:rPr>
          <w:rFonts w:hint="eastAsia" w:eastAsia="宋体" w:cs="Times New Roman"/>
          <w:sz w:val="21"/>
          <w:szCs w:val="21"/>
          <w:highlight w:val="none"/>
          <w:lang w:val="en-US" w:eastAsia="zh-CN"/>
        </w:rPr>
      </w:pPr>
      <w:r>
        <w:rPr>
          <w:rFonts w:hint="default" w:ascii="Calibri" w:hAnsi="Calibri" w:eastAsia="宋体" w:cs="Times New Roman"/>
          <w:sz w:val="21"/>
          <w:szCs w:val="21"/>
          <w:highlight w:val="none"/>
          <w:lang w:val="en-US" w:eastAsia="zh-CN"/>
        </w:rPr>
        <w:t>4.1.</w:t>
      </w:r>
      <w:r>
        <w:rPr>
          <w:rFonts w:hint="eastAsia" w:eastAsia="宋体" w:cs="Times New Roman"/>
          <w:sz w:val="21"/>
          <w:szCs w:val="21"/>
          <w:highlight w:val="none"/>
          <w:lang w:val="en-US" w:eastAsia="zh-CN"/>
        </w:rPr>
        <w:t>9 工程的维护和照管</w:t>
      </w:r>
    </w:p>
    <w:p w14:paraId="12BA3ABC">
      <w:pPr>
        <w:pStyle w:val="63"/>
        <w:spacing w:line="400" w:lineRule="atLeast"/>
        <w:ind w:firstLine="390" w:firstLineChars="0"/>
        <w:rPr>
          <w:rStyle w:val="19"/>
          <w:rFonts w:hint="eastAsia" w:ascii="宋体" w:hAnsi="宋体" w:eastAsia="宋体"/>
          <w:color w:val="auto"/>
          <w:spacing w:val="8"/>
          <w:kern w:val="0"/>
          <w:sz w:val="21"/>
          <w:szCs w:val="21"/>
          <w:highlight w:val="none"/>
        </w:rPr>
      </w:pPr>
      <w:r>
        <w:rPr>
          <w:rFonts w:hint="eastAsia" w:ascii="宋体" w:hAnsi="宋体" w:eastAsia="宋体" w:cs="Times New Roman"/>
          <w:spacing w:val="8"/>
          <w:kern w:val="0"/>
          <w:szCs w:val="21"/>
          <w:highlight w:val="none"/>
          <w:lang w:val="en-US" w:eastAsia="zh-CN"/>
        </w:rPr>
        <w:tab/>
      </w:r>
      <w:r>
        <w:rPr>
          <w:rStyle w:val="19"/>
          <w:rFonts w:hint="eastAsia" w:ascii="宋体" w:hAnsi="宋体" w:eastAsia="宋体"/>
          <w:color w:val="auto"/>
          <w:spacing w:val="8"/>
          <w:kern w:val="0"/>
          <w:sz w:val="21"/>
          <w:szCs w:val="21"/>
          <w:highlight w:val="none"/>
        </w:rPr>
        <w:t>本项补充第(3)</w:t>
      </w:r>
      <w:r>
        <w:rPr>
          <w:rFonts w:hint="eastAsia" w:ascii="宋体" w:hAnsi="宋体" w:eastAsia="宋体"/>
          <w:spacing w:val="8"/>
          <w:kern w:val="0"/>
          <w:sz w:val="21"/>
          <w:szCs w:val="21"/>
          <w:highlight w:val="none"/>
          <w:lang w:eastAsia="zh-CN"/>
        </w:rPr>
        <w:t>、</w:t>
      </w:r>
      <w:r>
        <w:rPr>
          <w:rStyle w:val="19"/>
          <w:rFonts w:hint="eastAsia" w:ascii="宋体" w:hAnsi="宋体" w:eastAsia="宋体"/>
          <w:color w:val="auto"/>
          <w:spacing w:val="8"/>
          <w:kern w:val="0"/>
          <w:sz w:val="21"/>
          <w:szCs w:val="21"/>
          <w:highlight w:val="none"/>
        </w:rPr>
        <w:t>(</w:t>
      </w:r>
      <w:r>
        <w:rPr>
          <w:rFonts w:hint="eastAsia" w:ascii="宋体" w:hAnsi="宋体" w:eastAsia="宋体"/>
          <w:spacing w:val="8"/>
          <w:kern w:val="0"/>
          <w:sz w:val="21"/>
          <w:szCs w:val="21"/>
          <w:highlight w:val="none"/>
          <w:lang w:val="en-US" w:eastAsia="zh-CN"/>
        </w:rPr>
        <w:t>4</w:t>
      </w:r>
      <w:r>
        <w:rPr>
          <w:rStyle w:val="19"/>
          <w:rFonts w:hint="eastAsia" w:ascii="宋体" w:hAnsi="宋体" w:eastAsia="宋体"/>
          <w:color w:val="auto"/>
          <w:spacing w:val="8"/>
          <w:kern w:val="0"/>
          <w:sz w:val="21"/>
          <w:szCs w:val="21"/>
          <w:highlight w:val="none"/>
        </w:rPr>
        <w:t>)目</w:t>
      </w:r>
    </w:p>
    <w:p w14:paraId="31B6C096">
      <w:pPr>
        <w:pStyle w:val="63"/>
        <w:spacing w:line="400" w:lineRule="atLeast"/>
        <w:ind w:firstLine="390" w:firstLineChars="0"/>
        <w:rPr>
          <w:rStyle w:val="19"/>
          <w:rFonts w:hint="eastAsia" w:ascii="宋体" w:hAnsi="宋体" w:eastAsia="宋体"/>
          <w:color w:val="auto"/>
          <w:spacing w:val="8"/>
          <w:kern w:val="0"/>
          <w:sz w:val="21"/>
          <w:szCs w:val="21"/>
          <w:highlight w:val="none"/>
        </w:rPr>
      </w:pPr>
      <w:r>
        <w:rPr>
          <w:rStyle w:val="19"/>
          <w:rFonts w:hint="eastAsia" w:ascii="宋体" w:hAnsi="宋体" w:eastAsia="宋体"/>
          <w:color w:val="auto"/>
          <w:spacing w:val="8"/>
          <w:kern w:val="0"/>
          <w:sz w:val="21"/>
          <w:szCs w:val="21"/>
          <w:highlight w:val="none"/>
        </w:rPr>
        <w:t>(3)任何情况下造成主干光缆破坏的，承包人应承担经济和法律责任</w:t>
      </w:r>
      <w:r>
        <w:rPr>
          <w:rStyle w:val="19"/>
          <w:rFonts w:hint="eastAsia" w:ascii="宋体" w:hAnsi="宋体" w:eastAsia="宋体"/>
          <w:color w:val="auto"/>
          <w:spacing w:val="8"/>
          <w:kern w:val="0"/>
          <w:sz w:val="21"/>
          <w:szCs w:val="21"/>
          <w:highlight w:val="none"/>
          <w:lang w:eastAsia="zh-CN"/>
        </w:rPr>
        <w:t>。</w:t>
      </w:r>
      <w:r>
        <w:rPr>
          <w:rStyle w:val="19"/>
          <w:rFonts w:hint="eastAsia" w:ascii="宋体" w:hAnsi="宋体" w:eastAsia="宋体"/>
          <w:color w:val="auto"/>
          <w:spacing w:val="8"/>
          <w:kern w:val="0"/>
          <w:sz w:val="21"/>
          <w:szCs w:val="21"/>
          <w:highlight w:val="none"/>
          <w:lang w:val="en-US" w:eastAsia="zh-CN"/>
        </w:rPr>
        <w:t>项目实施</w:t>
      </w:r>
      <w:r>
        <w:rPr>
          <w:rStyle w:val="19"/>
          <w:rFonts w:hint="eastAsia" w:ascii="宋体" w:hAnsi="宋体" w:eastAsia="宋体"/>
          <w:color w:val="auto"/>
          <w:spacing w:val="8"/>
          <w:kern w:val="0"/>
          <w:sz w:val="21"/>
          <w:szCs w:val="21"/>
          <w:highlight w:val="none"/>
        </w:rPr>
        <w:t>范围内设置有国家主干光缆，承包人在施工过程中应采取严格保护措施，承包人在</w:t>
      </w:r>
      <w:r>
        <w:rPr>
          <w:rStyle w:val="19"/>
          <w:rFonts w:hint="eastAsia" w:ascii="宋体" w:hAnsi="宋体" w:eastAsia="宋体"/>
          <w:color w:val="auto"/>
          <w:spacing w:val="8"/>
          <w:kern w:val="0"/>
          <w:sz w:val="21"/>
          <w:szCs w:val="21"/>
          <w:highlight w:val="none"/>
          <w:lang w:val="en-US" w:eastAsia="zh-CN"/>
        </w:rPr>
        <w:t>进行跨线和并线施工前</w:t>
      </w:r>
      <w:r>
        <w:rPr>
          <w:rStyle w:val="19"/>
          <w:rFonts w:hint="eastAsia" w:ascii="宋体" w:hAnsi="宋体" w:eastAsia="宋体"/>
          <w:color w:val="auto"/>
          <w:spacing w:val="8"/>
          <w:kern w:val="0"/>
          <w:sz w:val="21"/>
          <w:szCs w:val="21"/>
          <w:highlight w:val="none"/>
        </w:rPr>
        <w:t>应向发包人、总监办及道路管理相关单位(运营单位、路政、交管)进行报备，取得许可后方能施工。</w:t>
      </w:r>
    </w:p>
    <w:p w14:paraId="7B75E3B8">
      <w:pPr>
        <w:pStyle w:val="63"/>
        <w:spacing w:line="400" w:lineRule="atLeast"/>
        <w:ind w:firstLine="390"/>
        <w:rPr>
          <w:rFonts w:hint="eastAsia" w:ascii="Calibri" w:hAnsi="Calibri" w:eastAsia="宋体" w:cs="Times New Roman"/>
          <w:spacing w:val="0"/>
          <w:kern w:val="2"/>
          <w:szCs w:val="21"/>
          <w:highlight w:val="none"/>
          <w:lang w:val="en-US" w:eastAsia="zh-CN"/>
        </w:rPr>
      </w:pPr>
      <w:r>
        <w:rPr>
          <w:rStyle w:val="19"/>
          <w:rFonts w:hint="eastAsia" w:ascii="宋体" w:hAnsi="宋体" w:eastAsia="宋体"/>
          <w:color w:val="auto"/>
          <w:spacing w:val="8"/>
          <w:kern w:val="0"/>
          <w:sz w:val="21"/>
          <w:szCs w:val="21"/>
          <w:highlight w:val="none"/>
        </w:rPr>
        <w:t>(4)因施工原因对项目既有部分路产造成损坏或污染的，发包人有权要求承包人按照</w:t>
      </w:r>
      <w:r>
        <w:rPr>
          <w:rStyle w:val="19"/>
          <w:rFonts w:hint="eastAsia" w:ascii="宋体" w:hAnsi="宋体" w:eastAsia="宋体"/>
          <w:color w:val="auto"/>
          <w:spacing w:val="8"/>
          <w:kern w:val="0"/>
          <w:sz w:val="21"/>
          <w:szCs w:val="21"/>
          <w:highlight w:val="none"/>
          <w:lang w:val="en-US" w:eastAsia="zh-CN"/>
        </w:rPr>
        <w:t>既有</w:t>
      </w:r>
      <w:r>
        <w:rPr>
          <w:rStyle w:val="19"/>
          <w:rFonts w:hint="eastAsia" w:ascii="宋体" w:hAnsi="宋体" w:eastAsia="宋体"/>
          <w:color w:val="auto"/>
          <w:spacing w:val="8"/>
          <w:kern w:val="0"/>
          <w:sz w:val="21"/>
          <w:szCs w:val="21"/>
          <w:highlight w:val="none"/>
        </w:rPr>
        <w:t>项目交工验收标准予以修复，相关所有费用均由承包人承担。因施工原因对项目既有部分路产造成损坏或污染，若承包人未按要求及时修复的，发包人有权要求承包人予以赔偿。</w:t>
      </w:r>
    </w:p>
    <w:p w14:paraId="7F657762">
      <w:pPr>
        <w:spacing w:line="440" w:lineRule="exact"/>
        <w:ind w:right="248"/>
        <w:rPr>
          <w:rFonts w:hint="eastAsia" w:eastAsia="宋体"/>
          <w:szCs w:val="21"/>
        </w:rPr>
      </w:pPr>
      <w:r>
        <w:rPr>
          <w:rFonts w:eastAsia="宋体"/>
          <w:szCs w:val="21"/>
        </w:rPr>
        <w:t xml:space="preserve">4.1.10 </w:t>
      </w:r>
      <w:r>
        <w:rPr>
          <w:rFonts w:hint="eastAsia" w:eastAsia="宋体"/>
          <w:szCs w:val="21"/>
        </w:rPr>
        <w:t>其他义务：</w:t>
      </w:r>
    </w:p>
    <w:p w14:paraId="115D9D0E">
      <w:pPr>
        <w:spacing w:line="440" w:lineRule="exact"/>
        <w:ind w:right="248"/>
        <w:rPr>
          <w:rFonts w:hint="eastAsia" w:ascii="宋体" w:hAnsi="宋体" w:eastAsia="宋体" w:cs="Times New Roman"/>
          <w:color w:val="auto"/>
          <w:spacing w:val="8"/>
          <w:kern w:val="0"/>
          <w:szCs w:val="21"/>
          <w:highlight w:val="none"/>
          <w:lang w:val="en-US" w:eastAsia="zh-CN"/>
        </w:rPr>
      </w:pPr>
      <w:r>
        <w:rPr>
          <w:rFonts w:hint="eastAsia" w:ascii="宋体" w:hAnsi="宋体" w:eastAsia="宋体" w:cs="Times New Roman"/>
          <w:color w:val="auto"/>
          <w:spacing w:val="8"/>
          <w:kern w:val="0"/>
          <w:szCs w:val="21"/>
          <w:highlight w:val="none"/>
          <w:lang w:val="en-US" w:eastAsia="zh-CN"/>
        </w:rPr>
        <w:t>本项条款细化为：</w:t>
      </w:r>
    </w:p>
    <w:p w14:paraId="3A481923">
      <w:pPr>
        <w:widowControl w:val="0"/>
        <w:spacing w:line="360" w:lineRule="auto"/>
        <w:ind w:firstLine="0" w:firstLineChars="0"/>
        <w:jc w:val="both"/>
        <w:rPr>
          <w:rFonts w:hint="eastAsia" w:ascii="宋体" w:hAnsi="宋体" w:eastAsia="宋体" w:cs="Times New Roman"/>
          <w:color w:val="auto"/>
          <w:spacing w:val="8"/>
          <w:kern w:val="0"/>
          <w:sz w:val="21"/>
          <w:szCs w:val="21"/>
          <w:highlight w:val="none"/>
          <w:lang w:val="en-US" w:eastAsia="zh-CN" w:bidi="ar-SA"/>
        </w:rPr>
      </w:pPr>
      <w:r>
        <w:rPr>
          <w:rFonts w:hint="eastAsia" w:ascii="宋体" w:hAnsi="宋体" w:eastAsia="宋体" w:cs="Times New Roman"/>
          <w:color w:val="auto"/>
          <w:spacing w:val="8"/>
          <w:kern w:val="0"/>
          <w:sz w:val="21"/>
          <w:szCs w:val="21"/>
          <w:highlight w:val="none"/>
          <w:lang w:val="en-US" w:eastAsia="zh-CN" w:bidi="ar-SA"/>
        </w:rPr>
        <w:t>（1）设计合同内容包含：本项目初步设计优化和施工图勘察设计，</w:t>
      </w:r>
      <w:r>
        <w:rPr>
          <w:rFonts w:hint="eastAsia" w:ascii="宋体" w:hAnsi="宋体" w:eastAsia="宋体" w:cs="Times New Roman"/>
          <w:color w:val="auto"/>
          <w:spacing w:val="8"/>
          <w:kern w:val="0"/>
          <w:sz w:val="21"/>
          <w:szCs w:val="21"/>
          <w:highlight w:val="none"/>
          <w:u w:val="none"/>
          <w:lang w:val="en-US" w:eastAsia="zh-CN" w:bidi="ar-SA"/>
        </w:rPr>
        <w:t>含路线、路基、路面、桥涵、交通安全设施、景观绿化、照明、排水、其他工程等</w:t>
      </w:r>
      <w:r>
        <w:rPr>
          <w:rFonts w:hint="eastAsia" w:ascii="宋体" w:hAnsi="宋体" w:eastAsia="宋体" w:cs="Times New Roman"/>
          <w:color w:val="auto"/>
          <w:spacing w:val="8"/>
          <w:kern w:val="0"/>
          <w:sz w:val="21"/>
          <w:szCs w:val="21"/>
          <w:highlight w:val="none"/>
          <w:lang w:val="en-US" w:eastAsia="zh-CN" w:bidi="ar-SA"/>
        </w:rPr>
        <w:t>，以及施工图预算的编制（含施工图0号清单编制）。施工内容包含：</w:t>
      </w:r>
      <w:r>
        <w:rPr>
          <w:rFonts w:hint="eastAsia" w:ascii="宋体" w:hAnsi="宋体" w:eastAsia="宋体" w:cs="Times New Roman"/>
          <w:color w:val="auto"/>
          <w:spacing w:val="8"/>
          <w:kern w:val="0"/>
          <w:sz w:val="21"/>
          <w:szCs w:val="21"/>
          <w:highlight w:val="none"/>
          <w:u w:val="none"/>
          <w:lang w:val="en-US" w:eastAsia="zh-CN" w:bidi="ar-SA"/>
        </w:rPr>
        <w:t>标段范围内的所有施工内容[包括但不限于路基、路面、桥涵、排水、照明、绿化、交通工程及其他工程]的实施、完成及缺陷修复</w:t>
      </w:r>
      <w:r>
        <w:rPr>
          <w:rFonts w:hint="eastAsia" w:ascii="宋体" w:hAnsi="宋体" w:eastAsia="宋体" w:cs="Times New Roman"/>
          <w:color w:val="auto"/>
          <w:spacing w:val="8"/>
          <w:kern w:val="0"/>
          <w:sz w:val="21"/>
          <w:szCs w:val="21"/>
          <w:highlight w:val="none"/>
          <w:lang w:val="en-US" w:eastAsia="zh-CN" w:bidi="ar-SA"/>
        </w:rPr>
        <w:t>和按施工图设计文件拆除既有工程和相关设施设备等，具体工程量详见招标图纸。发包人提供的前期设计成果包含但不限于勘察、测量等资料，如有不足，承包人应自行补充。</w:t>
      </w:r>
    </w:p>
    <w:p w14:paraId="337F469B">
      <w:pPr>
        <w:spacing w:line="400" w:lineRule="atLeast"/>
        <w:ind w:right="0" w:firstLine="0" w:firstLineChars="0"/>
        <w:rPr>
          <w:rFonts w:hint="default" w:ascii="宋体" w:hAnsi="宋体" w:eastAsia="宋体" w:cs="Times New Roman"/>
          <w:color w:val="auto"/>
          <w:spacing w:val="8"/>
          <w:kern w:val="0"/>
          <w:szCs w:val="21"/>
          <w:highlight w:val="none"/>
          <w:lang w:val="en-US" w:eastAsia="zh-CN"/>
        </w:rPr>
      </w:pPr>
      <w:r>
        <w:rPr>
          <w:rFonts w:hint="eastAsia" w:ascii="宋体" w:hAnsi="宋体" w:eastAsia="宋体" w:cs="Times New Roman"/>
          <w:color w:val="auto"/>
          <w:spacing w:val="8"/>
          <w:kern w:val="0"/>
          <w:sz w:val="21"/>
          <w:szCs w:val="21"/>
          <w:highlight w:val="none"/>
          <w:lang w:eastAsia="zh-CN"/>
        </w:rPr>
        <w:t>（</w:t>
      </w:r>
      <w:r>
        <w:rPr>
          <w:rFonts w:hint="eastAsia" w:ascii="宋体" w:hAnsi="宋体" w:eastAsia="宋体" w:cs="Times New Roman"/>
          <w:color w:val="auto"/>
          <w:spacing w:val="8"/>
          <w:kern w:val="0"/>
          <w:sz w:val="21"/>
          <w:szCs w:val="21"/>
          <w:highlight w:val="none"/>
          <w:lang w:val="en-US" w:eastAsia="zh-CN"/>
        </w:rPr>
        <w:t>2）</w:t>
      </w:r>
      <w:r>
        <w:rPr>
          <w:rFonts w:hint="eastAsia" w:ascii="宋体" w:hAnsi="宋体" w:eastAsia="宋体" w:cs="Times New Roman"/>
          <w:color w:val="auto"/>
          <w:spacing w:val="8"/>
          <w:kern w:val="0"/>
          <w:sz w:val="21"/>
          <w:szCs w:val="21"/>
          <w:highlight w:val="none"/>
        </w:rPr>
        <w:t>承包人接到发包人转发上级交通行政主管部门的施工图审查意见后</w:t>
      </w:r>
      <w:r>
        <w:rPr>
          <w:rFonts w:hint="eastAsia" w:ascii="宋体" w:hAnsi="宋体" w:eastAsia="宋体" w:cs="Times New Roman"/>
          <w:color w:val="auto"/>
          <w:spacing w:val="8"/>
          <w:kern w:val="0"/>
          <w:sz w:val="21"/>
          <w:szCs w:val="21"/>
          <w:highlight w:val="none"/>
          <w:lang w:val="en-US" w:eastAsia="zh-CN"/>
        </w:rPr>
        <w:t>3</w:t>
      </w:r>
      <w:r>
        <w:rPr>
          <w:rFonts w:hint="eastAsia" w:ascii="宋体" w:hAnsi="宋体" w:eastAsia="宋体" w:cs="Times New Roman"/>
          <w:color w:val="auto"/>
          <w:spacing w:val="8"/>
          <w:kern w:val="0"/>
          <w:sz w:val="21"/>
          <w:szCs w:val="21"/>
          <w:highlight w:val="none"/>
        </w:rPr>
        <w:t>0天内完成施工图修改设计，并提供施工图纸</w:t>
      </w:r>
      <w:r>
        <w:rPr>
          <w:rFonts w:hint="eastAsia" w:ascii="宋体" w:hAnsi="宋体" w:eastAsia="宋体" w:cs="Times New Roman"/>
          <w:color w:val="auto"/>
          <w:spacing w:val="8"/>
          <w:kern w:val="0"/>
          <w:sz w:val="21"/>
          <w:szCs w:val="21"/>
          <w:highlight w:val="none"/>
          <w:u w:val="none"/>
        </w:rPr>
        <w:t>16</w:t>
      </w:r>
      <w:r>
        <w:rPr>
          <w:rFonts w:hint="eastAsia" w:ascii="宋体" w:hAnsi="宋体" w:eastAsia="宋体" w:cs="Times New Roman"/>
          <w:color w:val="auto"/>
          <w:spacing w:val="8"/>
          <w:kern w:val="0"/>
          <w:sz w:val="21"/>
          <w:szCs w:val="21"/>
          <w:highlight w:val="none"/>
        </w:rPr>
        <w:t>套（含施工图预算及电子版）。接到发包人转发上级交通行政主管部门的施工图审查意见</w:t>
      </w:r>
      <w:r>
        <w:rPr>
          <w:rFonts w:hint="eastAsia" w:ascii="宋体" w:hAnsi="宋体" w:eastAsia="宋体" w:cs="Times New Roman"/>
          <w:color w:val="auto"/>
          <w:spacing w:val="8"/>
          <w:kern w:val="0"/>
          <w:sz w:val="21"/>
          <w:szCs w:val="21"/>
          <w:highlight w:val="none"/>
          <w:u w:val="none"/>
        </w:rPr>
        <w:t xml:space="preserve"> </w:t>
      </w:r>
      <w:r>
        <w:rPr>
          <w:rFonts w:hint="eastAsia" w:ascii="宋体" w:hAnsi="宋体" w:eastAsia="宋体" w:cs="Times New Roman"/>
          <w:color w:val="auto"/>
          <w:spacing w:val="8"/>
          <w:kern w:val="0"/>
          <w:sz w:val="21"/>
          <w:szCs w:val="21"/>
          <w:highlight w:val="none"/>
          <w:u w:val="none"/>
          <w:lang w:val="en-US" w:eastAsia="zh-CN"/>
        </w:rPr>
        <w:t>3</w:t>
      </w:r>
      <w:r>
        <w:rPr>
          <w:rFonts w:hint="eastAsia" w:ascii="宋体" w:hAnsi="宋体" w:eastAsia="宋体" w:cs="Times New Roman"/>
          <w:color w:val="auto"/>
          <w:spacing w:val="8"/>
          <w:kern w:val="0"/>
          <w:sz w:val="21"/>
          <w:szCs w:val="21"/>
          <w:highlight w:val="none"/>
          <w:u w:val="none"/>
        </w:rPr>
        <w:t>0</w:t>
      </w:r>
      <w:r>
        <w:rPr>
          <w:rFonts w:hint="eastAsia" w:ascii="宋体" w:hAnsi="宋体" w:eastAsia="宋体" w:cs="Times New Roman"/>
          <w:color w:val="auto"/>
          <w:spacing w:val="8"/>
          <w:kern w:val="0"/>
          <w:sz w:val="21"/>
          <w:szCs w:val="21"/>
          <w:highlight w:val="none"/>
        </w:rPr>
        <w:t>天内完成公路用地图。</w:t>
      </w:r>
    </w:p>
    <w:p w14:paraId="65633DBC">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（3）按有关规定办理有关施工场地交通、环卫和施工噪音管理手续；承包人应合理安排施工作业，如有施工扰民，所引起的后果由承包人解决。</w:t>
      </w:r>
    </w:p>
    <w:p w14:paraId="7B4C352E">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（4）已完工工程未交付发包人之前，承包人负责保护工作，保护期间发生损坏，承包人自费予以修复。如发包人提前使用并非质量原因发生的损坏，由承包人修复，发包人支付修理费用。</w:t>
      </w:r>
    </w:p>
    <w:p w14:paraId="2A847B02">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（5）根据施工现场状况，制定并采取相应保护措施，做好施工现场、进出场道路、地下管线管沟和邻近建筑物、构筑物保护工作，所需费用包括在合同价格内。</w:t>
      </w:r>
    </w:p>
    <w:p w14:paraId="25A41A3A">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保证施工现场环境卫生符合有关部门规定，保持现场整洁、文明施工，并承担自身原因违反有关规定造成的损失和罚款，做到工完场清，交工前所有场内机械设施、设备、剩余建筑材料及建筑垃圾清运出场，将场地地坪清理至设计高程。</w:t>
      </w:r>
    </w:p>
    <w:p w14:paraId="0238BE11">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（7）在本合同内的专业工程开工前14天完成施工组织设计，报监理工程师批准后实施，如工程师提出修改意见，承包人在7天内完成修改。所发生的费用包括在合同价格内。</w:t>
      </w:r>
    </w:p>
    <w:p w14:paraId="05DB70D1">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8）应提供计划、报表的一般规定如下（除非工程师另有要求）：在开工前7天内，向监理工程师报送工程按总日历工期编制的总进度计划，如实际进度与计划进度比较有滞后，应及时提供进度修正计划。在工程开工7天前，提供工程施工质量保证体系文件和安全文明施工管理制度，报工程师批准后实施，实施过程中必须严格按国家法律法规、规范性文件合审批后的方案施工，如发生质量、安全事故等，需在24小时内书面报告并承担全部责任。</w:t>
      </w:r>
    </w:p>
    <w:p w14:paraId="7B89FECA">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（9）向发包人提供材料进场路线图并报发包人批准后方可实施。</w:t>
      </w:r>
    </w:p>
    <w:p w14:paraId="1B27A735">
      <w:pPr>
        <w:widowControl w:val="0"/>
        <w:adjustRightInd w:val="0"/>
        <w:snapToGrid w:val="0"/>
        <w:spacing w:line="440" w:lineRule="exact"/>
        <w:jc w:val="left"/>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10）完成“三通一平”、修建临时或永久性施工通道，使施工机械，材料和人员能够顺利进出场地，将临时水电设施建设及接驳至现场（施工用水用电由承包人负责，包含现场临时变压器的采购和安装，同时进行场地平整，对拟建公路范围内的地面进行清理，挖填、压实等处理，使其达到设计标高和施工要求，具备开工条件。具体施工方案拟定后，承包人应报发包人审核通过后方可实施）、完成本项目施工占地范围内及项目施工会影响其正常使用的给排水、供电、通信等管线的迁改（此费用</w:t>
      </w:r>
      <w:r>
        <w:rPr>
          <w:rFonts w:ascii="Times New Roman" w:hAnsi="Times New Roman" w:eastAsia="宋体" w:cs="Times New Roman"/>
          <w:color w:val="auto"/>
          <w:kern w:val="2"/>
          <w:sz w:val="21"/>
          <w:szCs w:val="21"/>
          <w:highlight w:val="none"/>
          <w:lang w:val="en-US" w:eastAsia="zh-CN" w:bidi="ar-SA"/>
        </w:rPr>
        <w:t>含在投标总价的</w:t>
      </w:r>
      <w:r>
        <w:rPr>
          <w:rFonts w:hint="eastAsia" w:ascii="Times New Roman" w:hAnsi="Times New Roman" w:eastAsia="宋体" w:cs="Times New Roman"/>
          <w:color w:val="0000FF"/>
          <w:kern w:val="2"/>
          <w:sz w:val="21"/>
          <w:szCs w:val="22"/>
          <w:highlight w:val="none"/>
          <w:lang w:val="en-US" w:eastAsia="zh-CN" w:bidi="ar-SA"/>
        </w:rPr>
        <w:t>建筑安装工程费</w:t>
      </w:r>
      <w:r>
        <w:rPr>
          <w:rFonts w:ascii="Times New Roman" w:hAnsi="Times New Roman" w:eastAsia="宋体" w:cs="Times New Roman"/>
          <w:color w:val="auto"/>
          <w:kern w:val="2"/>
          <w:sz w:val="21"/>
          <w:szCs w:val="21"/>
          <w:highlight w:val="none"/>
          <w:lang w:val="en-US" w:eastAsia="zh-CN" w:bidi="ar-SA"/>
        </w:rPr>
        <w:t>用中</w:t>
      </w:r>
      <w:r>
        <w:rPr>
          <w:rFonts w:hint="eastAsia" w:ascii="Times New Roman" w:hAnsi="Times New Roman" w:eastAsia="宋体" w:cs="Times New Roman"/>
          <w:color w:val="auto"/>
          <w:kern w:val="2"/>
          <w:sz w:val="21"/>
          <w:szCs w:val="21"/>
          <w:highlight w:val="none"/>
          <w:lang w:val="en-US" w:eastAsia="zh-CN" w:bidi="ar-SA"/>
        </w:rPr>
        <w:t>）。</w:t>
      </w:r>
    </w:p>
    <w:p w14:paraId="38FF894F">
      <w:pPr>
        <w:spacing w:line="400" w:lineRule="atLeast"/>
        <w:ind w:firstLine="0" w:firstLineChars="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w:t>
      </w:r>
      <w:r>
        <w:rPr>
          <w:rFonts w:hint="eastAsia" w:ascii="Times New Roman" w:hAnsi="Times New Roman" w:eastAsia="宋体" w:cs="Times New Roman"/>
          <w:color w:val="auto"/>
          <w:sz w:val="21"/>
          <w:szCs w:val="21"/>
          <w:highlight w:val="none"/>
          <w:lang w:val="en-US" w:eastAsia="zh-CN"/>
        </w:rPr>
        <w:t>10</w:t>
      </w:r>
      <w:r>
        <w:rPr>
          <w:rFonts w:hint="eastAsia" w:ascii="Times New Roman" w:hAnsi="Times New Roman" w:eastAsia="宋体" w:cs="Times New Roman"/>
          <w:color w:val="auto"/>
          <w:sz w:val="21"/>
          <w:szCs w:val="21"/>
          <w:highlight w:val="none"/>
        </w:rPr>
        <w:t>）承包人在施工开工30天前或约定的其他时间内，向发包人提交总体施工组织设计。在编制施工组织</w:t>
      </w:r>
      <w:r>
        <w:rPr>
          <w:rFonts w:hint="eastAsia" w:ascii="Times New Roman" w:hAnsi="Times New Roman" w:eastAsia="宋体" w:cs="Times New Roman"/>
          <w:color w:val="auto"/>
          <w:sz w:val="21"/>
          <w:szCs w:val="21"/>
          <w:highlight w:val="none"/>
          <w:lang w:val="en-US" w:eastAsia="zh-CN"/>
        </w:rPr>
        <w:t>设计</w:t>
      </w:r>
      <w:r>
        <w:rPr>
          <w:rFonts w:hint="eastAsia" w:ascii="Times New Roman" w:hAnsi="Times New Roman" w:eastAsia="宋体" w:cs="Times New Roman"/>
          <w:color w:val="auto"/>
          <w:sz w:val="21"/>
          <w:szCs w:val="21"/>
          <w:highlight w:val="none"/>
        </w:rPr>
        <w:t>时，应仔细研究所</w:t>
      </w:r>
      <w:r>
        <w:rPr>
          <w:rFonts w:hint="eastAsia" w:ascii="Times New Roman" w:hAnsi="Times New Roman" w:eastAsia="宋体" w:cs="Times New Roman"/>
          <w:color w:val="auto"/>
          <w:sz w:val="21"/>
          <w:szCs w:val="21"/>
          <w:highlight w:val="none"/>
          <w:lang w:val="en-US" w:eastAsia="zh-CN"/>
        </w:rPr>
        <w:t>有</w:t>
      </w:r>
      <w:r>
        <w:rPr>
          <w:rFonts w:hint="eastAsia" w:ascii="Times New Roman" w:hAnsi="Times New Roman" w:eastAsia="宋体" w:cs="Times New Roman"/>
          <w:color w:val="auto"/>
          <w:sz w:val="21"/>
          <w:szCs w:val="21"/>
          <w:highlight w:val="none"/>
        </w:rPr>
        <w:t>图纸和技术要求，了解施工地点的水文、地质、气象情况及汛期施工、防汛、堤防等有关部门的具体要求，制定周密的安全、质量保证措施及施工计划(包括人员、设备、材料、后勤保障及紧急处理措施等)，</w:t>
      </w:r>
      <w:r>
        <w:rPr>
          <w:rFonts w:hint="eastAsia" w:ascii="Times New Roman" w:hAnsi="Times New Roman" w:eastAsia="宋体" w:cs="Times New Roman"/>
          <w:b w:val="0"/>
          <w:color w:val="auto"/>
          <w:sz w:val="21"/>
          <w:szCs w:val="21"/>
          <w:highlight w:val="none"/>
        </w:rPr>
        <w:t>尽可能减少因路基</w:t>
      </w:r>
      <w:r>
        <w:rPr>
          <w:rFonts w:hint="eastAsia" w:ascii="Times New Roman" w:hAnsi="Times New Roman" w:eastAsia="宋体" w:cs="Times New Roman"/>
          <w:b w:val="0"/>
          <w:color w:val="auto"/>
          <w:sz w:val="21"/>
          <w:szCs w:val="21"/>
          <w:highlight w:val="none"/>
          <w:lang w:eastAsia="zh-CN"/>
        </w:rPr>
        <w:t>、</w:t>
      </w:r>
      <w:r>
        <w:rPr>
          <w:rFonts w:hint="eastAsia" w:ascii="Times New Roman" w:hAnsi="Times New Roman" w:eastAsia="宋体" w:cs="Times New Roman"/>
          <w:b w:val="0"/>
          <w:color w:val="auto"/>
          <w:sz w:val="21"/>
          <w:szCs w:val="21"/>
          <w:highlight w:val="none"/>
          <w:lang w:val="en-US" w:eastAsia="zh-CN"/>
        </w:rPr>
        <w:t>桥梁等施工</w:t>
      </w:r>
      <w:r>
        <w:rPr>
          <w:rFonts w:hint="eastAsia" w:ascii="Times New Roman" w:hAnsi="Times New Roman" w:eastAsia="宋体" w:cs="Times New Roman"/>
          <w:b w:val="0"/>
          <w:color w:val="auto"/>
          <w:sz w:val="21"/>
          <w:szCs w:val="21"/>
          <w:highlight w:val="none"/>
        </w:rPr>
        <w:t>对周边居民造成的</w:t>
      </w:r>
      <w:r>
        <w:rPr>
          <w:rFonts w:hint="eastAsia" w:ascii="Times New Roman" w:hAnsi="Times New Roman" w:eastAsia="宋体" w:cs="Times New Roman"/>
          <w:b w:val="0"/>
          <w:color w:val="auto"/>
          <w:sz w:val="21"/>
          <w:szCs w:val="21"/>
          <w:highlight w:val="none"/>
          <w:lang w:val="en-US" w:eastAsia="zh-CN"/>
        </w:rPr>
        <w:t>各类</w:t>
      </w:r>
      <w:r>
        <w:rPr>
          <w:rFonts w:hint="eastAsia" w:ascii="Times New Roman" w:hAnsi="Times New Roman" w:eastAsia="宋体" w:cs="Times New Roman"/>
          <w:b w:val="0"/>
          <w:color w:val="auto"/>
          <w:sz w:val="21"/>
          <w:szCs w:val="21"/>
          <w:highlight w:val="none"/>
        </w:rPr>
        <w:t>影响，该部分赔偿</w:t>
      </w:r>
      <w:r>
        <w:rPr>
          <w:rFonts w:hint="eastAsia" w:ascii="Times New Roman" w:hAnsi="Times New Roman" w:eastAsia="宋体" w:cs="Times New Roman"/>
          <w:b w:val="0"/>
          <w:color w:val="auto"/>
          <w:sz w:val="21"/>
          <w:szCs w:val="21"/>
          <w:highlight w:val="none"/>
          <w:lang w:eastAsia="zh-CN"/>
        </w:rPr>
        <w:t>（</w:t>
      </w:r>
      <w:r>
        <w:rPr>
          <w:rFonts w:hint="eastAsia" w:ascii="Times New Roman" w:hAnsi="Times New Roman" w:eastAsia="宋体" w:cs="Times New Roman"/>
          <w:b w:val="0"/>
          <w:color w:val="auto"/>
          <w:sz w:val="21"/>
          <w:szCs w:val="21"/>
          <w:highlight w:val="none"/>
          <w:lang w:val="en-US" w:eastAsia="zh-CN"/>
        </w:rPr>
        <w:t>补偿</w:t>
      </w:r>
      <w:r>
        <w:rPr>
          <w:rFonts w:hint="eastAsia" w:ascii="Times New Roman" w:hAnsi="Times New Roman" w:eastAsia="宋体" w:cs="Times New Roman"/>
          <w:b w:val="0"/>
          <w:color w:val="auto"/>
          <w:sz w:val="21"/>
          <w:szCs w:val="21"/>
          <w:highlight w:val="none"/>
          <w:lang w:eastAsia="zh-CN"/>
        </w:rPr>
        <w:t>）</w:t>
      </w:r>
      <w:r>
        <w:rPr>
          <w:rFonts w:hint="eastAsia" w:ascii="Times New Roman" w:hAnsi="Times New Roman" w:eastAsia="宋体" w:cs="Times New Roman"/>
          <w:b w:val="0"/>
          <w:color w:val="auto"/>
          <w:sz w:val="21"/>
          <w:szCs w:val="21"/>
          <w:highlight w:val="none"/>
        </w:rPr>
        <w:t>、协调</w:t>
      </w:r>
      <w:r>
        <w:rPr>
          <w:rFonts w:hint="eastAsia" w:ascii="Times New Roman" w:hAnsi="Times New Roman" w:eastAsia="宋体" w:cs="Times New Roman"/>
          <w:b w:val="0"/>
          <w:color w:val="auto"/>
          <w:sz w:val="21"/>
          <w:szCs w:val="21"/>
          <w:highlight w:val="none"/>
          <w:lang w:val="en-US" w:eastAsia="zh-CN"/>
        </w:rPr>
        <w:t>等相关费用均</w:t>
      </w:r>
      <w:r>
        <w:rPr>
          <w:rFonts w:hint="eastAsia" w:ascii="Times New Roman" w:hAnsi="Times New Roman" w:eastAsia="宋体" w:cs="Times New Roman"/>
          <w:b w:val="0"/>
          <w:color w:val="auto"/>
          <w:sz w:val="21"/>
          <w:szCs w:val="21"/>
          <w:highlight w:val="none"/>
        </w:rPr>
        <w:t>含入投标报价中</w:t>
      </w:r>
      <w:r>
        <w:rPr>
          <w:rFonts w:hint="eastAsia" w:ascii="Times New Roman" w:hAnsi="Times New Roman" w:eastAsia="宋体" w:cs="Times New Roman"/>
          <w:b w:val="0"/>
          <w:color w:val="auto"/>
          <w:sz w:val="21"/>
          <w:szCs w:val="21"/>
          <w:highlight w:val="none"/>
          <w:lang w:eastAsia="zh-CN"/>
        </w:rPr>
        <w:t>，</w:t>
      </w:r>
      <w:r>
        <w:rPr>
          <w:rFonts w:hint="eastAsia" w:ascii="Times New Roman" w:hAnsi="Times New Roman" w:eastAsia="宋体" w:cs="Times New Roman"/>
          <w:b w:val="0"/>
          <w:color w:val="auto"/>
          <w:sz w:val="21"/>
          <w:szCs w:val="21"/>
          <w:highlight w:val="none"/>
          <w:lang w:val="en-US" w:eastAsia="zh-CN"/>
        </w:rPr>
        <w:t>发包人不另行计量支付</w:t>
      </w:r>
      <w:r>
        <w:rPr>
          <w:rFonts w:hint="eastAsia" w:ascii="Times New Roman" w:hAnsi="Times New Roman" w:eastAsia="宋体" w:cs="Times New Roman"/>
          <w:b w:val="0"/>
          <w:color w:val="auto"/>
          <w:sz w:val="21"/>
          <w:szCs w:val="21"/>
          <w:highlight w:val="none"/>
        </w:rPr>
        <w:t>。</w:t>
      </w:r>
    </w:p>
    <w:p w14:paraId="5420ACB4">
      <w:pPr>
        <w:spacing w:line="400" w:lineRule="atLeast"/>
        <w:ind w:firstLine="420" w:firstLineChars="20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随着施工进展向发包人提交主要单项工程和主要分部分项工程的施工组织设计。对发包人提出的合理建议和要求，承包人自费修改完善。</w:t>
      </w:r>
    </w:p>
    <w:p w14:paraId="6AAA8C11">
      <w:pPr>
        <w:spacing w:line="400" w:lineRule="atLeast"/>
        <w:ind w:firstLine="420" w:firstLineChars="20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w:t>
      </w:r>
      <w:r>
        <w:rPr>
          <w:rFonts w:hint="eastAsia" w:ascii="Times New Roman" w:hAnsi="Times New Roman" w:eastAsia="宋体" w:cs="Times New Roman"/>
          <w:color w:val="auto"/>
          <w:sz w:val="21"/>
          <w:szCs w:val="21"/>
          <w:highlight w:val="none"/>
          <w:lang w:val="en-US" w:eastAsia="zh-CN"/>
        </w:rPr>
        <w:t>24</w:t>
      </w:r>
      <w:r>
        <w:rPr>
          <w:rFonts w:hint="eastAsia" w:ascii="Times New Roman" w:hAnsi="Times New Roman" w:eastAsia="宋体" w:cs="Times New Roman"/>
          <w:color w:val="auto"/>
          <w:sz w:val="21"/>
          <w:szCs w:val="21"/>
          <w:highlight w:val="none"/>
        </w:rPr>
        <w:t>)承包人应负责将临时道路、梁场等临时用地在工程完工后恢复至原有使用功能，弃渣场按要求在30日内进行绿化或复垦，</w:t>
      </w:r>
      <w:r>
        <w:rPr>
          <w:rFonts w:hint="eastAsia" w:ascii="Times New Roman" w:hAnsi="Times New Roman" w:eastAsia="宋体" w:cs="Times New Roman"/>
          <w:b w:val="0"/>
          <w:color w:val="auto"/>
          <w:sz w:val="21"/>
          <w:szCs w:val="21"/>
          <w:highlight w:val="none"/>
        </w:rPr>
        <w:t>否则按照第22.1.1项视为承包人违约。</w:t>
      </w:r>
      <w:r>
        <w:rPr>
          <w:rFonts w:hint="eastAsia" w:ascii="Times New Roman" w:hAnsi="Times New Roman" w:eastAsia="宋体" w:cs="Times New Roman"/>
          <w:color w:val="auto"/>
          <w:sz w:val="21"/>
          <w:szCs w:val="21"/>
          <w:highlight w:val="none"/>
        </w:rPr>
        <w:t>相关费用均已包含在建筑安装工程费清单相应支付子目的单价中；临时用地恢复不满足相关部门要求的，发包人有权根据相关部门要求委托第三方进行恢复，由此造成的费用增加及一切不利后果均由承包人承担。承包人应保证弃渣场稳定，任何因弃渣场造成的滑坡、坍塌，相关责任均由承包人承担。</w:t>
      </w:r>
    </w:p>
    <w:p w14:paraId="01BFDEB3">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（11）施工现场与现有市政道路的连通，承包人应结合工程施工场地及周边道路状况，自主确定利用现有路网还是开辟其它临时通道；临时道路至规划红线外的接驳费用由</w:t>
      </w:r>
      <w:r>
        <w:rPr>
          <w:rFonts w:ascii="Times New Roman" w:hAnsi="Times New Roman" w:eastAsia="宋体" w:cs="Times New Roman"/>
          <w:kern w:val="2"/>
          <w:sz w:val="21"/>
          <w:szCs w:val="21"/>
          <w:lang w:val="en-US" w:eastAsia="zh-CN" w:bidi="ar-SA"/>
        </w:rPr>
        <w:t>承包人</w:t>
      </w:r>
      <w:r>
        <w:rPr>
          <w:rFonts w:hint="eastAsia" w:ascii="Times New Roman" w:hAnsi="Times New Roman" w:eastAsia="宋体" w:cs="Times New Roman"/>
          <w:kern w:val="2"/>
          <w:sz w:val="21"/>
          <w:szCs w:val="21"/>
          <w:lang w:val="en-US" w:eastAsia="zh-CN" w:bidi="ar-SA"/>
        </w:rPr>
        <w:t>承担；规划红线以内的施工道路由承包人负责实施建设及承担费用，并且其与之相关产生的费用（维护修复费、完工恢复等所有费用）在承包人投标报价中综合考虑。</w:t>
      </w:r>
    </w:p>
    <w:p w14:paraId="328099C7">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（13）为确保工程施工进度、质量和安全，履行承包人投标时的承诺，承包人保证按照经发包人和监理人批准的项目进度计划，派出投标时承诺拟派出的现场施工管理人员，完成各项工作。</w:t>
      </w:r>
    </w:p>
    <w:p w14:paraId="625EC6DE">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17）承包人在施工过程中办理增加场外临时用地，临时要求停水、停电、停气、停止通讯、中断公共道路交通，或可能损坏道路、管线、电力、供水、排水、邮电、通讯等公共设施的，应提前15日通知发包人，发包人应予以配合。若承包人未能及时办妥上述批准手续，造成误工等损失，发包人不予承担，导致工程关键路径延误的，竣工日期不予顺延。</w:t>
      </w:r>
    </w:p>
    <w:p w14:paraId="7B1D4F80">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（18）配合发包人做好安全文明宣传、相关部门检查宣传等工作，相关费用由承包人承担。</w:t>
      </w:r>
    </w:p>
    <w:p w14:paraId="124349BF">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（19）取土场及弃土场、土方处置由承包人自行确定，承包人承担相关费用，但不得违反相关管理规定。</w:t>
      </w:r>
    </w:p>
    <w:p w14:paraId="736BF4A1">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（20）承包人承担因自身原因违反相关规定（包括但不限于安全生产、环卫、噪音等行政管理规定）造成的损失和罚款。</w:t>
      </w:r>
    </w:p>
    <w:p w14:paraId="3227AC8C">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（21）监理单位的办公和生活用房由承包人提供。承包人应无偿提供一间会议室给发包人、监理人和承包人使用。</w:t>
      </w:r>
    </w:p>
    <w:p w14:paraId="2F0F3A65">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（22）发包人项目部办公区由承包人修建，修建标准以发包人审定的图纸为准，所发生的费用包含在合同价款中。</w:t>
      </w:r>
    </w:p>
    <w:p w14:paraId="35E7F29D">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23）承包人进场后进行地下管线探测（物探），满足施工场地周围地下管线和邻近建筑物、构筑物（含文物保护建筑）、古树名木的保护要求，因承包人责任导致的费用增加由承包人承担；承包人施工时因承包人原因损坏地下管线、邻近建筑物、构筑物、公共设施等，所发生费用由承包人承担。</w:t>
      </w:r>
    </w:p>
    <w:p w14:paraId="201C41CD">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（24）设计交底时间：在工程实施前3日，由承包人组织工程总承包项目经理、设计负责人、施工负责人、发包人、监理人、跟踪审计进行设计交底。</w:t>
      </w:r>
    </w:p>
    <w:p w14:paraId="7EDF4436">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25）因承包人设计失误，使用不合格材料、工程设备，或采用不适当的施工工艺，或施工不当，造成工程不合格的，监理人可以随时发出指示，要求承包人立即采取措施进行补救，直至达到合同要求的质量标准，由此增加的费用及工期延误由承包人承担。</w:t>
      </w:r>
    </w:p>
    <w:p w14:paraId="71870F28">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（26）在估计会发生工期迟延的情况时，承包人应加强人员和设备等施工力量的投入，以便延误的工期能够赶上，在保证质量的情况下通过竣工验收。</w:t>
      </w:r>
    </w:p>
    <w:p w14:paraId="27A6B42C">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（27）属于承包人所采购的设备及建筑主要材料的品牌、型号须送发包人审查，发包人要求提供样品的，承包人须按要求提供，经发包人同意后方可实施。</w:t>
      </w:r>
    </w:p>
    <w:p w14:paraId="03D0D714">
      <w:pPr>
        <w:widowControl w:val="0"/>
        <w:adjustRightInd w:val="0"/>
        <w:snapToGrid w:val="0"/>
        <w:spacing w:line="440" w:lineRule="exact"/>
        <w:jc w:val="left"/>
        <w:rPr>
          <w:rFonts w:hint="eastAsia" w:ascii="Times New Roman" w:hAnsi="Times New Roman" w:eastAsia="宋体" w:cs="Times New Roman"/>
          <w:b/>
          <w:bCs/>
          <w:color w:val="000000"/>
          <w:kern w:val="2"/>
          <w:sz w:val="21"/>
          <w:szCs w:val="21"/>
          <w:u w:val="none"/>
          <w:lang w:val="en-US" w:eastAsia="zh-CN" w:bidi="ar-SA"/>
        </w:rPr>
      </w:pPr>
      <w:r>
        <w:rPr>
          <w:rFonts w:hint="eastAsia" w:ascii="Times New Roman" w:hAnsi="Times New Roman" w:eastAsia="宋体" w:cs="Times New Roman"/>
          <w:b/>
          <w:bCs/>
          <w:color w:val="000000"/>
          <w:kern w:val="2"/>
          <w:sz w:val="21"/>
          <w:szCs w:val="21"/>
          <w:u w:val="none"/>
          <w:lang w:val="en-US" w:eastAsia="zh-CN" w:bidi="ar-SA"/>
        </w:rPr>
        <w:t>（28）施工过程中，如有非EPC承包人的工程同时作业，承包人有义务配合并按规定实施相应的质量、安全管理，不得额外收取管理费。</w:t>
      </w:r>
    </w:p>
    <w:p w14:paraId="4C33E87F">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highlight w:val="none"/>
          <w:lang w:val="en-US" w:eastAsia="zh-CN" w:bidi="ar-SA"/>
        </w:rPr>
        <w:t>（29）</w:t>
      </w:r>
      <w:r>
        <w:rPr>
          <w:rFonts w:hint="eastAsia" w:ascii="Times New Roman" w:hAnsi="Times New Roman" w:eastAsia="宋体" w:cs="Times New Roman"/>
          <w:kern w:val="2"/>
          <w:sz w:val="21"/>
          <w:szCs w:val="21"/>
          <w:lang w:val="en-US" w:eastAsia="zh-CN" w:bidi="ar-SA"/>
        </w:rPr>
        <w:t>承包人施工现场应采用围挡。围挡由承包人修建，修建标准以发包人审定的围挡方案为准。</w:t>
      </w:r>
    </w:p>
    <w:p w14:paraId="1A6D3B9E">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（30）承包人有义务积极履行共建义务，可将先进的管理经验，精湛的施工工艺引入本地企业，扶持本地企业快速发展，为本地的发展注入新活力。</w:t>
      </w:r>
    </w:p>
    <w:p w14:paraId="50100851">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（31）承包人应完成由承包人负责的相关审批、核准和备案手续的办理，并协助发包人完成由发包人负责的相关审批、核准和备案手续的办理。</w:t>
      </w:r>
    </w:p>
    <w:p w14:paraId="62C7B4B4">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（32）施工红线范围内有遗漏、错误、缺陷和不足的施工内容，承包人自行修复完善，并承担全部的责任。</w:t>
      </w:r>
    </w:p>
    <w:p w14:paraId="17128368">
      <w:pPr>
        <w:widowControl w:val="0"/>
        <w:adjustRightInd w:val="0"/>
        <w:snapToGrid w:val="0"/>
        <w:spacing w:line="440" w:lineRule="exact"/>
        <w:jc w:val="left"/>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（33）承包人应按照设计人对部分建设内容的深化设计进行施工。</w:t>
      </w:r>
    </w:p>
    <w:p w14:paraId="3E55A5A2">
      <w:pPr>
        <w:widowControl w:val="0"/>
        <w:adjustRightInd w:val="0"/>
        <w:snapToGrid w:val="0"/>
        <w:spacing w:line="440" w:lineRule="exact"/>
        <w:jc w:val="left"/>
        <w:rPr>
          <w:rFonts w:hint="eastAsia" w:ascii="Times New Roman" w:hAnsi="Times New Roman" w:eastAsia="宋体" w:cs="Times New Roman"/>
          <w:b w:val="0"/>
          <w:bCs w:val="0"/>
          <w:color w:val="000000"/>
          <w:kern w:val="2"/>
          <w:sz w:val="21"/>
          <w:szCs w:val="21"/>
          <w:u w:val="none"/>
          <w:lang w:val="en-US" w:eastAsia="zh-CN" w:bidi="ar-SA"/>
        </w:rPr>
      </w:pPr>
      <w:r>
        <w:rPr>
          <w:rFonts w:hint="eastAsia" w:ascii="Times New Roman" w:hAnsi="Times New Roman" w:eastAsia="宋体" w:cs="Times New Roman"/>
          <w:b w:val="0"/>
          <w:bCs w:val="0"/>
          <w:color w:val="000000"/>
          <w:kern w:val="2"/>
          <w:sz w:val="21"/>
          <w:szCs w:val="21"/>
          <w:u w:val="none"/>
          <w:lang w:val="en-US" w:eastAsia="zh-CN" w:bidi="ar-SA"/>
        </w:rPr>
        <w:t>（34）承包人负责各专业分包工程之间的配合、协调、管理等工作，特别是本工程与其他专业工程间交叉作业的配合关系，按照确定的顺序实施推进交叉作业，若发包方另行安排的分包项目，承包人应该提前通知发包人在规定的时间提供相应的施工方案，并不得收取配合费用。</w:t>
      </w:r>
    </w:p>
    <w:p w14:paraId="2B0E06A1">
      <w:pPr>
        <w:widowControl w:val="0"/>
        <w:adjustRightInd w:val="0"/>
        <w:snapToGrid w:val="0"/>
        <w:spacing w:line="44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（35）上述所有费用均已包含在投标总价中，发包人不再另行支付。</w:t>
      </w:r>
    </w:p>
    <w:p w14:paraId="66C1F754">
      <w:pPr>
        <w:keepNext/>
        <w:keepLines/>
        <w:spacing w:before="120" w:beforeLines="50" w:line="440" w:lineRule="exact"/>
        <w:outlineLvl w:val="0"/>
        <w:rPr>
          <w:rFonts w:ascii="黑体" w:hAnsi="黑体" w:eastAsia="黑体"/>
        </w:rPr>
      </w:pPr>
      <w:r>
        <w:rPr>
          <w:rFonts w:ascii="黑体" w:hAnsi="黑体" w:eastAsia="黑体"/>
        </w:rPr>
        <w:t>4.2 履约担保</w:t>
      </w:r>
    </w:p>
    <w:p w14:paraId="78A344C5">
      <w:pPr>
        <w:spacing w:line="440" w:lineRule="exact"/>
        <w:rPr>
          <w:rFonts w:hint="eastAsia" w:eastAsia="宋体"/>
          <w:szCs w:val="21"/>
        </w:rPr>
      </w:pPr>
      <w:r>
        <w:rPr>
          <w:rFonts w:hint="eastAsia" w:eastAsia="宋体"/>
        </w:rPr>
        <w:t xml:space="preserve">无 </w:t>
      </w:r>
    </w:p>
    <w:p w14:paraId="2651DC86">
      <w:pPr>
        <w:keepNext/>
        <w:keepLines/>
        <w:spacing w:before="120" w:beforeLines="50" w:line="440" w:lineRule="exact"/>
        <w:outlineLvl w:val="0"/>
        <w:rPr>
          <w:rFonts w:hint="default" w:ascii="黑体" w:hAnsi="黑体" w:eastAsia="黑体"/>
          <w:lang w:val="en-US" w:eastAsia="zh-CN"/>
        </w:rPr>
      </w:pPr>
      <w:r>
        <w:rPr>
          <w:rFonts w:hint="eastAsia" w:ascii="黑体" w:hAnsi="黑体" w:eastAsia="黑体"/>
        </w:rPr>
        <w:t>4.3 分包</w:t>
      </w:r>
      <w:r>
        <w:rPr>
          <w:rFonts w:hint="eastAsia" w:ascii="黑体" w:hAnsi="黑体" w:eastAsia="黑体"/>
          <w:lang w:val="en-US" w:eastAsia="zh-CN"/>
        </w:rPr>
        <w:t>和不得转包</w:t>
      </w:r>
    </w:p>
    <w:p w14:paraId="6FC1F419">
      <w:pPr>
        <w:spacing w:line="440" w:lineRule="exact"/>
        <w:ind w:firstLine="0" w:firstLineChars="0"/>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第4.3</w:t>
      </w:r>
      <w:r>
        <w:rPr>
          <w:rFonts w:hint="eastAsia" w:ascii="宋体" w:hAnsi="宋体" w:eastAsia="宋体" w:cs="Times New Roman"/>
          <w:sz w:val="21"/>
          <w:szCs w:val="21"/>
          <w:highlight w:val="none"/>
          <w:lang w:val="en-US" w:eastAsia="zh-CN"/>
        </w:rPr>
        <w:t>.3</w:t>
      </w:r>
      <w:r>
        <w:rPr>
          <w:rFonts w:hint="default" w:ascii="宋体" w:hAnsi="宋体" w:eastAsia="宋体" w:cs="Times New Roman"/>
          <w:sz w:val="21"/>
          <w:szCs w:val="21"/>
          <w:highlight w:val="none"/>
        </w:rPr>
        <w:t>项细化为：</w:t>
      </w:r>
    </w:p>
    <w:p w14:paraId="4D849402">
      <w:pPr>
        <w:spacing w:line="440" w:lineRule="exact"/>
        <w:ind w:firstLine="0" w:firstLineChars="0"/>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4.3.2 承包人不得将《公路工程施工分包负面清单（2024年版）》（交办公路〔2024〕6号）中所列的工程分包给第三人。经发包人同意，承包人可将工程的其他部分或工作分包给第三人。分包包括专业分包和劳务合作。</w:t>
      </w:r>
    </w:p>
    <w:p w14:paraId="7D1CAB83">
      <w:pPr>
        <w:spacing w:line="440" w:lineRule="exact"/>
        <w:ind w:firstLine="0" w:firstLineChars="0"/>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4.3.3 专业分包</w:t>
      </w:r>
    </w:p>
    <w:p w14:paraId="72487151">
      <w:pPr>
        <w:spacing w:line="440" w:lineRule="exact"/>
        <w:ind w:firstLine="0" w:firstLineChars="0"/>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在工程施工过程中，承包人进行专业分包和劳务合作时应满足《湖北交通投资集团有限公司高速公路建设项目施工分包和劳务合作管理办法(试行)》(附件十二)的要求。</w:t>
      </w:r>
    </w:p>
    <w:p w14:paraId="0844F97B">
      <w:pPr>
        <w:spacing w:line="440" w:lineRule="exact"/>
        <w:ind w:firstLine="0" w:firstLineChars="0"/>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补充第4.3.6项：</w:t>
      </w:r>
    </w:p>
    <w:p w14:paraId="2C02B5EA">
      <w:pPr>
        <w:spacing w:line="440" w:lineRule="exact"/>
        <w:rPr>
          <w:rFonts w:hint="default" w:ascii="宋体" w:hAnsi="宋体" w:eastAsia="宋体" w:cs="Times New Roman"/>
          <w:szCs w:val="21"/>
          <w:highlight w:val="none"/>
        </w:rPr>
      </w:pPr>
      <w:r>
        <w:rPr>
          <w:rFonts w:hint="default" w:ascii="宋体" w:hAnsi="宋体" w:eastAsia="宋体" w:cs="Times New Roman"/>
          <w:sz w:val="21"/>
          <w:szCs w:val="21"/>
          <w:highlight w:val="none"/>
        </w:rPr>
        <w:t>承包人、分包人应按照相关规定和合同约定履行现场施工管理责任和资金支付责任，不得以包代管向下层层转移法定义务，不得以“保证金”“押金”“备用金”“担保金”等名义转移资金风险，变相要求分包人或劳务合作单位垫资建设。</w:t>
      </w:r>
    </w:p>
    <w:p w14:paraId="4493CEED">
      <w:pPr>
        <w:spacing w:line="440" w:lineRule="exact"/>
        <w:rPr>
          <w:rFonts w:ascii="宋体" w:hAnsi="宋体" w:eastAsia="宋体"/>
          <w:szCs w:val="21"/>
        </w:rPr>
      </w:pPr>
      <w:r>
        <w:rPr>
          <w:rFonts w:hint="eastAsia" w:ascii="宋体" w:hAnsi="宋体" w:eastAsia="宋体"/>
          <w:szCs w:val="21"/>
        </w:rPr>
        <w:t xml:space="preserve">4.3.5 </w:t>
      </w:r>
      <w:r>
        <w:rPr>
          <w:rFonts w:ascii="宋体" w:hAnsi="宋体" w:eastAsia="宋体"/>
          <w:szCs w:val="21"/>
        </w:rPr>
        <w:t>分包的一般约定</w:t>
      </w:r>
      <w:r>
        <w:rPr>
          <w:rFonts w:hint="eastAsia" w:ascii="宋体" w:hAnsi="宋体" w:eastAsia="宋体"/>
          <w:szCs w:val="21"/>
        </w:rPr>
        <w:t>：</w:t>
      </w:r>
      <w:r>
        <w:rPr>
          <w:rFonts w:ascii="宋体" w:hAnsi="宋体" w:eastAsia="宋体"/>
          <w:szCs w:val="21"/>
        </w:rPr>
        <w:t xml:space="preserve"> </w:t>
      </w:r>
    </w:p>
    <w:p w14:paraId="6B1A1EF2">
      <w:pPr>
        <w:tabs>
          <w:tab w:val="left" w:pos="840"/>
          <w:tab w:val="left" w:pos="1050"/>
          <w:tab w:val="left" w:pos="1260"/>
        </w:tabs>
        <w:spacing w:line="440" w:lineRule="exact"/>
        <w:rPr>
          <w:rFonts w:hint="eastAsia" w:ascii="宋体" w:hAnsi="宋体" w:eastAsia="宋体"/>
          <w:szCs w:val="21"/>
        </w:rPr>
      </w:pPr>
      <w:r>
        <w:rPr>
          <w:rFonts w:ascii="宋体" w:hAnsi="宋体" w:eastAsia="宋体"/>
          <w:szCs w:val="21"/>
        </w:rPr>
        <w:t>禁止承包人将工程总承包项目转包，</w:t>
      </w:r>
      <w:r>
        <w:rPr>
          <w:rFonts w:hint="eastAsia" w:ascii="宋体" w:hAnsi="宋体" w:eastAsia="宋体"/>
          <w:szCs w:val="21"/>
        </w:rPr>
        <w:t>承包人不得将勘察、设计和施工业务</w:t>
      </w:r>
      <w:r>
        <w:rPr>
          <w:rFonts w:hint="eastAsia" w:ascii="宋体" w:hAnsi="宋体" w:eastAsia="宋体"/>
          <w:szCs w:val="21"/>
          <w:lang w:eastAsia="zh-CN"/>
        </w:rPr>
        <w:t>违法分包</w:t>
      </w:r>
      <w:r>
        <w:rPr>
          <w:rFonts w:hint="eastAsia" w:ascii="宋体" w:hAnsi="宋体" w:eastAsia="宋体"/>
          <w:szCs w:val="21"/>
        </w:rPr>
        <w:t xml:space="preserve">。 </w:t>
      </w:r>
    </w:p>
    <w:p w14:paraId="43DE232D">
      <w:pPr>
        <w:tabs>
          <w:tab w:val="left" w:pos="840"/>
          <w:tab w:val="left" w:pos="1050"/>
          <w:tab w:val="left" w:pos="1260"/>
        </w:tabs>
        <w:spacing w:line="440" w:lineRule="exact"/>
        <w:rPr>
          <w:rFonts w:hint="eastAsia" w:ascii="宋体" w:hAnsi="宋体" w:eastAsia="宋体"/>
          <w:szCs w:val="21"/>
        </w:rPr>
      </w:pPr>
      <w:r>
        <w:rPr>
          <w:rFonts w:hint="eastAsia" w:ascii="宋体" w:hAnsi="宋体" w:eastAsia="宋体"/>
          <w:szCs w:val="21"/>
        </w:rPr>
        <w:t xml:space="preserve">4.3.6 其他关于分包的约定： </w:t>
      </w:r>
    </w:p>
    <w:p w14:paraId="7DA0FAB3">
      <w:pPr>
        <w:spacing w:line="440" w:lineRule="exact"/>
        <w:rPr>
          <w:rFonts w:ascii="宋体" w:hAnsi="宋体" w:eastAsia="宋体"/>
          <w:szCs w:val="21"/>
        </w:rPr>
      </w:pPr>
      <w:r>
        <w:rPr>
          <w:rFonts w:hint="eastAsia" w:ascii="宋体" w:hAnsi="宋体" w:eastAsia="宋体"/>
          <w:szCs w:val="21"/>
        </w:rPr>
        <w:t>（</w:t>
      </w:r>
      <w:r>
        <w:rPr>
          <w:rFonts w:ascii="宋体" w:hAnsi="宋体" w:eastAsia="宋体"/>
          <w:szCs w:val="21"/>
        </w:rPr>
        <w:t>1）承包人根据工程实际情况需要，进行合法分包并将分包情况</w:t>
      </w:r>
      <w:r>
        <w:rPr>
          <w:rFonts w:hint="eastAsia" w:ascii="宋体" w:hAnsi="宋体" w:eastAsia="宋体"/>
          <w:szCs w:val="21"/>
        </w:rPr>
        <w:t>书面报监理人和</w:t>
      </w:r>
      <w:r>
        <w:rPr>
          <w:rFonts w:ascii="宋体" w:hAnsi="宋体" w:eastAsia="宋体"/>
          <w:szCs w:val="21"/>
        </w:rPr>
        <w:t>发包人</w:t>
      </w:r>
      <w:r>
        <w:rPr>
          <w:rFonts w:hint="eastAsia" w:ascii="宋体" w:hAnsi="宋体" w:eastAsia="宋体"/>
          <w:szCs w:val="21"/>
        </w:rPr>
        <w:t>同意</w:t>
      </w:r>
      <w:r>
        <w:rPr>
          <w:rFonts w:hint="eastAsia" w:ascii="宋体" w:hAnsi="宋体" w:eastAsia="宋体"/>
          <w:szCs w:val="21"/>
          <w:lang w:eastAsia="zh-CN"/>
        </w:rPr>
        <w:t>后实施</w:t>
      </w:r>
      <w:r>
        <w:rPr>
          <w:rFonts w:ascii="宋体" w:hAnsi="宋体" w:eastAsia="宋体"/>
          <w:szCs w:val="21"/>
        </w:rPr>
        <w:t>，因分包引起的一切相关经济损失及法律责任，均由承包人全部承担。</w:t>
      </w:r>
      <w:r>
        <w:rPr>
          <w:rFonts w:hint="eastAsia" w:ascii="宋体" w:hAnsi="宋体" w:eastAsia="宋体"/>
          <w:szCs w:val="21"/>
        </w:rPr>
        <w:t>如因承包人与其分包方之间的纠纷或分包方与施工队之间的纠纷导致发包方损失的（包括直接经济损失以及因处理该事项而发生的诉讼费、律师费、审计/评估费等），承包方应给予发包方全额赔偿。</w:t>
      </w:r>
    </w:p>
    <w:p w14:paraId="08170BD2">
      <w:pPr>
        <w:tabs>
          <w:tab w:val="left" w:pos="840"/>
          <w:tab w:val="left" w:pos="1050"/>
          <w:tab w:val="left" w:pos="1260"/>
        </w:tabs>
        <w:spacing w:line="440" w:lineRule="exact"/>
        <w:rPr>
          <w:rFonts w:hint="eastAsia" w:ascii="宋体" w:hAnsi="宋体" w:eastAsia="宋体"/>
          <w:strike/>
          <w:szCs w:val="21"/>
        </w:rPr>
      </w:pPr>
      <w:r>
        <w:rPr>
          <w:rFonts w:hint="eastAsia" w:ascii="宋体" w:hAnsi="宋体" w:eastAsia="宋体"/>
          <w:szCs w:val="21"/>
        </w:rPr>
        <w:t>（</w:t>
      </w:r>
      <w:r>
        <w:rPr>
          <w:rFonts w:ascii="宋体" w:hAnsi="宋体" w:eastAsia="宋体"/>
          <w:szCs w:val="21"/>
        </w:rPr>
        <w:t>2）承包人须在分包工作开始前提供拟分包单位资质、营业执照、业绩、派驻现场人员、施工方案等资料报监理人审核</w:t>
      </w:r>
      <w:r>
        <w:rPr>
          <w:rFonts w:hint="eastAsia" w:ascii="宋体" w:hAnsi="宋体" w:eastAsia="宋体"/>
          <w:szCs w:val="21"/>
        </w:rPr>
        <w:t>、</w:t>
      </w:r>
      <w:r>
        <w:rPr>
          <w:rFonts w:ascii="宋体" w:hAnsi="宋体" w:eastAsia="宋体"/>
          <w:szCs w:val="21"/>
        </w:rPr>
        <w:t>发包人备案后，才能签订分包合同。</w:t>
      </w:r>
    </w:p>
    <w:p w14:paraId="12375DF8">
      <w:pPr>
        <w:spacing w:line="440" w:lineRule="exact"/>
        <w:rPr>
          <w:rFonts w:ascii="宋体" w:hAnsi="宋体" w:eastAsia="宋体"/>
          <w:szCs w:val="21"/>
        </w:rPr>
      </w:pPr>
      <w:r>
        <w:rPr>
          <w:rFonts w:hint="eastAsia" w:ascii="宋体" w:hAnsi="宋体" w:eastAsia="宋体"/>
          <w:szCs w:val="21"/>
        </w:rPr>
        <w:t>（</w:t>
      </w:r>
      <w:r>
        <w:rPr>
          <w:rFonts w:ascii="宋体" w:hAnsi="宋体" w:eastAsia="宋体"/>
          <w:szCs w:val="21"/>
        </w:rPr>
        <w:t>3）专业分包单位应在工地现场设立项目管理部，安排专职管理人员，进行有效组织管理，承包人应对专业分包单位施工各环节全面控制，对分包工程质量、安全文明施工负总责。专业分包单位出现质量隐患不整改的，由承包人负责返工。专业分包单位安全文明施工出现问题，承包人负连带责任。</w:t>
      </w:r>
    </w:p>
    <w:p w14:paraId="4EA668BA">
      <w:pPr>
        <w:spacing w:line="440" w:lineRule="exact"/>
        <w:rPr>
          <w:rFonts w:hint="default" w:ascii="宋体" w:hAnsi="宋体" w:eastAsia="宋体"/>
          <w:szCs w:val="21"/>
          <w:lang w:val="en-US" w:eastAsia="zh-CN"/>
        </w:rPr>
      </w:pPr>
      <w:r>
        <w:rPr>
          <w:rFonts w:hint="eastAsia" w:ascii="宋体" w:hAnsi="宋体" w:eastAsia="宋体"/>
          <w:szCs w:val="21"/>
        </w:rPr>
        <w:t>（</w:t>
      </w:r>
      <w:r>
        <w:rPr>
          <w:rFonts w:ascii="宋体" w:hAnsi="宋体" w:eastAsia="宋体"/>
          <w:szCs w:val="21"/>
        </w:rPr>
        <w:t>4）承包人承诺</w:t>
      </w:r>
      <w:r>
        <w:rPr>
          <w:rFonts w:hint="eastAsia" w:ascii="宋体" w:hAnsi="宋体" w:eastAsia="宋体"/>
          <w:szCs w:val="21"/>
        </w:rPr>
        <w:t>按照</w:t>
      </w:r>
      <w:r>
        <w:rPr>
          <w:rFonts w:ascii="宋体" w:hAnsi="宋体" w:eastAsia="宋体"/>
          <w:szCs w:val="21"/>
        </w:rPr>
        <w:t>《保障农民工工资支付条例》</w:t>
      </w:r>
      <w:r>
        <w:rPr>
          <w:rFonts w:hint="eastAsia" w:ascii="宋体" w:hAnsi="宋体" w:eastAsia="宋体"/>
          <w:szCs w:val="21"/>
        </w:rPr>
        <w:t>等相关法律法规按</w:t>
      </w:r>
      <w:r>
        <w:rPr>
          <w:rFonts w:hint="eastAsia" w:ascii="宋体" w:hAnsi="宋体" w:eastAsia="宋体"/>
          <w:szCs w:val="21"/>
          <w:lang w:val="en-US" w:eastAsia="zh-CN"/>
        </w:rPr>
        <w:t>月</w:t>
      </w:r>
      <w:r>
        <w:rPr>
          <w:rFonts w:ascii="宋体" w:hAnsi="宋体" w:eastAsia="宋体"/>
          <w:szCs w:val="21"/>
        </w:rPr>
        <w:t>足额支付分包工程款、劳务分包款及农民工工资等款项，并完全承担未按期</w:t>
      </w:r>
      <w:r>
        <w:rPr>
          <w:rFonts w:hint="eastAsia" w:ascii="宋体" w:hAnsi="宋体" w:eastAsia="宋体"/>
          <w:szCs w:val="21"/>
        </w:rPr>
        <w:t>及足额</w:t>
      </w:r>
      <w:r>
        <w:rPr>
          <w:rFonts w:ascii="宋体" w:hAnsi="宋体" w:eastAsia="宋体"/>
          <w:szCs w:val="21"/>
        </w:rPr>
        <w:t>支付上述款项的相关法律责任。</w:t>
      </w:r>
      <w:r>
        <w:rPr>
          <w:rFonts w:hint="eastAsia" w:ascii="宋体" w:hAnsi="宋体" w:eastAsia="宋体"/>
          <w:szCs w:val="21"/>
          <w:lang w:val="en-US" w:eastAsia="zh-CN"/>
        </w:rPr>
        <w:t>未按照要求足额支付造成恶劣社会影响的，发包人将按每次5万元对承包人进行处罚，发包人有权在进度款中直接扣除。</w:t>
      </w:r>
    </w:p>
    <w:p w14:paraId="635D5C3B">
      <w:pPr>
        <w:tabs>
          <w:tab w:val="left" w:pos="840"/>
          <w:tab w:val="left" w:pos="1050"/>
          <w:tab w:val="left" w:pos="1260"/>
        </w:tabs>
        <w:spacing w:line="440" w:lineRule="exact"/>
        <w:rPr>
          <w:rFonts w:ascii="宋体" w:hAnsi="宋体" w:eastAsia="宋体"/>
          <w:szCs w:val="21"/>
        </w:rPr>
      </w:pPr>
      <w:r>
        <w:rPr>
          <w:rFonts w:hint="eastAsia" w:ascii="宋体" w:hAnsi="宋体" w:eastAsia="宋体"/>
          <w:szCs w:val="21"/>
        </w:rPr>
        <w:t>（5）专业分包的，不能解除或减轻承包人的任何责任及义务。承包人应在分包场地派驻相应的管理人员，保证本合同的履行。分包单位的任何违约行为、疏忽导致的工程损害或损失等，承包人均应承担连带责任。</w:t>
      </w:r>
    </w:p>
    <w:p w14:paraId="798AB0B9">
      <w:pPr>
        <w:spacing w:line="440" w:lineRule="exact"/>
        <w:rPr>
          <w:rFonts w:hint="eastAsia" w:ascii="宋体" w:hAnsi="宋体" w:eastAsia="宋体"/>
          <w:szCs w:val="21"/>
        </w:rPr>
      </w:pPr>
      <w:r>
        <w:rPr>
          <w:rFonts w:hint="eastAsia" w:ascii="宋体" w:hAnsi="宋体" w:eastAsia="宋体"/>
          <w:szCs w:val="21"/>
        </w:rPr>
        <w:t>（6）承包人将专业工程进行分包时，应自行与分包单位进行合同谈判、变更对账、结算等工作，不得让分包预算人员直接与发包人进行对账等工作。</w:t>
      </w:r>
    </w:p>
    <w:p w14:paraId="59044795">
      <w:pPr>
        <w:spacing w:line="440" w:lineRule="exact"/>
        <w:rPr>
          <w:rFonts w:ascii="宋体" w:hAnsi="宋体" w:eastAsia="宋体"/>
          <w:b w:val="0"/>
          <w:bCs w:val="0"/>
          <w:color w:val="000000"/>
          <w:szCs w:val="21"/>
          <w:u w:val="none"/>
        </w:rPr>
      </w:pPr>
      <w:r>
        <w:rPr>
          <w:rFonts w:hint="eastAsia" w:ascii="宋体" w:hAnsi="宋体" w:eastAsia="宋体"/>
          <w:b w:val="0"/>
          <w:bCs w:val="0"/>
          <w:color w:val="000000"/>
          <w:szCs w:val="21"/>
          <w:u w:val="none"/>
          <w:lang w:eastAsia="zh-CN"/>
        </w:rPr>
        <w:t>（</w:t>
      </w:r>
      <w:r>
        <w:rPr>
          <w:rFonts w:hint="eastAsia" w:ascii="宋体" w:hAnsi="宋体" w:eastAsia="宋体"/>
          <w:b w:val="0"/>
          <w:bCs w:val="0"/>
          <w:color w:val="000000"/>
          <w:szCs w:val="21"/>
          <w:u w:val="none"/>
          <w:lang w:val="en-US" w:eastAsia="zh-CN"/>
        </w:rPr>
        <w:t>7</w:t>
      </w:r>
      <w:r>
        <w:rPr>
          <w:rFonts w:hint="eastAsia" w:ascii="宋体" w:hAnsi="宋体" w:eastAsia="宋体"/>
          <w:b w:val="0"/>
          <w:bCs w:val="0"/>
          <w:color w:val="000000"/>
          <w:szCs w:val="21"/>
          <w:u w:val="none"/>
          <w:lang w:eastAsia="zh-CN"/>
        </w:rPr>
        <w:t>）</w:t>
      </w:r>
      <w:r>
        <w:rPr>
          <w:rFonts w:hint="eastAsia" w:ascii="宋体" w:hAnsi="宋体" w:eastAsia="宋体"/>
          <w:b w:val="0"/>
          <w:bCs w:val="0"/>
          <w:color w:val="000000"/>
          <w:szCs w:val="21"/>
          <w:u w:val="none"/>
          <w:lang w:val="en-US" w:eastAsia="zh-CN"/>
        </w:rPr>
        <w:t>承包人将分包单位</w:t>
      </w:r>
      <w:r>
        <w:rPr>
          <w:rFonts w:hint="eastAsia" w:ascii="宋体" w:hAnsi="宋体" w:eastAsia="宋体"/>
          <w:b w:val="0"/>
          <w:bCs w:val="0"/>
          <w:color w:val="000000"/>
          <w:szCs w:val="21"/>
          <w:u w:val="none"/>
        </w:rPr>
        <w:t>的合同</w:t>
      </w:r>
      <w:r>
        <w:rPr>
          <w:rFonts w:hint="eastAsia" w:ascii="宋体" w:hAnsi="宋体" w:eastAsia="宋体"/>
          <w:b w:val="0"/>
          <w:bCs w:val="0"/>
          <w:color w:val="000000"/>
          <w:szCs w:val="21"/>
          <w:u w:val="none"/>
          <w:lang w:eastAsia="zh-CN"/>
        </w:rPr>
        <w:t>、</w:t>
      </w:r>
      <w:r>
        <w:rPr>
          <w:rFonts w:hint="eastAsia" w:ascii="宋体" w:hAnsi="宋体" w:eastAsia="宋体"/>
          <w:b w:val="0"/>
          <w:bCs w:val="0"/>
          <w:color w:val="000000"/>
          <w:szCs w:val="21"/>
          <w:u w:val="none"/>
        </w:rPr>
        <w:t>价款等相关资料向监理单位、跟踪审计单位及发包人</w:t>
      </w:r>
      <w:r>
        <w:rPr>
          <w:rFonts w:hint="eastAsia" w:ascii="宋体" w:hAnsi="宋体" w:eastAsia="宋体"/>
          <w:b w:val="0"/>
          <w:bCs w:val="0"/>
          <w:color w:val="000000"/>
          <w:szCs w:val="21"/>
          <w:u w:val="none"/>
          <w:lang w:eastAsia="zh-CN"/>
        </w:rPr>
        <w:t>审查</w:t>
      </w:r>
      <w:r>
        <w:rPr>
          <w:rFonts w:hint="eastAsia" w:ascii="宋体" w:hAnsi="宋体" w:eastAsia="宋体"/>
          <w:b w:val="0"/>
          <w:bCs w:val="0"/>
          <w:color w:val="000000"/>
          <w:szCs w:val="21"/>
          <w:u w:val="none"/>
        </w:rPr>
        <w:t>备案</w:t>
      </w:r>
      <w:r>
        <w:rPr>
          <w:rFonts w:hint="eastAsia" w:ascii="宋体" w:hAnsi="宋体" w:eastAsia="宋体"/>
          <w:b w:val="0"/>
          <w:bCs w:val="0"/>
          <w:color w:val="000000"/>
          <w:szCs w:val="21"/>
          <w:u w:val="none"/>
          <w:lang w:eastAsia="zh-CN"/>
        </w:rPr>
        <w:t>，</w:t>
      </w:r>
      <w:r>
        <w:rPr>
          <w:rFonts w:hint="eastAsia" w:ascii="宋体" w:hAnsi="宋体" w:eastAsia="宋体"/>
          <w:b w:val="0"/>
          <w:bCs w:val="0"/>
          <w:color w:val="000000"/>
          <w:szCs w:val="21"/>
          <w:u w:val="none"/>
          <w:lang w:val="en-US" w:eastAsia="zh-CN"/>
        </w:rPr>
        <w:t>对</w:t>
      </w:r>
      <w:r>
        <w:rPr>
          <w:rFonts w:hint="eastAsia" w:ascii="宋体" w:hAnsi="宋体" w:eastAsia="宋体"/>
          <w:b w:val="0"/>
          <w:bCs w:val="0"/>
          <w:color w:val="000000"/>
          <w:szCs w:val="21"/>
          <w:u w:val="none"/>
          <w:lang w:eastAsia="zh-CN"/>
        </w:rPr>
        <w:t>不符合法律法规、规范性文件及合同要求的</w:t>
      </w:r>
      <w:r>
        <w:rPr>
          <w:rFonts w:hint="eastAsia" w:ascii="宋体" w:hAnsi="宋体" w:eastAsia="宋体"/>
          <w:b w:val="0"/>
          <w:bCs w:val="0"/>
          <w:color w:val="000000"/>
          <w:szCs w:val="21"/>
          <w:u w:val="none"/>
          <w:lang w:val="en-US" w:eastAsia="zh-CN"/>
        </w:rPr>
        <w:t>分包单位</w:t>
      </w:r>
      <w:r>
        <w:rPr>
          <w:rFonts w:hint="eastAsia" w:ascii="宋体" w:hAnsi="宋体" w:eastAsia="宋体"/>
          <w:b w:val="0"/>
          <w:bCs w:val="0"/>
          <w:color w:val="000000"/>
          <w:szCs w:val="21"/>
          <w:u w:val="none"/>
          <w:lang w:eastAsia="zh-CN"/>
        </w:rPr>
        <w:t>必须</w:t>
      </w:r>
      <w:r>
        <w:rPr>
          <w:rFonts w:hint="eastAsia" w:ascii="宋体" w:hAnsi="宋体" w:eastAsia="宋体"/>
          <w:b w:val="0"/>
          <w:bCs w:val="0"/>
          <w:color w:val="000000"/>
          <w:szCs w:val="21"/>
          <w:u w:val="none"/>
          <w:lang w:val="en-US" w:eastAsia="zh-CN"/>
        </w:rPr>
        <w:t>更换</w:t>
      </w:r>
      <w:r>
        <w:rPr>
          <w:rFonts w:hint="eastAsia" w:ascii="宋体" w:hAnsi="宋体" w:eastAsia="宋体"/>
          <w:b w:val="0"/>
          <w:bCs w:val="0"/>
          <w:color w:val="000000"/>
          <w:szCs w:val="21"/>
          <w:u w:val="none"/>
        </w:rPr>
        <w:t>。</w:t>
      </w:r>
    </w:p>
    <w:p w14:paraId="14863A6B">
      <w:pPr>
        <w:keepNext/>
        <w:keepLines/>
        <w:spacing w:before="120" w:beforeLines="50" w:line="440" w:lineRule="exact"/>
        <w:outlineLvl w:val="0"/>
        <w:rPr>
          <w:rFonts w:ascii="黑体" w:hAnsi="黑体" w:eastAsia="黑体"/>
          <w:color w:val="auto"/>
        </w:rPr>
      </w:pPr>
      <w:r>
        <w:rPr>
          <w:rFonts w:eastAsia="黑体"/>
          <w:color w:val="auto"/>
        </w:rPr>
        <w:t>4</w:t>
      </w:r>
      <w:r>
        <w:rPr>
          <w:rFonts w:ascii="黑体" w:hAnsi="黑体" w:eastAsia="黑体"/>
          <w:color w:val="auto"/>
        </w:rPr>
        <w:t>.</w:t>
      </w:r>
      <w:r>
        <w:rPr>
          <w:rFonts w:eastAsia="黑体"/>
          <w:color w:val="auto"/>
        </w:rPr>
        <w:t>5</w:t>
      </w:r>
      <w:r>
        <w:rPr>
          <w:rFonts w:ascii="黑体" w:hAnsi="黑体" w:eastAsia="黑体"/>
          <w:color w:val="auto"/>
        </w:rPr>
        <w:t xml:space="preserve"> 承包人项目经理</w:t>
      </w:r>
    </w:p>
    <w:p w14:paraId="5DA389FC">
      <w:pPr>
        <w:spacing w:line="440" w:lineRule="exact"/>
        <w:rPr>
          <w:rFonts w:hint="eastAsia" w:ascii="宋体" w:hAnsi="宋体" w:eastAsia="宋体"/>
          <w:color w:val="auto"/>
          <w:szCs w:val="21"/>
          <w:u w:val="single"/>
        </w:rPr>
      </w:pPr>
      <w:r>
        <w:rPr>
          <w:rFonts w:ascii="宋体" w:hAnsi="宋体" w:eastAsia="宋体"/>
          <w:color w:val="auto"/>
          <w:szCs w:val="21"/>
        </w:rPr>
        <w:t>4.5.1</w:t>
      </w:r>
      <w:r>
        <w:rPr>
          <w:rFonts w:hint="eastAsia" w:ascii="宋体" w:hAnsi="宋体" w:eastAsia="宋体"/>
          <w:color w:val="auto"/>
          <w:szCs w:val="21"/>
        </w:rPr>
        <w:t>项目经理姓名：</w:t>
      </w:r>
      <w:r>
        <w:rPr>
          <w:rFonts w:hint="eastAsia" w:ascii="宋体" w:hAnsi="宋体" w:eastAsia="宋体"/>
          <w:color w:val="auto"/>
          <w:szCs w:val="21"/>
          <w:u w:val="single"/>
        </w:rPr>
        <w:t xml:space="preserve">    </w:t>
      </w:r>
      <w:r>
        <w:rPr>
          <w:rFonts w:hint="eastAsia" w:ascii="宋体" w:hAnsi="宋体" w:eastAsia="宋体"/>
          <w:color w:val="auto"/>
          <w:szCs w:val="21"/>
        </w:rPr>
        <w:t>；</w:t>
      </w:r>
    </w:p>
    <w:p w14:paraId="1CB06C9A">
      <w:pPr>
        <w:spacing w:line="440" w:lineRule="exact"/>
        <w:rPr>
          <w:rFonts w:hint="eastAsia" w:ascii="宋体" w:hAnsi="宋体" w:eastAsia="宋体"/>
          <w:color w:val="auto"/>
          <w:szCs w:val="21"/>
          <w:u w:val="single"/>
        </w:rPr>
      </w:pPr>
      <w:r>
        <w:rPr>
          <w:rFonts w:hint="eastAsia" w:ascii="宋体" w:hAnsi="宋体" w:eastAsia="宋体"/>
          <w:color w:val="auto"/>
          <w:szCs w:val="21"/>
        </w:rPr>
        <w:t>执业资格或职称类型：</w:t>
      </w:r>
      <w:r>
        <w:rPr>
          <w:rFonts w:hint="eastAsia" w:ascii="宋体" w:hAnsi="宋体" w:eastAsia="宋体"/>
          <w:color w:val="auto"/>
          <w:szCs w:val="21"/>
          <w:u w:val="single"/>
        </w:rPr>
        <w:t xml:space="preserve">    </w:t>
      </w:r>
      <w:r>
        <w:rPr>
          <w:rFonts w:hint="eastAsia" w:ascii="宋体" w:hAnsi="宋体" w:eastAsia="宋体"/>
          <w:color w:val="auto"/>
          <w:szCs w:val="21"/>
        </w:rPr>
        <w:t>；</w:t>
      </w:r>
    </w:p>
    <w:p w14:paraId="6EEC87D3">
      <w:pPr>
        <w:spacing w:line="440" w:lineRule="exact"/>
        <w:rPr>
          <w:rFonts w:hint="eastAsia" w:ascii="宋体" w:hAnsi="宋体" w:eastAsia="宋体"/>
          <w:color w:val="auto"/>
          <w:szCs w:val="21"/>
        </w:rPr>
      </w:pPr>
      <w:r>
        <w:rPr>
          <w:rFonts w:hint="eastAsia" w:ascii="宋体" w:hAnsi="宋体" w:eastAsia="宋体"/>
          <w:color w:val="auto"/>
          <w:szCs w:val="21"/>
        </w:rPr>
        <w:t>执业资格证或职称证号码：</w:t>
      </w:r>
      <w:r>
        <w:rPr>
          <w:rFonts w:hint="eastAsia" w:ascii="宋体" w:hAnsi="宋体" w:eastAsia="宋体"/>
          <w:color w:val="auto"/>
          <w:szCs w:val="21"/>
          <w:u w:val="single"/>
        </w:rPr>
        <w:t xml:space="preserve">    </w:t>
      </w:r>
      <w:r>
        <w:rPr>
          <w:rFonts w:hint="eastAsia" w:ascii="宋体" w:hAnsi="宋体" w:eastAsia="宋体"/>
          <w:color w:val="auto"/>
          <w:szCs w:val="21"/>
        </w:rPr>
        <w:t>；</w:t>
      </w:r>
    </w:p>
    <w:p w14:paraId="58BDCC7D">
      <w:pPr>
        <w:spacing w:line="440" w:lineRule="exact"/>
        <w:rPr>
          <w:rFonts w:hint="eastAsia" w:ascii="宋体" w:hAnsi="宋体" w:eastAsia="宋体"/>
          <w:color w:val="auto"/>
          <w:szCs w:val="21"/>
          <w:u w:val="single"/>
        </w:rPr>
      </w:pPr>
      <w:r>
        <w:rPr>
          <w:rFonts w:hint="eastAsia" w:ascii="宋体" w:hAnsi="宋体" w:eastAsia="宋体"/>
          <w:color w:val="auto"/>
          <w:szCs w:val="21"/>
        </w:rPr>
        <w:t>联系电话：</w:t>
      </w:r>
      <w:r>
        <w:rPr>
          <w:rFonts w:hint="eastAsia" w:ascii="宋体" w:hAnsi="宋体" w:eastAsia="宋体"/>
          <w:color w:val="auto"/>
          <w:szCs w:val="21"/>
          <w:u w:val="single"/>
        </w:rPr>
        <w:t xml:space="preserve">     ；</w:t>
      </w:r>
    </w:p>
    <w:p w14:paraId="3FA476E9">
      <w:pPr>
        <w:spacing w:line="440" w:lineRule="exact"/>
        <w:rPr>
          <w:rFonts w:hint="eastAsia" w:ascii="宋体" w:hAnsi="宋体" w:eastAsia="宋体"/>
          <w:color w:val="auto"/>
          <w:szCs w:val="21"/>
          <w:u w:val="single"/>
        </w:rPr>
      </w:pPr>
      <w:r>
        <w:rPr>
          <w:rFonts w:hint="eastAsia" w:ascii="宋体" w:hAnsi="宋体" w:eastAsia="宋体"/>
          <w:color w:val="auto"/>
          <w:szCs w:val="21"/>
        </w:rPr>
        <w:t>电子邮箱：</w:t>
      </w:r>
      <w:r>
        <w:rPr>
          <w:rFonts w:hint="eastAsia" w:ascii="宋体" w:hAnsi="宋体" w:eastAsia="宋体"/>
          <w:color w:val="auto"/>
          <w:szCs w:val="21"/>
          <w:u w:val="single"/>
        </w:rPr>
        <w:t xml:space="preserve">   </w:t>
      </w:r>
      <w:r>
        <w:rPr>
          <w:rFonts w:hint="eastAsia" w:ascii="宋体" w:hAnsi="宋体" w:eastAsia="宋体"/>
          <w:color w:val="auto"/>
          <w:szCs w:val="21"/>
          <w:u w:val="single"/>
          <w:lang w:val="en-US" w:eastAsia="zh-CN"/>
        </w:rPr>
        <w:t xml:space="preserve"> </w:t>
      </w:r>
      <w:r>
        <w:rPr>
          <w:rFonts w:hint="eastAsia" w:ascii="宋体" w:hAnsi="宋体" w:eastAsia="宋体"/>
          <w:color w:val="auto"/>
          <w:szCs w:val="21"/>
          <w:u w:val="single"/>
        </w:rPr>
        <w:t xml:space="preserve"> ；</w:t>
      </w:r>
    </w:p>
    <w:p w14:paraId="7ADB1F29">
      <w:pPr>
        <w:spacing w:line="440" w:lineRule="exact"/>
        <w:rPr>
          <w:rFonts w:hint="eastAsia" w:ascii="宋体" w:hAnsi="宋体" w:eastAsia="宋体"/>
          <w:color w:val="auto"/>
          <w:szCs w:val="21"/>
          <w:u w:val="single"/>
        </w:rPr>
      </w:pPr>
      <w:r>
        <w:rPr>
          <w:rFonts w:hint="eastAsia" w:ascii="宋体" w:hAnsi="宋体" w:eastAsia="宋体"/>
          <w:color w:val="auto"/>
          <w:szCs w:val="21"/>
        </w:rPr>
        <w:t>通信地址：</w:t>
      </w:r>
      <w:r>
        <w:rPr>
          <w:rFonts w:hint="eastAsia" w:ascii="宋体" w:hAnsi="宋体" w:eastAsia="宋体"/>
          <w:color w:val="auto"/>
          <w:szCs w:val="21"/>
          <w:u w:val="single"/>
        </w:rPr>
        <w:t xml:space="preserve">   </w:t>
      </w:r>
      <w:r>
        <w:rPr>
          <w:rFonts w:hint="eastAsia" w:ascii="宋体" w:hAnsi="宋体" w:eastAsia="宋体"/>
          <w:color w:val="auto"/>
          <w:szCs w:val="21"/>
          <w:u w:val="single"/>
          <w:lang w:val="en-US" w:eastAsia="zh-CN"/>
        </w:rPr>
        <w:t xml:space="preserve"> </w:t>
      </w:r>
      <w:r>
        <w:rPr>
          <w:rFonts w:hint="eastAsia" w:ascii="宋体" w:hAnsi="宋体" w:eastAsia="宋体"/>
          <w:color w:val="auto"/>
          <w:szCs w:val="21"/>
          <w:u w:val="single"/>
        </w:rPr>
        <w:t xml:space="preserve"> 。</w:t>
      </w:r>
    </w:p>
    <w:p w14:paraId="1F782C29">
      <w:pPr>
        <w:spacing w:line="440" w:lineRule="exact"/>
        <w:rPr>
          <w:rFonts w:ascii="宋体" w:hAnsi="宋体" w:eastAsia="宋体"/>
          <w:color w:val="auto"/>
          <w:szCs w:val="21"/>
        </w:rPr>
      </w:pPr>
      <w:r>
        <w:rPr>
          <w:rFonts w:hint="eastAsia" w:ascii="宋体" w:hAnsi="宋体" w:eastAsia="宋体"/>
          <w:color w:val="auto"/>
          <w:szCs w:val="21"/>
        </w:rPr>
        <w:t>承包人未提交劳动合同，以及没有为工程总承包项目经理缴纳社会保险证明的违约责任：由承包人承担责任。</w:t>
      </w:r>
    </w:p>
    <w:p w14:paraId="72C3E6ED">
      <w:pPr>
        <w:widowControl/>
        <w:adjustRightInd w:val="0"/>
        <w:snapToGrid w:val="0"/>
        <w:spacing w:after="120" w:afterLines="50" w:line="440" w:lineRule="exact"/>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bidi="ar-SA"/>
        </w:rPr>
        <w:t>4.</w:t>
      </w:r>
      <w:r>
        <w:rPr>
          <w:rFonts w:ascii="宋体" w:hAnsi="宋体" w:eastAsia="宋体" w:cs="Times New Roman"/>
          <w:color w:val="auto"/>
          <w:kern w:val="0"/>
          <w:sz w:val="21"/>
          <w:szCs w:val="21"/>
          <w:lang w:val="en-US" w:eastAsia="zh-CN" w:bidi="ar-SA"/>
        </w:rPr>
        <w:t>5</w:t>
      </w:r>
      <w:r>
        <w:rPr>
          <w:rFonts w:hint="eastAsia" w:ascii="宋体" w:hAnsi="宋体" w:eastAsia="宋体" w:cs="Times New Roman"/>
          <w:color w:val="auto"/>
          <w:kern w:val="0"/>
          <w:sz w:val="21"/>
          <w:szCs w:val="21"/>
          <w:lang w:val="en-US" w:eastAsia="zh-CN" w:bidi="ar-SA"/>
        </w:rPr>
        <w:t>.2 工程总承包项目经理每月在现场的时间要求：每月驻工地时间不少于22天，少一天每天缴纳违约金</w:t>
      </w:r>
      <w:r>
        <w:rPr>
          <w:rFonts w:hint="eastAsia" w:ascii="宋体" w:hAnsi="宋体" w:eastAsia="宋体" w:cs="Times New Roman"/>
          <w:color w:val="auto"/>
          <w:kern w:val="0"/>
          <w:sz w:val="21"/>
          <w:szCs w:val="21"/>
          <w:u w:val="single"/>
          <w:lang w:val="en-US" w:eastAsia="zh-CN" w:bidi="ar-SA"/>
        </w:rPr>
        <w:t>3000</w:t>
      </w:r>
      <w:r>
        <w:rPr>
          <w:rFonts w:hint="eastAsia" w:ascii="宋体" w:hAnsi="宋体" w:eastAsia="宋体" w:cs="Times New Roman"/>
          <w:color w:val="auto"/>
          <w:kern w:val="0"/>
          <w:sz w:val="21"/>
          <w:szCs w:val="21"/>
          <w:lang w:val="en-US" w:eastAsia="zh-CN" w:bidi="ar-SA"/>
        </w:rPr>
        <w:t>元。</w:t>
      </w:r>
    </w:p>
    <w:p w14:paraId="3446723B">
      <w:pPr>
        <w:widowControl w:val="0"/>
        <w:spacing w:line="440" w:lineRule="exact"/>
        <w:jc w:val="both"/>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4</w:t>
      </w:r>
      <w:r>
        <w:rPr>
          <w:rFonts w:ascii="宋体" w:hAnsi="宋体" w:eastAsia="宋体" w:cs="Times New Roman"/>
          <w:kern w:val="2"/>
          <w:sz w:val="21"/>
          <w:szCs w:val="21"/>
          <w:lang w:val="en-US" w:eastAsia="zh-CN" w:bidi="ar-SA"/>
        </w:rPr>
        <w:t>.5.3</w:t>
      </w:r>
      <w:r>
        <w:rPr>
          <w:rFonts w:hint="eastAsia" w:ascii="宋体" w:hAnsi="宋体" w:eastAsia="宋体" w:cs="Times New Roman"/>
          <w:kern w:val="2"/>
          <w:sz w:val="21"/>
          <w:szCs w:val="21"/>
          <w:lang w:val="en-US" w:eastAsia="zh-CN" w:bidi="ar-SA"/>
        </w:rPr>
        <w:t>工程总承包项目经理未经批准擅自离开施工现场的违约责任：</w:t>
      </w:r>
      <w:r>
        <w:rPr>
          <w:rFonts w:hint="eastAsia" w:ascii="宋体" w:hAnsi="宋体" w:eastAsia="宋体" w:cs="Times New Roman"/>
          <w:kern w:val="0"/>
          <w:sz w:val="21"/>
          <w:szCs w:val="21"/>
          <w:lang w:val="en-US" w:eastAsia="zh-CN" w:bidi="ar-SA"/>
        </w:rPr>
        <w:t>项目经理离开施工现场，应书面（包括短信、微信、</w:t>
      </w:r>
      <w:r>
        <w:rPr>
          <w:rFonts w:ascii="宋体" w:hAnsi="宋体" w:eastAsia="宋体" w:cs="Times New Roman"/>
          <w:kern w:val="0"/>
          <w:sz w:val="21"/>
          <w:szCs w:val="21"/>
          <w:lang w:val="en-US" w:eastAsia="zh-CN" w:bidi="ar-SA"/>
        </w:rPr>
        <w:t>QQ</w:t>
      </w:r>
      <w:r>
        <w:rPr>
          <w:rFonts w:hint="eastAsia" w:ascii="宋体" w:hAnsi="宋体" w:eastAsia="宋体" w:cs="Times New Roman"/>
          <w:kern w:val="0"/>
          <w:sz w:val="21"/>
          <w:szCs w:val="21"/>
          <w:lang w:val="en-US" w:eastAsia="zh-CN" w:bidi="ar-SA"/>
        </w:rPr>
        <w:t>等电子通讯方式）向发包人及监理人请假，未经批准不得擅自离开。</w:t>
      </w:r>
    </w:p>
    <w:p w14:paraId="02079C71">
      <w:pPr>
        <w:widowControl w:val="0"/>
        <w:spacing w:line="440" w:lineRule="exact"/>
        <w:jc w:val="both"/>
        <w:rPr>
          <w:rFonts w:hint="eastAsia"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4.5.4</w:t>
      </w:r>
      <w:r>
        <w:rPr>
          <w:rFonts w:hint="eastAsia" w:ascii="宋体" w:hAnsi="宋体" w:eastAsia="宋体" w:cs="Times New Roman"/>
          <w:kern w:val="2"/>
          <w:sz w:val="21"/>
          <w:szCs w:val="21"/>
          <w:lang w:val="en-US" w:eastAsia="zh-CN" w:bidi="ar-SA"/>
        </w:rPr>
        <w:t>承包人擅自更换工程总承包项目经理的违约责任：</w:t>
      </w:r>
      <w:r>
        <w:rPr>
          <w:rFonts w:hint="eastAsia" w:ascii="宋体" w:hAnsi="宋体" w:eastAsia="宋体" w:cs="Times New Roman"/>
          <w:kern w:val="0"/>
          <w:sz w:val="21"/>
          <w:szCs w:val="21"/>
          <w:lang w:val="en-US" w:eastAsia="zh-CN" w:bidi="ar-SA"/>
        </w:rPr>
        <w:t>在监理人向承包人颁发（出具）工程接收证书前，项目经理不得同时兼任其他任何项目的项目经理，且承包人不得擅自更换项目经理。否则</w:t>
      </w:r>
      <w:r>
        <w:rPr>
          <w:rFonts w:hint="eastAsia" w:ascii="宋体" w:hAnsi="宋体" w:eastAsia="宋体" w:cs="Times New Roman"/>
          <w:kern w:val="2"/>
          <w:sz w:val="21"/>
          <w:szCs w:val="21"/>
          <w:lang w:val="en-US" w:eastAsia="zh-CN" w:bidi="ar-SA"/>
        </w:rPr>
        <w:t>发包人有权拒绝组织验收</w:t>
      </w:r>
      <w:r>
        <w:rPr>
          <w:rFonts w:ascii="宋体" w:hAnsi="宋体" w:eastAsia="宋体" w:cs="Times New Roman"/>
          <w:kern w:val="2"/>
          <w:sz w:val="21"/>
          <w:szCs w:val="21"/>
          <w:lang w:val="en-US" w:eastAsia="zh-CN" w:bidi="ar-SA"/>
        </w:rPr>
        <w:t xml:space="preserve"> </w:t>
      </w:r>
      <w:r>
        <w:rPr>
          <w:rFonts w:hint="eastAsia" w:ascii="宋体" w:hAnsi="宋体" w:eastAsia="宋体" w:cs="Times New Roman"/>
          <w:kern w:val="2"/>
          <w:sz w:val="21"/>
          <w:szCs w:val="21"/>
          <w:lang w:val="en-US" w:eastAsia="zh-CN" w:bidi="ar-SA"/>
        </w:rPr>
        <w:t>。</w:t>
      </w:r>
    </w:p>
    <w:p w14:paraId="00DF51EB">
      <w:pPr>
        <w:keepNext/>
        <w:keepLines/>
        <w:spacing w:before="120" w:beforeLines="50" w:line="440" w:lineRule="exact"/>
        <w:outlineLvl w:val="0"/>
        <w:rPr>
          <w:rFonts w:ascii="黑体" w:hAnsi="黑体" w:eastAsia="黑体"/>
        </w:rPr>
      </w:pPr>
      <w:r>
        <w:rPr>
          <w:rFonts w:ascii="黑体" w:hAnsi="黑体" w:eastAsia="黑体"/>
        </w:rPr>
        <w:t>4.6 承包人人员的管理</w:t>
      </w:r>
    </w:p>
    <w:p w14:paraId="5A1B946E">
      <w:pPr>
        <w:spacing w:line="440" w:lineRule="exact"/>
        <w:outlineLvl w:val="0"/>
        <w:rPr>
          <w:rFonts w:eastAsia="宋体"/>
          <w:bCs/>
          <w:color w:val="auto"/>
          <w:szCs w:val="21"/>
        </w:rPr>
      </w:pPr>
      <w:r>
        <w:rPr>
          <w:rFonts w:eastAsia="宋体"/>
          <w:bCs/>
          <w:szCs w:val="21"/>
        </w:rPr>
        <w:t>4</w:t>
      </w:r>
      <w:r>
        <w:rPr>
          <w:rFonts w:eastAsia="宋体"/>
          <w:bCs/>
          <w:color w:val="auto"/>
          <w:szCs w:val="21"/>
        </w:rPr>
        <w:t>.6.5 主要施工管理人员的要求：</w:t>
      </w:r>
    </w:p>
    <w:p w14:paraId="70AFD92C">
      <w:pPr>
        <w:spacing w:line="440" w:lineRule="exact"/>
        <w:rPr>
          <w:rFonts w:eastAsia="宋体"/>
          <w:bCs/>
          <w:color w:val="auto"/>
          <w:szCs w:val="21"/>
        </w:rPr>
      </w:pPr>
      <w:r>
        <w:rPr>
          <w:rFonts w:hint="eastAsia" w:eastAsia="宋体"/>
          <w:b/>
          <w:bCs/>
          <w:color w:val="auto"/>
          <w:szCs w:val="21"/>
        </w:rPr>
        <w:t>（</w:t>
      </w:r>
      <w:r>
        <w:rPr>
          <w:rFonts w:eastAsia="宋体"/>
          <w:b/>
          <w:bCs/>
          <w:color w:val="auto"/>
          <w:szCs w:val="21"/>
        </w:rPr>
        <w:t>1</w:t>
      </w:r>
      <w:r>
        <w:rPr>
          <w:rFonts w:hint="eastAsia" w:eastAsia="宋体"/>
          <w:b/>
          <w:bCs/>
          <w:color w:val="auto"/>
          <w:szCs w:val="21"/>
        </w:rPr>
        <w:t>）施工负责人要求</w:t>
      </w:r>
      <w:r>
        <w:rPr>
          <w:rFonts w:hint="eastAsia" w:eastAsia="宋体"/>
          <w:bCs/>
          <w:color w:val="auto"/>
          <w:szCs w:val="21"/>
        </w:rPr>
        <w:t>：</w:t>
      </w:r>
      <w:r>
        <w:rPr>
          <w:rFonts w:hint="eastAsia" w:ascii="宋体" w:hAnsi="宋体" w:eastAsia="宋体"/>
          <w:color w:val="auto"/>
          <w:szCs w:val="21"/>
          <w:u w:val="single"/>
        </w:rPr>
        <w:t xml:space="preserve">    </w:t>
      </w:r>
      <w:r>
        <w:rPr>
          <w:rFonts w:hint="eastAsia" w:ascii="宋体" w:hAnsi="宋体" w:eastAsia="宋体"/>
          <w:color w:val="auto"/>
          <w:szCs w:val="21"/>
        </w:rPr>
        <w:t>；</w:t>
      </w:r>
    </w:p>
    <w:p w14:paraId="0F010921">
      <w:pPr>
        <w:spacing w:line="440" w:lineRule="exact"/>
        <w:rPr>
          <w:rFonts w:hint="eastAsia" w:ascii="宋体" w:hAnsi="宋体" w:eastAsia="宋体"/>
          <w:color w:val="auto"/>
          <w:szCs w:val="21"/>
        </w:rPr>
      </w:pPr>
      <w:r>
        <w:rPr>
          <w:rFonts w:hint="eastAsia" w:ascii="宋体" w:hAnsi="宋体" w:eastAsia="宋体"/>
          <w:color w:val="auto"/>
          <w:szCs w:val="21"/>
        </w:rPr>
        <w:t>执业资格或职称类型：</w:t>
      </w:r>
      <w:r>
        <w:rPr>
          <w:rFonts w:hint="eastAsia" w:ascii="宋体" w:hAnsi="宋体" w:eastAsia="宋体"/>
          <w:color w:val="auto"/>
          <w:szCs w:val="21"/>
          <w:u w:val="single"/>
        </w:rPr>
        <w:t xml:space="preserve">  </w:t>
      </w:r>
      <w:r>
        <w:rPr>
          <w:rFonts w:hint="eastAsia" w:ascii="宋体" w:hAnsi="宋体" w:eastAsia="宋体"/>
          <w:color w:val="auto"/>
          <w:szCs w:val="21"/>
          <w:u w:val="single"/>
          <w:lang w:val="en-US" w:eastAsia="zh-CN"/>
        </w:rPr>
        <w:t xml:space="preserve"> </w:t>
      </w:r>
      <w:r>
        <w:rPr>
          <w:rFonts w:hint="eastAsia" w:ascii="宋体" w:hAnsi="宋体" w:eastAsia="宋体"/>
          <w:color w:val="auto"/>
          <w:szCs w:val="21"/>
          <w:u w:val="single"/>
        </w:rPr>
        <w:t xml:space="preserve">  </w:t>
      </w:r>
      <w:r>
        <w:rPr>
          <w:rFonts w:hint="eastAsia" w:ascii="宋体" w:hAnsi="宋体" w:eastAsia="宋体"/>
          <w:color w:val="auto"/>
          <w:szCs w:val="21"/>
        </w:rPr>
        <w:t>；</w:t>
      </w:r>
    </w:p>
    <w:p w14:paraId="3FF4E02A">
      <w:pPr>
        <w:spacing w:line="440" w:lineRule="exact"/>
        <w:rPr>
          <w:rFonts w:hint="eastAsia" w:ascii="宋体" w:hAnsi="宋体" w:eastAsia="宋体"/>
          <w:color w:val="auto"/>
          <w:szCs w:val="21"/>
        </w:rPr>
      </w:pPr>
      <w:r>
        <w:rPr>
          <w:rFonts w:hint="eastAsia" w:ascii="宋体" w:hAnsi="宋体" w:eastAsia="宋体"/>
          <w:color w:val="auto"/>
          <w:szCs w:val="21"/>
        </w:rPr>
        <w:t>执业资格证或职称证号码：</w:t>
      </w:r>
      <w:r>
        <w:rPr>
          <w:rFonts w:hint="eastAsia" w:ascii="宋体" w:hAnsi="宋体" w:eastAsia="宋体"/>
          <w:color w:val="auto"/>
          <w:szCs w:val="21"/>
          <w:u w:val="single"/>
        </w:rPr>
        <w:t xml:space="preserve">  </w:t>
      </w:r>
      <w:r>
        <w:rPr>
          <w:rFonts w:hint="eastAsia" w:ascii="宋体" w:hAnsi="宋体" w:eastAsia="宋体"/>
          <w:color w:val="auto"/>
          <w:szCs w:val="21"/>
          <w:u w:val="single"/>
          <w:lang w:val="en-US" w:eastAsia="zh-CN"/>
        </w:rPr>
        <w:t xml:space="preserve"> </w:t>
      </w:r>
      <w:r>
        <w:rPr>
          <w:rFonts w:hint="eastAsia" w:ascii="宋体" w:hAnsi="宋体" w:eastAsia="宋体"/>
          <w:color w:val="auto"/>
          <w:szCs w:val="21"/>
          <w:u w:val="single"/>
        </w:rPr>
        <w:t xml:space="preserve">  </w:t>
      </w:r>
      <w:r>
        <w:rPr>
          <w:rFonts w:hint="eastAsia" w:ascii="宋体" w:hAnsi="宋体" w:eastAsia="宋体"/>
          <w:color w:val="auto"/>
          <w:szCs w:val="21"/>
        </w:rPr>
        <w:t>；</w:t>
      </w:r>
    </w:p>
    <w:p w14:paraId="16C25990">
      <w:pPr>
        <w:spacing w:line="440" w:lineRule="exact"/>
        <w:rPr>
          <w:rFonts w:hint="eastAsia" w:ascii="宋体" w:hAnsi="宋体" w:eastAsia="宋体"/>
          <w:color w:val="auto"/>
          <w:szCs w:val="21"/>
          <w:u w:val="single"/>
        </w:rPr>
      </w:pPr>
      <w:r>
        <w:rPr>
          <w:rFonts w:hint="eastAsia" w:ascii="宋体" w:hAnsi="宋体" w:eastAsia="宋体"/>
          <w:color w:val="auto"/>
          <w:szCs w:val="21"/>
        </w:rPr>
        <w:t>联系电话：</w:t>
      </w:r>
      <w:r>
        <w:rPr>
          <w:rFonts w:hint="eastAsia" w:ascii="宋体" w:hAnsi="宋体" w:eastAsia="宋体"/>
          <w:color w:val="auto"/>
          <w:szCs w:val="21"/>
          <w:u w:val="single"/>
        </w:rPr>
        <w:t xml:space="preserve">    </w:t>
      </w:r>
      <w:r>
        <w:rPr>
          <w:rFonts w:hint="eastAsia" w:ascii="宋体" w:hAnsi="宋体" w:eastAsia="宋体"/>
          <w:color w:val="auto"/>
          <w:szCs w:val="21"/>
          <w:u w:val="single"/>
          <w:lang w:val="en-US" w:eastAsia="zh-CN"/>
        </w:rPr>
        <w:t xml:space="preserve"> </w:t>
      </w:r>
      <w:r>
        <w:rPr>
          <w:rFonts w:hint="eastAsia" w:ascii="宋体" w:hAnsi="宋体" w:eastAsia="宋体"/>
          <w:color w:val="auto"/>
          <w:szCs w:val="21"/>
          <w:u w:val="single"/>
        </w:rPr>
        <w:t xml:space="preserve"> ；</w:t>
      </w:r>
    </w:p>
    <w:p w14:paraId="572712B6">
      <w:pPr>
        <w:spacing w:line="440" w:lineRule="exact"/>
        <w:rPr>
          <w:rFonts w:hint="eastAsia" w:ascii="宋体" w:hAnsi="宋体" w:eastAsia="宋体"/>
          <w:szCs w:val="21"/>
          <w:u w:val="single"/>
        </w:rPr>
      </w:pPr>
      <w:r>
        <w:rPr>
          <w:rFonts w:hint="eastAsia" w:ascii="宋体" w:hAnsi="宋体" w:eastAsia="宋体"/>
          <w:szCs w:val="21"/>
        </w:rPr>
        <w:t>电子邮箱：</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6DBB3747">
      <w:pPr>
        <w:spacing w:line="440" w:lineRule="exact"/>
        <w:rPr>
          <w:rFonts w:hint="eastAsia" w:ascii="宋体" w:hAnsi="宋体" w:eastAsia="宋体"/>
          <w:szCs w:val="21"/>
          <w:u w:val="single"/>
        </w:rPr>
      </w:pPr>
      <w:r>
        <w:rPr>
          <w:rFonts w:hint="eastAsia" w:ascii="宋体" w:hAnsi="宋体" w:eastAsia="宋体"/>
          <w:szCs w:val="21"/>
        </w:rPr>
        <w:t>通信地址：</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w:t>
      </w:r>
    </w:p>
    <w:p w14:paraId="3101694A">
      <w:pPr>
        <w:spacing w:line="440" w:lineRule="exact"/>
        <w:rPr>
          <w:rFonts w:ascii="宋体" w:hAnsi="宋体" w:eastAsia="宋体"/>
          <w:szCs w:val="21"/>
        </w:rPr>
      </w:pPr>
      <w:r>
        <w:rPr>
          <w:rFonts w:hint="eastAsia" w:ascii="宋体" w:hAnsi="宋体" w:eastAsia="宋体"/>
          <w:szCs w:val="21"/>
        </w:rPr>
        <w:t>承包人未提交劳动合同，以及没有为施工负责人缴纳社会保险证明的违约责任：由承包人承担责任。</w:t>
      </w:r>
    </w:p>
    <w:p w14:paraId="28D2A9CB">
      <w:pPr>
        <w:spacing w:line="440" w:lineRule="exact"/>
        <w:rPr>
          <w:rFonts w:ascii="宋体" w:hAnsi="宋体" w:eastAsia="宋体"/>
          <w:szCs w:val="21"/>
        </w:rPr>
      </w:pPr>
      <w:r>
        <w:rPr>
          <w:rFonts w:hint="eastAsia" w:ascii="宋体" w:hAnsi="宋体" w:eastAsia="宋体"/>
          <w:szCs w:val="21"/>
        </w:rPr>
        <w:t>施工负责人</w:t>
      </w:r>
      <w:r>
        <w:rPr>
          <w:rFonts w:ascii="宋体" w:hAnsi="宋体" w:eastAsia="宋体"/>
          <w:szCs w:val="21"/>
        </w:rPr>
        <w:t>每月在现场时间不得少于</w:t>
      </w:r>
      <w:r>
        <w:rPr>
          <w:rFonts w:ascii="宋体" w:hAnsi="宋体" w:eastAsia="宋体"/>
          <w:b/>
          <w:szCs w:val="21"/>
        </w:rPr>
        <w:t>2</w:t>
      </w:r>
      <w:r>
        <w:rPr>
          <w:rFonts w:hint="eastAsia" w:ascii="宋体" w:hAnsi="宋体" w:eastAsia="宋体"/>
          <w:b/>
          <w:szCs w:val="21"/>
        </w:rPr>
        <w:t>2</w:t>
      </w:r>
      <w:r>
        <w:rPr>
          <w:rFonts w:ascii="宋体" w:hAnsi="宋体" w:eastAsia="宋体"/>
          <w:szCs w:val="21"/>
        </w:rPr>
        <w:t xml:space="preserve"> 日历天</w:t>
      </w:r>
      <w:r>
        <w:rPr>
          <w:rFonts w:hint="eastAsia" w:ascii="宋体" w:hAnsi="宋体" w:eastAsia="宋体"/>
          <w:szCs w:val="21"/>
        </w:rPr>
        <w:t>，</w:t>
      </w:r>
      <w:r>
        <w:rPr>
          <w:rFonts w:ascii="宋体" w:hAnsi="宋体" w:eastAsia="宋体"/>
          <w:szCs w:val="21"/>
        </w:rPr>
        <w:t>每月在现场时间未达到合同约定天数的，每少一天应向发包人支付违约金</w:t>
      </w:r>
      <w:r>
        <w:rPr>
          <w:rFonts w:ascii="宋体" w:hAnsi="宋体" w:eastAsia="宋体"/>
          <w:szCs w:val="21"/>
          <w:u w:val="single"/>
        </w:rPr>
        <w:t xml:space="preserve">3000 </w:t>
      </w:r>
      <w:r>
        <w:rPr>
          <w:rFonts w:ascii="宋体" w:hAnsi="宋体" w:eastAsia="宋体"/>
          <w:szCs w:val="21"/>
        </w:rPr>
        <w:t>元。</w:t>
      </w:r>
      <w:r>
        <w:rPr>
          <w:rFonts w:hint="eastAsia" w:ascii="宋体" w:hAnsi="宋体" w:eastAsia="宋体"/>
          <w:szCs w:val="21"/>
        </w:rPr>
        <w:t>在现场时间连续三周均不足</w:t>
      </w:r>
      <w:r>
        <w:rPr>
          <w:rFonts w:hint="eastAsia" w:ascii="宋体" w:hAnsi="宋体" w:eastAsia="宋体"/>
          <w:szCs w:val="21"/>
          <w:u w:val="single"/>
        </w:rPr>
        <w:t>5天</w:t>
      </w:r>
      <w:r>
        <w:rPr>
          <w:rFonts w:hint="eastAsia" w:ascii="仿宋" w:hAnsi="仿宋" w:eastAsia="仿宋" w:cs="仿宋"/>
          <w:szCs w:val="21"/>
          <w:u w:val="single"/>
        </w:rPr>
        <w:t>/</w:t>
      </w:r>
      <w:r>
        <w:rPr>
          <w:rFonts w:hint="eastAsia" w:ascii="宋体" w:hAnsi="宋体" w:eastAsia="宋体"/>
          <w:szCs w:val="21"/>
          <w:u w:val="single"/>
        </w:rPr>
        <w:t>周</w:t>
      </w:r>
      <w:r>
        <w:rPr>
          <w:rFonts w:hint="eastAsia" w:ascii="宋体" w:hAnsi="宋体" w:eastAsia="宋体"/>
          <w:szCs w:val="21"/>
        </w:rPr>
        <w:t>，发包人可单方面终止合同，承包人必须无条件退场，并赔偿由此带来的一切损失。以上如因施工负责人患严重疾病或其它特殊原因确不能达到上述约定要求的，承包单位必须按相关规定及约定及时提出解决方案，并报监理单位和发包单位书面批准。经同意后按批准的意见可免予或减少此项违约罚金。</w:t>
      </w:r>
    </w:p>
    <w:p w14:paraId="0DDAA40A">
      <w:pPr>
        <w:spacing w:line="440" w:lineRule="exact"/>
        <w:rPr>
          <w:rFonts w:hint="eastAsia" w:ascii="宋体" w:hAnsi="宋体" w:eastAsia="宋体"/>
          <w:b/>
          <w:bCs/>
          <w:szCs w:val="21"/>
        </w:rPr>
      </w:pPr>
      <w:r>
        <w:rPr>
          <w:rFonts w:hint="eastAsia" w:ascii="宋体" w:hAnsi="宋体" w:eastAsia="宋体"/>
          <w:b/>
          <w:bCs/>
          <w:szCs w:val="21"/>
        </w:rPr>
        <w:t>（2）</w:t>
      </w:r>
      <w:r>
        <w:rPr>
          <w:rFonts w:hint="eastAsia" w:ascii="宋体" w:hAnsi="宋体" w:eastAsia="宋体"/>
          <w:b/>
          <w:bCs/>
          <w:szCs w:val="21"/>
          <w:highlight w:val="none"/>
        </w:rPr>
        <w:t>现场人员管理要求:</w:t>
      </w:r>
    </w:p>
    <w:p w14:paraId="31B9FF3A">
      <w:pPr>
        <w:spacing w:line="440" w:lineRule="exact"/>
        <w:rPr>
          <w:rFonts w:ascii="宋体" w:hAnsi="宋体" w:eastAsia="宋体"/>
          <w:szCs w:val="21"/>
        </w:rPr>
      </w:pPr>
      <w:r>
        <w:rPr>
          <w:rFonts w:hint="eastAsia" w:ascii="宋体" w:hAnsi="宋体" w:eastAsia="宋体"/>
          <w:szCs w:val="21"/>
        </w:rPr>
        <w:t>1）项目管理团队固定人员包含：</w:t>
      </w:r>
      <w:r>
        <w:rPr>
          <w:rFonts w:hint="eastAsia" w:ascii="宋体" w:hAnsi="宋体" w:eastAsia="宋体"/>
          <w:szCs w:val="21"/>
          <w:lang w:val="en-US" w:eastAsia="zh-CN"/>
        </w:rPr>
        <w:t>项目负责人（兼施工负责人)</w:t>
      </w:r>
      <w:r>
        <w:rPr>
          <w:rFonts w:hint="eastAsia" w:ascii="宋体" w:hAnsi="宋体" w:eastAsia="宋体"/>
          <w:szCs w:val="21"/>
        </w:rPr>
        <w:t>、设计负责人、施工技术负责人</w:t>
      </w:r>
      <w:r>
        <w:rPr>
          <w:rFonts w:hint="eastAsia" w:ascii="宋体" w:hAnsi="宋体" w:eastAsia="宋体"/>
          <w:szCs w:val="21"/>
          <w:lang w:eastAsia="zh-CN"/>
        </w:rPr>
        <w:t>、</w:t>
      </w:r>
      <w:r>
        <w:rPr>
          <w:rFonts w:hint="eastAsia" w:ascii="宋体" w:hAnsi="宋体" w:eastAsia="宋体"/>
          <w:szCs w:val="21"/>
          <w:lang w:val="en-US" w:eastAsia="zh-CN"/>
        </w:rPr>
        <w:t>专职安全生产管理负责人</w:t>
      </w:r>
      <w:r>
        <w:rPr>
          <w:rFonts w:hint="eastAsia" w:ascii="宋体" w:hAnsi="宋体" w:eastAsia="宋体"/>
          <w:szCs w:val="21"/>
        </w:rPr>
        <w:t>，如有人员变动须经监理人和发包人同意。承包人必须承诺投标文件中的管理技术人员与现场实际在岗人员保持一致，如因特殊原因确须调整的则须按程序报监理人和发包人书面同意。否则处以</w:t>
      </w:r>
      <w:r>
        <w:rPr>
          <w:rFonts w:ascii="宋体" w:hAnsi="宋体" w:eastAsia="宋体"/>
          <w:szCs w:val="21"/>
          <w:u w:val="single"/>
        </w:rPr>
        <w:t>10</w:t>
      </w:r>
      <w:r>
        <w:rPr>
          <w:rFonts w:hint="eastAsia" w:ascii="宋体" w:hAnsi="宋体" w:eastAsia="宋体"/>
          <w:szCs w:val="21"/>
          <w:u w:val="single"/>
        </w:rPr>
        <w:t>000</w:t>
      </w:r>
      <w:r>
        <w:rPr>
          <w:rFonts w:hint="eastAsia" w:ascii="宋体" w:hAnsi="宋体" w:eastAsia="宋体"/>
          <w:szCs w:val="21"/>
        </w:rPr>
        <w:t>元/人/天的违约金，并要在48小时内予以纠正，超过48小时未纠正的，则视为承包人严重违约，发包人保留追究承包人一切责任的权利。经监理人和发包人书面同意上述人员调整的视情况可免予此项违约处罚。</w:t>
      </w:r>
    </w:p>
    <w:p w14:paraId="78AA8B0E">
      <w:pPr>
        <w:tabs>
          <w:tab w:val="left" w:pos="840"/>
          <w:tab w:val="left" w:pos="1050"/>
          <w:tab w:val="left" w:pos="1260"/>
        </w:tabs>
        <w:spacing w:line="440" w:lineRule="exact"/>
        <w:rPr>
          <w:rFonts w:hint="eastAsia" w:ascii="宋体" w:hAnsi="宋体" w:eastAsia="宋体"/>
          <w:szCs w:val="21"/>
        </w:rPr>
      </w:pPr>
      <w:r>
        <w:rPr>
          <w:rFonts w:hint="eastAsia" w:ascii="宋体" w:hAnsi="宋体" w:eastAsia="宋体"/>
          <w:szCs w:val="21"/>
        </w:rPr>
        <w:t>2）承包人必须按本合同约定组织施工，承包人项目部各管理人员在所辖工作或分项工程施工期间（包括准备和收尾阶段），均须专职在岗，不得兼任其他项目任何职务；如承包人需对人员安排、机械设备、施工方案等作出变更，必须提前7天以上以书面形式上报发包人，并经发包人同意后执行。否则，承包人每违约一项（或一人），须向发包人支付违约金人民币</w:t>
      </w:r>
      <w:r>
        <w:rPr>
          <w:rFonts w:hint="eastAsia" w:ascii="宋体" w:hAnsi="宋体" w:eastAsia="宋体"/>
          <w:szCs w:val="21"/>
          <w:u w:val="single"/>
        </w:rPr>
        <w:t>10000元/人/天</w:t>
      </w:r>
      <w:r>
        <w:rPr>
          <w:rFonts w:hint="eastAsia" w:ascii="宋体" w:hAnsi="宋体" w:eastAsia="宋体"/>
          <w:szCs w:val="21"/>
        </w:rPr>
        <w:t>。</w:t>
      </w:r>
    </w:p>
    <w:p w14:paraId="3FE677BB">
      <w:pPr>
        <w:tabs>
          <w:tab w:val="left" w:pos="840"/>
          <w:tab w:val="left" w:pos="1050"/>
          <w:tab w:val="left" w:pos="1260"/>
        </w:tabs>
        <w:spacing w:line="440" w:lineRule="exact"/>
        <w:rPr>
          <w:rFonts w:ascii="宋体" w:hAnsi="宋体" w:eastAsia="宋体"/>
          <w:szCs w:val="21"/>
        </w:rPr>
      </w:pPr>
      <w:r>
        <w:rPr>
          <w:rFonts w:hint="eastAsia" w:ascii="宋体" w:hAnsi="宋体" w:eastAsia="宋体"/>
          <w:szCs w:val="21"/>
        </w:rPr>
        <w:t>3）发包人确认无法胜任工作的以下承包人人员，经发包人要求，承包人必须在24小时内将其调离本工程范围，同时应在48小时内用发包人批准的合格人员代替上述需调离的任何人员，否则承包人支付违约金</w:t>
      </w:r>
      <w:r>
        <w:rPr>
          <w:rFonts w:hint="eastAsia" w:ascii="宋体" w:hAnsi="宋体" w:eastAsia="宋体"/>
          <w:szCs w:val="21"/>
          <w:u w:val="single"/>
        </w:rPr>
        <w:t>10000元/人/天</w:t>
      </w:r>
      <w:r>
        <w:rPr>
          <w:rFonts w:hint="eastAsia" w:ascii="宋体" w:hAnsi="宋体" w:eastAsia="宋体"/>
          <w:szCs w:val="21"/>
        </w:rPr>
        <w:t>，包括：</w:t>
      </w:r>
    </w:p>
    <w:p w14:paraId="77BFF74E">
      <w:pPr>
        <w:tabs>
          <w:tab w:val="left" w:pos="840"/>
          <w:tab w:val="left" w:pos="1050"/>
          <w:tab w:val="left" w:pos="1260"/>
        </w:tabs>
        <w:spacing w:line="440" w:lineRule="exact"/>
        <w:rPr>
          <w:rFonts w:hint="eastAsia" w:ascii="宋体" w:hAnsi="宋体" w:eastAsia="宋体" w:cs="宋体"/>
          <w:szCs w:val="21"/>
        </w:rPr>
      </w:pPr>
      <w:r>
        <w:rPr>
          <w:rFonts w:ascii="宋体" w:hAnsi="宋体" w:eastAsia="宋体" w:cs="宋体"/>
          <w:szCs w:val="21"/>
        </w:rPr>
        <w:t>①</w:t>
      </w:r>
      <w:r>
        <w:rPr>
          <w:rFonts w:hint="eastAsia" w:ascii="宋体" w:hAnsi="宋体" w:eastAsia="宋体" w:cs="宋体"/>
          <w:szCs w:val="21"/>
        </w:rPr>
        <w:t>无证上岗人员（适用于按规定必须有上岗证的岗位）；</w:t>
      </w:r>
    </w:p>
    <w:p w14:paraId="25AD0C0E">
      <w:pPr>
        <w:tabs>
          <w:tab w:val="left" w:pos="840"/>
          <w:tab w:val="left" w:pos="1050"/>
          <w:tab w:val="left" w:pos="1260"/>
        </w:tabs>
        <w:spacing w:line="440" w:lineRule="exact"/>
        <w:rPr>
          <w:rFonts w:hint="eastAsia" w:ascii="宋体" w:hAnsi="宋体" w:eastAsia="宋体" w:cs="宋体"/>
          <w:szCs w:val="21"/>
        </w:rPr>
      </w:pPr>
      <w:r>
        <w:rPr>
          <w:rFonts w:ascii="宋体" w:hAnsi="宋体" w:eastAsia="宋体" w:cs="宋体"/>
          <w:szCs w:val="21"/>
        </w:rPr>
        <w:t>②</w:t>
      </w:r>
      <w:r>
        <w:rPr>
          <w:rFonts w:hint="eastAsia" w:ascii="宋体" w:hAnsi="宋体" w:eastAsia="宋体" w:cs="宋体"/>
          <w:szCs w:val="21"/>
        </w:rPr>
        <w:t xml:space="preserve">专业水平达不到岗位要求、工作责任心不强的施工人员； </w:t>
      </w:r>
    </w:p>
    <w:p w14:paraId="737F03E0">
      <w:pPr>
        <w:tabs>
          <w:tab w:val="left" w:pos="840"/>
          <w:tab w:val="left" w:pos="1050"/>
          <w:tab w:val="left" w:pos="1260"/>
        </w:tabs>
        <w:spacing w:line="440" w:lineRule="exact"/>
        <w:rPr>
          <w:rFonts w:hint="eastAsia" w:ascii="宋体" w:hAnsi="宋体" w:eastAsia="宋体" w:cs="宋体"/>
          <w:szCs w:val="21"/>
        </w:rPr>
      </w:pPr>
      <w:r>
        <w:rPr>
          <w:rFonts w:ascii="宋体" w:hAnsi="宋体" w:eastAsia="宋体" w:cs="宋体"/>
          <w:szCs w:val="21"/>
        </w:rPr>
        <w:t>③</w:t>
      </w:r>
      <w:r>
        <w:rPr>
          <w:rFonts w:hint="eastAsia" w:ascii="宋体" w:hAnsi="宋体" w:eastAsia="宋体" w:cs="宋体"/>
          <w:szCs w:val="21"/>
        </w:rPr>
        <w:t>违反发包人或承包人工地现场管理规定的人员；</w:t>
      </w:r>
    </w:p>
    <w:p w14:paraId="715BFE04">
      <w:pPr>
        <w:tabs>
          <w:tab w:val="left" w:pos="840"/>
          <w:tab w:val="left" w:pos="1050"/>
          <w:tab w:val="left" w:pos="1260"/>
        </w:tabs>
        <w:spacing w:line="440" w:lineRule="exact"/>
        <w:rPr>
          <w:rFonts w:ascii="宋体" w:hAnsi="宋体" w:eastAsia="宋体" w:cs="宋体"/>
          <w:szCs w:val="21"/>
        </w:rPr>
      </w:pPr>
      <w:r>
        <w:rPr>
          <w:rFonts w:hint="eastAsia" w:ascii="宋体" w:hAnsi="宋体" w:eastAsia="宋体" w:cs="宋体"/>
          <w:szCs w:val="21"/>
        </w:rPr>
        <w:t>④不能积极配合发包人工作的人员；</w:t>
      </w:r>
    </w:p>
    <w:p w14:paraId="713E74EE">
      <w:pPr>
        <w:tabs>
          <w:tab w:val="left" w:pos="840"/>
          <w:tab w:val="left" w:pos="1050"/>
          <w:tab w:val="left" w:pos="1260"/>
        </w:tabs>
        <w:spacing w:line="440" w:lineRule="exact"/>
        <w:rPr>
          <w:rFonts w:hint="eastAsia" w:ascii="宋体" w:hAnsi="宋体" w:eastAsia="宋体" w:cs="宋体"/>
          <w:szCs w:val="21"/>
        </w:rPr>
      </w:pPr>
      <w:r>
        <w:rPr>
          <w:rFonts w:hint="eastAsia" w:ascii="宋体" w:hAnsi="宋体" w:eastAsia="宋体" w:cs="宋体"/>
          <w:szCs w:val="21"/>
        </w:rPr>
        <w:t>⑤</w:t>
      </w:r>
      <w:r>
        <w:rPr>
          <w:rFonts w:hint="eastAsia" w:ascii="宋体" w:hAnsi="宋体" w:eastAsia="宋体"/>
          <w:szCs w:val="21"/>
        </w:rPr>
        <w:t>经发包人考核，对图纸、施工方案做法、变更不熟悉的管理、技术和施工人员；</w:t>
      </w:r>
    </w:p>
    <w:p w14:paraId="03BD28FD">
      <w:pPr>
        <w:spacing w:line="440" w:lineRule="exact"/>
        <w:ind w:right="248"/>
        <w:rPr>
          <w:rFonts w:hint="eastAsia" w:ascii="宋体" w:hAnsi="宋体" w:eastAsia="宋体"/>
          <w:szCs w:val="21"/>
        </w:rPr>
      </w:pPr>
      <w:r>
        <w:rPr>
          <w:rFonts w:hint="eastAsia" w:ascii="宋体" w:hAnsi="宋体" w:eastAsia="宋体" w:cs="宋体"/>
          <w:szCs w:val="21"/>
        </w:rPr>
        <w:t>⑥</w:t>
      </w:r>
      <w:r>
        <w:rPr>
          <w:rFonts w:hint="eastAsia" w:ascii="宋体" w:hAnsi="宋体" w:eastAsia="宋体"/>
          <w:szCs w:val="21"/>
        </w:rPr>
        <w:t>对施工进度、工程质量达不到合同要求而负有责任的施工人员。</w:t>
      </w:r>
    </w:p>
    <w:p w14:paraId="082A2938">
      <w:pPr>
        <w:keepNext/>
        <w:keepLines/>
        <w:spacing w:before="120" w:beforeLines="50" w:line="440" w:lineRule="exact"/>
        <w:outlineLvl w:val="0"/>
        <w:rPr>
          <w:rFonts w:ascii="黑体" w:hAnsi="黑体" w:eastAsia="黑体"/>
        </w:rPr>
      </w:pPr>
      <w:r>
        <w:rPr>
          <w:rFonts w:eastAsia="黑体"/>
        </w:rPr>
        <w:t>4</w:t>
      </w:r>
      <w:r>
        <w:rPr>
          <w:rFonts w:ascii="黑体" w:hAnsi="黑体" w:eastAsia="黑体"/>
        </w:rPr>
        <w:t>.</w:t>
      </w:r>
      <w:r>
        <w:rPr>
          <w:rFonts w:eastAsia="黑体"/>
        </w:rPr>
        <w:t>7</w:t>
      </w:r>
      <w:r>
        <w:rPr>
          <w:rFonts w:ascii="黑体" w:hAnsi="黑体" w:eastAsia="黑体"/>
          <w:highlight w:val="none"/>
        </w:rPr>
        <w:t xml:space="preserve"> 撤换承包人</w:t>
      </w:r>
      <w:r>
        <w:rPr>
          <w:rFonts w:hint="eastAsia" w:ascii="黑体" w:hAnsi="黑体" w:eastAsia="黑体"/>
          <w:highlight w:val="none"/>
        </w:rPr>
        <w:t>工程总承包</w:t>
      </w:r>
      <w:r>
        <w:rPr>
          <w:rFonts w:ascii="黑体" w:hAnsi="黑体" w:eastAsia="黑体"/>
          <w:highlight w:val="none"/>
        </w:rPr>
        <w:t>项目经理和其他人员</w:t>
      </w:r>
    </w:p>
    <w:p w14:paraId="56EB5618">
      <w:pPr>
        <w:widowControl/>
        <w:spacing w:line="440" w:lineRule="exact"/>
        <w:jc w:val="left"/>
        <w:rPr>
          <w:rFonts w:hint="eastAsia" w:ascii="宋体" w:hAnsi="宋体" w:eastAsia="宋体"/>
          <w:spacing w:val="8"/>
          <w:kern w:val="0"/>
          <w:szCs w:val="21"/>
        </w:rPr>
      </w:pPr>
      <w:r>
        <w:rPr>
          <w:rFonts w:hint="eastAsia" w:ascii="宋体" w:hAnsi="宋体" w:eastAsia="宋体" w:cs="宋体"/>
          <w:szCs w:val="21"/>
        </w:rPr>
        <w:t>（1）发包人有权要求更换项目经理和其他人员：</w:t>
      </w:r>
      <w:r>
        <w:rPr>
          <w:rFonts w:hint="eastAsia" w:ascii="宋体" w:hAnsi="宋体" w:eastAsia="宋体"/>
          <w:spacing w:val="8"/>
          <w:kern w:val="0"/>
          <w:szCs w:val="21"/>
        </w:rPr>
        <w:t>如承包人投入的工程总承包项目</w:t>
      </w:r>
      <w:r>
        <w:rPr>
          <w:rFonts w:hint="eastAsia" w:ascii="宋体" w:hAnsi="宋体" w:eastAsia="宋体"/>
          <w:spacing w:val="8"/>
          <w:kern w:val="0"/>
          <w:szCs w:val="21"/>
          <w:lang w:val="en-US" w:eastAsia="zh-CN"/>
        </w:rPr>
        <w:t>负责人</w:t>
      </w:r>
      <w:r>
        <w:rPr>
          <w:rFonts w:hint="eastAsia" w:ascii="宋体" w:hAnsi="宋体" w:eastAsia="宋体"/>
          <w:spacing w:val="8"/>
          <w:kern w:val="0"/>
          <w:szCs w:val="21"/>
        </w:rPr>
        <w:t>、设计负责人、施工</w:t>
      </w:r>
      <w:r>
        <w:rPr>
          <w:rFonts w:hint="eastAsia" w:ascii="宋体" w:hAnsi="宋体" w:eastAsia="宋体"/>
          <w:spacing w:val="8"/>
          <w:kern w:val="0"/>
          <w:szCs w:val="21"/>
          <w:lang w:val="en-US" w:eastAsia="zh-CN"/>
        </w:rPr>
        <w:t>技术</w:t>
      </w:r>
      <w:r>
        <w:rPr>
          <w:rFonts w:hint="eastAsia" w:ascii="宋体" w:hAnsi="宋体" w:eastAsia="宋体"/>
          <w:spacing w:val="8"/>
          <w:kern w:val="0"/>
          <w:szCs w:val="21"/>
        </w:rPr>
        <w:t>负责人的实际工作能力及工作表现不适应现场工作需要的，发包人有权向承包人提出更换人员。承包人可以提出整改意见，如发包人不予接受，则承包人应无条件更换，所更换的人员资质、资历、学历、职称、业绩、实际工作能力等不得低于招标文件要求及投标文件承诺的人员综合素质。</w:t>
      </w:r>
    </w:p>
    <w:p w14:paraId="74B4A5FD">
      <w:pPr>
        <w:spacing w:line="440" w:lineRule="exact"/>
        <w:ind w:right="248"/>
        <w:rPr>
          <w:rFonts w:hint="eastAsia" w:ascii="宋体" w:hAnsi="宋体" w:eastAsia="宋体"/>
          <w:bCs/>
          <w:szCs w:val="21"/>
        </w:rPr>
      </w:pPr>
      <w:r>
        <w:rPr>
          <w:rFonts w:hint="eastAsia" w:ascii="宋体" w:hAnsi="宋体" w:eastAsia="宋体" w:cs="宋体"/>
          <w:szCs w:val="21"/>
        </w:rPr>
        <w:t>（2）承包人擅自更换关键人员的违约责任：承包人不得擅自更换项目</w:t>
      </w:r>
      <w:r>
        <w:rPr>
          <w:rFonts w:hint="eastAsia" w:ascii="宋体" w:hAnsi="宋体" w:eastAsia="宋体" w:cs="宋体"/>
          <w:szCs w:val="21"/>
          <w:lang w:val="en-US" w:eastAsia="zh-CN"/>
        </w:rPr>
        <w:t>负责人</w:t>
      </w:r>
      <w:r>
        <w:rPr>
          <w:rFonts w:hint="eastAsia" w:ascii="宋体" w:hAnsi="宋体" w:eastAsia="宋体" w:cs="宋体"/>
          <w:szCs w:val="21"/>
        </w:rPr>
        <w:t>、设计负责人、施工</w:t>
      </w:r>
      <w:r>
        <w:rPr>
          <w:rFonts w:hint="eastAsia" w:ascii="宋体" w:hAnsi="宋体" w:eastAsia="宋体" w:cs="宋体"/>
          <w:szCs w:val="21"/>
          <w:lang w:val="en-US" w:eastAsia="zh-CN"/>
        </w:rPr>
        <w:t>技术</w:t>
      </w:r>
      <w:r>
        <w:rPr>
          <w:rFonts w:hint="eastAsia" w:ascii="宋体" w:hAnsi="宋体" w:eastAsia="宋体" w:cs="宋体"/>
          <w:szCs w:val="21"/>
        </w:rPr>
        <w:t>负责人等主要施工管理人员。</w:t>
      </w:r>
      <w:r>
        <w:rPr>
          <w:rFonts w:ascii="宋体" w:hAnsi="宋体" w:eastAsia="宋体"/>
          <w:szCs w:val="21"/>
        </w:rPr>
        <w:t>因擅自更换项目</w:t>
      </w:r>
      <w:r>
        <w:rPr>
          <w:rFonts w:hint="eastAsia" w:ascii="宋体" w:hAnsi="宋体" w:eastAsia="宋体"/>
          <w:szCs w:val="21"/>
          <w:lang w:val="en-US" w:eastAsia="zh-CN"/>
        </w:rPr>
        <w:t>负责人</w:t>
      </w:r>
      <w:r>
        <w:rPr>
          <w:rFonts w:hint="eastAsia" w:ascii="宋体" w:hAnsi="宋体" w:eastAsia="宋体"/>
          <w:szCs w:val="21"/>
        </w:rPr>
        <w:t>，</w:t>
      </w:r>
      <w:r>
        <w:rPr>
          <w:rFonts w:ascii="宋体" w:hAnsi="宋体" w:eastAsia="宋体"/>
          <w:bCs/>
          <w:szCs w:val="21"/>
        </w:rPr>
        <w:t>发包人有权责令擅自更换的项目</w:t>
      </w:r>
      <w:r>
        <w:rPr>
          <w:rFonts w:hint="eastAsia" w:ascii="宋体" w:hAnsi="宋体" w:eastAsia="宋体"/>
          <w:bCs/>
          <w:szCs w:val="21"/>
          <w:lang w:val="en-US" w:eastAsia="zh-CN"/>
        </w:rPr>
        <w:t>负责人</w:t>
      </w:r>
      <w:r>
        <w:rPr>
          <w:rFonts w:ascii="宋体" w:hAnsi="宋体" w:eastAsia="宋体"/>
          <w:bCs/>
          <w:szCs w:val="21"/>
        </w:rPr>
        <w:t>退场，且承包人</w:t>
      </w:r>
      <w:r>
        <w:rPr>
          <w:rFonts w:hint="eastAsia" w:ascii="宋体" w:hAnsi="宋体" w:eastAsia="宋体"/>
          <w:bCs/>
          <w:szCs w:val="21"/>
        </w:rPr>
        <w:t>须</w:t>
      </w:r>
      <w:r>
        <w:rPr>
          <w:rFonts w:ascii="宋体" w:hAnsi="宋体" w:eastAsia="宋体"/>
          <w:bCs/>
          <w:szCs w:val="21"/>
        </w:rPr>
        <w:t>按每一人次承担</w:t>
      </w:r>
      <w:r>
        <w:rPr>
          <w:rFonts w:ascii="宋体" w:hAnsi="宋体" w:eastAsia="宋体"/>
          <w:bCs/>
          <w:szCs w:val="21"/>
          <w:u w:val="single"/>
        </w:rPr>
        <w:t>10万元</w:t>
      </w:r>
      <w:r>
        <w:rPr>
          <w:rFonts w:ascii="宋体" w:hAnsi="宋体" w:eastAsia="宋体"/>
          <w:bCs/>
          <w:szCs w:val="21"/>
        </w:rPr>
        <w:t>的违约金。</w:t>
      </w:r>
      <w:r>
        <w:rPr>
          <w:rFonts w:ascii="宋体" w:hAnsi="宋体" w:eastAsia="宋体"/>
          <w:szCs w:val="21"/>
        </w:rPr>
        <w:t>因擅自更换</w:t>
      </w:r>
      <w:r>
        <w:rPr>
          <w:rFonts w:hint="eastAsia" w:ascii="宋体" w:hAnsi="宋体" w:eastAsia="宋体"/>
          <w:szCs w:val="21"/>
        </w:rPr>
        <w:t>设计负责人或施工</w:t>
      </w:r>
      <w:r>
        <w:rPr>
          <w:rFonts w:hint="eastAsia" w:ascii="宋体" w:hAnsi="宋体" w:eastAsia="宋体"/>
          <w:szCs w:val="21"/>
          <w:lang w:val="en-US" w:eastAsia="zh-CN"/>
        </w:rPr>
        <w:t>技术</w:t>
      </w:r>
      <w:r>
        <w:rPr>
          <w:rFonts w:hint="eastAsia" w:ascii="宋体" w:hAnsi="宋体" w:eastAsia="宋体"/>
          <w:szCs w:val="21"/>
        </w:rPr>
        <w:t>负责人，</w:t>
      </w:r>
      <w:r>
        <w:rPr>
          <w:rFonts w:ascii="宋体" w:hAnsi="宋体" w:eastAsia="宋体"/>
          <w:bCs/>
          <w:szCs w:val="21"/>
        </w:rPr>
        <w:t>发包人有权责令擅自更换的</w:t>
      </w:r>
      <w:r>
        <w:rPr>
          <w:rFonts w:hint="eastAsia" w:ascii="宋体" w:hAnsi="宋体" w:eastAsia="宋体"/>
          <w:bCs/>
          <w:szCs w:val="21"/>
        </w:rPr>
        <w:t>人员</w:t>
      </w:r>
      <w:r>
        <w:rPr>
          <w:rFonts w:ascii="宋体" w:hAnsi="宋体" w:eastAsia="宋体"/>
          <w:bCs/>
          <w:szCs w:val="21"/>
        </w:rPr>
        <w:t>退场，且承包人</w:t>
      </w:r>
      <w:r>
        <w:rPr>
          <w:rFonts w:hint="eastAsia" w:ascii="宋体" w:hAnsi="宋体" w:eastAsia="宋体"/>
          <w:bCs/>
          <w:szCs w:val="21"/>
        </w:rPr>
        <w:t>须</w:t>
      </w:r>
      <w:r>
        <w:rPr>
          <w:rFonts w:ascii="宋体" w:hAnsi="宋体" w:eastAsia="宋体"/>
          <w:bCs/>
          <w:szCs w:val="21"/>
        </w:rPr>
        <w:t>按每一人次承担</w:t>
      </w:r>
      <w:r>
        <w:rPr>
          <w:rFonts w:ascii="宋体" w:hAnsi="宋体" w:eastAsia="宋体"/>
          <w:bCs/>
          <w:szCs w:val="21"/>
          <w:u w:val="single"/>
        </w:rPr>
        <w:t>5万元</w:t>
      </w:r>
      <w:r>
        <w:rPr>
          <w:rFonts w:ascii="宋体" w:hAnsi="宋体" w:eastAsia="宋体"/>
          <w:bCs/>
          <w:szCs w:val="21"/>
        </w:rPr>
        <w:t>的违约金。</w:t>
      </w:r>
      <w:r>
        <w:rPr>
          <w:rFonts w:ascii="宋体" w:hAnsi="宋体" w:eastAsia="宋体"/>
          <w:szCs w:val="21"/>
        </w:rPr>
        <w:t>因</w:t>
      </w:r>
      <w:r>
        <w:rPr>
          <w:rFonts w:ascii="宋体" w:hAnsi="宋体" w:eastAsia="宋体"/>
          <w:color w:val="auto"/>
          <w:szCs w:val="21"/>
        </w:rPr>
        <w:t>擅自更换</w:t>
      </w:r>
      <w:r>
        <w:rPr>
          <w:rFonts w:hint="eastAsia" w:ascii="宋体" w:hAnsi="宋体" w:eastAsia="宋体"/>
          <w:color w:val="auto"/>
          <w:szCs w:val="21"/>
        </w:rPr>
        <w:t>项目其他主要人员，</w:t>
      </w:r>
      <w:r>
        <w:rPr>
          <w:rFonts w:ascii="宋体" w:hAnsi="宋体" w:eastAsia="宋体"/>
          <w:bCs/>
          <w:color w:val="auto"/>
          <w:szCs w:val="21"/>
        </w:rPr>
        <w:t>发包人有权责令擅自更换的</w:t>
      </w:r>
      <w:r>
        <w:rPr>
          <w:rFonts w:hint="eastAsia" w:ascii="宋体" w:hAnsi="宋体" w:eastAsia="宋体"/>
          <w:bCs/>
          <w:color w:val="auto"/>
          <w:szCs w:val="21"/>
        </w:rPr>
        <w:t>人员</w:t>
      </w:r>
      <w:r>
        <w:rPr>
          <w:rFonts w:ascii="宋体" w:hAnsi="宋体" w:eastAsia="宋体"/>
          <w:bCs/>
          <w:color w:val="auto"/>
          <w:szCs w:val="21"/>
        </w:rPr>
        <w:t>退场，且承包人</w:t>
      </w:r>
      <w:r>
        <w:rPr>
          <w:rFonts w:hint="eastAsia" w:ascii="宋体" w:hAnsi="宋体" w:eastAsia="宋体"/>
          <w:bCs/>
          <w:color w:val="auto"/>
          <w:szCs w:val="21"/>
        </w:rPr>
        <w:t>须</w:t>
      </w:r>
      <w:r>
        <w:rPr>
          <w:rFonts w:ascii="宋体" w:hAnsi="宋体" w:eastAsia="宋体"/>
          <w:bCs/>
          <w:color w:val="auto"/>
          <w:szCs w:val="21"/>
        </w:rPr>
        <w:t>按每一人次承担</w:t>
      </w:r>
      <w:r>
        <w:rPr>
          <w:rFonts w:ascii="宋体" w:hAnsi="宋体" w:eastAsia="宋体"/>
          <w:bCs/>
          <w:color w:val="auto"/>
          <w:szCs w:val="21"/>
          <w:u w:val="single"/>
        </w:rPr>
        <w:t>1</w:t>
      </w:r>
      <w:r>
        <w:rPr>
          <w:rFonts w:hint="eastAsia" w:ascii="宋体" w:hAnsi="宋体" w:eastAsia="宋体"/>
          <w:bCs/>
          <w:color w:val="auto"/>
          <w:szCs w:val="21"/>
          <w:u w:val="single"/>
        </w:rPr>
        <w:t>0000</w:t>
      </w:r>
      <w:r>
        <w:rPr>
          <w:rFonts w:ascii="宋体" w:hAnsi="宋体" w:eastAsia="宋体"/>
          <w:bCs/>
          <w:color w:val="auto"/>
          <w:szCs w:val="21"/>
          <w:u w:val="single"/>
        </w:rPr>
        <w:t>元</w:t>
      </w:r>
      <w:r>
        <w:rPr>
          <w:rFonts w:ascii="宋体" w:hAnsi="宋体" w:eastAsia="宋体"/>
          <w:bCs/>
          <w:color w:val="auto"/>
          <w:szCs w:val="21"/>
        </w:rPr>
        <w:t>的违约金</w:t>
      </w:r>
      <w:r>
        <w:rPr>
          <w:rFonts w:ascii="宋体" w:hAnsi="宋体" w:eastAsia="宋体"/>
          <w:bCs/>
          <w:szCs w:val="21"/>
        </w:rPr>
        <w:t>。</w:t>
      </w:r>
    </w:p>
    <w:p w14:paraId="58B9184F">
      <w:pPr>
        <w:spacing w:line="440" w:lineRule="exact"/>
        <w:ind w:right="248"/>
        <w:rPr>
          <w:rFonts w:hint="eastAsia" w:ascii="宋体" w:hAnsi="宋体" w:eastAsia="宋体" w:cs="宋体"/>
          <w:szCs w:val="21"/>
        </w:rPr>
      </w:pPr>
      <w:r>
        <w:rPr>
          <w:rFonts w:hint="eastAsia" w:ascii="宋体" w:hAnsi="宋体" w:eastAsia="宋体" w:cs="宋体"/>
          <w:szCs w:val="21"/>
        </w:rPr>
        <w:t>（3）承包人无正当理由拒绝撤换关键人员的违约责任：若主要施工管理人员的实际工作能力和工作表现不适应现场工作需要，发包人有权向承包人提出撤换。承包人可以提出整改意见，如发包人不予接受，则承包人须在</w:t>
      </w:r>
      <w:r>
        <w:rPr>
          <w:rFonts w:ascii="宋体" w:hAnsi="宋体" w:eastAsia="宋体" w:cs="宋体"/>
          <w:szCs w:val="21"/>
        </w:rPr>
        <w:t>7</w:t>
      </w:r>
      <w:r>
        <w:rPr>
          <w:rFonts w:hint="eastAsia" w:ascii="宋体" w:hAnsi="宋体" w:eastAsia="宋体" w:cs="宋体"/>
          <w:szCs w:val="21"/>
        </w:rPr>
        <w:t>天内无条件撤换，所调换人员的资质、资历、学历、职称、业绩、实际工作能力不得低于原投标书中所承诺人员的综合素质。增加：（</w:t>
      </w:r>
      <w:r>
        <w:rPr>
          <w:rFonts w:ascii="宋体" w:hAnsi="宋体" w:eastAsia="宋体" w:cs="宋体"/>
          <w:szCs w:val="21"/>
        </w:rPr>
        <w:t>1</w:t>
      </w:r>
      <w:r>
        <w:rPr>
          <w:rFonts w:hint="eastAsia" w:ascii="宋体" w:hAnsi="宋体" w:eastAsia="宋体" w:cs="宋体"/>
          <w:szCs w:val="21"/>
        </w:rPr>
        <w:t>）如经发包人同意或要求承包人更换后的新任项目经理无法胜任岗位职责，并因此导致费用增加或工期延误的，应由承包人承担；（</w:t>
      </w:r>
      <w:r>
        <w:rPr>
          <w:rFonts w:ascii="宋体" w:hAnsi="宋体" w:eastAsia="宋体" w:cs="宋体"/>
          <w:szCs w:val="21"/>
        </w:rPr>
        <w:t>2</w:t>
      </w:r>
      <w:r>
        <w:rPr>
          <w:rFonts w:hint="eastAsia" w:ascii="宋体" w:hAnsi="宋体" w:eastAsia="宋体" w:cs="宋体"/>
          <w:szCs w:val="21"/>
        </w:rPr>
        <w:t>）项目</w:t>
      </w:r>
      <w:r>
        <w:rPr>
          <w:rFonts w:hint="eastAsia" w:ascii="宋体" w:hAnsi="宋体" w:eastAsia="宋体" w:cs="宋体"/>
          <w:szCs w:val="21"/>
          <w:lang w:val="en-US" w:eastAsia="zh-CN"/>
        </w:rPr>
        <w:t>负责人</w:t>
      </w:r>
      <w:r>
        <w:rPr>
          <w:rFonts w:hint="eastAsia" w:ascii="宋体" w:hAnsi="宋体" w:eastAsia="宋体" w:cs="宋体"/>
          <w:szCs w:val="21"/>
        </w:rPr>
        <w:t>或主要施工管理人员出现以下情形时，视为项目</w:t>
      </w:r>
      <w:r>
        <w:rPr>
          <w:rFonts w:hint="eastAsia" w:ascii="宋体" w:hAnsi="宋体" w:eastAsia="宋体" w:cs="宋体"/>
          <w:szCs w:val="21"/>
          <w:lang w:val="en-US" w:eastAsia="zh-CN"/>
        </w:rPr>
        <w:t>负责人</w:t>
      </w:r>
      <w:r>
        <w:rPr>
          <w:rFonts w:hint="eastAsia" w:ascii="宋体" w:hAnsi="宋体" w:eastAsia="宋体" w:cs="宋体"/>
          <w:szCs w:val="21"/>
        </w:rPr>
        <w:t>或主要施工管理人员不称职，发包人可要求承包人更换：a.品行不端；b.履行职责时不能胜任或玩忽职守；c.不遵守合同的规定；d.法律法规规定的其他不称职行为或违法行为。否则发包人有权拒绝组织验收。</w:t>
      </w:r>
    </w:p>
    <w:p w14:paraId="415F1D7C">
      <w:pPr>
        <w:keepNext/>
        <w:keepLines/>
        <w:spacing w:before="120" w:beforeLines="50" w:line="440" w:lineRule="exact"/>
        <w:outlineLvl w:val="0"/>
        <w:rPr>
          <w:rFonts w:ascii="黑体" w:hAnsi="黑体" w:eastAsia="黑体"/>
        </w:rPr>
      </w:pPr>
      <w:r>
        <w:rPr>
          <w:rFonts w:eastAsia="黑体"/>
        </w:rPr>
        <w:t>4</w:t>
      </w:r>
      <w:r>
        <w:rPr>
          <w:rFonts w:ascii="黑体" w:hAnsi="黑体" w:eastAsia="黑体"/>
        </w:rPr>
        <w:t>.</w:t>
      </w:r>
      <w:r>
        <w:rPr>
          <w:rFonts w:eastAsia="黑体"/>
        </w:rPr>
        <w:t>9</w:t>
      </w:r>
      <w:r>
        <w:rPr>
          <w:rFonts w:ascii="黑体" w:hAnsi="黑体" w:eastAsia="黑体"/>
        </w:rPr>
        <w:t xml:space="preserve"> 工程价款应专款专用</w:t>
      </w:r>
    </w:p>
    <w:p w14:paraId="1FFD3F4A">
      <w:pPr>
        <w:widowControl w:val="0"/>
        <w:spacing w:after="120" w:line="440" w:lineRule="exact"/>
        <w:jc w:val="both"/>
        <w:rPr>
          <w:rFonts w:hint="eastAsia" w:ascii="Calibri" w:hAnsi="Calibri" w:eastAsia="宋体" w:cs="Times New Roman"/>
          <w:kern w:val="2"/>
          <w:sz w:val="21"/>
          <w:szCs w:val="22"/>
          <w:lang w:val="en-US" w:eastAsia="zh-CN" w:bidi="ar-SA"/>
        </w:rPr>
      </w:pPr>
      <w:r>
        <w:rPr>
          <w:rFonts w:hint="eastAsia" w:ascii="Calibri" w:hAnsi="Calibri" w:eastAsia="宋体" w:cs="Times New Roman"/>
          <w:kern w:val="2"/>
          <w:sz w:val="21"/>
          <w:szCs w:val="21"/>
          <w:lang w:val="en-US" w:eastAsia="zh-CN" w:bidi="ar-SA"/>
        </w:rPr>
        <w:t>发包人按合同约定支付给承包人的各项价款应专用于合同工作,承包人应与发包人协商，采取相应措施，确保工程款用于本项目的进度款及人工工资支付。</w:t>
      </w:r>
    </w:p>
    <w:p w14:paraId="514F53C4">
      <w:pPr>
        <w:keepNext/>
        <w:keepLines/>
        <w:spacing w:before="120" w:beforeLines="50" w:line="440" w:lineRule="exact"/>
        <w:outlineLvl w:val="2"/>
        <w:rPr>
          <w:rFonts w:hint="eastAsia" w:ascii="黑体" w:hAnsi="黑体" w:eastAsia="黑体"/>
        </w:rPr>
      </w:pPr>
      <w:r>
        <w:rPr>
          <w:rFonts w:hint="eastAsia" w:ascii="黑体" w:hAnsi="黑体" w:eastAsia="黑体"/>
        </w:rPr>
        <w:t>4.10承包人现场查勘</w:t>
      </w:r>
    </w:p>
    <w:p w14:paraId="20294366">
      <w:pPr>
        <w:widowControl/>
        <w:spacing w:line="400" w:lineRule="atLeast"/>
        <w:ind w:firstLine="480"/>
        <w:rPr>
          <w:rFonts w:hint="eastAsia" w:eastAsia="宋体" w:cs="Times New Roman"/>
          <w:kern w:val="2"/>
          <w:sz w:val="21"/>
          <w:szCs w:val="21"/>
        </w:rPr>
      </w:pPr>
      <w:r>
        <w:rPr>
          <w:rFonts w:hint="eastAsia" w:eastAsia="宋体" w:cs="Times New Roman"/>
          <w:kern w:val="2"/>
          <w:sz w:val="21"/>
          <w:szCs w:val="21"/>
        </w:rPr>
        <w:t>第4.10.1项细化为：</w:t>
      </w:r>
    </w:p>
    <w:p w14:paraId="2574714E">
      <w:pPr>
        <w:spacing w:line="400" w:lineRule="atLeast"/>
        <w:ind w:firstLine="420" w:firstLineChars="200"/>
        <w:rPr>
          <w:rFonts w:hint="eastAsia" w:eastAsia="宋体" w:cs="Times New Roman"/>
          <w:sz w:val="21"/>
          <w:szCs w:val="21"/>
        </w:rPr>
      </w:pPr>
      <w:r>
        <w:rPr>
          <w:rFonts w:hint="eastAsia" w:eastAsia="宋体" w:cs="Times New Roman"/>
          <w:kern w:val="2"/>
          <w:sz w:val="21"/>
          <w:szCs w:val="21"/>
        </w:rPr>
        <w:t>发包人提供的本合同工程的水文、地质、气象和料场分布、取土场、弃土场位置等资料均属于参考资料，并不构成合同文件的组成部分，承包人应对自己就上述资料的解释、推论和应用负责，发包人不对承包人据此做出的判断和决策承担任何责任。</w:t>
      </w:r>
    </w:p>
    <w:p w14:paraId="6C142003">
      <w:pPr>
        <w:spacing w:line="400" w:lineRule="atLeast"/>
        <w:ind w:firstLine="420" w:firstLineChars="200"/>
        <w:rPr>
          <w:rFonts w:hint="eastAsia" w:eastAsia="宋体" w:cs="Times New Roman"/>
          <w:sz w:val="21"/>
          <w:szCs w:val="21"/>
        </w:rPr>
      </w:pPr>
      <w:r>
        <w:rPr>
          <w:rFonts w:hint="eastAsia" w:eastAsia="宋体" w:cs="Times New Roman"/>
          <w:sz w:val="21"/>
          <w:szCs w:val="21"/>
        </w:rPr>
        <w:t>第4.10.2项细化为：</w:t>
      </w:r>
    </w:p>
    <w:p w14:paraId="2E115C28">
      <w:pPr>
        <w:spacing w:line="400" w:lineRule="atLeast"/>
        <w:ind w:firstLine="420" w:firstLineChars="200"/>
        <w:rPr>
          <w:rFonts w:hint="eastAsia" w:eastAsia="宋体" w:cs="Times New Roman"/>
          <w:sz w:val="21"/>
          <w:szCs w:val="21"/>
        </w:rPr>
      </w:pPr>
      <w:r>
        <w:rPr>
          <w:rFonts w:hint="eastAsia" w:eastAsia="宋体" w:cs="Times New Roman"/>
          <w:sz w:val="21"/>
          <w:szCs w:val="21"/>
        </w:rPr>
        <w:t>应认为，承包人在送交投标文件之前，已进行了现场考察，对现场和其周围环境以及可得到的有关资料进行了察看和核查，并收集有关地质、水文、气象条件、交通条件、风俗习惯以及其他为完成合同工作有关的当地资料。还应认为，承包人已取得可能对投标有影响或起作用的风险、意外等的必要资料；因此认为，承包人的投标文件是以发包人所提供资料和他自己的察看和核查为依据的。在全部合同工作中，应视为承包人已充分估计了应承担的责任和风险。</w:t>
      </w:r>
    </w:p>
    <w:p w14:paraId="2CBC8440">
      <w:pPr>
        <w:keepNext/>
        <w:keepLines/>
        <w:spacing w:before="120" w:beforeLines="50" w:line="440" w:lineRule="exact"/>
        <w:outlineLvl w:val="0"/>
        <w:rPr>
          <w:rFonts w:ascii="黑体" w:hAnsi="黑体" w:eastAsia="黑体"/>
        </w:rPr>
      </w:pPr>
      <w:r>
        <w:rPr>
          <w:rFonts w:ascii="黑体" w:hAnsi="黑体" w:eastAsia="黑体"/>
        </w:rPr>
        <w:t>4.11 不利物质条件</w:t>
      </w:r>
    </w:p>
    <w:p w14:paraId="2D11D4DC">
      <w:pPr>
        <w:spacing w:line="440" w:lineRule="exact"/>
        <w:rPr>
          <w:rFonts w:hint="eastAsia" w:eastAsia="宋体"/>
          <w:lang w:eastAsia="zh-CN"/>
        </w:rPr>
      </w:pPr>
      <w:r>
        <w:rPr>
          <w:rFonts w:eastAsia="宋体"/>
        </w:rPr>
        <w:t>适用通用条款中的</w:t>
      </w:r>
      <w:r>
        <w:rPr>
          <w:rFonts w:eastAsia="宋体"/>
          <w:u w:val="single"/>
        </w:rPr>
        <w:t xml:space="preserve"> </w:t>
      </w:r>
      <w:r>
        <w:rPr>
          <w:rFonts w:hint="eastAsia" w:eastAsia="宋体"/>
          <w:u w:val="single"/>
        </w:rPr>
        <w:t>A</w:t>
      </w:r>
      <w:r>
        <w:rPr>
          <w:rFonts w:hint="eastAsia" w:eastAsia="宋体"/>
          <w:u w:val="single"/>
          <w:lang w:val="en-US" w:eastAsia="zh-CN"/>
        </w:rPr>
        <w:t xml:space="preserve"> </w:t>
      </w:r>
      <w:r>
        <w:rPr>
          <w:rFonts w:eastAsia="宋体"/>
        </w:rPr>
        <w:t>条款</w:t>
      </w:r>
      <w:r>
        <w:rPr>
          <w:rFonts w:hint="eastAsia" w:eastAsia="宋体"/>
          <w:lang w:eastAsia="zh-CN"/>
        </w:rPr>
        <w:t>（</w:t>
      </w:r>
      <w:r>
        <w:rPr>
          <w:rFonts w:hint="eastAsia" w:eastAsia="宋体"/>
          <w:lang w:val="en-US" w:eastAsia="zh-CN"/>
        </w:rPr>
        <w:t>1.</w:t>
      </w:r>
      <w:r>
        <w:rPr>
          <w:rFonts w:hint="eastAsia" w:eastAsia="宋体"/>
        </w:rPr>
        <w:t>不可预见物质条件，除专用合同条款另有约定外，是指承包人在施工场地遇到的不可预见的自然物质条件、非自然的物质障碍和污染物，包括地下和水文条件，但不包括气候条件。</w:t>
      </w:r>
      <w:r>
        <w:rPr>
          <w:rFonts w:hint="eastAsia" w:eastAsia="宋体"/>
          <w:lang w:val="en-US" w:eastAsia="zh-CN"/>
        </w:rPr>
        <w:t>2.</w:t>
      </w:r>
      <w:r>
        <w:rPr>
          <w:rFonts w:hint="eastAsia" w:eastAsia="宋体"/>
        </w:rPr>
        <w:t>承包人遇到不可预见物质条件时，应采取适应不利物质条件的合理措施继续设计和（或）施工，并及时通知监理人，通知应载明不利物质条件的内容以及承包人认为不可预见的理由。监理人应当及时发出指示，指示构成变更的，按第15条约定执行。监理人没有发出指示的，承包人因采取合理措施而增加的费用和（或）工期延误，由发包人承担。</w:t>
      </w:r>
      <w:r>
        <w:rPr>
          <w:rFonts w:hint="eastAsia" w:eastAsia="宋体"/>
          <w:lang w:eastAsia="zh-CN"/>
        </w:rPr>
        <w:t>）</w:t>
      </w:r>
    </w:p>
    <w:p w14:paraId="22BCD9FD">
      <w:pPr>
        <w:spacing w:line="440" w:lineRule="exact"/>
        <w:rPr>
          <w:rFonts w:eastAsia="宋体"/>
          <w:u w:val="single"/>
        </w:rPr>
      </w:pPr>
      <w:r>
        <w:rPr>
          <w:rFonts w:eastAsia="宋体"/>
        </w:rPr>
        <w:t>其他要求：</w:t>
      </w:r>
      <w:r>
        <w:rPr>
          <w:rFonts w:eastAsia="宋体"/>
          <w:u w:val="single"/>
        </w:rPr>
        <w:t xml:space="preserve">                              </w:t>
      </w:r>
    </w:p>
    <w:p w14:paraId="425DAB3D">
      <w:pPr>
        <w:spacing w:line="440" w:lineRule="exact"/>
        <w:ind w:right="248"/>
        <w:rPr>
          <w:rFonts w:hint="eastAsia" w:eastAsia="宋体"/>
          <w:szCs w:val="21"/>
          <w:u w:val="single"/>
        </w:rPr>
      </w:pPr>
      <w:r>
        <w:rPr>
          <w:rFonts w:eastAsia="宋体"/>
          <w:szCs w:val="21"/>
        </w:rPr>
        <w:t>不利物质条件的范围：</w:t>
      </w:r>
      <w:r>
        <w:rPr>
          <w:rFonts w:eastAsia="宋体"/>
          <w:szCs w:val="21"/>
          <w:u w:val="single"/>
        </w:rPr>
        <w:t xml:space="preserve">                    </w:t>
      </w:r>
    </w:p>
    <w:p w14:paraId="17B5F364">
      <w:pPr>
        <w:keepNext/>
        <w:keepLines/>
        <w:spacing w:before="120" w:beforeLines="50" w:line="440" w:lineRule="exact"/>
        <w:outlineLvl w:val="0"/>
        <w:rPr>
          <w:rFonts w:ascii="黑体" w:hAnsi="黑体" w:eastAsia="黑体"/>
        </w:rPr>
      </w:pPr>
      <w:r>
        <w:rPr>
          <w:rFonts w:ascii="黑体" w:hAnsi="黑体" w:eastAsia="黑体"/>
        </w:rPr>
        <w:t>4.12 进度计划</w:t>
      </w:r>
    </w:p>
    <w:p w14:paraId="050341F1">
      <w:pPr>
        <w:spacing w:line="440" w:lineRule="exact"/>
        <w:ind w:right="248"/>
        <w:rPr>
          <w:rFonts w:eastAsia="宋体"/>
          <w:szCs w:val="21"/>
        </w:rPr>
      </w:pPr>
      <w:r>
        <w:rPr>
          <w:rFonts w:eastAsia="宋体"/>
          <w:szCs w:val="21"/>
        </w:rPr>
        <w:t>4.12.1</w:t>
      </w:r>
      <w:r>
        <w:rPr>
          <w:rFonts w:hint="eastAsia" w:eastAsia="宋体"/>
          <w:szCs w:val="21"/>
        </w:rPr>
        <w:t xml:space="preserve"> 合同进度计划：</w:t>
      </w:r>
    </w:p>
    <w:p w14:paraId="2C61AED2">
      <w:pPr>
        <w:spacing w:line="440" w:lineRule="exact"/>
        <w:ind w:right="248"/>
        <w:rPr>
          <w:rFonts w:hint="eastAsia" w:ascii="宋体" w:hAnsi="宋体" w:eastAsia="宋体"/>
          <w:szCs w:val="21"/>
          <w:lang w:eastAsia="zh-CN"/>
        </w:rPr>
      </w:pPr>
      <w:r>
        <w:rPr>
          <w:rFonts w:hint="eastAsia" w:eastAsia="宋体"/>
          <w:szCs w:val="21"/>
        </w:rPr>
        <w:t>(1)</w:t>
      </w:r>
      <w:r>
        <w:rPr>
          <w:rFonts w:hint="eastAsia" w:ascii="宋体" w:hAnsi="宋体" w:eastAsia="宋体"/>
          <w:bCs/>
          <w:szCs w:val="21"/>
        </w:rPr>
        <w:t>合同</w:t>
      </w:r>
      <w:r>
        <w:rPr>
          <w:rFonts w:ascii="宋体" w:hAnsi="宋体" w:eastAsia="宋体"/>
          <w:bCs/>
          <w:szCs w:val="21"/>
        </w:rPr>
        <w:t>进度计划中的关键路径及关键路径变化的确定原则： 由发包人</w:t>
      </w:r>
      <w:r>
        <w:rPr>
          <w:rFonts w:hint="eastAsia" w:ascii="宋体" w:hAnsi="宋体" w:eastAsia="宋体"/>
          <w:bCs/>
          <w:szCs w:val="21"/>
        </w:rPr>
        <w:t>和监理人</w:t>
      </w:r>
      <w:r>
        <w:rPr>
          <w:rFonts w:ascii="宋体" w:hAnsi="宋体" w:eastAsia="宋体"/>
          <w:bCs/>
          <w:szCs w:val="21"/>
        </w:rPr>
        <w:t>根据投标工期及进度计划确定，一旦确定，非不可抗力或安全因素</w:t>
      </w:r>
      <w:r>
        <w:rPr>
          <w:rFonts w:hint="eastAsia" w:ascii="宋体" w:hAnsi="宋体" w:eastAsia="宋体"/>
          <w:bCs/>
          <w:szCs w:val="21"/>
        </w:rPr>
        <w:t>原则上</w:t>
      </w:r>
      <w:r>
        <w:rPr>
          <w:rFonts w:ascii="宋体" w:hAnsi="宋体" w:eastAsia="宋体"/>
          <w:bCs/>
          <w:szCs w:val="21"/>
        </w:rPr>
        <w:t>不予调整。</w:t>
      </w:r>
      <w:r>
        <w:rPr>
          <w:rFonts w:ascii="宋体" w:hAnsi="宋体" w:eastAsia="宋体"/>
          <w:szCs w:val="21"/>
        </w:rPr>
        <w:t>承包人提交</w:t>
      </w:r>
      <w:r>
        <w:rPr>
          <w:rFonts w:hint="eastAsia" w:ascii="宋体" w:hAnsi="宋体" w:eastAsia="宋体"/>
          <w:szCs w:val="21"/>
        </w:rPr>
        <w:t>合同</w:t>
      </w:r>
      <w:r>
        <w:rPr>
          <w:rFonts w:ascii="宋体" w:hAnsi="宋体" w:eastAsia="宋体"/>
          <w:szCs w:val="21"/>
        </w:rPr>
        <w:t>进度计划的时间</w:t>
      </w:r>
      <w:r>
        <w:rPr>
          <w:rFonts w:hint="eastAsia" w:ascii="宋体" w:hAnsi="宋体" w:eastAsia="宋体"/>
          <w:szCs w:val="21"/>
          <w:lang w:eastAsia="zh-CN"/>
        </w:rPr>
        <w:t>和</w:t>
      </w:r>
      <w:r>
        <w:rPr>
          <w:rFonts w:ascii="宋体" w:hAnsi="宋体" w:eastAsia="宋体"/>
          <w:szCs w:val="21"/>
        </w:rPr>
        <w:t>份数：</w:t>
      </w:r>
      <w:r>
        <w:rPr>
          <w:rFonts w:ascii="宋体" w:hAnsi="宋体" w:eastAsia="宋体"/>
          <w:szCs w:val="21"/>
          <w:u w:val="single"/>
        </w:rPr>
        <w:t>每月25日提交5份</w:t>
      </w:r>
      <w:r>
        <w:rPr>
          <w:rFonts w:hint="eastAsia" w:ascii="宋体" w:hAnsi="宋体" w:eastAsia="宋体"/>
          <w:szCs w:val="21"/>
          <w:u w:val="single"/>
          <w:lang w:eastAsia="zh-CN"/>
        </w:rPr>
        <w:t>。</w:t>
      </w:r>
    </w:p>
    <w:p w14:paraId="6B36B28D">
      <w:pPr>
        <w:spacing w:line="440" w:lineRule="exact"/>
        <w:ind w:right="248"/>
        <w:rPr>
          <w:rFonts w:ascii="宋体" w:hAnsi="宋体" w:eastAsia="宋体"/>
          <w:szCs w:val="21"/>
        </w:rPr>
      </w:pPr>
      <w:r>
        <w:rPr>
          <w:rFonts w:hint="eastAsia" w:ascii="宋体" w:hAnsi="宋体" w:eastAsia="宋体"/>
          <w:szCs w:val="21"/>
        </w:rPr>
        <w:t>（2）采购进度计划：</w:t>
      </w:r>
      <w:r>
        <w:rPr>
          <w:rFonts w:ascii="宋体" w:hAnsi="宋体" w:eastAsia="宋体"/>
          <w:szCs w:val="21"/>
        </w:rPr>
        <w:t>采购进度计划提交的份数和日期：</w:t>
      </w:r>
      <w:r>
        <w:rPr>
          <w:rFonts w:hint="eastAsia" w:ascii="宋体" w:hAnsi="宋体" w:eastAsia="宋体"/>
          <w:szCs w:val="21"/>
        </w:rPr>
        <w:t>在</w:t>
      </w:r>
      <w:r>
        <w:rPr>
          <w:rFonts w:ascii="宋体" w:hAnsi="宋体" w:eastAsia="宋体"/>
          <w:szCs w:val="21"/>
        </w:rPr>
        <w:t>主要材料、工程设备</w:t>
      </w:r>
      <w:r>
        <w:rPr>
          <w:rFonts w:hint="eastAsia" w:ascii="宋体" w:hAnsi="宋体" w:eastAsia="宋体"/>
          <w:szCs w:val="21"/>
        </w:rPr>
        <w:t>计划</w:t>
      </w:r>
      <w:r>
        <w:rPr>
          <w:rFonts w:ascii="宋体" w:hAnsi="宋体" w:eastAsia="宋体"/>
          <w:szCs w:val="21"/>
          <w:u w:val="single"/>
        </w:rPr>
        <w:t>采购之</w:t>
      </w:r>
      <w:r>
        <w:rPr>
          <w:rFonts w:hint="eastAsia" w:ascii="宋体" w:hAnsi="宋体" w:eastAsia="宋体"/>
          <w:szCs w:val="21"/>
          <w:u w:val="single"/>
        </w:rPr>
        <w:t>日起</w:t>
      </w:r>
      <w:r>
        <w:rPr>
          <w:rFonts w:ascii="宋体" w:hAnsi="宋体" w:eastAsia="宋体"/>
          <w:szCs w:val="21"/>
          <w:u w:val="single"/>
        </w:rPr>
        <w:t>不少于</w:t>
      </w:r>
      <w:r>
        <w:rPr>
          <w:rFonts w:hint="eastAsia" w:ascii="宋体" w:hAnsi="宋体" w:eastAsia="宋体"/>
          <w:szCs w:val="21"/>
          <w:u w:val="single"/>
        </w:rPr>
        <w:t>10</w:t>
      </w:r>
      <w:r>
        <w:rPr>
          <w:rFonts w:ascii="宋体" w:hAnsi="宋体" w:eastAsia="宋体"/>
          <w:szCs w:val="21"/>
          <w:u w:val="single"/>
        </w:rPr>
        <w:t>日</w:t>
      </w:r>
      <w:r>
        <w:rPr>
          <w:rFonts w:hint="eastAsia" w:ascii="宋体" w:hAnsi="宋体" w:eastAsia="宋体"/>
          <w:szCs w:val="21"/>
          <w:u w:val="single"/>
        </w:rPr>
        <w:t>前</w:t>
      </w:r>
      <w:r>
        <w:rPr>
          <w:rFonts w:ascii="宋体" w:hAnsi="宋体" w:eastAsia="宋体"/>
          <w:szCs w:val="21"/>
          <w:u w:val="single"/>
        </w:rPr>
        <w:t>提交5份</w:t>
      </w:r>
      <w:r>
        <w:rPr>
          <w:rFonts w:hint="eastAsia" w:ascii="宋体" w:hAnsi="宋体" w:eastAsia="宋体"/>
          <w:szCs w:val="21"/>
        </w:rPr>
        <w:t>采购进度计划</w:t>
      </w:r>
      <w:r>
        <w:rPr>
          <w:rFonts w:ascii="宋体" w:hAnsi="宋体" w:eastAsia="宋体"/>
          <w:szCs w:val="21"/>
        </w:rPr>
        <w:t>，未提交采购进度计划或者采购进度计划未获得批准的，承包人擅自采购造成的损失</w:t>
      </w:r>
      <w:r>
        <w:rPr>
          <w:rFonts w:hint="eastAsia" w:ascii="宋体" w:hAnsi="宋体" w:eastAsia="宋体"/>
          <w:szCs w:val="21"/>
        </w:rPr>
        <w:t>均</w:t>
      </w:r>
      <w:r>
        <w:rPr>
          <w:rFonts w:ascii="宋体" w:hAnsi="宋体" w:eastAsia="宋体"/>
          <w:szCs w:val="21"/>
        </w:rPr>
        <w:t>由承包人自行承担。</w:t>
      </w:r>
    </w:p>
    <w:p w14:paraId="46E136CC">
      <w:pPr>
        <w:spacing w:line="440" w:lineRule="exact"/>
        <w:ind w:right="248"/>
        <w:rPr>
          <w:rFonts w:ascii="宋体" w:hAnsi="宋体" w:eastAsia="宋体"/>
          <w:szCs w:val="21"/>
        </w:rPr>
      </w:pPr>
      <w:r>
        <w:rPr>
          <w:rFonts w:hint="eastAsia" w:ascii="宋体" w:hAnsi="宋体" w:eastAsia="宋体"/>
          <w:szCs w:val="21"/>
        </w:rPr>
        <w:t>（3）</w:t>
      </w:r>
      <w:r>
        <w:rPr>
          <w:rFonts w:ascii="宋体" w:hAnsi="宋体" w:eastAsia="宋体"/>
          <w:szCs w:val="21"/>
        </w:rPr>
        <w:t>采购开始日期</w:t>
      </w:r>
      <w:r>
        <w:rPr>
          <w:rFonts w:hint="eastAsia" w:ascii="宋体" w:hAnsi="宋体" w:eastAsia="宋体"/>
          <w:szCs w:val="21"/>
        </w:rPr>
        <w:t>：</w:t>
      </w:r>
      <w:r>
        <w:rPr>
          <w:rFonts w:ascii="宋体" w:hAnsi="宋体" w:eastAsia="宋体"/>
          <w:szCs w:val="21"/>
          <w:u w:val="single"/>
        </w:rPr>
        <w:t>发包人批准后进行</w:t>
      </w:r>
      <w:r>
        <w:rPr>
          <w:rFonts w:hint="eastAsia" w:ascii="宋体" w:hAnsi="宋体" w:eastAsia="宋体"/>
          <w:szCs w:val="21"/>
          <w:u w:val="single"/>
          <w:lang w:eastAsia="zh-CN"/>
        </w:rPr>
        <w:t>。</w:t>
      </w:r>
      <w:r>
        <w:rPr>
          <w:rFonts w:ascii="宋体" w:hAnsi="宋体" w:eastAsia="宋体"/>
          <w:szCs w:val="21"/>
        </w:rPr>
        <w:t xml:space="preserve">   </w:t>
      </w:r>
    </w:p>
    <w:p w14:paraId="0EFC5F78">
      <w:pPr>
        <w:spacing w:line="440" w:lineRule="exact"/>
        <w:ind w:right="248"/>
        <w:rPr>
          <w:rFonts w:hint="eastAsia" w:eastAsia="宋体"/>
          <w:szCs w:val="21"/>
        </w:rPr>
      </w:pPr>
      <w:r>
        <w:rPr>
          <w:rFonts w:hint="eastAsia" w:ascii="宋体" w:hAnsi="宋体" w:eastAsia="宋体"/>
          <w:szCs w:val="21"/>
        </w:rPr>
        <w:t>（4）</w:t>
      </w:r>
      <w:r>
        <w:rPr>
          <w:rFonts w:ascii="宋体" w:hAnsi="宋体" w:eastAsia="宋体"/>
          <w:szCs w:val="21"/>
        </w:rPr>
        <w:t>提交关键分部分项工程施工计划的名称、份数和时间：</w:t>
      </w:r>
      <w:r>
        <w:rPr>
          <w:rFonts w:ascii="宋体" w:hAnsi="宋体" w:eastAsia="宋体"/>
          <w:szCs w:val="21"/>
          <w:u w:val="single"/>
        </w:rPr>
        <w:t>按发包人要求</w:t>
      </w:r>
      <w:r>
        <w:rPr>
          <w:rFonts w:hint="eastAsia" w:ascii="宋体" w:hAnsi="宋体" w:eastAsia="宋体"/>
          <w:szCs w:val="21"/>
          <w:u w:val="single"/>
          <w:lang w:eastAsia="zh-CN"/>
        </w:rPr>
        <w:t>。</w:t>
      </w:r>
    </w:p>
    <w:p w14:paraId="34EB905D">
      <w:pPr>
        <w:spacing w:line="440" w:lineRule="exact"/>
        <w:ind w:right="248"/>
        <w:rPr>
          <w:rFonts w:hint="eastAsia" w:ascii="宋体" w:hAnsi="宋体" w:eastAsia="宋体"/>
          <w:szCs w:val="21"/>
        </w:rPr>
      </w:pPr>
      <w:r>
        <w:rPr>
          <w:rFonts w:eastAsia="宋体"/>
          <w:szCs w:val="21"/>
        </w:rPr>
        <w:t>4.12.2进度计划修订：</w:t>
      </w:r>
      <w:r>
        <w:rPr>
          <w:rFonts w:hint="eastAsia" w:eastAsia="宋体"/>
          <w:szCs w:val="21"/>
        </w:rPr>
        <w:t>不论何种原因造成工程的实际进度与项目合同及批准的施工组织设计明确的进度计划不符时，承包人应及时向监理人递交合同进度计划的申请报告，并附有关措施和相关资料，报监理人批准；</w:t>
      </w:r>
      <w:r>
        <w:rPr>
          <w:rFonts w:hAnsi="宋体" w:eastAsia="宋体"/>
          <w:szCs w:val="21"/>
        </w:rPr>
        <w:t>监理人也可以直接向承包人作出修订合同进度计划的指示，承包人应按该指示修订合同进度计划，报监理人批准。监理人应在</w:t>
      </w:r>
      <w:r>
        <w:rPr>
          <w:rFonts w:hint="eastAsia" w:hAnsi="宋体" w:eastAsia="宋体"/>
          <w:szCs w:val="21"/>
        </w:rPr>
        <w:t>收到承包人的报告后5日内予以</w:t>
      </w:r>
      <w:r>
        <w:rPr>
          <w:rFonts w:hAnsi="宋体" w:eastAsia="宋体"/>
          <w:szCs w:val="21"/>
        </w:rPr>
        <w:t>批复。监理人在批复前应获得发包人同意。</w:t>
      </w:r>
      <w:r>
        <w:rPr>
          <w:rFonts w:hint="eastAsia" w:eastAsia="宋体"/>
        </w:rPr>
        <w:t xml:space="preserve"> </w:t>
      </w:r>
      <w:r>
        <w:rPr>
          <w:rFonts w:hint="eastAsia" w:ascii="宋体" w:hAnsi="宋体" w:eastAsia="宋体"/>
          <w:szCs w:val="21"/>
        </w:rPr>
        <w:t>经监理人批复的进度计划修订文件不能减轻或免除承包人的合同责任和义务。</w:t>
      </w:r>
    </w:p>
    <w:p w14:paraId="0B0770A3">
      <w:pPr>
        <w:keepNext/>
        <w:keepLines/>
        <w:spacing w:before="48" w:beforeLines="20" w:line="440" w:lineRule="exact"/>
        <w:outlineLvl w:val="0"/>
        <w:rPr>
          <w:rFonts w:eastAsia="黑体" w:cs="Times New Roman"/>
          <w:b/>
          <w:bCs w:val="0"/>
          <w:sz w:val="24"/>
          <w:szCs w:val="32"/>
        </w:rPr>
      </w:pPr>
      <w:r>
        <w:rPr>
          <w:rFonts w:eastAsia="黑体" w:cs="Times New Roman"/>
          <w:b/>
          <w:bCs w:val="0"/>
          <w:sz w:val="24"/>
          <w:szCs w:val="32"/>
        </w:rPr>
        <w:t>5 设计</w:t>
      </w:r>
    </w:p>
    <w:p w14:paraId="653BDD2C">
      <w:pPr>
        <w:keepNext/>
        <w:keepLines/>
        <w:spacing w:before="120" w:beforeLines="50" w:line="440" w:lineRule="exact"/>
        <w:outlineLvl w:val="0"/>
        <w:rPr>
          <w:rFonts w:ascii="黑体" w:hAnsi="黑体" w:eastAsia="黑体"/>
        </w:rPr>
      </w:pPr>
      <w:r>
        <w:rPr>
          <w:rFonts w:hint="eastAsia" w:ascii="黑体" w:hAnsi="黑体" w:eastAsia="黑体"/>
        </w:rPr>
        <w:t>5</w:t>
      </w:r>
      <w:r>
        <w:rPr>
          <w:rFonts w:ascii="黑体" w:hAnsi="黑体" w:eastAsia="黑体"/>
        </w:rPr>
        <w:t>.1</w:t>
      </w:r>
      <w:r>
        <w:rPr>
          <w:rFonts w:hint="eastAsia" w:ascii="黑体" w:hAnsi="黑体" w:eastAsia="黑体"/>
        </w:rPr>
        <w:t>承包人的设计义务</w:t>
      </w:r>
    </w:p>
    <w:p w14:paraId="773181E0">
      <w:pPr>
        <w:spacing w:line="440" w:lineRule="exact"/>
        <w:rPr>
          <w:rFonts w:ascii="宋体" w:hAnsi="宋体" w:eastAsia="宋体"/>
          <w:szCs w:val="21"/>
        </w:rPr>
      </w:pPr>
      <w:r>
        <w:rPr>
          <w:rFonts w:hint="eastAsia" w:ascii="宋体" w:hAnsi="宋体" w:eastAsia="宋体"/>
          <w:szCs w:val="21"/>
        </w:rPr>
        <w:t>5.1.</w:t>
      </w:r>
      <w:r>
        <w:rPr>
          <w:rFonts w:ascii="宋体" w:hAnsi="宋体" w:eastAsia="宋体"/>
          <w:szCs w:val="21"/>
        </w:rPr>
        <w:t>1</w:t>
      </w:r>
      <w:r>
        <w:rPr>
          <w:rFonts w:hint="eastAsia" w:ascii="宋体" w:hAnsi="宋体" w:eastAsia="宋体"/>
          <w:szCs w:val="21"/>
        </w:rPr>
        <w:t>承包人设计义务一般要求：设计部分：工程设计主要内容包含：施工图设计、其他专项设计等。施工图设计：包括但不限于</w:t>
      </w:r>
      <w:r>
        <w:rPr>
          <w:rFonts w:hint="eastAsia" w:ascii="宋体" w:hAnsi="宋体" w:eastAsia="宋体" w:cs="Times New Roman"/>
          <w:color w:val="000000"/>
          <w:kern w:val="2"/>
          <w:sz w:val="21"/>
          <w:szCs w:val="21"/>
          <w:u w:val="none"/>
          <w:lang w:bidi="ar"/>
        </w:rPr>
        <w:t>路线、路基、路面、桥涵</w:t>
      </w:r>
      <w:r>
        <w:rPr>
          <w:rFonts w:hint="eastAsia" w:ascii="宋体" w:hAnsi="宋体" w:eastAsia="宋体" w:cs="Times New Roman"/>
          <w:color w:val="000000"/>
          <w:kern w:val="2"/>
          <w:sz w:val="21"/>
          <w:szCs w:val="21"/>
          <w:highlight w:val="none"/>
          <w:u w:val="none"/>
          <w:lang w:bidi="ar"/>
        </w:rPr>
        <w:t>、路线交叉、</w:t>
      </w:r>
      <w:r>
        <w:rPr>
          <w:rFonts w:hint="eastAsia" w:ascii="宋体" w:hAnsi="宋体" w:eastAsia="宋体" w:cs="Times New Roman"/>
          <w:color w:val="000000"/>
          <w:kern w:val="2"/>
          <w:sz w:val="21"/>
          <w:szCs w:val="21"/>
          <w:u w:val="none"/>
          <w:lang w:bidi="ar"/>
        </w:rPr>
        <w:t>交通安全设施、景观绿化、照明、排水、其他工程</w:t>
      </w:r>
      <w:r>
        <w:rPr>
          <w:rFonts w:hint="eastAsia" w:ascii="宋体" w:hAnsi="宋体" w:eastAsia="宋体"/>
          <w:szCs w:val="21"/>
        </w:rPr>
        <w:t>等。各项审批文件及施工阶段配合工作。</w:t>
      </w:r>
    </w:p>
    <w:p w14:paraId="5BD43A93">
      <w:pPr>
        <w:spacing w:line="440" w:lineRule="exact"/>
        <w:rPr>
          <w:rFonts w:ascii="宋体" w:hAnsi="宋体" w:eastAsia="宋体"/>
          <w:szCs w:val="21"/>
        </w:rPr>
      </w:pPr>
      <w:r>
        <w:rPr>
          <w:rFonts w:hint="eastAsia" w:ascii="宋体" w:hAnsi="宋体" w:eastAsia="宋体"/>
          <w:szCs w:val="21"/>
        </w:rPr>
        <w:t xml:space="preserve">（1）承包人被视为已仔细审查了发包人要求（包括设计标准和计算，如果有）。 </w:t>
      </w:r>
    </w:p>
    <w:p w14:paraId="6A7D6A6D">
      <w:pPr>
        <w:spacing w:line="440" w:lineRule="exact"/>
        <w:rPr>
          <w:rFonts w:eastAsia="宋体"/>
        </w:rPr>
      </w:pPr>
      <w:r>
        <w:rPr>
          <w:rFonts w:hint="eastAsia" w:ascii="宋体" w:hAnsi="宋体" w:eastAsia="宋体"/>
          <w:szCs w:val="21"/>
        </w:rPr>
        <w:t xml:space="preserve">（2）承包人负责“技术标准及要求”中所列工程相关的技术方案、技术规范和要求、设计标准、设计计算以及关于该工程设计、执行的全部现场资料与文件的正确性，并对上述文件的正确性和合理性承担责任。 </w:t>
      </w:r>
    </w:p>
    <w:p w14:paraId="60D49662">
      <w:pPr>
        <w:spacing w:line="440" w:lineRule="exact"/>
        <w:rPr>
          <w:rFonts w:hint="eastAsia" w:ascii="宋体" w:hAnsi="宋体" w:eastAsia="宋体"/>
          <w:szCs w:val="21"/>
          <w:highlight w:val="none"/>
        </w:rPr>
      </w:pPr>
      <w:r>
        <w:rPr>
          <w:rFonts w:hint="eastAsia" w:ascii="宋体" w:hAnsi="宋体" w:eastAsia="宋体"/>
          <w:szCs w:val="21"/>
          <w:highlight w:val="none"/>
        </w:rPr>
        <w:t>（</w:t>
      </w:r>
      <w:r>
        <w:rPr>
          <w:rFonts w:ascii="宋体" w:hAnsi="宋体" w:eastAsia="宋体"/>
          <w:szCs w:val="21"/>
          <w:highlight w:val="none"/>
        </w:rPr>
        <w:t>3</w:t>
      </w:r>
      <w:r>
        <w:rPr>
          <w:rFonts w:hint="eastAsia" w:ascii="宋体" w:hAnsi="宋体" w:eastAsia="宋体"/>
          <w:szCs w:val="21"/>
          <w:highlight w:val="none"/>
        </w:rPr>
        <w:t xml:space="preserve">）发包人负责向承包人提供设计所必须的相关基本参数、数据和资料。 </w:t>
      </w:r>
    </w:p>
    <w:p w14:paraId="696EAE76">
      <w:pPr>
        <w:spacing w:line="440" w:lineRule="exact"/>
        <w:rPr>
          <w:rFonts w:hint="eastAsia" w:ascii="宋体" w:hAnsi="宋体" w:eastAsia="宋体"/>
          <w:szCs w:val="21"/>
        </w:rPr>
      </w:pPr>
      <w:r>
        <w:rPr>
          <w:rFonts w:hint="eastAsia" w:ascii="宋体" w:hAnsi="宋体" w:eastAsia="宋体"/>
          <w:szCs w:val="21"/>
        </w:rPr>
        <w:t xml:space="preserve">（4）承包人应负责工程的设计，并对发包人要求的其他内容的设计正确性负责。 </w:t>
      </w:r>
    </w:p>
    <w:p w14:paraId="563ECAC2">
      <w:pPr>
        <w:spacing w:line="440" w:lineRule="exact"/>
        <w:rPr>
          <w:rFonts w:hint="eastAsia" w:ascii="宋体" w:hAnsi="宋体" w:eastAsia="宋体"/>
          <w:b w:val="0"/>
          <w:bCs w:val="0"/>
          <w:color w:val="auto"/>
          <w:szCs w:val="21"/>
          <w:u w:val="none"/>
          <w:lang w:eastAsia="zh-CN"/>
        </w:rPr>
      </w:pPr>
      <w:r>
        <w:rPr>
          <w:rFonts w:hint="eastAsia" w:ascii="宋体" w:hAnsi="宋体" w:eastAsia="宋体"/>
          <w:b w:val="0"/>
          <w:bCs w:val="0"/>
          <w:color w:val="auto"/>
          <w:szCs w:val="21"/>
          <w:u w:val="none"/>
        </w:rPr>
        <w:t>（5）承包人应负责工程设计的组织、协调、进度控制等所有相关工作，并负责对该工程的所有设计工作进行审查，对所有相关设计文件的正确性承担责任。并按合同中承包人文件的有关要求，</w:t>
      </w:r>
      <w:r>
        <w:rPr>
          <w:rFonts w:hint="eastAsia" w:ascii="宋体" w:hAnsi="宋体" w:eastAsia="宋体"/>
          <w:b w:val="0"/>
          <w:bCs w:val="0"/>
          <w:color w:val="auto"/>
          <w:szCs w:val="21"/>
          <w:u w:val="none"/>
          <w:lang w:eastAsia="zh-CN"/>
        </w:rPr>
        <w:t>合同签订后两个月内，</w:t>
      </w:r>
      <w:r>
        <w:rPr>
          <w:rFonts w:hint="eastAsia" w:ascii="宋体" w:hAnsi="宋体" w:eastAsia="宋体"/>
          <w:b w:val="0"/>
          <w:bCs w:val="0"/>
          <w:color w:val="auto"/>
          <w:szCs w:val="21"/>
          <w:u w:val="none"/>
        </w:rPr>
        <w:t>提供全部的承包人设计文件最终版。</w:t>
      </w:r>
      <w:r>
        <w:rPr>
          <w:rFonts w:hint="eastAsia" w:ascii="宋体" w:hAnsi="宋体" w:eastAsia="宋体"/>
          <w:b w:val="0"/>
          <w:bCs w:val="0"/>
          <w:color w:val="auto"/>
          <w:szCs w:val="21"/>
          <w:u w:val="none"/>
          <w:lang w:eastAsia="zh-CN"/>
        </w:rPr>
        <w:t>（图审合格）</w:t>
      </w:r>
    </w:p>
    <w:p w14:paraId="58C59BAD">
      <w:pPr>
        <w:spacing w:line="440" w:lineRule="exact"/>
        <w:rPr>
          <w:rFonts w:hint="eastAsia" w:ascii="宋体" w:hAnsi="宋体" w:eastAsia="宋体" w:cs="Times New Roman"/>
          <w:b w:val="0"/>
          <w:bCs w:val="0"/>
          <w:color w:val="auto"/>
          <w:szCs w:val="21"/>
          <w:u w:val="none"/>
        </w:rPr>
      </w:pPr>
      <w:r>
        <w:rPr>
          <w:rFonts w:hint="eastAsia" w:ascii="宋体" w:hAnsi="宋体" w:eastAsia="宋体" w:cs="Times New Roman"/>
          <w:b w:val="0"/>
          <w:bCs w:val="0"/>
          <w:color w:val="auto"/>
          <w:szCs w:val="21"/>
          <w:u w:val="none"/>
        </w:rPr>
        <w:t>（6）承包人设计文件应包括发包人要求中规定的技术文件、为满足所有规章要求报批的文件以及竣工文件。</w:t>
      </w:r>
    </w:p>
    <w:p w14:paraId="39928B2C">
      <w:pPr>
        <w:spacing w:line="440" w:lineRule="exact"/>
        <w:rPr>
          <w:rFonts w:ascii="宋体" w:hAnsi="宋体" w:eastAsia="宋体"/>
          <w:szCs w:val="21"/>
        </w:rPr>
      </w:pPr>
      <w:r>
        <w:rPr>
          <w:rFonts w:hint="eastAsia" w:ascii="宋体" w:hAnsi="宋体" w:eastAsia="宋体"/>
          <w:szCs w:val="21"/>
        </w:rPr>
        <w:t>（7）承包人应编制所有的承包人文件资料，还应编制指导承包人人员所需要的任何其他文件。</w:t>
      </w:r>
    </w:p>
    <w:p w14:paraId="45CD3222">
      <w:pPr>
        <w:spacing w:line="440" w:lineRule="exact"/>
        <w:rPr>
          <w:rFonts w:hint="eastAsia" w:ascii="宋体" w:hAnsi="宋体" w:eastAsia="宋体"/>
          <w:szCs w:val="21"/>
        </w:rPr>
      </w:pPr>
      <w:r>
        <w:rPr>
          <w:rFonts w:hint="eastAsia" w:ascii="宋体" w:hAnsi="宋体" w:eastAsia="宋体"/>
          <w:szCs w:val="21"/>
        </w:rPr>
        <w:t>（</w:t>
      </w:r>
      <w:r>
        <w:rPr>
          <w:rFonts w:ascii="宋体" w:hAnsi="宋体" w:eastAsia="宋体"/>
          <w:szCs w:val="21"/>
        </w:rPr>
        <w:t>8</w:t>
      </w:r>
      <w:r>
        <w:rPr>
          <w:rFonts w:hint="eastAsia" w:ascii="宋体" w:hAnsi="宋体" w:eastAsia="宋体"/>
          <w:szCs w:val="21"/>
        </w:rPr>
        <w:t>）承包人承诺其设计、承包人文件资料、实施和竣工的工程符合：《</w:t>
      </w:r>
      <w:r>
        <w:rPr>
          <w:rFonts w:hint="eastAsia" w:ascii="宋体" w:hAnsi="宋体" w:eastAsia="宋体"/>
          <w:szCs w:val="21"/>
          <w:lang w:val="en-US" w:eastAsia="zh-CN"/>
        </w:rPr>
        <w:t>公路</w:t>
      </w:r>
      <w:r>
        <w:rPr>
          <w:rFonts w:hint="eastAsia" w:ascii="宋体" w:hAnsi="宋体" w:eastAsia="宋体"/>
          <w:szCs w:val="21"/>
        </w:rPr>
        <w:t>工程质量管理</w:t>
      </w:r>
      <w:r>
        <w:rPr>
          <w:rFonts w:hint="eastAsia" w:ascii="宋体" w:hAnsi="宋体" w:eastAsia="宋体"/>
          <w:szCs w:val="21"/>
          <w:lang w:val="en-US" w:eastAsia="zh-CN"/>
        </w:rPr>
        <w:t>办法</w:t>
      </w:r>
      <w:r>
        <w:rPr>
          <w:rFonts w:hint="eastAsia" w:ascii="宋体" w:hAnsi="宋体" w:eastAsia="宋体"/>
          <w:szCs w:val="21"/>
        </w:rPr>
        <w:t>》、和国家</w:t>
      </w:r>
      <w:r>
        <w:rPr>
          <w:rFonts w:hint="eastAsia" w:ascii="宋体" w:hAnsi="宋体" w:eastAsia="宋体"/>
          <w:szCs w:val="21"/>
          <w:lang w:val="en-US" w:eastAsia="zh-CN"/>
        </w:rPr>
        <w:t>相关</w:t>
      </w:r>
      <w:r>
        <w:rPr>
          <w:rFonts w:hint="eastAsia" w:ascii="宋体" w:hAnsi="宋体" w:eastAsia="宋体"/>
          <w:szCs w:val="21"/>
        </w:rPr>
        <w:t>强制性标准条文；满足现行的</w:t>
      </w:r>
      <w:r>
        <w:rPr>
          <w:rFonts w:hint="eastAsia" w:ascii="宋体" w:hAnsi="宋体" w:eastAsia="宋体"/>
          <w:szCs w:val="21"/>
          <w:lang w:val="en-US" w:eastAsia="zh-CN"/>
        </w:rPr>
        <w:t>公路工程行业建设</w:t>
      </w:r>
      <w:r>
        <w:rPr>
          <w:rFonts w:hint="eastAsia" w:ascii="宋体" w:hAnsi="宋体" w:eastAsia="宋体"/>
          <w:szCs w:val="21"/>
        </w:rPr>
        <w:t xml:space="preserve">标准、设计施工规范（规程）和规定的相应设计文件编制深度要求，经过变更做出更改或修正的构成合同的各项文件。 </w:t>
      </w:r>
    </w:p>
    <w:p w14:paraId="08B57C4C">
      <w:pPr>
        <w:spacing w:line="440" w:lineRule="exact"/>
        <w:rPr>
          <w:rFonts w:hint="eastAsia" w:ascii="宋体" w:hAnsi="宋体" w:eastAsia="宋体"/>
          <w:szCs w:val="21"/>
        </w:rPr>
      </w:pPr>
      <w:r>
        <w:rPr>
          <w:rFonts w:hint="eastAsia" w:ascii="宋体" w:hAnsi="宋体" w:eastAsia="宋体"/>
          <w:szCs w:val="21"/>
        </w:rPr>
        <w:t xml:space="preserve">（9）资料移交 </w:t>
      </w:r>
    </w:p>
    <w:p w14:paraId="2415413D">
      <w:pPr>
        <w:spacing w:line="440" w:lineRule="exact"/>
        <w:rPr>
          <w:rFonts w:hint="eastAsia" w:ascii="宋体" w:hAnsi="宋体" w:eastAsia="宋体"/>
          <w:szCs w:val="21"/>
        </w:rPr>
      </w:pPr>
      <w:r>
        <w:rPr>
          <w:rFonts w:hint="eastAsia" w:ascii="宋体" w:hAnsi="宋体" w:eastAsia="宋体"/>
          <w:szCs w:val="21"/>
        </w:rPr>
        <w:t>在允许接收本工程</w:t>
      </w:r>
      <w:r>
        <w:rPr>
          <w:rFonts w:hint="eastAsia" w:ascii="宋体" w:hAnsi="宋体" w:eastAsia="宋体"/>
          <w:szCs w:val="21"/>
          <w:u w:val="single"/>
          <w:lang w:val="en-US" w:eastAsia="zh-CN"/>
        </w:rPr>
        <w:t>15</w:t>
      </w:r>
      <w:r>
        <w:rPr>
          <w:rFonts w:hint="eastAsia" w:ascii="宋体" w:hAnsi="宋体" w:eastAsia="宋体"/>
          <w:szCs w:val="21"/>
          <w:u w:val="single"/>
        </w:rPr>
        <w:t>日</w:t>
      </w:r>
      <w:r>
        <w:rPr>
          <w:rFonts w:hint="eastAsia" w:ascii="宋体" w:hAnsi="宋体" w:eastAsia="宋体"/>
          <w:szCs w:val="21"/>
        </w:rPr>
        <w:t xml:space="preserve">内，承包人必须提交给发包人与项目有关的设计、施工文件，包括： </w:t>
      </w:r>
    </w:p>
    <w:p w14:paraId="07763858">
      <w:pPr>
        <w:spacing w:line="440" w:lineRule="exact"/>
        <w:rPr>
          <w:rFonts w:ascii="宋体" w:hAnsi="宋体" w:eastAsia="宋体"/>
          <w:szCs w:val="21"/>
        </w:rPr>
      </w:pPr>
      <w:r>
        <w:rPr>
          <w:rFonts w:hint="eastAsia" w:ascii="宋体" w:hAnsi="宋体" w:eastAsia="宋体"/>
          <w:szCs w:val="21"/>
        </w:rPr>
        <w:t xml:space="preserve">①工程实际的全套设计图纸及竣工图。 </w:t>
      </w:r>
    </w:p>
    <w:p w14:paraId="3522E072">
      <w:pPr>
        <w:spacing w:line="440" w:lineRule="exact"/>
        <w:rPr>
          <w:rFonts w:hint="eastAsia" w:ascii="宋体" w:hAnsi="宋体" w:eastAsia="宋体"/>
          <w:szCs w:val="21"/>
        </w:rPr>
      </w:pPr>
      <w:r>
        <w:rPr>
          <w:rFonts w:hint="eastAsia" w:ascii="宋体" w:hAnsi="宋体" w:eastAsia="宋体"/>
          <w:szCs w:val="21"/>
        </w:rPr>
        <w:t>②建设过程中的各种文件记录和资料。</w:t>
      </w:r>
    </w:p>
    <w:p w14:paraId="1AC244D6">
      <w:pPr>
        <w:spacing w:line="440" w:lineRule="exact"/>
        <w:rPr>
          <w:rFonts w:hint="eastAsia" w:ascii="宋体" w:hAnsi="宋体" w:eastAsia="宋体"/>
          <w:szCs w:val="21"/>
        </w:rPr>
      </w:pPr>
      <w:r>
        <w:rPr>
          <w:rFonts w:hint="eastAsia" w:ascii="宋体" w:hAnsi="宋体" w:eastAsia="宋体"/>
          <w:szCs w:val="21"/>
        </w:rPr>
        <w:t xml:space="preserve">③工程竣工验收资料。 </w:t>
      </w:r>
    </w:p>
    <w:p w14:paraId="551EC7EA">
      <w:pPr>
        <w:spacing w:line="440" w:lineRule="exact"/>
        <w:rPr>
          <w:rFonts w:ascii="宋体" w:hAnsi="宋体" w:eastAsia="宋体"/>
          <w:szCs w:val="21"/>
        </w:rPr>
      </w:pPr>
      <w:r>
        <w:rPr>
          <w:rFonts w:hint="eastAsia" w:ascii="宋体" w:hAnsi="宋体" w:eastAsia="宋体"/>
          <w:szCs w:val="21"/>
        </w:rPr>
        <w:t xml:space="preserve">④其他技术资料和文件。 </w:t>
      </w:r>
    </w:p>
    <w:p w14:paraId="6B40E859">
      <w:pPr>
        <w:spacing w:line="440" w:lineRule="exact"/>
        <w:rPr>
          <w:rFonts w:hint="eastAsia" w:ascii="宋体" w:hAnsi="宋体" w:eastAsia="宋体"/>
          <w:szCs w:val="21"/>
        </w:rPr>
      </w:pPr>
      <w:r>
        <w:rPr>
          <w:rFonts w:hint="eastAsia" w:ascii="宋体" w:hAnsi="宋体" w:eastAsia="宋体"/>
          <w:szCs w:val="21"/>
        </w:rPr>
        <w:t>（1</w:t>
      </w:r>
      <w:r>
        <w:rPr>
          <w:rFonts w:ascii="宋体" w:hAnsi="宋体" w:eastAsia="宋体"/>
          <w:szCs w:val="21"/>
        </w:rPr>
        <w:t>0</w:t>
      </w:r>
      <w:r>
        <w:rPr>
          <w:rFonts w:hint="eastAsia" w:ascii="宋体" w:hAnsi="宋体" w:eastAsia="宋体"/>
          <w:szCs w:val="21"/>
        </w:rPr>
        <w:t xml:space="preserve">）由承包人原因引起的变更及签证的相应费用由承包人承担。 </w:t>
      </w:r>
    </w:p>
    <w:p w14:paraId="24588BE5">
      <w:pPr>
        <w:spacing w:line="440" w:lineRule="exact"/>
        <w:rPr>
          <w:rFonts w:hint="eastAsia" w:ascii="宋体" w:hAnsi="宋体" w:eastAsia="宋体"/>
          <w:szCs w:val="21"/>
        </w:rPr>
      </w:pPr>
      <w:r>
        <w:rPr>
          <w:rFonts w:hint="eastAsia" w:ascii="宋体" w:hAnsi="宋体" w:eastAsia="宋体"/>
          <w:szCs w:val="21"/>
        </w:rPr>
        <w:t>（1</w:t>
      </w:r>
      <w:r>
        <w:rPr>
          <w:rFonts w:ascii="宋体" w:hAnsi="宋体" w:eastAsia="宋体"/>
          <w:szCs w:val="21"/>
        </w:rPr>
        <w:t>1</w:t>
      </w:r>
      <w:r>
        <w:rPr>
          <w:rFonts w:hint="eastAsia" w:ascii="宋体" w:hAnsi="宋体" w:eastAsia="宋体"/>
          <w:szCs w:val="21"/>
        </w:rPr>
        <w:t>）承包人提交的报告、方案、图纸、资料、竣工资料等费用由承包人承担。</w:t>
      </w:r>
    </w:p>
    <w:p w14:paraId="493C19FE">
      <w:pPr>
        <w:spacing w:line="440" w:lineRule="exact"/>
        <w:rPr>
          <w:rFonts w:hint="eastAsia" w:ascii="宋体" w:hAnsi="宋体" w:eastAsia="宋体"/>
          <w:szCs w:val="21"/>
        </w:rPr>
      </w:pPr>
      <w:r>
        <w:rPr>
          <w:rFonts w:hint="eastAsia" w:ascii="宋体" w:hAnsi="宋体" w:eastAsia="宋体"/>
          <w:szCs w:val="21"/>
        </w:rPr>
        <w:t>（1</w:t>
      </w:r>
      <w:r>
        <w:rPr>
          <w:rFonts w:ascii="宋体" w:hAnsi="宋体" w:eastAsia="宋体"/>
          <w:szCs w:val="21"/>
        </w:rPr>
        <w:t>2</w:t>
      </w:r>
      <w:r>
        <w:rPr>
          <w:rFonts w:hint="eastAsia" w:ascii="宋体" w:hAnsi="宋体" w:eastAsia="宋体"/>
          <w:szCs w:val="21"/>
        </w:rPr>
        <w:t xml:space="preserve">）上述资料纸质版提供份数及或套数需满足发包人要求，电子版壹份。    </w:t>
      </w:r>
    </w:p>
    <w:p w14:paraId="260E17F6">
      <w:pPr>
        <w:spacing w:line="440" w:lineRule="exact"/>
        <w:rPr>
          <w:rFonts w:ascii="宋体" w:hAnsi="宋体" w:eastAsia="宋体"/>
          <w:szCs w:val="21"/>
        </w:rPr>
      </w:pPr>
      <w:r>
        <w:rPr>
          <w:rFonts w:hint="eastAsia" w:ascii="宋体" w:hAnsi="宋体" w:eastAsia="宋体"/>
          <w:szCs w:val="21"/>
        </w:rPr>
        <w:t>5.1.</w:t>
      </w:r>
      <w:r>
        <w:rPr>
          <w:rFonts w:ascii="宋体" w:hAnsi="宋体" w:eastAsia="宋体"/>
          <w:szCs w:val="21"/>
        </w:rPr>
        <w:t>2</w:t>
      </w:r>
      <w:r>
        <w:rPr>
          <w:rFonts w:hint="eastAsia" w:ascii="宋体" w:hAnsi="宋体" w:eastAsia="宋体"/>
          <w:szCs w:val="21"/>
        </w:rPr>
        <w:t>具体设计义务增加如下：</w:t>
      </w:r>
    </w:p>
    <w:p w14:paraId="4678597B">
      <w:pPr>
        <w:spacing w:line="440" w:lineRule="exact"/>
        <w:rPr>
          <w:rFonts w:ascii="宋体" w:hAnsi="宋体" w:eastAsia="宋体"/>
          <w:szCs w:val="21"/>
        </w:rPr>
      </w:pPr>
      <w:r>
        <w:rPr>
          <w:rFonts w:hint="eastAsia" w:ascii="宋体" w:hAnsi="宋体" w:eastAsia="宋体"/>
          <w:szCs w:val="21"/>
        </w:rPr>
        <w:t>（1）承包人应做好质量管理工作，建立健全质量保证体系，加强工作全过程的质量控制,按要求完成本项目。</w:t>
      </w:r>
    </w:p>
    <w:p w14:paraId="5DA48D5A">
      <w:pPr>
        <w:spacing w:line="440" w:lineRule="exact"/>
        <w:rPr>
          <w:rFonts w:ascii="宋体" w:hAnsi="宋体" w:eastAsia="宋体"/>
          <w:szCs w:val="21"/>
        </w:rPr>
      </w:pPr>
      <w:r>
        <w:rPr>
          <w:rFonts w:hint="eastAsia" w:ascii="宋体" w:hAnsi="宋体" w:eastAsia="宋体"/>
          <w:szCs w:val="21"/>
        </w:rPr>
        <w:t>（2）承包人应自行承担完成本项目的一切有关费用,包括食宿、交通、差旅费、会务费等。</w:t>
      </w:r>
    </w:p>
    <w:p w14:paraId="5426EF04">
      <w:pPr>
        <w:spacing w:line="440" w:lineRule="exact"/>
        <w:rPr>
          <w:rFonts w:ascii="宋体" w:hAnsi="宋体" w:eastAsia="宋体"/>
          <w:szCs w:val="21"/>
        </w:rPr>
      </w:pPr>
      <w:r>
        <w:rPr>
          <w:rFonts w:hint="eastAsia" w:ascii="宋体" w:hAnsi="宋体" w:eastAsia="宋体"/>
          <w:szCs w:val="21"/>
        </w:rPr>
        <w:t>（3）不得将所有权或使用权以及设计成果文件转让给第三方。</w:t>
      </w:r>
    </w:p>
    <w:p w14:paraId="312B893A">
      <w:pPr>
        <w:spacing w:line="440" w:lineRule="exact"/>
        <w:rPr>
          <w:rFonts w:ascii="宋体" w:hAnsi="宋体" w:eastAsia="宋体"/>
          <w:szCs w:val="21"/>
        </w:rPr>
      </w:pPr>
      <w:r>
        <w:rPr>
          <w:rFonts w:hint="eastAsia" w:ascii="宋体" w:hAnsi="宋体" w:eastAsia="宋体"/>
          <w:szCs w:val="21"/>
        </w:rPr>
        <w:t>（4）承包人实施本项目服务过程中，发包人将对服务全过程进行有效的监督和管理，承包人应无条件予以配合。当发包人认为需调用承包人的阶段性服务成果和资料时，承包人必须及时提供。发包人对承包人成果和资料的审查并不免除承包人的责任。</w:t>
      </w:r>
    </w:p>
    <w:p w14:paraId="62B81529">
      <w:pPr>
        <w:spacing w:line="440" w:lineRule="exact"/>
        <w:rPr>
          <w:rFonts w:ascii="宋体" w:hAnsi="宋体" w:eastAsia="宋体"/>
          <w:szCs w:val="21"/>
        </w:rPr>
      </w:pPr>
      <w:r>
        <w:rPr>
          <w:rFonts w:hint="eastAsia" w:ascii="宋体" w:hAnsi="宋体" w:eastAsia="宋体"/>
          <w:szCs w:val="21"/>
        </w:rPr>
        <w:t>（5）本合同签订</w:t>
      </w:r>
      <w:r>
        <w:rPr>
          <w:rFonts w:hint="eastAsia" w:ascii="宋体" w:hAnsi="宋体" w:eastAsia="宋体"/>
          <w:szCs w:val="21"/>
          <w:u w:val="single"/>
        </w:rPr>
        <w:t>5日</w:t>
      </w:r>
      <w:r>
        <w:rPr>
          <w:rFonts w:hint="eastAsia" w:ascii="宋体" w:hAnsi="宋体" w:eastAsia="宋体"/>
          <w:szCs w:val="21"/>
        </w:rPr>
        <w:t>内，承包人应按发包人要求及项目设计需要，提供设计工作人员安排计划（含整个设计周期、驻施工现场配合服务的人员）。</w:t>
      </w:r>
    </w:p>
    <w:p w14:paraId="5913D4E9">
      <w:pPr>
        <w:spacing w:line="440" w:lineRule="exact"/>
        <w:rPr>
          <w:rFonts w:hint="eastAsia" w:ascii="宋体" w:hAnsi="宋体" w:eastAsia="宋体"/>
          <w:szCs w:val="21"/>
        </w:rPr>
      </w:pPr>
      <w:r>
        <w:rPr>
          <w:rFonts w:hint="eastAsia" w:ascii="宋体" w:hAnsi="宋体" w:eastAsia="宋体"/>
          <w:szCs w:val="21"/>
        </w:rPr>
        <w:t>（6）承包人提交的设计及有关资料（设计图纸，计算书，文书等）的版权归发包人所有。承包人需将设计及有关资料（设计图纸，计算书，文书等）电子文件（电子文件必须为可修改版）制作成光碟提交发包人。</w:t>
      </w:r>
    </w:p>
    <w:p w14:paraId="31BC25B1">
      <w:pPr>
        <w:tabs>
          <w:tab w:val="left" w:pos="720"/>
        </w:tabs>
        <w:adjustRightInd w:val="0"/>
        <w:snapToGrid w:val="0"/>
        <w:spacing w:line="440" w:lineRule="exact"/>
        <w:rPr>
          <w:rFonts w:hint="eastAsia" w:ascii="宋体" w:hAnsi="宋体" w:eastAsia="宋体"/>
          <w:szCs w:val="21"/>
        </w:rPr>
      </w:pPr>
      <w:r>
        <w:rPr>
          <w:rFonts w:hint="eastAsia" w:ascii="宋体" w:hAnsi="宋体" w:eastAsia="宋体"/>
          <w:szCs w:val="21"/>
        </w:rPr>
        <w:t xml:space="preserve">  （7）承包人提交的所有设计成果需经发包人审核并确认，如发包人对设计内容提出修改意见，承包人应于收到修改意见书面文件后2个工作日内处理或执行，承包人无正当理由不予修改的，发包人有权按</w:t>
      </w:r>
      <w:r>
        <w:rPr>
          <w:rFonts w:hint="eastAsia" w:ascii="宋体" w:hAnsi="宋体" w:eastAsia="宋体"/>
          <w:szCs w:val="21"/>
          <w:u w:val="single"/>
        </w:rPr>
        <w:t>20000元/次</w:t>
      </w:r>
      <w:r>
        <w:rPr>
          <w:rFonts w:hint="eastAsia" w:ascii="宋体" w:hAnsi="宋体" w:eastAsia="宋体"/>
          <w:szCs w:val="21"/>
        </w:rPr>
        <w:t>予以罚款。</w:t>
      </w:r>
    </w:p>
    <w:p w14:paraId="491C1B2F">
      <w:pPr>
        <w:tabs>
          <w:tab w:val="left" w:pos="720"/>
        </w:tabs>
        <w:adjustRightInd w:val="0"/>
        <w:snapToGrid w:val="0"/>
        <w:spacing w:line="440" w:lineRule="exact"/>
        <w:ind w:firstLine="0" w:firstLineChars="0"/>
        <w:rPr>
          <w:rFonts w:ascii="宋体" w:hAnsi="宋体" w:eastAsia="宋体"/>
          <w:szCs w:val="21"/>
        </w:rPr>
      </w:pPr>
      <w:r>
        <w:rPr>
          <w:rFonts w:hint="eastAsia" w:ascii="宋体" w:hAnsi="宋体" w:eastAsia="宋体"/>
          <w:szCs w:val="21"/>
        </w:rPr>
        <w:t>（8）发包人对设计的修改、同意、批准或审批等行为均不构成免除或减轻承包（设计）人的责任。经审查机构批复的设计文件不能减轻或免除承包人的合同责任和义务。</w:t>
      </w:r>
    </w:p>
    <w:p w14:paraId="5A4BBA51">
      <w:pPr>
        <w:spacing w:line="440" w:lineRule="exact"/>
        <w:rPr>
          <w:rFonts w:ascii="宋体" w:hAnsi="宋体" w:eastAsia="宋体"/>
          <w:szCs w:val="21"/>
        </w:rPr>
      </w:pPr>
      <w:r>
        <w:rPr>
          <w:rFonts w:hint="eastAsia" w:ascii="宋体" w:hAnsi="宋体" w:eastAsia="宋体"/>
          <w:szCs w:val="21"/>
        </w:rPr>
        <w:t>（9）</w:t>
      </w:r>
      <w:r>
        <w:rPr>
          <w:rFonts w:ascii="宋体" w:hAnsi="宋体" w:eastAsia="宋体"/>
          <w:szCs w:val="21"/>
        </w:rPr>
        <w:t>因擅自更换设计代表的违约约定：发包人有权责令擅自更换的设计代表退场，且承包人按</w:t>
      </w:r>
      <w:r>
        <w:rPr>
          <w:rFonts w:ascii="宋体" w:hAnsi="宋体" w:eastAsia="宋体"/>
          <w:szCs w:val="21"/>
          <w:u w:val="single"/>
        </w:rPr>
        <w:t>每一人次承担5</w:t>
      </w:r>
      <w:r>
        <w:rPr>
          <w:rFonts w:hint="eastAsia" w:ascii="宋体" w:hAnsi="宋体" w:eastAsia="宋体"/>
          <w:szCs w:val="21"/>
          <w:u w:val="single"/>
        </w:rPr>
        <w:t>0000元</w:t>
      </w:r>
      <w:r>
        <w:rPr>
          <w:rFonts w:ascii="宋体" w:hAnsi="宋体" w:eastAsia="宋体"/>
          <w:szCs w:val="21"/>
        </w:rPr>
        <w:t xml:space="preserve">的违约金。 </w:t>
      </w:r>
    </w:p>
    <w:p w14:paraId="53CF7897">
      <w:pPr>
        <w:tabs>
          <w:tab w:val="left" w:pos="720"/>
        </w:tabs>
        <w:adjustRightInd w:val="0"/>
        <w:snapToGrid w:val="0"/>
        <w:spacing w:line="440" w:lineRule="exact"/>
        <w:rPr>
          <w:rFonts w:hint="eastAsia" w:ascii="宋体" w:hAnsi="宋体" w:eastAsia="宋体"/>
          <w:szCs w:val="21"/>
        </w:rPr>
      </w:pPr>
      <w:r>
        <w:rPr>
          <w:rFonts w:hint="eastAsia" w:ascii="宋体" w:hAnsi="宋体" w:eastAsia="宋体"/>
          <w:szCs w:val="21"/>
        </w:rPr>
        <w:t>（10）承包人应当按法律和技术标准的强制性规定及发包人要求进行工程设计。有关工程设计的特殊标准或要求由合同当事人在专用合同条款中约定。</w:t>
      </w:r>
    </w:p>
    <w:p w14:paraId="3CEA553A">
      <w:pPr>
        <w:tabs>
          <w:tab w:val="left" w:pos="720"/>
        </w:tabs>
        <w:adjustRightInd w:val="0"/>
        <w:snapToGrid w:val="0"/>
        <w:spacing w:line="440" w:lineRule="exact"/>
        <w:rPr>
          <w:rFonts w:hint="eastAsia" w:ascii="宋体" w:hAnsi="宋体" w:eastAsia="宋体"/>
          <w:szCs w:val="21"/>
        </w:rPr>
      </w:pPr>
      <w:r>
        <w:rPr>
          <w:rFonts w:hint="eastAsia" w:ascii="宋体" w:hAnsi="宋体" w:eastAsia="宋体"/>
          <w:szCs w:val="21"/>
        </w:rPr>
        <w:t>设计人发现发包人提供的工程设计资料有问题的，设计人应当及时通知发包人并经发包人确认。</w:t>
      </w:r>
    </w:p>
    <w:p w14:paraId="1CEE76CE">
      <w:pPr>
        <w:widowControl w:val="0"/>
        <w:spacing w:after="120" w:line="440" w:lineRule="exact"/>
        <w:jc w:val="both"/>
        <w:rPr>
          <w:rFonts w:ascii="Calibri" w:hAnsi="Calibri" w:eastAsia="宋体" w:cs="Times New Roman"/>
          <w:kern w:val="2"/>
          <w:sz w:val="21"/>
          <w:szCs w:val="21"/>
          <w:lang w:val="en-US" w:eastAsia="zh-CN" w:bidi="ar-SA"/>
        </w:rPr>
      </w:pPr>
      <w:r>
        <w:rPr>
          <w:rFonts w:hint="eastAsia" w:ascii="Calibri" w:hAnsi="Calibri" w:eastAsia="宋体" w:cs="Times New Roman"/>
          <w:kern w:val="2"/>
          <w:sz w:val="21"/>
          <w:szCs w:val="21"/>
          <w:lang w:val="en-US" w:eastAsia="zh-CN" w:bidi="ar-SA"/>
        </w:rPr>
        <w:t>（11）承包人应当严格执行其双方书面确认的主要技术指标控制值，由于承包人的原因导致工程设计文件超出在专用合同条款中约定的主要技术指标控制值比例的，承包人应当承担相应的违约责任。</w:t>
      </w:r>
    </w:p>
    <w:p w14:paraId="04CA7A5E">
      <w:pPr>
        <w:tabs>
          <w:tab w:val="left" w:pos="720"/>
        </w:tabs>
        <w:adjustRightInd w:val="0"/>
        <w:snapToGrid w:val="0"/>
        <w:spacing w:line="440" w:lineRule="exact"/>
        <w:rPr>
          <w:rFonts w:hint="eastAsia" w:ascii="宋体" w:hAnsi="宋体" w:eastAsia="宋体"/>
          <w:szCs w:val="21"/>
        </w:rPr>
      </w:pPr>
      <w:r>
        <w:rPr>
          <w:rFonts w:hint="eastAsia" w:ascii="宋体" w:hAnsi="宋体" w:eastAsia="宋体"/>
          <w:bCs/>
          <w:szCs w:val="21"/>
        </w:rPr>
        <w:t>（12）</w:t>
      </w:r>
      <w:r>
        <w:rPr>
          <w:rFonts w:hint="eastAsia" w:ascii="宋体" w:hAnsi="宋体" w:eastAsia="宋体"/>
          <w:szCs w:val="21"/>
        </w:rPr>
        <w:t>如承包人发现图纸有错误，应及时自行改正，承担相应修改的费用和工期损失，并及时通知发包人和监理人，并按变更的正常程序，进行施工图的设计变更。</w:t>
      </w:r>
    </w:p>
    <w:p w14:paraId="4D82D0B4">
      <w:pPr>
        <w:tabs>
          <w:tab w:val="left" w:pos="720"/>
        </w:tabs>
        <w:adjustRightInd w:val="0"/>
        <w:snapToGrid w:val="0"/>
        <w:spacing w:line="440" w:lineRule="exact"/>
        <w:rPr>
          <w:rFonts w:hint="eastAsia" w:ascii="宋体" w:hAnsi="宋体" w:eastAsia="宋体"/>
          <w:szCs w:val="21"/>
        </w:rPr>
      </w:pPr>
      <w:r>
        <w:rPr>
          <w:rFonts w:hint="eastAsia" w:ascii="宋体" w:hAnsi="宋体" w:eastAsia="宋体"/>
          <w:szCs w:val="21"/>
        </w:rPr>
        <w:t>由于</w:t>
      </w:r>
      <w:r>
        <w:rPr>
          <w:rFonts w:hint="eastAsia" w:eastAsia="宋体"/>
          <w:szCs w:val="21"/>
        </w:rPr>
        <w:t>承包人</w:t>
      </w:r>
      <w:r>
        <w:rPr>
          <w:rFonts w:hint="eastAsia" w:ascii="宋体" w:hAnsi="宋体" w:eastAsia="宋体"/>
          <w:szCs w:val="21"/>
        </w:rPr>
        <w:t>错误造成工程质量事故损失，</w:t>
      </w:r>
      <w:r>
        <w:rPr>
          <w:rFonts w:hint="eastAsia" w:eastAsia="宋体"/>
          <w:szCs w:val="21"/>
        </w:rPr>
        <w:t>承包人</w:t>
      </w:r>
      <w:r>
        <w:rPr>
          <w:rFonts w:hint="eastAsia" w:ascii="宋体" w:hAnsi="宋体" w:eastAsia="宋体"/>
          <w:szCs w:val="21"/>
        </w:rPr>
        <w:t>除负责采取补救措施外，还应当免收直接受损失部分的设计费。给发包人造成损失的，承包人应向发包人支付赔偿金。</w:t>
      </w:r>
    </w:p>
    <w:p w14:paraId="6C6CD451">
      <w:pPr>
        <w:spacing w:line="440" w:lineRule="exact"/>
        <w:rPr>
          <w:rFonts w:hint="eastAsia" w:ascii="宋体" w:hAnsi="宋体" w:eastAsia="宋体"/>
          <w:szCs w:val="21"/>
        </w:rPr>
      </w:pPr>
      <w:r>
        <w:rPr>
          <w:rFonts w:hint="eastAsia" w:ascii="宋体" w:hAnsi="宋体" w:eastAsia="宋体"/>
          <w:szCs w:val="21"/>
        </w:rPr>
        <w:t>（13）承包人同意并确认：各阶段一旦出现超出工程最高限额的情况，承包人应及时调整设计，以满足限额设计要求，并在调整后出具造价低于工程最高限额的施工图并通过发包人与监理人审核确认。</w:t>
      </w:r>
    </w:p>
    <w:p w14:paraId="20831E5D">
      <w:pPr>
        <w:spacing w:line="440" w:lineRule="exact"/>
        <w:rPr>
          <w:rFonts w:hint="eastAsia" w:ascii="宋体" w:hAnsi="宋体" w:eastAsia="宋体"/>
          <w:szCs w:val="21"/>
        </w:rPr>
      </w:pPr>
      <w:r>
        <w:rPr>
          <w:rFonts w:hint="eastAsia" w:ascii="宋体" w:hAnsi="宋体" w:eastAsia="宋体"/>
          <w:szCs w:val="21"/>
        </w:rPr>
        <w:t>（14）承包人应做好限额设计工作，并有义务将节约投资的新技术、新工艺、新型材料等用于施工图设计中，发包人有权在各阶段设计中提出自身认为更经济合理的方案，</w:t>
      </w:r>
      <w:r>
        <w:rPr>
          <w:rFonts w:hint="eastAsia" w:eastAsia="宋体"/>
          <w:szCs w:val="21"/>
        </w:rPr>
        <w:t>承包人</w:t>
      </w:r>
      <w:r>
        <w:rPr>
          <w:rFonts w:hint="eastAsia" w:ascii="宋体" w:hAnsi="宋体" w:eastAsia="宋体"/>
          <w:szCs w:val="21"/>
        </w:rPr>
        <w:t>需在满足国家、地方及行业现行规范的前提下必须满足发包人的要求，不得超标准设计，不得过于保守设计，同时对于可能导致投资和工期增减的各阶段设计变更或措施调整应事先报告发包人，经发包人审核同意后，并正式发出书面通知方可调整。</w:t>
      </w:r>
    </w:p>
    <w:p w14:paraId="5C9D1D99">
      <w:pPr>
        <w:widowControl w:val="0"/>
        <w:spacing w:after="120" w:line="440" w:lineRule="exact"/>
        <w:jc w:val="both"/>
        <w:rPr>
          <w:rFonts w:hint="eastAsia" w:ascii="Calibri" w:hAnsi="Calibri" w:eastAsia="宋体" w:cs="Times New Roman"/>
          <w:kern w:val="2"/>
          <w:sz w:val="21"/>
          <w:szCs w:val="21"/>
          <w:lang w:val="en-US" w:eastAsia="zh-CN" w:bidi="ar-SA"/>
        </w:rPr>
      </w:pPr>
      <w:r>
        <w:rPr>
          <w:rFonts w:hint="eastAsia" w:ascii="Calibri" w:hAnsi="Calibri" w:eastAsia="宋体" w:cs="Times New Roman"/>
          <w:kern w:val="2"/>
          <w:sz w:val="21"/>
          <w:szCs w:val="21"/>
          <w:lang w:val="en-US" w:eastAsia="zh-CN" w:bidi="ar-SA"/>
        </w:rPr>
        <w:t>（15）承包人在合同实施过程中应按照发包人要求对部分建设内容对照初步设计进行深化设计。</w:t>
      </w:r>
    </w:p>
    <w:p w14:paraId="08E9C8AF">
      <w:pPr>
        <w:spacing w:line="440" w:lineRule="exact"/>
        <w:rPr>
          <w:rFonts w:hint="eastAsia" w:ascii="宋体" w:hAnsi="宋体" w:eastAsia="宋体"/>
          <w:szCs w:val="21"/>
        </w:rPr>
      </w:pPr>
      <w:r>
        <w:rPr>
          <w:rFonts w:hint="eastAsia" w:ascii="宋体" w:hAnsi="宋体" w:eastAsia="宋体"/>
          <w:szCs w:val="21"/>
        </w:rPr>
        <w:t>（16）承包人应按照国家及项目所在地相关规定规范设计。因承包人原因导致设计漏项、错项，应由承包人承担全部责任。</w:t>
      </w:r>
    </w:p>
    <w:p w14:paraId="5154B5A4">
      <w:pPr>
        <w:keepNext/>
        <w:keepLines/>
        <w:spacing w:before="120" w:beforeLines="50" w:line="440" w:lineRule="exact"/>
        <w:outlineLvl w:val="0"/>
        <w:rPr>
          <w:rFonts w:ascii="黑体" w:hAnsi="黑体" w:eastAsia="黑体"/>
        </w:rPr>
      </w:pPr>
      <w:r>
        <w:rPr>
          <w:rFonts w:hint="eastAsia" w:ascii="黑体" w:hAnsi="黑体" w:eastAsia="黑体"/>
        </w:rPr>
        <w:t>5</w:t>
      </w:r>
      <w:r>
        <w:rPr>
          <w:rFonts w:ascii="黑体" w:hAnsi="黑体" w:eastAsia="黑体"/>
        </w:rPr>
        <w:t>.2</w:t>
      </w:r>
      <w:r>
        <w:rPr>
          <w:rFonts w:hint="eastAsia" w:ascii="黑体" w:hAnsi="黑体" w:eastAsia="黑体"/>
        </w:rPr>
        <w:t>承包人设计进度计划</w:t>
      </w:r>
    </w:p>
    <w:p w14:paraId="17AAC40D">
      <w:pPr>
        <w:spacing w:line="440" w:lineRule="exact"/>
        <w:rPr>
          <w:rFonts w:ascii="宋体" w:hAnsi="宋体" w:eastAsia="宋体"/>
          <w:szCs w:val="21"/>
        </w:rPr>
      </w:pPr>
      <w:r>
        <w:rPr>
          <w:rFonts w:ascii="宋体" w:hAnsi="宋体" w:eastAsia="宋体"/>
          <w:szCs w:val="21"/>
        </w:rPr>
        <w:t>提交关键工程设计计划的名称、份数和时间：</w:t>
      </w:r>
      <w:r>
        <w:rPr>
          <w:rFonts w:ascii="宋体" w:hAnsi="宋体" w:eastAsia="宋体"/>
          <w:b/>
          <w:bCs/>
          <w:szCs w:val="21"/>
          <w:u w:val="single"/>
        </w:rPr>
        <w:t>按</w:t>
      </w:r>
      <w:r>
        <w:rPr>
          <w:rFonts w:ascii="宋体" w:hAnsi="宋体" w:eastAsia="宋体"/>
          <w:b/>
          <w:szCs w:val="21"/>
          <w:u w:val="single"/>
        </w:rPr>
        <w:t>发包人要求</w:t>
      </w:r>
      <w:r>
        <w:rPr>
          <w:rFonts w:ascii="宋体" w:hAnsi="宋体" w:eastAsia="宋体"/>
          <w:szCs w:val="21"/>
          <w:u w:val="single"/>
        </w:rPr>
        <w:t xml:space="preserve"> </w:t>
      </w:r>
      <w:r>
        <w:rPr>
          <w:rFonts w:hint="eastAsia" w:ascii="宋体" w:hAnsi="宋体" w:eastAsia="宋体"/>
          <w:szCs w:val="21"/>
        </w:rPr>
        <w:t>。</w:t>
      </w:r>
    </w:p>
    <w:p w14:paraId="754A34D9">
      <w:pPr>
        <w:keepNext/>
        <w:keepLines/>
        <w:spacing w:before="120" w:beforeLines="50" w:line="440" w:lineRule="exact"/>
        <w:outlineLvl w:val="0"/>
        <w:rPr>
          <w:rFonts w:ascii="黑体" w:hAnsi="黑体" w:eastAsia="黑体"/>
        </w:rPr>
      </w:pPr>
      <w:r>
        <w:rPr>
          <w:rFonts w:ascii="黑体" w:hAnsi="黑体" w:eastAsia="黑体"/>
        </w:rPr>
        <w:t>5.3 设计审查</w:t>
      </w:r>
    </w:p>
    <w:p w14:paraId="759AB2C2">
      <w:pPr>
        <w:spacing w:line="440" w:lineRule="exact"/>
        <w:rPr>
          <w:rFonts w:ascii="宋体" w:hAnsi="宋体" w:eastAsia="宋体"/>
          <w:szCs w:val="21"/>
        </w:rPr>
      </w:pPr>
      <w:r>
        <w:rPr>
          <w:rFonts w:eastAsia="宋体"/>
        </w:rPr>
        <w:t>5.3.1发包人的设计审查时间：</w:t>
      </w:r>
      <w:r>
        <w:rPr>
          <w:rFonts w:hint="eastAsia" w:ascii="宋体" w:hAnsi="宋体" w:eastAsia="宋体"/>
          <w:szCs w:val="21"/>
        </w:rPr>
        <w:t>发包人提供的基础资料承包人有义务进行复核，若有异议，承包人应在收到基础资料7个工作日内提出书面意见，若未提出书面意见，则引起的相关损失由承包人承担相应责任。</w:t>
      </w:r>
      <w:r>
        <w:rPr>
          <w:rFonts w:hint="eastAsia" w:eastAsia="宋体"/>
        </w:rPr>
        <w:t>发包人收到承包人递交设计文件后的21日历天内。</w:t>
      </w:r>
      <w:r>
        <w:rPr>
          <w:rFonts w:eastAsia="宋体"/>
        </w:rPr>
        <w:t xml:space="preserve">             </w:t>
      </w:r>
    </w:p>
    <w:p w14:paraId="6955367B">
      <w:pPr>
        <w:spacing w:line="440" w:lineRule="exact"/>
        <w:rPr>
          <w:rFonts w:hint="eastAsia" w:ascii="宋体" w:hAnsi="宋体" w:eastAsia="宋体"/>
          <w:szCs w:val="21"/>
        </w:rPr>
      </w:pPr>
      <w:r>
        <w:rPr>
          <w:rFonts w:eastAsia="宋体"/>
        </w:rPr>
        <w:t>5.3</w:t>
      </w:r>
      <w:r>
        <w:rPr>
          <w:rFonts w:hint="eastAsia" w:eastAsia="宋体"/>
        </w:rPr>
        <w:t xml:space="preserve">.4 </w:t>
      </w:r>
      <w:r>
        <w:rPr>
          <w:rFonts w:hint="eastAsia" w:ascii="宋体" w:hAnsi="宋体" w:eastAsia="宋体"/>
          <w:szCs w:val="21"/>
        </w:rPr>
        <w:t>经审查机构或发包人、监理人批复或确认的设计文件不能减轻或免除承包人的合同责任和义务。</w:t>
      </w:r>
    </w:p>
    <w:p w14:paraId="5A42AC87">
      <w:pPr>
        <w:keepNext/>
        <w:keepLines/>
        <w:spacing w:before="120" w:beforeLines="50" w:line="440" w:lineRule="exact"/>
        <w:outlineLvl w:val="0"/>
        <w:rPr>
          <w:rFonts w:ascii="黑体" w:hAnsi="黑体" w:eastAsia="黑体"/>
        </w:rPr>
      </w:pPr>
      <w:r>
        <w:rPr>
          <w:rFonts w:ascii="黑体" w:hAnsi="黑体" w:eastAsia="黑体"/>
        </w:rPr>
        <w:t>5.5 竣工文件</w:t>
      </w:r>
    </w:p>
    <w:p w14:paraId="5B15733C">
      <w:pPr>
        <w:widowControl/>
        <w:spacing w:line="440" w:lineRule="exact"/>
        <w:jc w:val="left"/>
        <w:rPr>
          <w:rFonts w:hint="eastAsia" w:ascii="宋体" w:hAnsi="宋体" w:eastAsia="宋体"/>
          <w:szCs w:val="21"/>
        </w:rPr>
      </w:pPr>
      <w:r>
        <w:rPr>
          <w:rFonts w:eastAsia="宋体"/>
          <w:szCs w:val="21"/>
        </w:rPr>
        <w:t>5.5.4</w:t>
      </w:r>
      <w:r>
        <w:rPr>
          <w:rFonts w:hint="eastAsia" w:eastAsia="宋体"/>
          <w:szCs w:val="21"/>
        </w:rPr>
        <w:t xml:space="preserve"> </w:t>
      </w:r>
      <w:r>
        <w:rPr>
          <w:rFonts w:ascii="宋体" w:hAnsi="宋体" w:eastAsia="宋体"/>
          <w:szCs w:val="21"/>
        </w:rPr>
        <w:t>完整的</w:t>
      </w:r>
      <w:r>
        <w:rPr>
          <w:rFonts w:hint="eastAsia" w:ascii="宋体" w:hAnsi="宋体" w:eastAsia="宋体"/>
          <w:szCs w:val="21"/>
        </w:rPr>
        <w:t>竣工文件（</w:t>
      </w:r>
      <w:r>
        <w:rPr>
          <w:rFonts w:ascii="宋体" w:hAnsi="宋体" w:eastAsia="宋体"/>
          <w:szCs w:val="21"/>
        </w:rPr>
        <w:t>竣工资料</w:t>
      </w:r>
      <w:r>
        <w:rPr>
          <w:rFonts w:hint="eastAsia" w:ascii="宋体" w:hAnsi="宋体" w:eastAsia="宋体"/>
          <w:szCs w:val="21"/>
        </w:rPr>
        <w:t>）</w:t>
      </w:r>
      <w:r>
        <w:rPr>
          <w:rFonts w:ascii="宋体" w:hAnsi="宋体" w:eastAsia="宋体"/>
          <w:szCs w:val="21"/>
        </w:rPr>
        <w:t>的格式、份数和提交时间：</w:t>
      </w:r>
      <w:r>
        <w:rPr>
          <w:rFonts w:hint="eastAsia" w:ascii="宋体" w:hAnsi="宋体" w:eastAsia="宋体"/>
          <w:szCs w:val="21"/>
        </w:rPr>
        <w:t>工程具备竣工验收条件，承包人应在竣工后，按发包人和档案管理相关规定及要求，向发包人提供完整的竣工档案资料、竣工图及电子档案，积极配合发包人做好档案验收及竣工备案资料整理工作。</w:t>
      </w:r>
    </w:p>
    <w:p w14:paraId="44A6BA8A">
      <w:pPr>
        <w:widowControl/>
        <w:spacing w:line="440" w:lineRule="exact"/>
        <w:jc w:val="left"/>
        <w:rPr>
          <w:rFonts w:hint="eastAsia" w:ascii="宋体" w:hAnsi="宋体" w:eastAsia="宋体"/>
          <w:szCs w:val="21"/>
        </w:rPr>
      </w:pPr>
      <w:r>
        <w:rPr>
          <w:rFonts w:hint="eastAsia" w:ascii="宋体" w:hAnsi="宋体" w:eastAsia="宋体"/>
          <w:szCs w:val="21"/>
        </w:rPr>
        <w:t>承包人需要提交的竣工资料套数：四套（均为原件）。</w:t>
      </w:r>
    </w:p>
    <w:p w14:paraId="476B964A">
      <w:pPr>
        <w:widowControl/>
        <w:spacing w:line="440" w:lineRule="exact"/>
        <w:jc w:val="left"/>
        <w:rPr>
          <w:rFonts w:ascii="宋体" w:hAnsi="宋体" w:eastAsia="宋体"/>
          <w:szCs w:val="21"/>
        </w:rPr>
      </w:pPr>
      <w:r>
        <w:rPr>
          <w:rFonts w:hint="eastAsia" w:ascii="宋体" w:hAnsi="宋体" w:eastAsia="宋体"/>
          <w:szCs w:val="21"/>
        </w:rPr>
        <w:t>承包人提交的竣工资料的费用承担：自行承担</w:t>
      </w:r>
      <w:r>
        <w:rPr>
          <w:rFonts w:ascii="宋体" w:hAnsi="宋体" w:eastAsia="宋体"/>
          <w:szCs w:val="21"/>
        </w:rPr>
        <w:t xml:space="preserve"> </w:t>
      </w:r>
      <w:r>
        <w:rPr>
          <w:rFonts w:hint="eastAsia" w:ascii="宋体" w:hAnsi="宋体" w:eastAsia="宋体"/>
          <w:szCs w:val="21"/>
        </w:rPr>
        <w:t>。</w:t>
      </w:r>
    </w:p>
    <w:p w14:paraId="7B40E2FE">
      <w:pPr>
        <w:widowControl/>
        <w:spacing w:line="440" w:lineRule="exact"/>
        <w:jc w:val="left"/>
        <w:rPr>
          <w:rFonts w:ascii="宋体" w:hAnsi="宋体" w:eastAsia="宋体"/>
          <w:szCs w:val="21"/>
        </w:rPr>
      </w:pPr>
      <w:r>
        <w:rPr>
          <w:rFonts w:hint="eastAsia" w:ascii="宋体" w:hAnsi="宋体" w:eastAsia="宋体"/>
          <w:szCs w:val="21"/>
        </w:rPr>
        <w:t>承包人提交的竣工资料移交时间：工程竣工验收合格后一个月内移交正式档案</w:t>
      </w:r>
    </w:p>
    <w:p w14:paraId="6E87C5C2">
      <w:pPr>
        <w:widowControl/>
        <w:spacing w:line="440" w:lineRule="exact"/>
        <w:jc w:val="left"/>
        <w:rPr>
          <w:rFonts w:ascii="宋体" w:hAnsi="宋体" w:eastAsia="宋体"/>
          <w:bCs/>
          <w:szCs w:val="21"/>
        </w:rPr>
      </w:pPr>
      <w:r>
        <w:rPr>
          <w:rFonts w:hint="eastAsia" w:ascii="宋体" w:hAnsi="宋体" w:eastAsia="宋体"/>
          <w:szCs w:val="21"/>
        </w:rPr>
        <w:t>承包人提交的竣工资料形式要求：</w:t>
      </w:r>
      <w:r>
        <w:rPr>
          <w:rFonts w:hint="eastAsia" w:ascii="宋体" w:hAnsi="宋体" w:eastAsia="宋体"/>
          <w:szCs w:val="21"/>
          <w:u w:val="single"/>
        </w:rPr>
        <w:t>纸质版和电子版</w:t>
      </w:r>
      <w:r>
        <w:rPr>
          <w:rFonts w:hint="eastAsia" w:ascii="宋体" w:hAnsi="宋体" w:eastAsia="宋体"/>
          <w:szCs w:val="21"/>
        </w:rPr>
        <w:t>。</w:t>
      </w:r>
    </w:p>
    <w:p w14:paraId="18C09CB3">
      <w:pPr>
        <w:keepNext/>
        <w:keepLines/>
        <w:spacing w:before="120" w:beforeLines="50" w:line="440" w:lineRule="exact"/>
        <w:outlineLvl w:val="0"/>
        <w:rPr>
          <w:rFonts w:ascii="黑体" w:hAnsi="黑体" w:eastAsia="黑体"/>
        </w:rPr>
      </w:pPr>
      <w:r>
        <w:rPr>
          <w:rFonts w:ascii="黑体" w:hAnsi="黑体" w:eastAsia="黑体"/>
          <w:bCs/>
        </w:rPr>
        <w:t>5.6 操作和维修手册</w:t>
      </w:r>
    </w:p>
    <w:p w14:paraId="0228D65D">
      <w:pPr>
        <w:spacing w:line="440" w:lineRule="exact"/>
        <w:rPr>
          <w:rFonts w:ascii="宋体" w:hAnsi="宋体" w:eastAsia="宋体"/>
          <w:szCs w:val="21"/>
          <w:u w:val="single"/>
        </w:rPr>
      </w:pPr>
      <w:r>
        <w:rPr>
          <w:rFonts w:ascii="宋体" w:hAnsi="宋体" w:eastAsia="宋体"/>
          <w:szCs w:val="21"/>
        </w:rPr>
        <w:t>发包人提交的操作指南、分析手册的份数和提交期限：</w:t>
      </w:r>
      <w:r>
        <w:rPr>
          <w:rFonts w:ascii="宋体" w:hAnsi="宋体" w:eastAsia="宋体"/>
          <w:szCs w:val="21"/>
          <w:u w:val="single"/>
        </w:rPr>
        <w:t xml:space="preserve">  </w:t>
      </w:r>
      <w:r>
        <w:rPr>
          <w:rFonts w:ascii="宋体" w:hAnsi="宋体" w:eastAsia="宋体"/>
          <w:b/>
          <w:szCs w:val="21"/>
          <w:u w:val="single"/>
        </w:rPr>
        <w:t>/</w:t>
      </w:r>
      <w:r>
        <w:rPr>
          <w:rFonts w:ascii="宋体" w:hAnsi="宋体" w:eastAsia="宋体"/>
          <w:szCs w:val="21"/>
          <w:u w:val="single"/>
        </w:rPr>
        <w:t xml:space="preserve">    </w:t>
      </w:r>
    </w:p>
    <w:p w14:paraId="0E7E0BDC">
      <w:pPr>
        <w:spacing w:line="440" w:lineRule="exact"/>
        <w:ind w:right="248"/>
        <w:rPr>
          <w:rFonts w:ascii="宋体" w:hAnsi="宋体" w:eastAsia="宋体"/>
          <w:b/>
          <w:szCs w:val="21"/>
          <w:u w:val="single"/>
        </w:rPr>
      </w:pPr>
      <w:r>
        <w:rPr>
          <w:rFonts w:ascii="宋体" w:hAnsi="宋体" w:eastAsia="宋体"/>
          <w:szCs w:val="21"/>
        </w:rPr>
        <w:t>承包人提交的操作维修手册的份数和最终提交期限：</w:t>
      </w:r>
      <w:r>
        <w:rPr>
          <w:rFonts w:ascii="宋体" w:hAnsi="宋体" w:eastAsia="宋体"/>
          <w:szCs w:val="21"/>
          <w:u w:val="single"/>
        </w:rPr>
        <w:t xml:space="preserve">  </w:t>
      </w:r>
      <w:r>
        <w:rPr>
          <w:rFonts w:ascii="宋体" w:hAnsi="宋体" w:eastAsia="宋体"/>
          <w:b/>
          <w:szCs w:val="21"/>
          <w:u w:val="single"/>
        </w:rPr>
        <w:t>提交5份，竣工移交时提交。</w:t>
      </w:r>
    </w:p>
    <w:p w14:paraId="22137A41">
      <w:pPr>
        <w:spacing w:line="440" w:lineRule="exact"/>
        <w:ind w:right="248"/>
        <w:rPr>
          <w:rFonts w:ascii="宋体" w:hAnsi="宋体" w:eastAsia="宋体"/>
          <w:szCs w:val="21"/>
        </w:rPr>
      </w:pPr>
      <w:r>
        <w:rPr>
          <w:rFonts w:ascii="宋体" w:hAnsi="宋体" w:eastAsia="宋体"/>
          <w:szCs w:val="21"/>
        </w:rPr>
        <w:t>承包人无偿对发包人的操作维修人员进行交底和培训。</w:t>
      </w:r>
    </w:p>
    <w:p w14:paraId="2F0006D8">
      <w:pPr>
        <w:keepNext/>
        <w:keepLines/>
        <w:spacing w:before="48" w:beforeLines="20" w:line="440" w:lineRule="exact"/>
        <w:outlineLvl w:val="0"/>
        <w:rPr>
          <w:rFonts w:eastAsia="黑体" w:cs="Times New Roman"/>
          <w:b/>
          <w:bCs w:val="0"/>
          <w:sz w:val="24"/>
          <w:szCs w:val="32"/>
        </w:rPr>
      </w:pPr>
      <w:r>
        <w:rPr>
          <w:rFonts w:eastAsia="黑体" w:cs="Times New Roman"/>
          <w:b/>
          <w:bCs w:val="0"/>
          <w:sz w:val="24"/>
          <w:szCs w:val="32"/>
        </w:rPr>
        <w:t>6. 材料和工程设备</w:t>
      </w:r>
    </w:p>
    <w:p w14:paraId="159F4E49">
      <w:pPr>
        <w:keepNext/>
        <w:keepLines/>
        <w:spacing w:before="120" w:beforeLines="50" w:line="440" w:lineRule="exact"/>
        <w:outlineLvl w:val="0"/>
        <w:rPr>
          <w:rFonts w:ascii="黑体" w:hAnsi="黑体" w:eastAsia="黑体"/>
        </w:rPr>
      </w:pPr>
      <w:r>
        <w:rPr>
          <w:rFonts w:ascii="黑体" w:hAnsi="黑体" w:eastAsia="黑体"/>
        </w:rPr>
        <w:t>6.1 承包人提供的材料和工程设备</w:t>
      </w:r>
    </w:p>
    <w:p w14:paraId="2828D028">
      <w:pPr>
        <w:spacing w:line="440" w:lineRule="exact"/>
        <w:rPr>
          <w:rFonts w:eastAsia="宋体"/>
        </w:rPr>
      </w:pPr>
      <w:r>
        <w:rPr>
          <w:rFonts w:ascii="宋体" w:hAnsi="宋体" w:eastAsia="宋体"/>
          <w:szCs w:val="21"/>
        </w:rPr>
        <w:t>6.1.4承包人应依法</w:t>
      </w:r>
      <w:r>
        <w:rPr>
          <w:rFonts w:hint="eastAsia" w:ascii="宋体" w:hAnsi="宋体" w:eastAsia="宋体"/>
          <w:szCs w:val="21"/>
        </w:rPr>
        <w:t>选择</w:t>
      </w:r>
      <w:r>
        <w:rPr>
          <w:rFonts w:ascii="宋体" w:hAnsi="宋体" w:eastAsia="宋体"/>
          <w:szCs w:val="21"/>
        </w:rPr>
        <w:t>相关工程物资的供货商或制造厂。对于依法必须进行招标的</w:t>
      </w:r>
      <w:r>
        <w:rPr>
          <w:rFonts w:hint="eastAsia" w:ascii="宋体" w:hAnsi="宋体" w:eastAsia="宋体"/>
          <w:szCs w:val="21"/>
        </w:rPr>
        <w:t>采购</w:t>
      </w:r>
      <w:r>
        <w:rPr>
          <w:rFonts w:ascii="宋体" w:hAnsi="宋体" w:eastAsia="宋体"/>
          <w:szCs w:val="21"/>
        </w:rPr>
        <w:t>项目，应按照国家相关规定进行</w:t>
      </w:r>
      <w:r>
        <w:rPr>
          <w:rFonts w:hint="eastAsia" w:ascii="宋体" w:hAnsi="宋体" w:eastAsia="宋体"/>
          <w:szCs w:val="21"/>
        </w:rPr>
        <w:t>委托招标采购。</w:t>
      </w:r>
    </w:p>
    <w:p w14:paraId="2CF10699">
      <w:pPr>
        <w:spacing w:line="440" w:lineRule="exact"/>
        <w:rPr>
          <w:rFonts w:ascii="宋体" w:hAnsi="宋体" w:eastAsia="宋体"/>
          <w:szCs w:val="21"/>
        </w:rPr>
      </w:pPr>
      <w:r>
        <w:rPr>
          <w:rFonts w:hint="eastAsia" w:ascii="宋体" w:hAnsi="宋体" w:eastAsia="宋体"/>
          <w:szCs w:val="21"/>
        </w:rPr>
        <w:t>6</w:t>
      </w:r>
      <w:r>
        <w:rPr>
          <w:rFonts w:ascii="宋体" w:hAnsi="宋体" w:eastAsia="宋体"/>
          <w:szCs w:val="21"/>
        </w:rPr>
        <w:t>.1.5材料设备管理要求：</w:t>
      </w:r>
    </w:p>
    <w:p w14:paraId="4CF4E39E">
      <w:pPr>
        <w:spacing w:line="440" w:lineRule="exact"/>
        <w:rPr>
          <w:rFonts w:ascii="宋体" w:hAnsi="宋体" w:eastAsia="宋体"/>
          <w:szCs w:val="21"/>
        </w:rPr>
      </w:pPr>
      <w:r>
        <w:rPr>
          <w:rFonts w:ascii="宋体" w:hAnsi="宋体" w:eastAsia="宋体"/>
          <w:szCs w:val="21"/>
        </w:rPr>
        <w:t>（1）承包人根据项目进展情况，</w:t>
      </w:r>
      <w:r>
        <w:rPr>
          <w:rFonts w:hint="eastAsia" w:ascii="宋体" w:hAnsi="宋体" w:eastAsia="宋体"/>
          <w:szCs w:val="21"/>
        </w:rPr>
        <w:t>按规定及约定时间</w:t>
      </w:r>
      <w:r>
        <w:rPr>
          <w:rFonts w:ascii="宋体" w:hAnsi="宋体" w:eastAsia="宋体"/>
          <w:szCs w:val="21"/>
        </w:rPr>
        <w:t xml:space="preserve">提前提交主要材料及设备的采购计划，未提交采购进度计划或者采购进度计划未获得批准的，承包人擅自采购造成的损失由承包人承担。 </w:t>
      </w:r>
    </w:p>
    <w:p w14:paraId="78C530DA">
      <w:pPr>
        <w:spacing w:line="440" w:lineRule="exact"/>
        <w:rPr>
          <w:rFonts w:ascii="宋体" w:hAnsi="宋体" w:eastAsia="宋体"/>
          <w:szCs w:val="21"/>
        </w:rPr>
      </w:pPr>
      <w:r>
        <w:rPr>
          <w:rFonts w:ascii="宋体" w:hAnsi="宋体" w:eastAsia="宋体"/>
          <w:szCs w:val="21"/>
        </w:rPr>
        <w:t>（</w:t>
      </w:r>
      <w:r>
        <w:rPr>
          <w:rFonts w:hint="eastAsia" w:ascii="宋体" w:hAnsi="宋体" w:eastAsia="宋体"/>
          <w:szCs w:val="21"/>
        </w:rPr>
        <w:t>2</w:t>
      </w:r>
      <w:r>
        <w:rPr>
          <w:rFonts w:ascii="宋体" w:hAnsi="宋体" w:eastAsia="宋体"/>
          <w:szCs w:val="21"/>
        </w:rPr>
        <w:t>）用于本项目的所有材料设备必须满足国家对该材料设备的产品标准</w:t>
      </w:r>
      <w:r>
        <w:rPr>
          <w:rFonts w:hint="eastAsia" w:ascii="宋体" w:hAnsi="宋体" w:eastAsia="宋体"/>
          <w:szCs w:val="21"/>
        </w:rPr>
        <w:t>、</w:t>
      </w:r>
      <w:r>
        <w:rPr>
          <w:rFonts w:ascii="宋体" w:hAnsi="宋体" w:eastAsia="宋体"/>
          <w:szCs w:val="21"/>
        </w:rPr>
        <w:t>规范要求</w:t>
      </w:r>
      <w:r>
        <w:rPr>
          <w:rFonts w:hint="eastAsia" w:ascii="宋体" w:hAnsi="宋体" w:eastAsia="宋体"/>
          <w:szCs w:val="21"/>
        </w:rPr>
        <w:t>，以及确认的设计文件要求</w:t>
      </w:r>
      <w:r>
        <w:rPr>
          <w:rFonts w:ascii="宋体" w:hAnsi="宋体" w:eastAsia="宋体"/>
          <w:szCs w:val="21"/>
        </w:rPr>
        <w:t>，并且与发包人确认的主要材料设备样品</w:t>
      </w:r>
      <w:r>
        <w:rPr>
          <w:rFonts w:hint="eastAsia" w:ascii="宋体" w:hAnsi="宋体" w:eastAsia="宋体"/>
          <w:szCs w:val="21"/>
        </w:rPr>
        <w:t>（包括实物或照片、图片等）</w:t>
      </w:r>
      <w:r>
        <w:rPr>
          <w:rFonts w:ascii="宋体" w:hAnsi="宋体" w:eastAsia="宋体"/>
          <w:szCs w:val="21"/>
        </w:rPr>
        <w:t>保持一致。</w:t>
      </w:r>
    </w:p>
    <w:p w14:paraId="58785C98">
      <w:pPr>
        <w:spacing w:line="440" w:lineRule="exact"/>
        <w:rPr>
          <w:rFonts w:ascii="宋体" w:hAnsi="宋体" w:eastAsia="宋体"/>
          <w:szCs w:val="21"/>
        </w:rPr>
      </w:pPr>
      <w:r>
        <w:rPr>
          <w:rFonts w:ascii="宋体" w:hAnsi="宋体" w:eastAsia="宋体"/>
          <w:szCs w:val="21"/>
        </w:rPr>
        <w:t>（</w:t>
      </w:r>
      <w:r>
        <w:rPr>
          <w:rFonts w:hint="eastAsia" w:ascii="宋体" w:hAnsi="宋体" w:eastAsia="宋体"/>
          <w:szCs w:val="21"/>
        </w:rPr>
        <w:t>3</w:t>
      </w:r>
      <w:r>
        <w:rPr>
          <w:rFonts w:ascii="宋体" w:hAnsi="宋体" w:eastAsia="宋体"/>
          <w:szCs w:val="21"/>
        </w:rPr>
        <w:t>）如承包人按照确认的合同</w:t>
      </w:r>
      <w:r>
        <w:rPr>
          <w:rFonts w:hint="eastAsia" w:ascii="宋体" w:hAnsi="宋体" w:eastAsia="宋体"/>
          <w:szCs w:val="21"/>
          <w:lang w:val="en-US" w:eastAsia="zh-CN"/>
        </w:rPr>
        <w:t>价格</w:t>
      </w:r>
      <w:r>
        <w:rPr>
          <w:rFonts w:ascii="宋体" w:hAnsi="宋体" w:eastAsia="宋体"/>
          <w:szCs w:val="21"/>
        </w:rPr>
        <w:t>，购买的材料设备不满足发包人要求，承包人应按要求重新采购，如仍然不能提供满足要求的材料设备，发包人有权自行购买，产生的所有费用在承包人合同价款中相应扣除，由此导致费用增加及工期延误</w:t>
      </w:r>
      <w:r>
        <w:rPr>
          <w:rFonts w:hint="eastAsia" w:ascii="宋体" w:hAnsi="宋体" w:eastAsia="宋体"/>
          <w:szCs w:val="21"/>
        </w:rPr>
        <w:t>均</w:t>
      </w:r>
      <w:r>
        <w:rPr>
          <w:rFonts w:ascii="宋体" w:hAnsi="宋体" w:eastAsia="宋体"/>
          <w:szCs w:val="21"/>
        </w:rPr>
        <w:t xml:space="preserve">由承包人承担，结算不予调整。 </w:t>
      </w:r>
    </w:p>
    <w:p w14:paraId="5AC4120D">
      <w:pPr>
        <w:spacing w:line="440" w:lineRule="exact"/>
        <w:rPr>
          <w:rFonts w:ascii="宋体" w:hAnsi="宋体" w:eastAsia="宋体"/>
          <w:szCs w:val="21"/>
        </w:rPr>
      </w:pPr>
      <w:r>
        <w:rPr>
          <w:rFonts w:ascii="宋体" w:hAnsi="宋体" w:eastAsia="宋体"/>
          <w:szCs w:val="21"/>
        </w:rPr>
        <w:t>（</w:t>
      </w:r>
      <w:r>
        <w:rPr>
          <w:rFonts w:hint="eastAsia" w:ascii="宋体" w:hAnsi="宋体" w:eastAsia="宋体"/>
          <w:szCs w:val="21"/>
        </w:rPr>
        <w:t>4</w:t>
      </w:r>
      <w:r>
        <w:rPr>
          <w:rFonts w:ascii="宋体" w:hAnsi="宋体" w:eastAsia="宋体"/>
          <w:szCs w:val="21"/>
        </w:rPr>
        <w:t>）</w:t>
      </w:r>
      <w:r>
        <w:rPr>
          <w:rFonts w:hint="eastAsia" w:ascii="宋体" w:hAnsi="宋体" w:eastAsia="宋体"/>
          <w:szCs w:val="21"/>
        </w:rPr>
        <w:t xml:space="preserve">承包人应严格按照经审批的施工图进行施工，工程建设相关设备以及材料品牌、技术标准需报发包人审批后方可采购；若承包人擅自更改材料、设备、构配件的品牌、规格、型号等技术参数，以次充好、高价低档的，及未经发包人确认的材料、设备、构配件进场施工的，承包人应按合同约定重新采购返工，相关费用及由此给发包人造成的损失均由承包人承担，工期不予顺延。 </w:t>
      </w:r>
    </w:p>
    <w:p w14:paraId="229B166D">
      <w:pPr>
        <w:spacing w:line="440" w:lineRule="exact"/>
        <w:rPr>
          <w:rFonts w:hint="eastAsia" w:ascii="宋体" w:hAnsi="宋体" w:eastAsia="宋体"/>
          <w:szCs w:val="21"/>
          <w:lang w:val="en-US" w:eastAsia="zh-CN"/>
        </w:rPr>
      </w:pPr>
      <w:r>
        <w:rPr>
          <w:rFonts w:ascii="宋体" w:hAnsi="宋体" w:eastAsia="宋体"/>
          <w:szCs w:val="21"/>
        </w:rPr>
        <w:t>（</w:t>
      </w:r>
      <w:r>
        <w:rPr>
          <w:rFonts w:hint="eastAsia" w:ascii="宋体" w:hAnsi="宋体" w:eastAsia="宋体"/>
          <w:szCs w:val="21"/>
        </w:rPr>
        <w:t>5</w:t>
      </w:r>
      <w:r>
        <w:rPr>
          <w:rFonts w:ascii="宋体" w:hAnsi="宋体" w:eastAsia="宋体"/>
          <w:szCs w:val="21"/>
        </w:rPr>
        <w:t>）施工过程中，发包人有权变更主要材料设备，由此导致材料设备价格变化的确定方式为：由承包人按照变更结果报价，提交不少于3家合格供应商，</w:t>
      </w:r>
      <w:r>
        <w:rPr>
          <w:rFonts w:hint="eastAsia" w:ascii="宋体" w:hAnsi="宋体" w:eastAsia="宋体"/>
          <w:szCs w:val="21"/>
        </w:rPr>
        <w:t>通过</w:t>
      </w:r>
      <w:r>
        <w:rPr>
          <w:rFonts w:ascii="宋体" w:hAnsi="宋体" w:eastAsia="宋体"/>
          <w:szCs w:val="21"/>
        </w:rPr>
        <w:t>共同询价</w:t>
      </w:r>
      <w:r>
        <w:rPr>
          <w:rFonts w:hint="eastAsia" w:ascii="宋体" w:hAnsi="宋体" w:eastAsia="宋体"/>
          <w:szCs w:val="21"/>
        </w:rPr>
        <w:t>、竞争性谈判、竞争性磋商或招标</w:t>
      </w:r>
      <w:r>
        <w:rPr>
          <w:rFonts w:ascii="宋体" w:hAnsi="宋体" w:eastAsia="宋体"/>
          <w:szCs w:val="21"/>
        </w:rPr>
        <w:t>，以确认单的形式确定材料设备的品牌、规格型号、厂家、价格等，仍由承包人购买。</w:t>
      </w:r>
      <w:r>
        <w:rPr>
          <w:rFonts w:hint="eastAsia" w:ascii="宋体" w:hAnsi="宋体" w:eastAsia="宋体"/>
          <w:szCs w:val="21"/>
          <w:lang w:val="en-US" w:eastAsia="zh-CN"/>
        </w:rPr>
        <w:t xml:space="preserve"> </w:t>
      </w:r>
    </w:p>
    <w:p w14:paraId="5DE6C773">
      <w:pPr>
        <w:spacing w:line="440" w:lineRule="exact"/>
        <w:rPr>
          <w:rFonts w:hint="eastAsia" w:eastAsia="宋体"/>
          <w:lang w:val="en-US" w:eastAsia="zh-CN"/>
        </w:rPr>
      </w:pPr>
      <w:r>
        <w:rPr>
          <w:rFonts w:hint="eastAsia" w:ascii="宋体" w:hAnsi="宋体" w:eastAsia="宋体"/>
          <w:szCs w:val="21"/>
        </w:rPr>
        <w:t>（6）</w:t>
      </w:r>
      <w:r>
        <w:rPr>
          <w:rFonts w:ascii="宋体" w:hAnsi="宋体" w:eastAsia="宋体"/>
          <w:szCs w:val="21"/>
        </w:rPr>
        <w:t>因承包人原因导致使用代用材料、设备的，须征得监理</w:t>
      </w:r>
      <w:r>
        <w:rPr>
          <w:rFonts w:hint="eastAsia" w:ascii="宋体" w:hAnsi="宋体" w:eastAsia="宋体"/>
          <w:szCs w:val="21"/>
        </w:rPr>
        <w:t>人</w:t>
      </w:r>
      <w:r>
        <w:rPr>
          <w:rFonts w:ascii="宋体" w:hAnsi="宋体" w:eastAsia="宋体"/>
          <w:szCs w:val="21"/>
        </w:rPr>
        <w:t>和发包人</w:t>
      </w:r>
      <w:r>
        <w:rPr>
          <w:rFonts w:hint="eastAsia" w:ascii="宋体" w:hAnsi="宋体" w:eastAsia="宋体"/>
          <w:szCs w:val="21"/>
        </w:rPr>
        <w:t>书面</w:t>
      </w:r>
      <w:r>
        <w:rPr>
          <w:rFonts w:ascii="宋体" w:hAnsi="宋体" w:eastAsia="宋体"/>
          <w:szCs w:val="21"/>
        </w:rPr>
        <w:t>同意。</w:t>
      </w:r>
      <w:r>
        <w:rPr>
          <w:rFonts w:hint="eastAsia" w:ascii="宋体" w:hAnsi="宋体" w:eastAsia="宋体"/>
          <w:szCs w:val="21"/>
        </w:rPr>
        <w:t>否则，由此产生的一切质量问题及返工费等均由承包人承担。</w:t>
      </w:r>
      <w:r>
        <w:rPr>
          <w:rFonts w:hint="eastAsia" w:ascii="宋体" w:hAnsi="宋体" w:eastAsia="宋体"/>
          <w:szCs w:val="21"/>
          <w:lang w:val="en-US" w:eastAsia="zh-CN"/>
        </w:rPr>
        <w:t xml:space="preserve"> </w:t>
      </w:r>
    </w:p>
    <w:p w14:paraId="4560D18D">
      <w:pPr>
        <w:spacing w:line="440" w:lineRule="exact"/>
        <w:rPr>
          <w:rFonts w:hint="eastAsia" w:eastAsia="宋体"/>
        </w:rPr>
      </w:pPr>
      <w:r>
        <w:rPr>
          <w:rFonts w:eastAsia="宋体"/>
        </w:rPr>
        <w:t>6.1.</w:t>
      </w:r>
      <w:r>
        <w:rPr>
          <w:rFonts w:hint="eastAsia" w:eastAsia="宋体"/>
        </w:rPr>
        <w:t>6承包人提供的材料检测报告及发包人的复检</w:t>
      </w:r>
    </w:p>
    <w:p w14:paraId="11581E64">
      <w:pPr>
        <w:spacing w:line="440" w:lineRule="exact"/>
        <w:rPr>
          <w:rFonts w:hint="eastAsia" w:eastAsia="宋体"/>
        </w:rPr>
      </w:pPr>
      <w:r>
        <w:rPr>
          <w:rFonts w:hint="eastAsia" w:eastAsia="宋体"/>
        </w:rPr>
        <w:t xml:space="preserve">（1）报告提交日期、报告内容和提交份数：材料设备采购前提交单项产品检测合格报告，提交5份。 </w:t>
      </w:r>
    </w:p>
    <w:p w14:paraId="4D6A3311">
      <w:pPr>
        <w:spacing w:line="440" w:lineRule="exact"/>
        <w:rPr>
          <w:rFonts w:hint="eastAsia" w:eastAsia="宋体"/>
        </w:rPr>
      </w:pPr>
      <w:r>
        <w:rPr>
          <w:rFonts w:hint="eastAsia" w:eastAsia="宋体"/>
        </w:rPr>
        <w:t>（2）由发包人直接委托的检测，以发包人要求为准，承包人予以配合。</w:t>
      </w:r>
    </w:p>
    <w:p w14:paraId="2B3C4FAA">
      <w:pPr>
        <w:spacing w:line="440" w:lineRule="exact"/>
        <w:rPr>
          <w:rFonts w:hint="eastAsia" w:eastAsia="宋体"/>
        </w:rPr>
      </w:pPr>
      <w:r>
        <w:rPr>
          <w:rFonts w:hint="eastAsia" w:eastAsia="宋体"/>
        </w:rPr>
        <w:t>6.</w:t>
      </w:r>
      <w:r>
        <w:rPr>
          <w:rFonts w:eastAsia="宋体"/>
        </w:rPr>
        <w:t>1</w:t>
      </w:r>
      <w:r>
        <w:rPr>
          <w:rFonts w:hint="eastAsia" w:eastAsia="宋体"/>
        </w:rPr>
        <w:t>.7 施工过程中及竣工验收前的相关检验、检测：</w:t>
      </w:r>
    </w:p>
    <w:p w14:paraId="7BDF5195">
      <w:pPr>
        <w:spacing w:line="440" w:lineRule="exact"/>
        <w:rPr>
          <w:rFonts w:hint="eastAsia" w:eastAsia="宋体"/>
        </w:rPr>
      </w:pPr>
      <w:r>
        <w:rPr>
          <w:rFonts w:hint="eastAsia" w:eastAsia="宋体"/>
        </w:rPr>
        <w:t>（1）承包人须提供施工过程中见证取样的相关检验、检测的报告以及检测机构的相应资质证书和营业执照，用于施工过程中各阶段性验收；</w:t>
      </w:r>
    </w:p>
    <w:p w14:paraId="57702ABE">
      <w:pPr>
        <w:spacing w:line="440" w:lineRule="exact"/>
        <w:rPr>
          <w:rFonts w:hint="eastAsia" w:eastAsia="宋体"/>
        </w:rPr>
      </w:pPr>
      <w:r>
        <w:rPr>
          <w:rFonts w:hint="eastAsia" w:eastAsia="宋体"/>
        </w:rPr>
        <w:t>（2）承包人提供竣工验收前的系统性检验、检测的报告以及检测机构的相应资质证书和营业执照，用于竣工验收；</w:t>
      </w:r>
    </w:p>
    <w:p w14:paraId="1665069C">
      <w:pPr>
        <w:spacing w:line="440" w:lineRule="exact"/>
        <w:rPr>
          <w:rFonts w:eastAsia="宋体"/>
        </w:rPr>
      </w:pPr>
      <w:r>
        <w:rPr>
          <w:rFonts w:hint="eastAsia" w:eastAsia="宋体"/>
        </w:rPr>
        <w:t>（3）若发包人抽样复验不合格的情况下，检测费用由承包人承担，承包人须无条件更换并承担相应损失。若发包人抽样复验合格，则相关检测费用由发包人自行承担。</w:t>
      </w:r>
    </w:p>
    <w:p w14:paraId="734F0266">
      <w:pPr>
        <w:keepNext/>
        <w:keepLines/>
        <w:spacing w:before="120" w:beforeLines="50" w:line="440" w:lineRule="exact"/>
        <w:outlineLvl w:val="0"/>
        <w:rPr>
          <w:rFonts w:ascii="黑体" w:hAnsi="黑体" w:eastAsia="黑体"/>
        </w:rPr>
      </w:pPr>
      <w:r>
        <w:rPr>
          <w:rFonts w:ascii="黑体" w:hAnsi="黑体" w:eastAsia="黑体"/>
        </w:rPr>
        <w:t>6.2 发包人提供的材料和工程设备</w:t>
      </w:r>
    </w:p>
    <w:p w14:paraId="41B572DE">
      <w:pPr>
        <w:spacing w:line="440" w:lineRule="exact"/>
        <w:rPr>
          <w:rFonts w:hint="eastAsia" w:eastAsia="宋体"/>
          <w:lang w:eastAsia="zh-CN"/>
        </w:rPr>
      </w:pPr>
      <w:r>
        <w:rPr>
          <w:rFonts w:eastAsia="宋体"/>
        </w:rPr>
        <w:t>适用通用条款中的</w:t>
      </w:r>
      <w:r>
        <w:rPr>
          <w:rFonts w:eastAsia="宋体"/>
          <w:u w:val="single"/>
        </w:rPr>
        <w:t xml:space="preserve"> </w:t>
      </w:r>
      <w:r>
        <w:rPr>
          <w:rFonts w:hint="eastAsia" w:eastAsia="宋体"/>
          <w:u w:val="single"/>
        </w:rPr>
        <w:t>B</w:t>
      </w:r>
      <w:r>
        <w:rPr>
          <w:rFonts w:eastAsia="宋体"/>
          <w:u w:val="single"/>
        </w:rPr>
        <w:t xml:space="preserve"> </w:t>
      </w:r>
      <w:r>
        <w:rPr>
          <w:rFonts w:eastAsia="宋体"/>
        </w:rPr>
        <w:t>条款</w:t>
      </w:r>
      <w:r>
        <w:rPr>
          <w:rFonts w:hint="eastAsia" w:eastAsia="宋体"/>
          <w:lang w:eastAsia="zh-CN"/>
        </w:rPr>
        <w:t>（</w:t>
      </w:r>
      <w:r>
        <w:rPr>
          <w:rFonts w:hAnsi="宋体" w:eastAsia="宋体"/>
          <w:color w:val="auto"/>
          <w:szCs w:val="21"/>
        </w:rPr>
        <w:t>发包人不提供材料和工程设备。</w:t>
      </w:r>
      <w:r>
        <w:rPr>
          <w:rFonts w:hint="eastAsia" w:eastAsia="宋体"/>
          <w:lang w:eastAsia="zh-CN"/>
        </w:rPr>
        <w:t>）</w:t>
      </w:r>
    </w:p>
    <w:p w14:paraId="3DABEAC5">
      <w:pPr>
        <w:spacing w:line="440" w:lineRule="exact"/>
        <w:rPr>
          <w:rFonts w:eastAsia="宋体"/>
          <w:u w:val="single"/>
        </w:rPr>
      </w:pPr>
      <w:r>
        <w:rPr>
          <w:rFonts w:eastAsia="宋体"/>
        </w:rPr>
        <w:t>其他要求：</w:t>
      </w:r>
      <w:r>
        <w:rPr>
          <w:rFonts w:hint="eastAsia" w:eastAsia="宋体"/>
          <w:u w:val="single"/>
        </w:rPr>
        <w:t>无</w:t>
      </w:r>
      <w:r>
        <w:rPr>
          <w:rFonts w:eastAsia="宋体"/>
          <w:u w:val="single"/>
        </w:rPr>
        <w:t xml:space="preserve"> </w:t>
      </w:r>
    </w:p>
    <w:p w14:paraId="68CCCF9B">
      <w:pPr>
        <w:keepNext/>
        <w:keepLines/>
        <w:spacing w:before="48" w:beforeLines="20" w:line="440" w:lineRule="exact"/>
        <w:outlineLvl w:val="0"/>
        <w:rPr>
          <w:rFonts w:eastAsia="黑体" w:cs="Times New Roman"/>
          <w:b/>
          <w:bCs w:val="0"/>
          <w:sz w:val="24"/>
          <w:szCs w:val="32"/>
        </w:rPr>
      </w:pPr>
      <w:r>
        <w:rPr>
          <w:rFonts w:eastAsia="黑体" w:cs="Times New Roman"/>
          <w:b/>
          <w:bCs w:val="0"/>
          <w:sz w:val="24"/>
          <w:szCs w:val="32"/>
        </w:rPr>
        <w:t xml:space="preserve">7. 施工设备和临时设施 </w:t>
      </w:r>
    </w:p>
    <w:p w14:paraId="0DF004BA">
      <w:pPr>
        <w:keepNext/>
        <w:keepLines/>
        <w:spacing w:before="120" w:beforeLines="50" w:line="440" w:lineRule="exact"/>
        <w:outlineLvl w:val="0"/>
        <w:rPr>
          <w:rFonts w:ascii="黑体" w:hAnsi="黑体" w:eastAsia="黑体"/>
        </w:rPr>
      </w:pPr>
      <w:r>
        <w:rPr>
          <w:rFonts w:ascii="黑体" w:hAnsi="黑体" w:eastAsia="黑体"/>
        </w:rPr>
        <w:t>7.1 承包人提供的施工设备和临时设施</w:t>
      </w:r>
    </w:p>
    <w:p w14:paraId="5D9BB07C">
      <w:pPr>
        <w:spacing w:line="440" w:lineRule="exact"/>
        <w:rPr>
          <w:rFonts w:eastAsia="宋体"/>
        </w:rPr>
      </w:pPr>
      <w:r>
        <w:rPr>
          <w:rFonts w:eastAsia="宋体"/>
        </w:rPr>
        <w:t>7.1.2修建临时设施的要求：</w:t>
      </w:r>
      <w:r>
        <w:rPr>
          <w:rFonts w:hint="eastAsia" w:ascii="宋体" w:hAnsi="宋体" w:eastAsia="宋体"/>
          <w:szCs w:val="21"/>
        </w:rPr>
        <w:t>因施工场地实际难以完全满足临设搭建、材料堆放及加工作业等需求的，承包人均自行解决，并在投标中予以充分考虑。承包人在开工前需向发包人提供临设搭建计划及临设平面布置图，经发包人和监理人审批同意后，在确定地域或确定范围内搭建。承包人临设应满足安全文明施工及环保要求等。</w:t>
      </w:r>
    </w:p>
    <w:p w14:paraId="57299041">
      <w:pPr>
        <w:keepNext/>
        <w:keepLines/>
        <w:spacing w:before="120" w:beforeLines="50" w:line="440" w:lineRule="exact"/>
        <w:outlineLvl w:val="0"/>
        <w:rPr>
          <w:rFonts w:ascii="黑体" w:hAnsi="黑体" w:eastAsia="黑体"/>
        </w:rPr>
      </w:pPr>
      <w:r>
        <w:rPr>
          <w:rFonts w:ascii="黑体" w:hAnsi="黑体" w:eastAsia="黑体"/>
        </w:rPr>
        <w:t>7.2 发包人提供的施工设备和临时设施</w:t>
      </w:r>
    </w:p>
    <w:p w14:paraId="4D191AB3">
      <w:pPr>
        <w:spacing w:line="440" w:lineRule="exact"/>
        <w:rPr>
          <w:rFonts w:hint="eastAsia" w:eastAsia="宋体"/>
          <w:lang w:eastAsia="zh-CN"/>
        </w:rPr>
      </w:pPr>
      <w:r>
        <w:rPr>
          <w:rFonts w:eastAsia="宋体"/>
        </w:rPr>
        <w:t>适用通用条款中的</w:t>
      </w:r>
      <w:r>
        <w:rPr>
          <w:rFonts w:hint="eastAsia" w:eastAsia="宋体"/>
          <w:u w:val="single"/>
        </w:rPr>
        <w:t>B</w:t>
      </w:r>
      <w:r>
        <w:rPr>
          <w:rFonts w:eastAsia="宋体"/>
        </w:rPr>
        <w:t>条款</w:t>
      </w:r>
      <w:r>
        <w:rPr>
          <w:rFonts w:hint="eastAsia" w:eastAsia="宋体"/>
          <w:lang w:eastAsia="zh-CN"/>
        </w:rPr>
        <w:t>（</w:t>
      </w:r>
      <w:r>
        <w:rPr>
          <w:rFonts w:hAnsi="宋体" w:eastAsia="宋体"/>
          <w:color w:val="auto"/>
          <w:szCs w:val="21"/>
        </w:rPr>
        <w:t>发包人不提供施工设备或临时设施。</w:t>
      </w:r>
      <w:r>
        <w:rPr>
          <w:rFonts w:hint="eastAsia" w:eastAsia="宋体"/>
          <w:lang w:eastAsia="zh-CN"/>
        </w:rPr>
        <w:t>）</w:t>
      </w:r>
    </w:p>
    <w:p w14:paraId="4189B82C">
      <w:pPr>
        <w:spacing w:line="440" w:lineRule="exact"/>
        <w:rPr>
          <w:rFonts w:eastAsia="宋体"/>
          <w:u w:val="single"/>
        </w:rPr>
      </w:pPr>
      <w:r>
        <w:rPr>
          <w:rFonts w:eastAsia="宋体"/>
        </w:rPr>
        <w:t>其他要求：</w:t>
      </w:r>
      <w:r>
        <w:rPr>
          <w:rFonts w:hint="eastAsia" w:eastAsia="宋体"/>
          <w:u w:val="single"/>
        </w:rPr>
        <w:t>无</w:t>
      </w:r>
    </w:p>
    <w:p w14:paraId="13BEAC66">
      <w:pPr>
        <w:keepNext/>
        <w:keepLines/>
        <w:spacing w:before="48" w:beforeLines="20" w:line="440" w:lineRule="exact"/>
        <w:outlineLvl w:val="0"/>
        <w:rPr>
          <w:rFonts w:eastAsia="黑体" w:cs="Times New Roman"/>
          <w:b/>
          <w:bCs w:val="0"/>
          <w:sz w:val="24"/>
          <w:szCs w:val="32"/>
        </w:rPr>
      </w:pPr>
      <w:r>
        <w:rPr>
          <w:rFonts w:eastAsia="黑体" w:cs="Times New Roman"/>
          <w:b/>
          <w:bCs w:val="0"/>
          <w:sz w:val="24"/>
          <w:szCs w:val="32"/>
        </w:rPr>
        <w:t>8. 交通运输</w:t>
      </w:r>
    </w:p>
    <w:p w14:paraId="59DDCF37">
      <w:pPr>
        <w:keepNext/>
        <w:keepLines/>
        <w:spacing w:before="120" w:beforeLines="50" w:line="440" w:lineRule="exact"/>
        <w:outlineLvl w:val="0"/>
        <w:rPr>
          <w:rFonts w:ascii="黑体" w:hAnsi="黑体" w:eastAsia="黑体"/>
        </w:rPr>
      </w:pPr>
      <w:r>
        <w:rPr>
          <w:rFonts w:ascii="黑体" w:hAnsi="黑体" w:eastAsia="黑体"/>
        </w:rPr>
        <w:t>8.1 道路通行权和场外设施</w:t>
      </w:r>
    </w:p>
    <w:p w14:paraId="1A9E53BE">
      <w:pPr>
        <w:spacing w:line="440" w:lineRule="exact"/>
        <w:rPr>
          <w:rFonts w:hint="eastAsia" w:eastAsia="宋体"/>
          <w:lang w:eastAsia="zh-CN"/>
        </w:rPr>
      </w:pPr>
      <w:r>
        <w:rPr>
          <w:rFonts w:eastAsia="宋体"/>
        </w:rPr>
        <w:t>适用通用条款中的</w:t>
      </w:r>
      <w:r>
        <w:rPr>
          <w:rFonts w:eastAsia="宋体"/>
          <w:u w:val="single"/>
        </w:rPr>
        <w:t>B</w:t>
      </w:r>
      <w:r>
        <w:rPr>
          <w:rFonts w:eastAsia="宋体"/>
        </w:rPr>
        <w:t>条款，</w:t>
      </w:r>
      <w:r>
        <w:rPr>
          <w:rFonts w:hint="eastAsia" w:eastAsia="宋体"/>
          <w:lang w:eastAsia="zh-CN"/>
        </w:rPr>
        <w:t>（</w:t>
      </w:r>
      <w:r>
        <w:rPr>
          <w:rFonts w:hAnsi="宋体" w:eastAsia="宋体"/>
          <w:color w:val="auto"/>
          <w:szCs w:val="21"/>
        </w:rPr>
        <w:t>承包人应根据工程的施工需要，负责办理取得出入施工场地的专用和临时道路的通行权，以及取得为工程建设所需修建场外设施的权利，并承担有关费用。发包人应协助承包人办理上述手续。</w:t>
      </w:r>
      <w:r>
        <w:rPr>
          <w:rFonts w:hint="eastAsia" w:eastAsia="宋体"/>
          <w:lang w:eastAsia="zh-CN"/>
        </w:rPr>
        <w:t>）</w:t>
      </w:r>
    </w:p>
    <w:p w14:paraId="0F864CAA">
      <w:pPr>
        <w:spacing w:line="440" w:lineRule="exact"/>
        <w:rPr>
          <w:rFonts w:eastAsia="宋体"/>
          <w:u w:val="single"/>
        </w:rPr>
      </w:pPr>
      <w:r>
        <w:rPr>
          <w:rFonts w:eastAsia="宋体"/>
        </w:rPr>
        <w:t>其他要求：</w:t>
      </w:r>
      <w:r>
        <w:rPr>
          <w:rFonts w:eastAsia="宋体"/>
          <w:u w:val="single"/>
        </w:rPr>
        <w:t xml:space="preserve">/    </w:t>
      </w:r>
    </w:p>
    <w:p w14:paraId="5540878A">
      <w:pPr>
        <w:keepNext/>
        <w:keepLines/>
        <w:spacing w:before="120" w:beforeLines="50" w:line="440" w:lineRule="exact"/>
        <w:outlineLvl w:val="0"/>
        <w:rPr>
          <w:rFonts w:ascii="黑体" w:hAnsi="黑体" w:eastAsia="黑体"/>
        </w:rPr>
      </w:pPr>
      <w:r>
        <w:rPr>
          <w:rFonts w:ascii="黑体" w:hAnsi="黑体" w:eastAsia="黑体"/>
        </w:rPr>
        <w:t>8.2 场内施工道路</w:t>
      </w:r>
    </w:p>
    <w:p w14:paraId="4107D401">
      <w:pPr>
        <w:spacing w:line="440" w:lineRule="exact"/>
        <w:rPr>
          <w:rFonts w:eastAsia="宋体"/>
          <w:szCs w:val="21"/>
        </w:rPr>
      </w:pPr>
      <w:r>
        <w:rPr>
          <w:rFonts w:eastAsia="宋体"/>
          <w:szCs w:val="21"/>
        </w:rPr>
        <w:t>8.2.1  场内施工道路的修建：</w:t>
      </w:r>
      <w:r>
        <w:rPr>
          <w:rFonts w:hint="eastAsia" w:eastAsia="宋体"/>
          <w:szCs w:val="21"/>
        </w:rPr>
        <w:t>承包人</w:t>
      </w:r>
      <w:r>
        <w:rPr>
          <w:rFonts w:hint="eastAsia" w:eastAsia="宋体"/>
          <w:bCs/>
        </w:rPr>
        <w:t>负责合同实施期间场内临时交通道路（含场内外连接公共交通道路）和交通设施的修建、维修、养护、交通管理、拆除等工作，其责任和费用均由承包人承担。</w:t>
      </w:r>
    </w:p>
    <w:p w14:paraId="3C99BF54">
      <w:pPr>
        <w:spacing w:line="440" w:lineRule="exact"/>
        <w:rPr>
          <w:rFonts w:eastAsia="宋体"/>
          <w:szCs w:val="21"/>
        </w:rPr>
      </w:pPr>
      <w:r>
        <w:rPr>
          <w:rFonts w:eastAsia="宋体"/>
          <w:szCs w:val="21"/>
        </w:rPr>
        <w:t>8.2.2  场内施工道路的使用：</w:t>
      </w:r>
      <w:r>
        <w:rPr>
          <w:rFonts w:hint="eastAsia" w:eastAsia="宋体"/>
          <w:bCs/>
        </w:rPr>
        <w:t>承包人修建的临时道路等所有的临时设施和交通设施，发包人、监理人和跟踪审计有权无偿使用承包人修建的临时道路，使用时有损坏的，由承包人负责修复，相关费用由承包人承担。若发包人、监理人、跟踪审计和分包人等造成损坏的，由发包人进行修复。如需要使用到承包人施工现场的施工设施设备的（如升降设备等），需经承包人同意后方可使用。</w:t>
      </w:r>
    </w:p>
    <w:p w14:paraId="75A95CBF">
      <w:pPr>
        <w:keepNext/>
        <w:keepLines/>
        <w:spacing w:before="120" w:beforeLines="50" w:line="440" w:lineRule="exact"/>
        <w:outlineLvl w:val="0"/>
        <w:rPr>
          <w:rFonts w:ascii="黑体" w:hAnsi="黑体" w:eastAsia="黑体"/>
        </w:rPr>
      </w:pPr>
      <w:r>
        <w:rPr>
          <w:rFonts w:ascii="黑体" w:hAnsi="黑体" w:eastAsia="黑体"/>
        </w:rPr>
        <w:t>8.4 超大件和超重件的运输</w:t>
      </w:r>
    </w:p>
    <w:p w14:paraId="57F2C247">
      <w:pPr>
        <w:spacing w:line="440" w:lineRule="exact"/>
        <w:ind w:right="248"/>
        <w:rPr>
          <w:rFonts w:hint="eastAsia" w:eastAsia="宋体"/>
          <w:szCs w:val="21"/>
        </w:rPr>
      </w:pPr>
      <w:r>
        <w:rPr>
          <w:rFonts w:eastAsia="宋体"/>
          <w:szCs w:val="21"/>
        </w:rPr>
        <w:t>超大件和超重件运输的要求： 运输超大件或超重件所需的道路和桥梁临时加固改造费用和其他有关费用由</w:t>
      </w:r>
      <w:r>
        <w:rPr>
          <w:rFonts w:hint="eastAsia" w:eastAsia="宋体"/>
          <w:b/>
          <w:szCs w:val="21"/>
        </w:rPr>
        <w:t>由承包人</w:t>
      </w:r>
      <w:r>
        <w:rPr>
          <w:rFonts w:eastAsia="宋体"/>
          <w:szCs w:val="21"/>
        </w:rPr>
        <w:t>承担。</w:t>
      </w:r>
    </w:p>
    <w:p w14:paraId="5D323FC6">
      <w:pPr>
        <w:keepNext/>
        <w:keepLines/>
        <w:spacing w:before="48" w:beforeLines="20" w:line="440" w:lineRule="exact"/>
        <w:outlineLvl w:val="0"/>
        <w:rPr>
          <w:rFonts w:eastAsia="黑体" w:cs="Times New Roman"/>
          <w:b/>
          <w:bCs w:val="0"/>
          <w:sz w:val="24"/>
          <w:szCs w:val="32"/>
        </w:rPr>
      </w:pPr>
      <w:r>
        <w:rPr>
          <w:rFonts w:eastAsia="黑体" w:cs="Times New Roman"/>
          <w:b/>
          <w:bCs w:val="0"/>
          <w:sz w:val="24"/>
          <w:szCs w:val="32"/>
        </w:rPr>
        <w:t>9. 测量放线</w:t>
      </w:r>
    </w:p>
    <w:p w14:paraId="6F230A85">
      <w:pPr>
        <w:keepNext/>
        <w:keepLines/>
        <w:spacing w:before="120" w:beforeLines="50" w:line="440" w:lineRule="exact"/>
        <w:outlineLvl w:val="0"/>
        <w:rPr>
          <w:rFonts w:ascii="黑体" w:hAnsi="黑体" w:eastAsia="黑体"/>
        </w:rPr>
      </w:pPr>
      <w:r>
        <w:rPr>
          <w:rFonts w:ascii="黑体" w:hAnsi="黑体" w:eastAsia="黑体"/>
        </w:rPr>
        <w:t>9.1 施工控制网</w:t>
      </w:r>
    </w:p>
    <w:p w14:paraId="2CDC0B2E">
      <w:pPr>
        <w:spacing w:line="440" w:lineRule="exact"/>
        <w:rPr>
          <w:rFonts w:hint="eastAsia" w:eastAsia="宋体"/>
          <w:b/>
        </w:rPr>
      </w:pPr>
      <w:r>
        <w:rPr>
          <w:rFonts w:eastAsia="宋体"/>
          <w:szCs w:val="21"/>
        </w:rPr>
        <w:t xml:space="preserve">9.1.1施工控制网的约定： </w:t>
      </w:r>
      <w:r>
        <w:rPr>
          <w:rFonts w:hint="eastAsia" w:eastAsia="宋体"/>
          <w:bCs/>
          <w:szCs w:val="21"/>
        </w:rPr>
        <w:t>承包人应根据国家测绘基准、测绘系统和工程测量技术规范，按上述基准点（线）以及工程精度要求，测设施工控制网，承包人应在项目土建工程开始动工的7个日历天前将施工控制网资料报送监理人批准。</w:t>
      </w:r>
      <w:r>
        <w:rPr>
          <w:rFonts w:hint="eastAsia" w:eastAsia="宋体"/>
          <w:bCs/>
        </w:rPr>
        <w:t>承包人对其提供的</w:t>
      </w:r>
      <w:r>
        <w:rPr>
          <w:rFonts w:eastAsia="宋体"/>
          <w:bCs/>
        </w:rPr>
        <w:t>测量基准点、基准线和水准点及其书面资料的真实性、准确性和完整性负责</w:t>
      </w:r>
      <w:r>
        <w:rPr>
          <w:rFonts w:hint="eastAsia" w:eastAsia="宋体"/>
          <w:bCs/>
        </w:rPr>
        <w:t>，若因其依批准的成果文件错漏、偏差，导致设计、采购、施工等阶段发生设计方案修改、施工变更或损失的，由此增加的费用和（或）竣工日期延误，由承包人负责。</w:t>
      </w:r>
    </w:p>
    <w:p w14:paraId="10BA50FE">
      <w:pPr>
        <w:keepNext/>
        <w:keepLines/>
        <w:spacing w:before="48" w:beforeLines="20" w:line="440" w:lineRule="exact"/>
        <w:outlineLvl w:val="0"/>
        <w:rPr>
          <w:rFonts w:eastAsia="黑体" w:cs="Times New Roman"/>
          <w:b/>
          <w:bCs w:val="0"/>
          <w:sz w:val="24"/>
          <w:szCs w:val="32"/>
        </w:rPr>
      </w:pPr>
      <w:r>
        <w:rPr>
          <w:rFonts w:eastAsia="黑体" w:cs="Times New Roman"/>
          <w:b/>
          <w:bCs w:val="0"/>
          <w:sz w:val="24"/>
          <w:szCs w:val="32"/>
        </w:rPr>
        <w:t>10. 安全、治安保卫和环境保护</w:t>
      </w:r>
    </w:p>
    <w:p w14:paraId="3CC4D1A4">
      <w:pPr>
        <w:spacing w:line="440" w:lineRule="exact"/>
        <w:outlineLvl w:val="0"/>
        <w:rPr>
          <w:rFonts w:hint="eastAsia" w:ascii="黑体" w:hAnsi="黑体" w:eastAsia="黑体" w:cs="黑体"/>
          <w:b/>
          <w:szCs w:val="21"/>
        </w:rPr>
      </w:pPr>
      <w:r>
        <w:rPr>
          <w:rFonts w:hint="eastAsia" w:ascii="黑体" w:hAnsi="黑体" w:eastAsia="黑体" w:cs="黑体"/>
        </w:rPr>
        <w:t xml:space="preserve">10.6 </w:t>
      </w:r>
      <w:r>
        <w:rPr>
          <w:rFonts w:hint="eastAsia" w:ascii="黑体" w:hAnsi="黑体" w:eastAsia="黑体" w:cs="黑体"/>
          <w:b/>
          <w:szCs w:val="21"/>
        </w:rPr>
        <w:t>安全生产文明施工要求</w:t>
      </w:r>
    </w:p>
    <w:p w14:paraId="208A6096">
      <w:pPr>
        <w:spacing w:line="440" w:lineRule="exact"/>
        <w:rPr>
          <w:rFonts w:ascii="宋体" w:hAnsi="宋体" w:eastAsia="宋体"/>
          <w:szCs w:val="21"/>
        </w:rPr>
      </w:pPr>
      <w:r>
        <w:rPr>
          <w:rFonts w:hint="eastAsia" w:ascii="宋体" w:hAnsi="宋体" w:eastAsia="宋体"/>
          <w:szCs w:val="21"/>
        </w:rPr>
        <w:t>10.6.1本工程安全文明施工目标：</w:t>
      </w:r>
      <w:r>
        <w:rPr>
          <w:rFonts w:hint="eastAsia" w:ascii="宋体" w:hAnsi="宋体" w:eastAsia="宋体" w:cs="宋体"/>
          <w:szCs w:val="21"/>
        </w:rPr>
        <w:t>不发生人身死亡及重伤的事故；不发生火灾事故；重伤人数不超过一人；直接经济损失不超过50万。</w:t>
      </w:r>
    </w:p>
    <w:p w14:paraId="30C19DCA">
      <w:pPr>
        <w:spacing w:line="440" w:lineRule="exact"/>
        <w:rPr>
          <w:rFonts w:hint="eastAsia" w:eastAsia="宋体"/>
          <w:szCs w:val="21"/>
          <w:lang w:eastAsia="zh-CN"/>
        </w:rPr>
      </w:pPr>
      <w:r>
        <w:rPr>
          <w:rFonts w:hint="eastAsia" w:ascii="宋体" w:hAnsi="宋体" w:eastAsia="宋体"/>
          <w:szCs w:val="21"/>
        </w:rPr>
        <w:t>10.6.2</w:t>
      </w:r>
      <w:r>
        <w:rPr>
          <w:rFonts w:ascii="宋体" w:hAnsi="宋体" w:eastAsia="宋体"/>
          <w:szCs w:val="21"/>
        </w:rPr>
        <w:t>文明施工要求：</w:t>
      </w:r>
      <w:r>
        <w:rPr>
          <w:rFonts w:hint="eastAsia" w:eastAsia="宋体"/>
          <w:szCs w:val="21"/>
        </w:rPr>
        <w:t>达到工地扬尘治理六个百分百工作标准及内容：①施工工地周边100%围挡；②出入车辆100%冲洗 ；③拆迁工地100%湿法作业；④渣土车辆100%密闭运输；⑤施工现场地面100%硬化；⑥物料堆放100%覆盖</w:t>
      </w:r>
      <w:r>
        <w:rPr>
          <w:rFonts w:hint="eastAsia" w:eastAsia="宋体"/>
          <w:szCs w:val="21"/>
          <w:lang w:val="en-US" w:eastAsia="zh-CN"/>
        </w:rPr>
        <w:t>。至少</w:t>
      </w:r>
      <w:r>
        <w:rPr>
          <w:rFonts w:hint="eastAsia" w:eastAsia="宋体"/>
          <w:szCs w:val="21"/>
        </w:rPr>
        <w:t>达到市级评优标准</w:t>
      </w:r>
      <w:r>
        <w:rPr>
          <w:rFonts w:hint="eastAsia" w:eastAsia="宋体"/>
          <w:szCs w:val="21"/>
          <w:lang w:eastAsia="zh-CN"/>
        </w:rPr>
        <w:t>。</w:t>
      </w:r>
    </w:p>
    <w:p w14:paraId="0247BF4E">
      <w:pPr>
        <w:spacing w:line="440" w:lineRule="exact"/>
        <w:rPr>
          <w:rFonts w:ascii="宋体" w:hAnsi="宋体" w:eastAsia="宋体"/>
          <w:szCs w:val="21"/>
        </w:rPr>
      </w:pPr>
      <w:r>
        <w:rPr>
          <w:rFonts w:hint="eastAsia" w:ascii="宋体" w:hAnsi="宋体" w:eastAsia="宋体"/>
          <w:szCs w:val="21"/>
        </w:rPr>
        <w:t>10.6.3</w:t>
      </w:r>
      <w:r>
        <w:rPr>
          <w:rFonts w:ascii="宋体" w:hAnsi="宋体" w:eastAsia="宋体"/>
          <w:szCs w:val="21"/>
        </w:rPr>
        <w:t>承包人必须</w:t>
      </w:r>
      <w:r>
        <w:rPr>
          <w:rFonts w:hint="eastAsia" w:ascii="宋体" w:hAnsi="宋体" w:eastAsia="宋体"/>
          <w:szCs w:val="21"/>
        </w:rPr>
        <w:t>严格</w:t>
      </w:r>
      <w:r>
        <w:rPr>
          <w:rFonts w:ascii="宋体" w:hAnsi="宋体" w:eastAsia="宋体"/>
          <w:szCs w:val="21"/>
        </w:rPr>
        <w:t>按照《</w:t>
      </w:r>
      <w:r>
        <w:rPr>
          <w:rFonts w:hint="eastAsia" w:ascii="宋体" w:hAnsi="宋体" w:eastAsia="宋体"/>
          <w:szCs w:val="21"/>
        </w:rPr>
        <w:t>湖北省</w:t>
      </w:r>
      <w:r>
        <w:rPr>
          <w:rFonts w:ascii="宋体" w:hAnsi="宋体" w:eastAsia="宋体"/>
          <w:szCs w:val="21"/>
        </w:rPr>
        <w:t>建设工程安全文明标准化施工指导手册》执行。</w:t>
      </w:r>
    </w:p>
    <w:p w14:paraId="58C6C1FA">
      <w:pPr>
        <w:spacing w:line="440" w:lineRule="exact"/>
        <w:rPr>
          <w:rFonts w:eastAsia="宋体"/>
        </w:rPr>
      </w:pPr>
      <w:r>
        <w:rPr>
          <w:rFonts w:hint="eastAsia" w:ascii="宋体" w:hAnsi="宋体" w:eastAsia="宋体"/>
          <w:szCs w:val="21"/>
        </w:rPr>
        <w:t>（1）</w:t>
      </w:r>
      <w:r>
        <w:rPr>
          <w:rFonts w:ascii="宋体" w:hAnsi="宋体" w:eastAsia="宋体"/>
          <w:szCs w:val="21"/>
        </w:rPr>
        <w:t>承包人应严格遵守国家有关安全施工、文明施工的规定，遵守发包人的现场管理，严格采取科学的安全、生产防护措施。施工现场的任何部位，承包人均应按工程需要提供有效的、必要的照明、看守、围栏及保卫等措施，确保施工安全和第三者安全。发包人可邀请主管部门到场，按现行国家及地方相关规定随时进行检查。</w:t>
      </w:r>
    </w:p>
    <w:p w14:paraId="47CFDE42">
      <w:pPr>
        <w:spacing w:line="440" w:lineRule="exact"/>
        <w:rPr>
          <w:rFonts w:ascii="宋体" w:hAnsi="宋体" w:eastAsia="宋体"/>
          <w:szCs w:val="21"/>
        </w:rPr>
      </w:pPr>
      <w:r>
        <w:rPr>
          <w:rFonts w:hint="eastAsia" w:ascii="宋体" w:hAnsi="宋体" w:eastAsia="宋体"/>
          <w:szCs w:val="21"/>
        </w:rPr>
        <w:t>（2）</w:t>
      </w:r>
      <w:r>
        <w:rPr>
          <w:rFonts w:ascii="宋体" w:hAnsi="宋体" w:eastAsia="宋体"/>
          <w:szCs w:val="21"/>
        </w:rPr>
        <w:t>承包人在进场前要制订对人员、材料、机械设备的操作及安全用电等各方面的安全制度，增强全体施工人员的安全意识，落实安全责任。</w:t>
      </w:r>
    </w:p>
    <w:p w14:paraId="3AE01BCF">
      <w:pPr>
        <w:spacing w:line="440" w:lineRule="exact"/>
        <w:rPr>
          <w:rFonts w:hint="eastAsia" w:ascii="宋体" w:hAnsi="宋体" w:eastAsia="宋体"/>
          <w:szCs w:val="21"/>
        </w:rPr>
      </w:pPr>
      <w:r>
        <w:rPr>
          <w:rFonts w:hint="eastAsia" w:ascii="宋体" w:hAnsi="宋体" w:eastAsia="宋体"/>
          <w:szCs w:val="21"/>
        </w:rPr>
        <w:t>（3）</w:t>
      </w:r>
      <w:r>
        <w:rPr>
          <w:rFonts w:ascii="宋体" w:hAnsi="宋体" w:eastAsia="宋体"/>
          <w:szCs w:val="21"/>
        </w:rPr>
        <w:t>承包人需提交安全文明施工措施费使用计划，且须保证安全生产文明措施费专款专用，发包人对照计划进行检查验收，如未按照使用计划保证现场安全文明施工，发包人有权停止安全生产措施费的支付，并每处处以</w:t>
      </w:r>
      <w:r>
        <w:rPr>
          <w:rFonts w:ascii="宋体" w:hAnsi="宋体" w:eastAsia="宋体"/>
          <w:szCs w:val="21"/>
          <w:u w:val="single"/>
        </w:rPr>
        <w:t>10000元</w:t>
      </w:r>
      <w:r>
        <w:rPr>
          <w:rFonts w:hint="eastAsia" w:ascii="宋体" w:hAnsi="宋体" w:eastAsia="宋体"/>
          <w:szCs w:val="21"/>
        </w:rPr>
        <w:t>的</w:t>
      </w:r>
      <w:r>
        <w:rPr>
          <w:rFonts w:ascii="宋体" w:hAnsi="宋体" w:eastAsia="宋体"/>
          <w:szCs w:val="21"/>
        </w:rPr>
        <w:t>违约金，直至承包人按要求整改完毕；因承包人未履行上述约定而造成的任何损失和责任，由承包人承担。</w:t>
      </w:r>
    </w:p>
    <w:p w14:paraId="0DA4F804">
      <w:pPr>
        <w:spacing w:line="440" w:lineRule="exact"/>
        <w:rPr>
          <w:rFonts w:ascii="宋体" w:hAnsi="宋体" w:eastAsia="宋体"/>
          <w:szCs w:val="21"/>
        </w:rPr>
      </w:pPr>
      <w:r>
        <w:rPr>
          <w:rFonts w:hint="eastAsia" w:ascii="宋体" w:hAnsi="宋体" w:eastAsia="宋体"/>
          <w:szCs w:val="21"/>
        </w:rPr>
        <w:t>(4)</w:t>
      </w:r>
      <w:r>
        <w:rPr>
          <w:rFonts w:ascii="宋体" w:hAnsi="宋体" w:eastAsia="宋体"/>
          <w:szCs w:val="21"/>
        </w:rPr>
        <w:t>施工现场安全生产由承包人负总责，如现场发生安全生产</w:t>
      </w:r>
      <w:r>
        <w:rPr>
          <w:rFonts w:hint="eastAsia" w:ascii="宋体" w:hAnsi="宋体" w:eastAsia="宋体"/>
          <w:szCs w:val="21"/>
        </w:rPr>
        <w:t>（含工程质量）</w:t>
      </w:r>
      <w:r>
        <w:rPr>
          <w:rFonts w:ascii="宋体" w:hAnsi="宋体" w:eastAsia="宋体"/>
          <w:szCs w:val="21"/>
        </w:rPr>
        <w:t>事故，事故现场有关人员应当立即报告本单位主要负责人，单位主要负责人接到事故报告后，应当迅速采取有效措施，组织抢救，防止事故扩大，减少人员伤亡和财产损失，并按照国家有关规定立即如实报告</w:t>
      </w:r>
      <w:r>
        <w:rPr>
          <w:rFonts w:hint="eastAsia" w:ascii="宋体" w:hAnsi="宋体" w:eastAsia="宋体"/>
          <w:szCs w:val="21"/>
        </w:rPr>
        <w:t>咸安区</w:t>
      </w:r>
      <w:r>
        <w:rPr>
          <w:rFonts w:ascii="宋体" w:hAnsi="宋体" w:eastAsia="宋体"/>
          <w:szCs w:val="21"/>
        </w:rPr>
        <w:t>安全生产监督管理</w:t>
      </w:r>
      <w:r>
        <w:rPr>
          <w:rFonts w:hint="eastAsia" w:ascii="宋体" w:hAnsi="宋体" w:eastAsia="宋体"/>
          <w:szCs w:val="21"/>
        </w:rPr>
        <w:t>部门及</w:t>
      </w:r>
      <w:r>
        <w:rPr>
          <w:rFonts w:ascii="宋体" w:hAnsi="宋体" w:eastAsia="宋体"/>
          <w:szCs w:val="21"/>
        </w:rPr>
        <w:t>负有安全生产监督管理职责的</w:t>
      </w:r>
      <w:r>
        <w:rPr>
          <w:rFonts w:hint="eastAsia" w:ascii="宋体" w:hAnsi="宋体" w:eastAsia="宋体"/>
          <w:szCs w:val="21"/>
        </w:rPr>
        <w:t>相关</w:t>
      </w:r>
      <w:r>
        <w:rPr>
          <w:rFonts w:ascii="宋体" w:hAnsi="宋体" w:eastAsia="宋体"/>
          <w:szCs w:val="21"/>
        </w:rPr>
        <w:t>部门和发包人</w:t>
      </w:r>
      <w:r>
        <w:rPr>
          <w:rFonts w:hint="eastAsia" w:ascii="宋体" w:hAnsi="宋体" w:eastAsia="宋体"/>
          <w:szCs w:val="21"/>
        </w:rPr>
        <w:t>。</w:t>
      </w:r>
      <w:r>
        <w:rPr>
          <w:rFonts w:ascii="宋体" w:hAnsi="宋体" w:eastAsia="宋体"/>
          <w:szCs w:val="21"/>
        </w:rPr>
        <w:t>不得隐瞒不报、谎报或者迟报，不得故意破坏事故现场、毁灭有关证据。</w:t>
      </w:r>
      <w:r>
        <w:rPr>
          <w:rFonts w:hint="eastAsia" w:ascii="宋体" w:hAnsi="宋体" w:eastAsia="宋体"/>
          <w:szCs w:val="21"/>
        </w:rPr>
        <w:t>与工程相关的</w:t>
      </w:r>
      <w:r>
        <w:rPr>
          <w:rFonts w:ascii="宋体" w:hAnsi="宋体" w:eastAsia="宋体"/>
          <w:szCs w:val="21"/>
        </w:rPr>
        <w:t>安全生产事故造成发包人的一切经济损失，均由承包人承担，同时发包人有权根据现场发生安全事故等级，</w:t>
      </w:r>
      <w:r>
        <w:rPr>
          <w:rFonts w:hint="eastAsia" w:ascii="宋体" w:hAnsi="宋体" w:eastAsia="宋体"/>
          <w:szCs w:val="21"/>
        </w:rPr>
        <w:t>追究</w:t>
      </w:r>
      <w:r>
        <w:rPr>
          <w:rFonts w:ascii="宋体" w:hAnsi="宋体" w:eastAsia="宋体"/>
          <w:szCs w:val="21"/>
        </w:rPr>
        <w:t>承包人</w:t>
      </w:r>
      <w:r>
        <w:rPr>
          <w:rFonts w:hint="eastAsia" w:ascii="宋体" w:hAnsi="宋体" w:eastAsia="宋体"/>
          <w:szCs w:val="21"/>
        </w:rPr>
        <w:t>相应责任。</w:t>
      </w:r>
    </w:p>
    <w:p w14:paraId="3010347F">
      <w:pPr>
        <w:spacing w:line="440" w:lineRule="exact"/>
        <w:rPr>
          <w:rFonts w:eastAsia="宋体"/>
        </w:rPr>
      </w:pPr>
      <w:r>
        <w:rPr>
          <w:rFonts w:hint="eastAsia" w:ascii="宋体" w:hAnsi="宋体" w:eastAsia="宋体"/>
          <w:szCs w:val="21"/>
        </w:rPr>
        <w:t xml:space="preserve">（5）承包人在施工中须严格遵守国家有关安全生产管理体系和本项目各阶段安全生产、文明施工设计方案的要求，建立安全生产保证体系，配备经发包人认可的专职安全员，未经发包人许可，该安全员不得调离现场。承包人所属人员违反发包人相关安全文明施工管理规定，在现场相互或与其他单位人员打架、闹事，给发包人造成经济和名誉损失的，承包人承担由此造成的相关经济损失及 3000元/人次违约金责任。 </w:t>
      </w:r>
    </w:p>
    <w:p w14:paraId="23D7F567">
      <w:pPr>
        <w:spacing w:line="440" w:lineRule="exact"/>
        <w:rPr>
          <w:rFonts w:ascii="宋体" w:hAnsi="宋体" w:eastAsia="宋体"/>
          <w:szCs w:val="21"/>
        </w:rPr>
      </w:pPr>
      <w:r>
        <w:rPr>
          <w:rFonts w:hint="eastAsia" w:ascii="宋体" w:hAnsi="宋体" w:eastAsia="宋体"/>
          <w:szCs w:val="21"/>
        </w:rPr>
        <w:t>(6）</w:t>
      </w:r>
      <w:r>
        <w:rPr>
          <w:rFonts w:ascii="宋体" w:hAnsi="宋体" w:eastAsia="宋体"/>
          <w:szCs w:val="21"/>
        </w:rPr>
        <w:t>各工种按国家规定持证上岗，严禁无证上岗。特种作业人员，必须按照国家有关规定经过专门的安全作业培训，取得特种作业操作资格证书后，方可上岗作业。经发现无证上岗人员，对承包人处以10000元/人的违约金。</w:t>
      </w:r>
    </w:p>
    <w:p w14:paraId="4DCD7C2C">
      <w:pPr>
        <w:spacing w:line="440" w:lineRule="exact"/>
        <w:rPr>
          <w:rFonts w:ascii="宋体" w:hAnsi="宋体" w:eastAsia="宋体"/>
          <w:szCs w:val="21"/>
        </w:rPr>
      </w:pPr>
      <w:r>
        <w:rPr>
          <w:rFonts w:hint="eastAsia" w:ascii="宋体" w:hAnsi="宋体" w:eastAsia="宋体"/>
          <w:szCs w:val="21"/>
        </w:rPr>
        <w:t>(7）</w:t>
      </w:r>
      <w:r>
        <w:rPr>
          <w:rFonts w:ascii="宋体" w:hAnsi="宋体" w:eastAsia="宋体"/>
          <w:szCs w:val="21"/>
        </w:rPr>
        <w:t>施工现场严禁焚烧垃圾、杂物等，用火前应完善防火措施和指定专人看护，工作完毕后应将明火熄灭，确保无隐患，否则每次处以1000～2000元</w:t>
      </w:r>
      <w:r>
        <w:rPr>
          <w:rFonts w:hint="eastAsia" w:ascii="宋体" w:hAnsi="宋体" w:eastAsia="宋体"/>
          <w:szCs w:val="21"/>
        </w:rPr>
        <w:t>的</w:t>
      </w:r>
      <w:r>
        <w:rPr>
          <w:rFonts w:ascii="宋体" w:hAnsi="宋体" w:eastAsia="宋体"/>
          <w:szCs w:val="21"/>
        </w:rPr>
        <w:t>违约金。</w:t>
      </w:r>
    </w:p>
    <w:p w14:paraId="79069C37">
      <w:pPr>
        <w:spacing w:line="440" w:lineRule="exact"/>
        <w:rPr>
          <w:rFonts w:ascii="宋体" w:hAnsi="宋体" w:eastAsia="宋体"/>
          <w:szCs w:val="21"/>
        </w:rPr>
      </w:pPr>
      <w:r>
        <w:rPr>
          <w:rFonts w:hint="eastAsia" w:ascii="宋体" w:hAnsi="宋体" w:eastAsia="宋体"/>
          <w:szCs w:val="21"/>
        </w:rPr>
        <w:t>(8）</w:t>
      </w:r>
      <w:r>
        <w:rPr>
          <w:rFonts w:ascii="宋体" w:hAnsi="宋体" w:eastAsia="宋体"/>
          <w:szCs w:val="21"/>
        </w:rPr>
        <w:t>施工期间承包人须对本工程的及其</w:t>
      </w:r>
      <w:r>
        <w:rPr>
          <w:rFonts w:hint="eastAsia" w:ascii="宋体" w:hAnsi="宋体" w:eastAsia="宋体"/>
          <w:szCs w:val="21"/>
        </w:rPr>
        <w:t>可</w:t>
      </w:r>
      <w:r>
        <w:rPr>
          <w:rFonts w:ascii="宋体" w:hAnsi="宋体" w:eastAsia="宋体"/>
          <w:szCs w:val="21"/>
        </w:rPr>
        <w:t>能影响到的其他专业工程和现场采取必要的措施进行加固、维护、安全防护和损毁修复。</w:t>
      </w:r>
    </w:p>
    <w:p w14:paraId="35774663">
      <w:pPr>
        <w:spacing w:line="440" w:lineRule="exact"/>
        <w:rPr>
          <w:rFonts w:hint="eastAsia" w:eastAsia="宋体"/>
        </w:rPr>
      </w:pPr>
      <w:r>
        <w:rPr>
          <w:rFonts w:hint="eastAsia" w:ascii="宋体" w:hAnsi="宋体" w:eastAsia="宋体"/>
          <w:szCs w:val="21"/>
        </w:rPr>
        <w:t>(9）</w:t>
      </w:r>
      <w:r>
        <w:rPr>
          <w:rFonts w:ascii="宋体" w:hAnsi="宋体" w:eastAsia="宋体"/>
          <w:szCs w:val="21"/>
        </w:rPr>
        <w:t>工程竣工移交前，承包人负责对已完工程成品采取必要的措施进行维护，使其免于损毁或破坏。如出现损毁或破坏，承包人须及时进行修复并承担由此发生的一切费用。</w:t>
      </w:r>
    </w:p>
    <w:p w14:paraId="653DE4B5">
      <w:pPr>
        <w:keepNext/>
        <w:keepLines/>
        <w:spacing w:before="120" w:beforeLines="50" w:line="440" w:lineRule="exact"/>
        <w:outlineLvl w:val="2"/>
        <w:rPr>
          <w:rFonts w:hint="eastAsia" w:ascii="黑体" w:hAnsi="黑体" w:eastAsia="黑体"/>
        </w:rPr>
      </w:pPr>
      <w:r>
        <w:rPr>
          <w:rFonts w:hint="eastAsia" w:ascii="黑体" w:hAnsi="黑体" w:eastAsia="黑体"/>
        </w:rPr>
        <w:t>1</w:t>
      </w:r>
      <w:r>
        <w:rPr>
          <w:rFonts w:ascii="黑体" w:hAnsi="黑体" w:eastAsia="黑体"/>
        </w:rPr>
        <w:t>0.</w:t>
      </w:r>
      <w:r>
        <w:rPr>
          <w:rFonts w:hint="eastAsia" w:ascii="黑体" w:hAnsi="黑体" w:eastAsia="黑体"/>
        </w:rPr>
        <w:t>7</w:t>
      </w:r>
      <w:r>
        <w:rPr>
          <w:rFonts w:ascii="宋体" w:hAnsi="宋体" w:eastAsia="黑体"/>
          <w:szCs w:val="21"/>
        </w:rPr>
        <w:t>职业健康、环境保护管理</w:t>
      </w:r>
      <w:r>
        <w:rPr>
          <w:rFonts w:hint="eastAsia" w:ascii="宋体" w:hAnsi="宋体" w:eastAsia="黑体"/>
          <w:szCs w:val="21"/>
        </w:rPr>
        <w:t>要求</w:t>
      </w:r>
    </w:p>
    <w:p w14:paraId="55DE7404">
      <w:pPr>
        <w:spacing w:line="440" w:lineRule="exact"/>
        <w:rPr>
          <w:rFonts w:ascii="宋体" w:hAnsi="宋体" w:eastAsia="宋体"/>
          <w:szCs w:val="21"/>
        </w:rPr>
      </w:pPr>
      <w:r>
        <w:rPr>
          <w:rFonts w:ascii="宋体" w:hAnsi="宋体" w:eastAsia="宋体"/>
          <w:szCs w:val="21"/>
        </w:rPr>
        <w:t>10.7.1</w:t>
      </w:r>
      <w:r>
        <w:rPr>
          <w:rFonts w:hint="eastAsia" w:ascii="宋体" w:hAnsi="宋体" w:eastAsia="宋体"/>
          <w:szCs w:val="21"/>
        </w:rPr>
        <w:t>环境保护要求：承包人应准确了解并合理预判政府部门为加强环境质量采取的各类专项治理行动或要求，按照各级政府部门关于雾霾、扬尘、噪音、重大活动专项治理的相关要求，制定各项方案及预案，在项目现场落实各项措施，确保项目现场管理符合相关标准，不因项目现场标准不达标而产生停工事件。</w:t>
      </w:r>
    </w:p>
    <w:p w14:paraId="45EDDD39">
      <w:pPr>
        <w:spacing w:line="440" w:lineRule="exact"/>
        <w:rPr>
          <w:rFonts w:hint="eastAsia" w:ascii="宋体" w:hAnsi="宋体" w:eastAsia="宋体"/>
          <w:szCs w:val="21"/>
        </w:rPr>
      </w:pPr>
      <w:r>
        <w:rPr>
          <w:rFonts w:hint="eastAsia" w:ascii="宋体" w:hAnsi="宋体" w:eastAsia="宋体"/>
          <w:szCs w:val="21"/>
        </w:rPr>
        <w:t>如因上述环保专项治理发生停工或材料供应不充分产生非正常施工组织情况，承包人应对施工人员、材料、设备等妥善安排及处置。对于开工后因政策原因累计停工超过三个月的，双方可对实际完工日期进行洽商，不足一个月的，应按原合同工期执行。</w:t>
      </w:r>
    </w:p>
    <w:p w14:paraId="233B5888">
      <w:pPr>
        <w:spacing w:line="440" w:lineRule="exact"/>
        <w:rPr>
          <w:rFonts w:ascii="宋体" w:hAnsi="宋体" w:eastAsia="宋体"/>
          <w:szCs w:val="21"/>
        </w:rPr>
      </w:pPr>
      <w:r>
        <w:rPr>
          <w:rFonts w:hint="eastAsia" w:ascii="宋体" w:hAnsi="宋体" w:eastAsia="宋体"/>
          <w:szCs w:val="21"/>
        </w:rPr>
        <w:t xml:space="preserve">(1) </w:t>
      </w:r>
      <w:r>
        <w:rPr>
          <w:rFonts w:ascii="宋体" w:hAnsi="宋体" w:eastAsia="宋体"/>
          <w:szCs w:val="21"/>
        </w:rPr>
        <w:t>现场职业健康</w:t>
      </w:r>
      <w:r>
        <w:rPr>
          <w:rFonts w:hint="eastAsia" w:ascii="宋体" w:hAnsi="宋体" w:eastAsia="宋体"/>
          <w:szCs w:val="21"/>
        </w:rPr>
        <w:t>、</w:t>
      </w:r>
      <w:r>
        <w:rPr>
          <w:rFonts w:ascii="宋体" w:hAnsi="宋体" w:eastAsia="宋体"/>
          <w:szCs w:val="21"/>
        </w:rPr>
        <w:t>环境保护严格按国家、省市及地方现行管理文件规定执行。承包人严格按现行相应标准组织施工，并随时接受</w:t>
      </w:r>
      <w:r>
        <w:rPr>
          <w:rFonts w:hint="eastAsia" w:ascii="宋体" w:hAnsi="宋体" w:eastAsia="宋体"/>
          <w:szCs w:val="21"/>
        </w:rPr>
        <w:t>政府相关部门和</w:t>
      </w:r>
      <w:r>
        <w:rPr>
          <w:rFonts w:ascii="宋体" w:hAnsi="宋体" w:eastAsia="宋体"/>
          <w:szCs w:val="21"/>
        </w:rPr>
        <w:t>行业安全检查人员依法实施的监督检查，采取必要的措施，消除事故隐患。</w:t>
      </w:r>
    </w:p>
    <w:p w14:paraId="52A6EBE1">
      <w:pPr>
        <w:spacing w:line="440" w:lineRule="exact"/>
        <w:rPr>
          <w:rFonts w:ascii="宋体" w:hAnsi="宋体" w:eastAsia="宋体"/>
          <w:szCs w:val="21"/>
        </w:rPr>
      </w:pPr>
      <w:r>
        <w:rPr>
          <w:rFonts w:hint="eastAsia" w:ascii="宋体" w:hAnsi="宋体" w:eastAsia="宋体"/>
          <w:szCs w:val="21"/>
        </w:rPr>
        <w:t>(2 )</w:t>
      </w:r>
      <w:r>
        <w:rPr>
          <w:rFonts w:ascii="宋体" w:hAnsi="宋体" w:eastAsia="宋体"/>
          <w:szCs w:val="21"/>
        </w:rPr>
        <w:t>承包人应对施工区域道路进行硬化处理，并根据现行相关规范及发包人要求在工地出入口规范设置冲洗设施并且100%使用，非施工作业区裸土采用防尘网进行覆盖。工地内严禁焚烧各类废弃物</w:t>
      </w:r>
      <w:r>
        <w:rPr>
          <w:rFonts w:hint="eastAsia" w:ascii="宋体" w:hAnsi="宋体" w:eastAsia="宋体"/>
          <w:szCs w:val="21"/>
        </w:rPr>
        <w:t>，</w:t>
      </w:r>
      <w:r>
        <w:rPr>
          <w:rFonts w:ascii="宋体" w:hAnsi="宋体" w:eastAsia="宋体"/>
          <w:szCs w:val="21"/>
        </w:rPr>
        <w:t>暂停施工的工地现场需进行全覆盖及保洁。</w:t>
      </w:r>
    </w:p>
    <w:p w14:paraId="2AE4BD8C">
      <w:pPr>
        <w:spacing w:line="440" w:lineRule="exact"/>
        <w:rPr>
          <w:rFonts w:ascii="宋体" w:hAnsi="宋体" w:eastAsia="宋体"/>
          <w:szCs w:val="21"/>
        </w:rPr>
      </w:pPr>
      <w:r>
        <w:rPr>
          <w:rFonts w:hint="eastAsia" w:ascii="宋体" w:hAnsi="宋体" w:eastAsia="宋体"/>
          <w:szCs w:val="21"/>
        </w:rPr>
        <w:t xml:space="preserve">(3) </w:t>
      </w:r>
      <w:r>
        <w:rPr>
          <w:rFonts w:ascii="宋体" w:hAnsi="宋体" w:eastAsia="宋体"/>
          <w:szCs w:val="21"/>
        </w:rPr>
        <w:t>承包人在施工期间，应及时整理和安排所有机械、工具、材料、建筑垃圾等严格按各阶段施工平面布置图堆放并按规定设置标识牌。建筑垃圾和剩余材料应及时清理出现场，保证施工现场井然有序。如出现市政部门就排污、排水的事宜收取罚款，一切由承包人负责。</w:t>
      </w:r>
    </w:p>
    <w:p w14:paraId="351792EF">
      <w:pPr>
        <w:spacing w:line="440" w:lineRule="exact"/>
        <w:rPr>
          <w:rFonts w:ascii="宋体" w:hAnsi="宋体" w:eastAsia="宋体"/>
          <w:szCs w:val="21"/>
        </w:rPr>
      </w:pPr>
      <w:r>
        <w:rPr>
          <w:rFonts w:hint="eastAsia" w:ascii="宋体" w:hAnsi="宋体" w:eastAsia="宋体"/>
          <w:szCs w:val="21"/>
        </w:rPr>
        <w:t xml:space="preserve">(4) </w:t>
      </w:r>
      <w:r>
        <w:rPr>
          <w:rFonts w:ascii="宋体" w:hAnsi="宋体" w:eastAsia="宋体"/>
          <w:szCs w:val="21"/>
        </w:rPr>
        <w:t>本工程所有分包单位纳入承包人进行管理，在承包人进场后，承包人即对施工场地范围内的</w:t>
      </w:r>
      <w:r>
        <w:rPr>
          <w:rFonts w:hint="eastAsia" w:ascii="宋体" w:hAnsi="宋体" w:eastAsia="宋体"/>
          <w:szCs w:val="21"/>
        </w:rPr>
        <w:t>治</w:t>
      </w:r>
      <w:r>
        <w:rPr>
          <w:rFonts w:ascii="宋体" w:hAnsi="宋体" w:eastAsia="宋体"/>
          <w:szCs w:val="21"/>
        </w:rPr>
        <w:t>安秩序、安全保卫、环境卫生以及周围房屋、市政设施等负全责，对施工场地范围内的交通道路、用水、用电、场地内的施工协调负责。承包人需对其施工场地布置、人员的管理，对施工时段作出合理的安排，必须采用全封闭施工方案，确保不对周边环境、道路、行人和相邻施工现场造成不利影响。</w:t>
      </w:r>
      <w:r>
        <w:rPr>
          <w:rFonts w:hint="eastAsia" w:ascii="宋体" w:hAnsi="宋体" w:eastAsia="宋体"/>
          <w:szCs w:val="21"/>
        </w:rPr>
        <w:t>因此造成的问题及责任，均由承包人负责。</w:t>
      </w:r>
    </w:p>
    <w:p w14:paraId="53B38FF9">
      <w:pPr>
        <w:spacing w:line="440" w:lineRule="exact"/>
        <w:rPr>
          <w:rFonts w:ascii="宋体" w:hAnsi="宋体" w:eastAsia="宋体"/>
          <w:szCs w:val="21"/>
        </w:rPr>
      </w:pPr>
      <w:r>
        <w:rPr>
          <w:rFonts w:hint="eastAsia" w:ascii="宋体" w:hAnsi="宋体" w:eastAsia="宋体"/>
          <w:szCs w:val="21"/>
        </w:rPr>
        <w:t>(5 )</w:t>
      </w:r>
      <w:r>
        <w:rPr>
          <w:rFonts w:ascii="宋体" w:hAnsi="宋体" w:eastAsia="宋体"/>
          <w:szCs w:val="21"/>
        </w:rPr>
        <w:t>承包人在施工中取土、弃土、排污等，须按设计文件、发包人及当地有关部门相关规定和要求进行处理。</w:t>
      </w:r>
    </w:p>
    <w:p w14:paraId="543D65B9">
      <w:pPr>
        <w:widowControl/>
        <w:numPr>
          <w:ilvl w:val="0"/>
          <w:numId w:val="6"/>
        </w:numPr>
        <w:spacing w:line="440" w:lineRule="exact"/>
        <w:jc w:val="left"/>
        <w:rPr>
          <w:rFonts w:eastAsia="宋体"/>
          <w:szCs w:val="21"/>
          <w:lang w:bidi="ar"/>
        </w:rPr>
      </w:pPr>
      <w:r>
        <w:rPr>
          <w:rFonts w:eastAsia="宋体"/>
          <w:szCs w:val="21"/>
          <w:lang w:bidi="ar"/>
        </w:rPr>
        <w:t>污水排放：所有的废水、污水应按批准的方法处理后排入排污系统，不得污染环境，由此而引起的后果由承包人自行负责</w:t>
      </w:r>
    </w:p>
    <w:p w14:paraId="41865F2D">
      <w:pPr>
        <w:widowControl/>
        <w:numPr>
          <w:ilvl w:val="0"/>
          <w:numId w:val="0"/>
        </w:numPr>
        <w:spacing w:line="440" w:lineRule="exact"/>
        <w:jc w:val="left"/>
        <w:rPr>
          <w:rFonts w:eastAsia="宋体"/>
          <w:szCs w:val="21"/>
        </w:rPr>
      </w:pPr>
      <w:r>
        <w:rPr>
          <w:rFonts w:eastAsia="宋体"/>
          <w:szCs w:val="21"/>
        </w:rPr>
        <w:t>(</w:t>
      </w:r>
      <w:r>
        <w:rPr>
          <w:rFonts w:hint="eastAsia" w:eastAsia="宋体"/>
          <w:szCs w:val="21"/>
          <w:lang w:val="en-US" w:eastAsia="zh-CN"/>
        </w:rPr>
        <w:t>7</w:t>
      </w:r>
      <w:r>
        <w:rPr>
          <w:rFonts w:eastAsia="宋体"/>
          <w:szCs w:val="21"/>
        </w:rPr>
        <w:t xml:space="preserve"> )</w:t>
      </w:r>
      <w:r>
        <w:rPr>
          <w:rFonts w:eastAsia="宋体"/>
          <w:szCs w:val="21"/>
          <w:lang w:bidi="ar"/>
        </w:rPr>
        <w:t xml:space="preserve">夜间施工：承包人应按咸宁市有关规定要求办理夜间施工许可证，并尽量避免夜间 22 时至凌晨 6 时浇筑砼。 </w:t>
      </w:r>
    </w:p>
    <w:p w14:paraId="71F7B555">
      <w:pPr>
        <w:widowControl/>
        <w:spacing w:line="440" w:lineRule="exact"/>
        <w:jc w:val="left"/>
        <w:rPr>
          <w:rFonts w:eastAsia="宋体"/>
          <w:szCs w:val="21"/>
          <w:lang w:bidi="ar"/>
        </w:rPr>
      </w:pPr>
      <w:r>
        <w:rPr>
          <w:rFonts w:eastAsia="宋体"/>
          <w:szCs w:val="21"/>
        </w:rPr>
        <w:t>(9 )</w:t>
      </w:r>
      <w:r>
        <w:rPr>
          <w:rFonts w:eastAsia="宋体"/>
          <w:szCs w:val="21"/>
          <w:lang w:bidi="ar"/>
        </w:rPr>
        <w:t xml:space="preserve">施工噪音粉尘：工程施工期间，噪声、粉尘对环境的影响必须满足国家和咸宁市有关法规要求。承包人应及时办理相关手续，否则造成罚款由承包人自行承担。 </w:t>
      </w:r>
    </w:p>
    <w:p w14:paraId="23452C9B">
      <w:pPr>
        <w:widowControl/>
        <w:spacing w:line="440" w:lineRule="exact"/>
        <w:rPr>
          <w:rFonts w:eastAsia="宋体"/>
          <w:szCs w:val="21"/>
        </w:rPr>
      </w:pPr>
      <w:r>
        <w:rPr>
          <w:rFonts w:eastAsia="宋体"/>
          <w:szCs w:val="21"/>
        </w:rPr>
        <w:t>(10 )承包人应做到工完场清，如因承包人未做到工完场清导致现场需要清扫清运，承包人应立即处理；如承包人拖延或拒绝清扫，发包人有权追究违约责任，每次每处处以3000元违约金，发包人可代为清理，由此产生的费用从当期支付工程款中予以扣除。</w:t>
      </w:r>
    </w:p>
    <w:p w14:paraId="391FFD22">
      <w:pPr>
        <w:keepNext/>
        <w:keepLines/>
        <w:spacing w:before="48" w:beforeLines="20" w:line="440" w:lineRule="exact"/>
        <w:outlineLvl w:val="0"/>
        <w:rPr>
          <w:rFonts w:eastAsia="黑体" w:cs="Times New Roman"/>
          <w:b/>
          <w:bCs w:val="0"/>
          <w:sz w:val="24"/>
          <w:szCs w:val="32"/>
        </w:rPr>
      </w:pPr>
      <w:r>
        <w:rPr>
          <w:rFonts w:eastAsia="黑体" w:cs="Times New Roman"/>
          <w:b/>
          <w:bCs w:val="0"/>
          <w:sz w:val="24"/>
          <w:szCs w:val="32"/>
        </w:rPr>
        <w:t>11. 开工和竣工</w:t>
      </w:r>
    </w:p>
    <w:p w14:paraId="1B21FA91">
      <w:pPr>
        <w:keepNext/>
        <w:keepLines/>
        <w:spacing w:before="120" w:beforeLines="50" w:line="440" w:lineRule="exact"/>
        <w:outlineLvl w:val="0"/>
        <w:rPr>
          <w:rFonts w:ascii="黑体" w:hAnsi="黑体" w:eastAsia="黑体"/>
        </w:rPr>
      </w:pPr>
      <w:r>
        <w:rPr>
          <w:rFonts w:ascii="黑体" w:hAnsi="黑体" w:eastAsia="黑体"/>
        </w:rPr>
        <w:t>11.1 开工</w:t>
      </w:r>
    </w:p>
    <w:p w14:paraId="681D6874">
      <w:pPr>
        <w:widowControl/>
        <w:spacing w:line="440" w:lineRule="exact"/>
        <w:ind w:firstLine="420"/>
        <w:jc w:val="left"/>
        <w:rPr>
          <w:rFonts w:eastAsia="宋体"/>
          <w:u w:val="single"/>
        </w:rPr>
      </w:pPr>
      <w:r>
        <w:rPr>
          <w:rFonts w:eastAsia="宋体"/>
        </w:rPr>
        <w:t>11.1.1开工条件的约定：</w:t>
      </w:r>
      <w:r>
        <w:rPr>
          <w:rFonts w:eastAsia="宋体"/>
          <w:u w:val="single"/>
        </w:rPr>
        <w:t xml:space="preserve">   </w:t>
      </w:r>
      <w:r>
        <w:rPr>
          <w:rFonts w:hint="eastAsia" w:ascii="宋体" w:hAnsi="宋体" w:eastAsia="宋体" w:cs="宋体"/>
          <w:kern w:val="0"/>
          <w:szCs w:val="21"/>
          <w:u w:val="single"/>
          <w:lang w:bidi="ar"/>
        </w:rPr>
        <w:t xml:space="preserve">/   </w:t>
      </w:r>
      <w:r>
        <w:rPr>
          <w:rFonts w:eastAsia="宋体"/>
          <w:u w:val="single"/>
        </w:rPr>
        <w:t xml:space="preserve">    </w:t>
      </w:r>
    </w:p>
    <w:p w14:paraId="3EAD0690">
      <w:pPr>
        <w:keepNext/>
        <w:keepLines/>
        <w:spacing w:before="120" w:beforeLines="50" w:line="440" w:lineRule="exact"/>
        <w:outlineLvl w:val="0"/>
        <w:rPr>
          <w:rFonts w:ascii="黑体" w:hAnsi="黑体" w:eastAsia="黑体"/>
        </w:rPr>
      </w:pPr>
      <w:r>
        <w:rPr>
          <w:rFonts w:eastAsia="黑体"/>
        </w:rPr>
        <w:t>11</w:t>
      </w:r>
      <w:r>
        <w:rPr>
          <w:rFonts w:ascii="黑体" w:hAnsi="黑体" w:eastAsia="黑体"/>
        </w:rPr>
        <w:t>.</w:t>
      </w:r>
      <w:r>
        <w:rPr>
          <w:rFonts w:eastAsia="黑体"/>
        </w:rPr>
        <w:t>3</w:t>
      </w:r>
      <w:r>
        <w:rPr>
          <w:rFonts w:ascii="黑体" w:hAnsi="黑体" w:eastAsia="黑体"/>
        </w:rPr>
        <w:t xml:space="preserve"> 发包人引起的工期延误</w:t>
      </w:r>
    </w:p>
    <w:p w14:paraId="51515FD3">
      <w:pPr>
        <w:widowControl w:val="0"/>
        <w:spacing w:after="120" w:line="440" w:lineRule="exact"/>
        <w:jc w:val="both"/>
        <w:rPr>
          <w:rFonts w:ascii="Calibri" w:hAnsi="Calibri" w:eastAsia="宋体" w:cs="Times New Roman"/>
          <w:kern w:val="2"/>
          <w:sz w:val="21"/>
          <w:szCs w:val="22"/>
          <w:lang w:val="en-US" w:eastAsia="zh-CN" w:bidi="ar-SA"/>
        </w:rPr>
      </w:pPr>
      <w:r>
        <w:rPr>
          <w:rFonts w:hint="eastAsia" w:ascii="Calibri" w:hAnsi="Calibri" w:eastAsia="宋体" w:cs="Times New Roman"/>
          <w:kern w:val="2"/>
          <w:sz w:val="21"/>
          <w:szCs w:val="22"/>
          <w:lang w:val="en-US" w:eastAsia="zh-CN" w:bidi="ar-SA"/>
        </w:rPr>
        <w:t xml:space="preserve">    按合同通用条款执行</w:t>
      </w:r>
    </w:p>
    <w:p w14:paraId="55C19089">
      <w:pPr>
        <w:keepNext/>
        <w:keepLines/>
        <w:spacing w:before="120" w:beforeLines="50" w:line="440" w:lineRule="exact"/>
        <w:outlineLvl w:val="0"/>
        <w:rPr>
          <w:rFonts w:ascii="黑体" w:hAnsi="黑体" w:eastAsia="黑体"/>
        </w:rPr>
      </w:pPr>
      <w:r>
        <w:rPr>
          <w:rFonts w:ascii="黑体" w:hAnsi="黑体" w:eastAsia="黑体"/>
        </w:rPr>
        <w:t xml:space="preserve">11.4 异常恶劣的气候条件 </w:t>
      </w:r>
    </w:p>
    <w:p w14:paraId="1F0F785D">
      <w:pPr>
        <w:spacing w:line="440" w:lineRule="exact"/>
        <w:rPr>
          <w:rFonts w:eastAsia="宋体"/>
          <w:szCs w:val="21"/>
        </w:rPr>
      </w:pPr>
      <w:r>
        <w:rPr>
          <w:rFonts w:eastAsia="宋体"/>
          <w:szCs w:val="21"/>
        </w:rPr>
        <w:t>本合同工程界定异常恶劣气候条件的范围为：</w:t>
      </w:r>
      <w:r>
        <w:rPr>
          <w:rFonts w:eastAsia="宋体"/>
          <w:bCs/>
          <w:szCs w:val="21"/>
        </w:rPr>
        <w:t xml:space="preserve"> 6 </w:t>
      </w:r>
      <w:r>
        <w:rPr>
          <w:rFonts w:hint="eastAsia" w:eastAsia="宋体"/>
          <w:bCs/>
          <w:szCs w:val="21"/>
        </w:rPr>
        <w:t>级以上的地震；日降雨量大于</w:t>
      </w:r>
      <w:r>
        <w:rPr>
          <w:rFonts w:eastAsia="宋体"/>
          <w:bCs/>
          <w:szCs w:val="21"/>
        </w:rPr>
        <w:t xml:space="preserve"> 200 </w:t>
      </w:r>
      <w:r>
        <w:rPr>
          <w:rFonts w:hint="eastAsia" w:eastAsia="宋体"/>
          <w:bCs/>
          <w:szCs w:val="21"/>
        </w:rPr>
        <w:t xml:space="preserve">㎜的雨日； </w:t>
      </w:r>
      <w:r>
        <w:rPr>
          <w:rFonts w:eastAsia="宋体"/>
          <w:bCs/>
          <w:szCs w:val="21"/>
        </w:rPr>
        <w:t xml:space="preserve">50 </w:t>
      </w:r>
      <w:r>
        <w:rPr>
          <w:rFonts w:hint="eastAsia" w:eastAsia="宋体"/>
          <w:bCs/>
          <w:szCs w:val="21"/>
        </w:rPr>
        <w:t>年一遇及以上的洪水；日气温超过</w:t>
      </w:r>
      <w:r>
        <w:rPr>
          <w:rFonts w:eastAsia="宋体"/>
          <w:bCs/>
          <w:szCs w:val="21"/>
        </w:rPr>
        <w:t xml:space="preserve"> 40</w:t>
      </w:r>
      <w:r>
        <w:rPr>
          <w:rFonts w:hint="eastAsia" w:eastAsia="宋体"/>
          <w:bCs/>
          <w:szCs w:val="21"/>
        </w:rPr>
        <w:t>℃</w:t>
      </w:r>
      <w:r>
        <w:rPr>
          <w:rFonts w:eastAsia="宋体"/>
          <w:bCs/>
          <w:szCs w:val="21"/>
        </w:rPr>
        <w:t xml:space="preserve"> </w:t>
      </w:r>
      <w:r>
        <w:rPr>
          <w:rFonts w:hint="eastAsia" w:eastAsia="宋体"/>
          <w:bCs/>
          <w:szCs w:val="21"/>
        </w:rPr>
        <w:t>高温或低于</w:t>
      </w:r>
      <w:r>
        <w:rPr>
          <w:rFonts w:eastAsia="宋体"/>
          <w:bCs/>
          <w:szCs w:val="21"/>
        </w:rPr>
        <w:t>-10</w:t>
      </w:r>
      <w:r>
        <w:rPr>
          <w:rFonts w:hint="eastAsia" w:eastAsia="宋体"/>
          <w:bCs/>
          <w:szCs w:val="21"/>
        </w:rPr>
        <w:t>℃</w:t>
      </w:r>
      <w:r>
        <w:rPr>
          <w:rFonts w:eastAsia="宋体"/>
          <w:bCs/>
          <w:szCs w:val="21"/>
        </w:rPr>
        <w:t xml:space="preserve"> </w:t>
      </w:r>
      <w:r>
        <w:rPr>
          <w:rFonts w:hint="eastAsia" w:eastAsia="宋体"/>
          <w:bCs/>
          <w:szCs w:val="21"/>
        </w:rPr>
        <w:t>的严寒连续</w:t>
      </w:r>
      <w:r>
        <w:rPr>
          <w:rFonts w:eastAsia="宋体"/>
          <w:bCs/>
          <w:szCs w:val="21"/>
        </w:rPr>
        <w:t xml:space="preserve"> 15 </w:t>
      </w:r>
      <w:r>
        <w:rPr>
          <w:rFonts w:hint="eastAsia" w:eastAsia="宋体"/>
          <w:bCs/>
          <w:szCs w:val="21"/>
        </w:rPr>
        <w:t>天以上；造成工程损坏的冰雹和大雪灾害；自然原因发生的火灾，以政府部门发布的信息资料为准。</w:t>
      </w:r>
      <w:r>
        <w:rPr>
          <w:rFonts w:eastAsia="宋体"/>
          <w:szCs w:val="21"/>
        </w:rPr>
        <w:t xml:space="preserve"> </w:t>
      </w:r>
    </w:p>
    <w:p w14:paraId="60F4D141">
      <w:pPr>
        <w:keepNext/>
        <w:keepLines/>
        <w:spacing w:before="120" w:beforeLines="50" w:line="440" w:lineRule="exact"/>
        <w:outlineLvl w:val="0"/>
        <w:rPr>
          <w:rFonts w:ascii="黑体" w:hAnsi="黑体" w:eastAsia="黑体"/>
        </w:rPr>
      </w:pPr>
      <w:r>
        <w:rPr>
          <w:rFonts w:ascii="黑体" w:hAnsi="黑体" w:eastAsia="黑体"/>
        </w:rPr>
        <w:t xml:space="preserve">11.5 承包人工期延误 </w:t>
      </w:r>
    </w:p>
    <w:p w14:paraId="623A3C82">
      <w:pPr>
        <w:spacing w:line="440" w:lineRule="exact"/>
        <w:ind w:firstLine="0" w:firstLineChars="0"/>
        <w:rPr>
          <w:rFonts w:hint="eastAsia" w:ascii="Calibri" w:hAnsi="Calibri" w:eastAsia="宋体" w:cs="Times New Roman"/>
          <w:bCs/>
          <w:color w:val="000000"/>
          <w:sz w:val="21"/>
          <w:szCs w:val="21"/>
          <w:highlight w:val="none"/>
        </w:rPr>
      </w:pPr>
      <w:r>
        <w:rPr>
          <w:rFonts w:hint="eastAsia" w:ascii="Calibri" w:hAnsi="Calibri" w:eastAsia="宋体" w:cs="Times New Roman"/>
          <w:bCs/>
          <w:color w:val="000000"/>
          <w:sz w:val="21"/>
          <w:szCs w:val="21"/>
          <w:highlight w:val="none"/>
        </w:rPr>
        <w:t>本款细化为：</w:t>
      </w:r>
    </w:p>
    <w:p w14:paraId="06D7F025">
      <w:pPr>
        <w:spacing w:line="440" w:lineRule="exact"/>
        <w:ind w:firstLine="0" w:firstLineChars="0"/>
        <w:rPr>
          <w:rFonts w:hint="eastAsia" w:ascii="Calibri" w:hAnsi="Calibri" w:eastAsia="宋体" w:cs="Times New Roman"/>
          <w:bCs/>
          <w:color w:val="000000"/>
          <w:sz w:val="21"/>
          <w:szCs w:val="21"/>
          <w:highlight w:val="none"/>
        </w:rPr>
      </w:pPr>
      <w:r>
        <w:rPr>
          <w:rFonts w:hint="eastAsia" w:ascii="Calibri" w:hAnsi="Calibri" w:eastAsia="宋体" w:cs="Times New Roman"/>
          <w:bCs/>
          <w:color w:val="000000"/>
          <w:sz w:val="21"/>
          <w:szCs w:val="21"/>
          <w:highlight w:val="none"/>
        </w:rPr>
        <w:t>(1)承包人应严格执行监理人批准的合同进度计划，对工作量计划和形象进度计划分别控制。除第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2B6BD7E4">
      <w:pPr>
        <w:spacing w:line="440" w:lineRule="exact"/>
        <w:ind w:firstLine="0" w:firstLineChars="0"/>
        <w:rPr>
          <w:rFonts w:hint="eastAsia" w:ascii="Calibri" w:hAnsi="Calibri" w:eastAsia="宋体" w:cs="Times New Roman"/>
          <w:bCs/>
          <w:color w:val="000000"/>
          <w:sz w:val="21"/>
          <w:szCs w:val="21"/>
          <w:highlight w:val="none"/>
        </w:rPr>
      </w:pPr>
      <w:r>
        <w:rPr>
          <w:rFonts w:hint="eastAsia" w:ascii="Calibri" w:hAnsi="Calibri" w:eastAsia="宋体" w:cs="Times New Roman"/>
          <w:bCs/>
          <w:color w:val="000000"/>
          <w:sz w:val="21"/>
          <w:szCs w:val="21"/>
          <w:highlight w:val="none"/>
        </w:rPr>
        <w:t>(2)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第22.1款终止对承包人的雇用，也可将本合同工程中的一部分工作交由其他承包人或其他分包人完成。在不解除本合同规定的承包人责任和义务的同时，承包人应承担因此所增加的一切费用。</w:t>
      </w:r>
    </w:p>
    <w:p w14:paraId="1A679664">
      <w:pPr>
        <w:spacing w:line="440" w:lineRule="exact"/>
        <w:ind w:firstLine="0" w:firstLineChars="0"/>
        <w:rPr>
          <w:rFonts w:hint="eastAsia" w:ascii="Calibri" w:hAnsi="Calibri" w:eastAsia="宋体" w:cs="Times New Roman"/>
          <w:bCs/>
          <w:color w:val="000000"/>
          <w:sz w:val="21"/>
          <w:szCs w:val="21"/>
          <w:highlight w:val="none"/>
        </w:rPr>
      </w:pPr>
      <w:r>
        <w:rPr>
          <w:rFonts w:hint="eastAsia" w:ascii="Calibri" w:hAnsi="Calibri" w:eastAsia="宋体" w:cs="Times New Roman"/>
          <w:bCs/>
          <w:color w:val="000000"/>
          <w:sz w:val="21"/>
          <w:szCs w:val="21"/>
          <w:highlight w:val="none"/>
        </w:rPr>
        <w:t>(3)由于承包人原因造成工期延误，承包人应支付逾期交工违约金。逾期交工违约金累计金额最高不超过合同价格的10%。发包人可以从应付或到期应付给承包人的任何款项中或采用其他方法扣除此违约金。</w:t>
      </w:r>
    </w:p>
    <w:p w14:paraId="7EB577C8">
      <w:pPr>
        <w:spacing w:line="440" w:lineRule="exact"/>
        <w:ind w:firstLine="0" w:firstLineChars="0"/>
        <w:rPr>
          <w:rFonts w:hint="eastAsia" w:ascii="Calibri" w:hAnsi="Calibri" w:eastAsia="宋体" w:cs="Times New Roman"/>
          <w:bCs/>
          <w:color w:val="000000"/>
          <w:sz w:val="21"/>
          <w:szCs w:val="21"/>
          <w:highlight w:val="none"/>
        </w:rPr>
      </w:pPr>
      <w:r>
        <w:rPr>
          <w:rFonts w:hint="eastAsia" w:ascii="Calibri" w:hAnsi="Calibri" w:eastAsia="宋体" w:cs="Times New Roman"/>
          <w:bCs/>
          <w:color w:val="000000"/>
          <w:sz w:val="21"/>
          <w:szCs w:val="21"/>
          <w:highlight w:val="none"/>
        </w:rPr>
        <w:t>(4)承包人支付逾期交工违约金，不免除承包人完成工程及修补缺陷的义务。</w:t>
      </w:r>
    </w:p>
    <w:p w14:paraId="43384809">
      <w:pPr>
        <w:spacing w:line="440" w:lineRule="exact"/>
        <w:ind w:firstLine="0" w:firstLineChars="0"/>
        <w:rPr>
          <w:rFonts w:hint="eastAsia" w:ascii="Calibri" w:hAnsi="Calibri" w:eastAsia="宋体" w:cs="Times New Roman"/>
          <w:bCs/>
          <w:color w:val="000000"/>
          <w:sz w:val="21"/>
          <w:szCs w:val="21"/>
          <w:highlight w:val="none"/>
        </w:rPr>
      </w:pPr>
      <w:r>
        <w:rPr>
          <w:rFonts w:hint="eastAsia" w:ascii="Calibri" w:hAnsi="Calibri" w:eastAsia="宋体" w:cs="Times New Roman"/>
          <w:bCs/>
          <w:color w:val="000000"/>
          <w:sz w:val="21"/>
          <w:szCs w:val="21"/>
          <w:highlight w:val="none"/>
        </w:rPr>
        <w:t>(5)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1B3289D0">
      <w:pPr>
        <w:spacing w:line="440" w:lineRule="exact"/>
        <w:ind w:right="0"/>
        <w:rPr>
          <w:rFonts w:eastAsia="宋体"/>
          <w:bCs/>
          <w:szCs w:val="21"/>
        </w:rPr>
      </w:pPr>
      <w:r>
        <w:rPr>
          <w:rFonts w:hint="eastAsia" w:ascii="Calibri" w:hAnsi="Calibri" w:eastAsia="宋体" w:cs="Times New Roman"/>
          <w:bCs/>
          <w:color w:val="000000"/>
          <w:sz w:val="21"/>
          <w:szCs w:val="21"/>
          <w:highlight w:val="none"/>
        </w:rPr>
        <w:t>(6)承包人应严格执行监理人批准的工程进度计划，对工作量计划和形象进度计划分别控制。承包人实际工程进度曲线应处于监理人或发包人批准或调整的工程进度管理曲线规定的安全区域之内。承包人累计完成进度不足计划进度的75%时，监理人有权认为本合同段工程进度过慢，并通知承包人应采取必要措施，以便加快工程进度，确保工程能在预定工期内完工。承包人无权要求为了采取这些措施而支付任何附加费用。承包人连续两个月以上(包括两个月)累计完成进度不足计划进度的75%时，发包人有权将其合同工程中的一部分或全部工程交由其他承包人或特殊分包人来完成。</w:t>
      </w:r>
    </w:p>
    <w:p w14:paraId="7D680F5E">
      <w:pPr>
        <w:spacing w:line="440" w:lineRule="exact"/>
        <w:ind w:right="248"/>
        <w:outlineLvl w:val="0"/>
        <w:rPr>
          <w:rFonts w:eastAsia="宋体"/>
        </w:rPr>
      </w:pPr>
      <w:r>
        <w:rPr>
          <w:rFonts w:hint="eastAsia" w:ascii="黑体" w:hAnsi="黑体" w:eastAsia="黑体" w:cs="黑体"/>
        </w:rPr>
        <w:t>11.6 工期提前</w:t>
      </w:r>
    </w:p>
    <w:p w14:paraId="716E9B16">
      <w:pPr>
        <w:spacing w:line="440" w:lineRule="exact"/>
        <w:ind w:firstLine="0" w:firstLineChars="0"/>
        <w:rPr>
          <w:rFonts w:hint="eastAsia" w:ascii="Calibri" w:hAnsi="Calibri" w:eastAsia="宋体" w:cs="Times New Roman"/>
          <w:bCs/>
          <w:color w:val="000000"/>
          <w:sz w:val="21"/>
          <w:szCs w:val="21"/>
          <w:highlight w:val="none"/>
        </w:rPr>
      </w:pPr>
      <w:r>
        <w:rPr>
          <w:rFonts w:hint="eastAsia" w:ascii="Calibri" w:hAnsi="Calibri" w:eastAsia="宋体" w:cs="Times New Roman"/>
          <w:bCs/>
          <w:color w:val="000000"/>
          <w:sz w:val="21"/>
          <w:szCs w:val="21"/>
          <w:highlight w:val="none"/>
        </w:rPr>
        <w:t>在保证质量、安全、环保、廉政等情况下，发包人将根据其制定的施工风险管理金管理办法、考核细则和承包人完成的阶段目标综合考评，予以奖励。</w:t>
      </w:r>
    </w:p>
    <w:p w14:paraId="10E8B53E">
      <w:pPr>
        <w:spacing w:line="440" w:lineRule="exact"/>
        <w:ind w:right="248"/>
        <w:rPr>
          <w:rFonts w:hint="eastAsia" w:ascii="黑体" w:hAnsi="黑体" w:eastAsia="黑体" w:cs="黑体"/>
          <w:szCs w:val="21"/>
        </w:rPr>
      </w:pPr>
      <w:r>
        <w:rPr>
          <w:rFonts w:hint="eastAsia" w:ascii="黑体" w:hAnsi="黑体" w:eastAsia="黑体" w:cs="黑体"/>
          <w:szCs w:val="21"/>
        </w:rPr>
        <w:t>11.7行政审批延迟</w:t>
      </w:r>
    </w:p>
    <w:p w14:paraId="446C0DC6">
      <w:pPr>
        <w:spacing w:line="440" w:lineRule="exact"/>
        <w:ind w:right="248"/>
        <w:rPr>
          <w:rFonts w:ascii="黑体" w:hAnsi="黑体" w:eastAsia="宋体" w:cs="黑体"/>
          <w:szCs w:val="21"/>
        </w:rPr>
      </w:pPr>
      <w:r>
        <w:rPr>
          <w:rFonts w:hint="eastAsia" w:eastAsia="宋体"/>
          <w:szCs w:val="21"/>
        </w:rPr>
        <w:t>将通用条款本款修改为：合同约定范围内的工作需要国家有关部门审批的，发包人和（或）承包人应按照合同约定的职责分工完成行政审批报送。因国家有关部门审批迟延造成费用增加和（或）工程延误的，按按照合同约定的职责分工分别自行承担。</w:t>
      </w:r>
    </w:p>
    <w:p w14:paraId="413DE3A8">
      <w:pPr>
        <w:keepNext/>
        <w:keepLines/>
        <w:spacing w:before="48" w:beforeLines="20" w:line="440" w:lineRule="exact"/>
        <w:outlineLvl w:val="0"/>
        <w:rPr>
          <w:rFonts w:eastAsia="黑体" w:cs="Times New Roman"/>
          <w:b/>
          <w:bCs w:val="0"/>
          <w:sz w:val="24"/>
          <w:szCs w:val="32"/>
        </w:rPr>
      </w:pPr>
      <w:r>
        <w:rPr>
          <w:rFonts w:eastAsia="黑体" w:cs="Times New Roman"/>
          <w:b/>
          <w:bCs w:val="0"/>
          <w:sz w:val="24"/>
          <w:szCs w:val="32"/>
        </w:rPr>
        <w:t>12. 暂停施工</w:t>
      </w:r>
    </w:p>
    <w:p w14:paraId="0263CC1E">
      <w:pPr>
        <w:keepNext/>
        <w:keepLines/>
        <w:spacing w:before="120" w:beforeLines="50" w:line="440" w:lineRule="exact"/>
        <w:outlineLvl w:val="0"/>
        <w:rPr>
          <w:rFonts w:ascii="黑体" w:hAnsi="黑体" w:eastAsia="黑体"/>
        </w:rPr>
      </w:pPr>
      <w:r>
        <w:rPr>
          <w:rFonts w:ascii="黑体" w:hAnsi="黑体" w:eastAsia="黑体"/>
        </w:rPr>
        <w:t>12.1 承包人暂停施工的责任</w:t>
      </w:r>
    </w:p>
    <w:p w14:paraId="364DA634">
      <w:pPr>
        <w:spacing w:line="440" w:lineRule="exact"/>
        <w:ind w:right="248"/>
        <w:rPr>
          <w:rFonts w:eastAsia="宋体"/>
          <w:szCs w:val="21"/>
        </w:rPr>
      </w:pPr>
      <w:r>
        <w:rPr>
          <w:rFonts w:eastAsia="宋体"/>
          <w:szCs w:val="21"/>
        </w:rPr>
        <w:t>12.1.2 承包人承担暂停施工责任的其它情形：</w:t>
      </w:r>
    </w:p>
    <w:p w14:paraId="52E7A789">
      <w:pPr>
        <w:spacing w:line="440" w:lineRule="exact"/>
        <w:ind w:right="248"/>
        <w:rPr>
          <w:rFonts w:ascii="宋体" w:hAnsi="宋体" w:eastAsia="宋体"/>
          <w:bCs/>
        </w:rPr>
      </w:pPr>
      <w:r>
        <w:rPr>
          <w:rFonts w:hint="eastAsia" w:ascii="宋体" w:hAnsi="宋体" w:eastAsia="宋体"/>
          <w:bCs/>
        </w:rPr>
        <w:t>（</w:t>
      </w:r>
      <w:r>
        <w:rPr>
          <w:rFonts w:ascii="宋体" w:hAnsi="宋体" w:eastAsia="宋体"/>
          <w:bCs/>
        </w:rPr>
        <w:t>1）</w:t>
      </w:r>
      <w:r>
        <w:rPr>
          <w:rFonts w:hint="eastAsia" w:ascii="宋体" w:hAnsi="宋体" w:eastAsia="宋体"/>
          <w:bCs/>
        </w:rPr>
        <w:t xml:space="preserve"> </w:t>
      </w:r>
      <w:r>
        <w:rPr>
          <w:rFonts w:ascii="宋体" w:hAnsi="宋体" w:eastAsia="宋体"/>
          <w:bCs/>
        </w:rPr>
        <w:t>承包人未经发包人</w:t>
      </w:r>
      <w:r>
        <w:rPr>
          <w:rFonts w:hint="eastAsia" w:ascii="宋体" w:hAnsi="宋体" w:eastAsia="宋体"/>
          <w:bCs/>
        </w:rPr>
        <w:t>同意擅自暂停工作；</w:t>
      </w:r>
    </w:p>
    <w:p w14:paraId="18F9EC91">
      <w:pPr>
        <w:spacing w:line="440" w:lineRule="exact"/>
        <w:ind w:right="248"/>
        <w:rPr>
          <w:rFonts w:ascii="宋体" w:hAnsi="宋体" w:eastAsia="宋体"/>
          <w:bCs/>
        </w:rPr>
      </w:pPr>
      <w:r>
        <w:rPr>
          <w:rFonts w:hint="eastAsia" w:ascii="宋体" w:hAnsi="宋体" w:eastAsia="宋体"/>
          <w:bCs/>
        </w:rPr>
        <w:t>（</w:t>
      </w:r>
      <w:r>
        <w:rPr>
          <w:rFonts w:ascii="宋体" w:hAnsi="宋体" w:eastAsia="宋体"/>
          <w:bCs/>
        </w:rPr>
        <w:t>2）</w:t>
      </w:r>
      <w:r>
        <w:rPr>
          <w:rFonts w:hint="eastAsia" w:ascii="宋体" w:hAnsi="宋体" w:eastAsia="宋体"/>
          <w:bCs/>
        </w:rPr>
        <w:t xml:space="preserve"> 承包人未将合同价款专用于合同，造成工资、材料款拖欠导致暂停施工的；</w:t>
      </w:r>
    </w:p>
    <w:p w14:paraId="1EB1F1C1">
      <w:pPr>
        <w:spacing w:line="440" w:lineRule="exact"/>
        <w:ind w:right="248"/>
        <w:rPr>
          <w:rFonts w:ascii="宋体" w:hAnsi="宋体" w:eastAsia="宋体"/>
          <w:bCs/>
        </w:rPr>
      </w:pPr>
      <w:r>
        <w:rPr>
          <w:rFonts w:hint="eastAsia" w:ascii="宋体" w:hAnsi="宋体" w:eastAsia="宋体"/>
          <w:bCs/>
        </w:rPr>
        <w:t>（</w:t>
      </w:r>
      <w:r>
        <w:rPr>
          <w:rFonts w:ascii="宋体" w:hAnsi="宋体" w:eastAsia="宋体"/>
          <w:bCs/>
        </w:rPr>
        <w:t>3）</w:t>
      </w:r>
      <w:r>
        <w:rPr>
          <w:rFonts w:hint="eastAsia" w:ascii="宋体" w:hAnsi="宋体" w:eastAsia="宋体"/>
          <w:bCs/>
        </w:rPr>
        <w:t xml:space="preserve"> </w:t>
      </w:r>
      <w:r>
        <w:rPr>
          <w:rFonts w:ascii="宋体" w:hAnsi="宋体" w:eastAsia="宋体"/>
          <w:bCs/>
        </w:rPr>
        <w:t>承包人组织施工管理不利，资质等级不够、施工队伍实力不足、技术设备无</w:t>
      </w:r>
      <w:r>
        <w:rPr>
          <w:rFonts w:hint="eastAsia" w:ascii="宋体" w:hAnsi="宋体" w:eastAsia="宋体"/>
          <w:bCs/>
        </w:rPr>
        <w:t>法满足施工要求等，造成暂停施工的；</w:t>
      </w:r>
    </w:p>
    <w:p w14:paraId="607892DB">
      <w:pPr>
        <w:spacing w:line="440" w:lineRule="exact"/>
        <w:ind w:right="248"/>
        <w:rPr>
          <w:rFonts w:ascii="宋体" w:hAnsi="宋体" w:eastAsia="宋体"/>
          <w:bCs/>
        </w:rPr>
      </w:pPr>
      <w:r>
        <w:rPr>
          <w:rFonts w:hint="eastAsia" w:ascii="宋体" w:hAnsi="宋体" w:eastAsia="宋体"/>
          <w:bCs/>
        </w:rPr>
        <w:t>（</w:t>
      </w:r>
      <w:r>
        <w:rPr>
          <w:rFonts w:ascii="宋体" w:hAnsi="宋体" w:eastAsia="宋体"/>
          <w:bCs/>
        </w:rPr>
        <w:t>4）</w:t>
      </w:r>
      <w:r>
        <w:rPr>
          <w:rFonts w:hint="eastAsia" w:ascii="宋体" w:hAnsi="宋体" w:eastAsia="宋体"/>
          <w:bCs/>
        </w:rPr>
        <w:t xml:space="preserve"> </w:t>
      </w:r>
      <w:r>
        <w:rPr>
          <w:rFonts w:ascii="宋体" w:hAnsi="宋体" w:eastAsia="宋体"/>
          <w:bCs/>
        </w:rPr>
        <w:t>施工质量不符合法律</w:t>
      </w:r>
      <w:r>
        <w:rPr>
          <w:rFonts w:hint="eastAsia" w:ascii="宋体" w:hAnsi="宋体" w:eastAsia="宋体"/>
          <w:bCs/>
        </w:rPr>
        <w:t>、</w:t>
      </w:r>
      <w:r>
        <w:rPr>
          <w:rFonts w:ascii="宋体" w:hAnsi="宋体" w:eastAsia="宋体"/>
          <w:bCs/>
        </w:rPr>
        <w:t>法规规定或合同约定，发包人或监理人要求暂停施工进行整改；</w:t>
      </w:r>
    </w:p>
    <w:p w14:paraId="508D0929">
      <w:pPr>
        <w:spacing w:line="440" w:lineRule="exact"/>
        <w:ind w:right="248"/>
        <w:rPr>
          <w:rFonts w:ascii="宋体" w:hAnsi="宋体" w:eastAsia="宋体"/>
          <w:bCs/>
        </w:rPr>
      </w:pPr>
      <w:r>
        <w:rPr>
          <w:rFonts w:hint="eastAsia" w:ascii="宋体" w:hAnsi="宋体" w:eastAsia="宋体"/>
          <w:bCs/>
        </w:rPr>
        <w:t>（</w:t>
      </w:r>
      <w:r>
        <w:rPr>
          <w:rFonts w:ascii="宋体" w:hAnsi="宋体" w:eastAsia="宋体"/>
          <w:bCs/>
        </w:rPr>
        <w:t>5）</w:t>
      </w:r>
      <w:r>
        <w:rPr>
          <w:rFonts w:hint="eastAsia" w:ascii="宋体" w:hAnsi="宋体" w:eastAsia="宋体"/>
          <w:bCs/>
        </w:rPr>
        <w:t xml:space="preserve"> 因设计成果不完整，存在错漏、偏差的，导致采购施工阶段修改施工图纸、变更施工方案；</w:t>
      </w:r>
    </w:p>
    <w:p w14:paraId="2A579AE9">
      <w:pPr>
        <w:spacing w:line="440" w:lineRule="exact"/>
        <w:ind w:right="248"/>
        <w:rPr>
          <w:rFonts w:eastAsia="宋体"/>
          <w:bCs/>
          <w:szCs w:val="21"/>
        </w:rPr>
      </w:pPr>
      <w:r>
        <w:rPr>
          <w:rFonts w:hint="eastAsia" w:ascii="宋体" w:hAnsi="宋体" w:eastAsia="宋体"/>
          <w:bCs/>
        </w:rPr>
        <w:t>（6） 承包人因施工过程中</w:t>
      </w:r>
      <w:r>
        <w:rPr>
          <w:rFonts w:hint="eastAsia" w:eastAsia="宋体"/>
          <w:bCs/>
          <w:szCs w:val="21"/>
        </w:rPr>
        <w:t>自身原因违反相关规定，包括但不限于安全生产、环卫、噪音等行政管理规定</w:t>
      </w:r>
      <w:r>
        <w:rPr>
          <w:rFonts w:hint="eastAsia" w:ascii="宋体" w:hAnsi="宋体" w:eastAsia="宋体"/>
          <w:bCs/>
        </w:rPr>
        <w:t>；</w:t>
      </w:r>
    </w:p>
    <w:p w14:paraId="6C6B0063">
      <w:pPr>
        <w:spacing w:line="440" w:lineRule="exact"/>
        <w:ind w:right="248"/>
        <w:rPr>
          <w:rFonts w:ascii="宋体" w:hAnsi="宋体" w:eastAsia="宋体"/>
          <w:bCs/>
        </w:rPr>
      </w:pPr>
      <w:r>
        <w:rPr>
          <w:rFonts w:hint="eastAsia" w:ascii="宋体" w:hAnsi="宋体" w:eastAsia="宋体"/>
          <w:bCs/>
        </w:rPr>
        <w:t>（7） 承包人无法继续履行或明确表示不履行或实质上已停止履行合同的。</w:t>
      </w:r>
      <w:r>
        <w:rPr>
          <w:rFonts w:eastAsia="宋体"/>
          <w:bCs/>
          <w:szCs w:val="21"/>
        </w:rPr>
        <w:t xml:space="preserve"> </w:t>
      </w:r>
    </w:p>
    <w:p w14:paraId="5E961D79">
      <w:pPr>
        <w:keepNext/>
        <w:keepLines/>
        <w:spacing w:before="48" w:beforeLines="20" w:line="440" w:lineRule="exact"/>
        <w:outlineLvl w:val="1"/>
        <w:rPr>
          <w:rFonts w:eastAsia="宋体"/>
          <w:bCs/>
          <w:sz w:val="24"/>
          <w:szCs w:val="32"/>
        </w:rPr>
      </w:pPr>
      <w:r>
        <w:rPr>
          <w:rFonts w:eastAsia="宋体"/>
          <w:bCs/>
          <w:sz w:val="24"/>
          <w:szCs w:val="32"/>
        </w:rPr>
        <w:t xml:space="preserve">13. </w:t>
      </w:r>
      <w:r>
        <w:rPr>
          <w:rFonts w:ascii="Arial" w:hAnsi="Arial" w:eastAsia="黑体"/>
          <w:b/>
          <w:sz w:val="24"/>
          <w:szCs w:val="32"/>
        </w:rPr>
        <w:t>工程质量</w:t>
      </w:r>
    </w:p>
    <w:p w14:paraId="57F5324D">
      <w:pPr>
        <w:autoSpaceDE w:val="0"/>
        <w:autoSpaceDN w:val="0"/>
        <w:adjustRightInd w:val="0"/>
        <w:spacing w:line="440" w:lineRule="exact"/>
        <w:jc w:val="left"/>
        <w:outlineLvl w:val="0"/>
        <w:rPr>
          <w:rFonts w:hint="eastAsia" w:eastAsia="黑体"/>
        </w:rPr>
      </w:pPr>
      <w:r>
        <w:rPr>
          <w:rFonts w:hint="eastAsia" w:ascii="Arial" w:hAnsi="Arial" w:eastAsia="黑体"/>
          <w:b/>
          <w:kern w:val="0"/>
          <w:sz w:val="24"/>
          <w:szCs w:val="32"/>
        </w:rPr>
        <w:t xml:space="preserve">13.1 </w:t>
      </w:r>
      <w:r>
        <w:rPr>
          <w:rFonts w:ascii="Arial" w:hAnsi="Arial" w:eastAsia="黑体"/>
          <w:b/>
          <w:kern w:val="0"/>
          <w:sz w:val="24"/>
          <w:szCs w:val="32"/>
        </w:rPr>
        <w:t>工程质量</w:t>
      </w:r>
      <w:r>
        <w:rPr>
          <w:rFonts w:hint="eastAsia" w:ascii="Arial" w:hAnsi="Arial" w:eastAsia="黑体"/>
          <w:b/>
          <w:kern w:val="0"/>
          <w:sz w:val="24"/>
          <w:szCs w:val="32"/>
        </w:rPr>
        <w:t>要求</w:t>
      </w:r>
    </w:p>
    <w:p w14:paraId="46958D2E">
      <w:pPr>
        <w:widowControl/>
        <w:spacing w:line="440" w:lineRule="exact"/>
        <w:jc w:val="left"/>
        <w:rPr>
          <w:rFonts w:eastAsia="宋体"/>
          <w:szCs w:val="21"/>
        </w:rPr>
      </w:pPr>
      <w:r>
        <w:rPr>
          <w:rFonts w:eastAsia="宋体"/>
          <w:szCs w:val="21"/>
        </w:rPr>
        <w:t>13.1.4 本工程质量要求：设计质量标准：符合国家相关技术标准、规范的要求和招标文件要求；施工质量标准：合格，符合现行国家及地方有关工程施工验收规范和标准的要求；</w:t>
      </w:r>
    </w:p>
    <w:p w14:paraId="3E300749">
      <w:pPr>
        <w:widowControl/>
        <w:spacing w:line="440" w:lineRule="exact"/>
        <w:jc w:val="left"/>
        <w:rPr>
          <w:rFonts w:eastAsia="宋体"/>
          <w:szCs w:val="21"/>
        </w:rPr>
      </w:pPr>
      <w:r>
        <w:rPr>
          <w:rFonts w:eastAsia="宋体"/>
          <w:szCs w:val="21"/>
        </w:rPr>
        <w:t>13.1.5在施工期间如颁布有新的验收标准和规范需要强制执行时，按新颁布的验收标准和规范执行。</w:t>
      </w:r>
    </w:p>
    <w:p w14:paraId="325421BB">
      <w:pPr>
        <w:widowControl/>
        <w:spacing w:line="440" w:lineRule="exact"/>
        <w:jc w:val="left"/>
        <w:rPr>
          <w:rFonts w:eastAsia="宋体"/>
          <w:szCs w:val="21"/>
        </w:rPr>
      </w:pPr>
      <w:r>
        <w:rPr>
          <w:rFonts w:eastAsia="宋体"/>
          <w:szCs w:val="21"/>
        </w:rPr>
        <w:t>13.1.6.承包人按照合同要求向发包人和监理人提交工程质量保证体系及措施文件，建立完善的质量检查制度，并提交相应的工程质量文件。承包人应对施工人员进行质量教育和技术培训，定期考核施工人员的劳动技能，严格执行施工规范和操作规程。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39F20819">
      <w:pPr>
        <w:widowControl/>
        <w:spacing w:line="440" w:lineRule="exact"/>
        <w:jc w:val="left"/>
        <w:rPr>
          <w:rFonts w:eastAsia="宋体"/>
          <w:szCs w:val="21"/>
        </w:rPr>
      </w:pPr>
      <w:r>
        <w:rPr>
          <w:rFonts w:eastAsia="宋体"/>
          <w:szCs w:val="21"/>
        </w:rPr>
        <w:t>13.1.8因承包人原因导致分部工程验收不合格，承包</w:t>
      </w:r>
      <w:r>
        <w:rPr>
          <w:rFonts w:ascii="宋体" w:hAnsi="宋体" w:eastAsia="宋体"/>
          <w:szCs w:val="21"/>
        </w:rPr>
        <w:t>人</w:t>
      </w:r>
      <w:r>
        <w:rPr>
          <w:rFonts w:eastAsia="宋体"/>
          <w:szCs w:val="21"/>
        </w:rPr>
        <w:t>需按要求进行整改，</w:t>
      </w:r>
      <w:r>
        <w:rPr>
          <w:rFonts w:hint="eastAsia" w:eastAsia="宋体"/>
          <w:szCs w:val="21"/>
        </w:rPr>
        <w:t>整改后仍不合格的，</w:t>
      </w:r>
      <w:r>
        <w:rPr>
          <w:rFonts w:eastAsia="宋体"/>
          <w:szCs w:val="21"/>
        </w:rPr>
        <w:t>每发生一次处以</w:t>
      </w:r>
      <w:r>
        <w:rPr>
          <w:rFonts w:eastAsia="宋体"/>
          <w:szCs w:val="21"/>
          <w:u w:val="single"/>
        </w:rPr>
        <w:t>50000</w:t>
      </w:r>
      <w:r>
        <w:rPr>
          <w:rFonts w:eastAsia="宋体"/>
          <w:szCs w:val="21"/>
        </w:rPr>
        <w:t>元的违约金，同时承包人还须承担质量修复直至达到验收合格标准并承担相关修复费用。</w:t>
      </w:r>
    </w:p>
    <w:p w14:paraId="40C6AE06">
      <w:pPr>
        <w:widowControl/>
        <w:spacing w:line="440" w:lineRule="exact"/>
        <w:jc w:val="left"/>
        <w:rPr>
          <w:rFonts w:ascii="宋体" w:hAnsi="宋体" w:eastAsia="宋体"/>
          <w:szCs w:val="21"/>
        </w:rPr>
      </w:pPr>
      <w:r>
        <w:rPr>
          <w:rFonts w:eastAsia="宋体"/>
          <w:szCs w:val="21"/>
        </w:rPr>
        <w:t>13.1.9用于本工程所有主要材料及设备在进场前必须提前7天以上申报，经发包人、监理批准后，方可进场使用。若未经批准使用，除所进材料设备必须无条</w:t>
      </w:r>
      <w:r>
        <w:rPr>
          <w:rFonts w:ascii="宋体" w:hAnsi="宋体" w:eastAsia="宋体"/>
          <w:szCs w:val="21"/>
        </w:rPr>
        <w:t>件退场外，</w:t>
      </w:r>
      <w:r>
        <w:rPr>
          <w:rFonts w:hint="eastAsia" w:ascii="宋体" w:hAnsi="宋体" w:eastAsia="宋体"/>
          <w:szCs w:val="21"/>
        </w:rPr>
        <w:t>按</w:t>
      </w:r>
      <w:r>
        <w:rPr>
          <w:rFonts w:ascii="宋体" w:hAnsi="宋体" w:eastAsia="宋体"/>
          <w:szCs w:val="21"/>
          <w:u w:val="single"/>
        </w:rPr>
        <w:t>10000元/次</w:t>
      </w:r>
      <w:r>
        <w:rPr>
          <w:rFonts w:hint="eastAsia" w:ascii="宋体" w:hAnsi="宋体" w:eastAsia="宋体"/>
          <w:szCs w:val="21"/>
        </w:rPr>
        <w:t>处以违约金</w:t>
      </w:r>
      <w:r>
        <w:rPr>
          <w:rFonts w:ascii="宋体" w:hAnsi="宋体" w:eastAsia="宋体"/>
          <w:szCs w:val="21"/>
        </w:rPr>
        <w:t>。</w:t>
      </w:r>
    </w:p>
    <w:p w14:paraId="1FE43FB1">
      <w:pPr>
        <w:spacing w:line="440" w:lineRule="exact"/>
        <w:rPr>
          <w:rFonts w:ascii="宋体" w:hAnsi="宋体" w:eastAsia="宋体"/>
          <w:szCs w:val="21"/>
        </w:rPr>
      </w:pPr>
      <w:r>
        <w:rPr>
          <w:rFonts w:eastAsia="宋体"/>
        </w:rPr>
        <w:t>13.1.10</w:t>
      </w:r>
      <w:r>
        <w:rPr>
          <w:rFonts w:ascii="宋体" w:hAnsi="宋体" w:eastAsia="宋体"/>
          <w:szCs w:val="21"/>
        </w:rPr>
        <w:t>所有材料设备如发现为不合格产品，所进材料设备必须无条件退场，处</w:t>
      </w:r>
      <w:r>
        <w:rPr>
          <w:rFonts w:ascii="宋体" w:hAnsi="宋体" w:eastAsia="宋体"/>
          <w:szCs w:val="21"/>
          <w:u w:val="single"/>
        </w:rPr>
        <w:t>10000元/次</w:t>
      </w:r>
      <w:r>
        <w:rPr>
          <w:rFonts w:ascii="宋体" w:hAnsi="宋体" w:eastAsia="宋体"/>
          <w:szCs w:val="21"/>
        </w:rPr>
        <w:t>违约金，并对不符合要求的材料设备全部更换，由此产生的返工费及工期延误由承包人承担。</w:t>
      </w:r>
    </w:p>
    <w:p w14:paraId="2916717D">
      <w:pPr>
        <w:spacing w:line="440" w:lineRule="exact"/>
        <w:rPr>
          <w:rFonts w:hint="eastAsia" w:eastAsia="黑体"/>
        </w:rPr>
      </w:pPr>
      <w:r>
        <w:rPr>
          <w:rFonts w:eastAsia="宋体"/>
        </w:rPr>
        <w:t>13.1.11</w:t>
      </w:r>
      <w:r>
        <w:rPr>
          <w:rFonts w:ascii="宋体" w:hAnsi="宋体" w:eastAsia="宋体"/>
          <w:szCs w:val="21"/>
        </w:rPr>
        <w:t>施工过程中，应严格控制工程质量，采取完善的保障措施，防止质量事故的发生。若因承包人原因引起的一般质量事故，承包人除承担全部处理费用外，每发生一处还应向发包人缴纳违约金5000元，若因承包人原因引起的严重质量事故，承包人除承担全部处理费用外，每发生一次还应向发包人</w:t>
      </w:r>
      <w:r>
        <w:rPr>
          <w:rFonts w:hint="eastAsia" w:ascii="宋体" w:hAnsi="宋体" w:eastAsia="宋体"/>
          <w:szCs w:val="21"/>
        </w:rPr>
        <w:t>支付</w:t>
      </w:r>
      <w:r>
        <w:rPr>
          <w:rFonts w:ascii="宋体" w:hAnsi="宋体" w:eastAsia="宋体"/>
          <w:szCs w:val="21"/>
        </w:rPr>
        <w:t>违约金1</w:t>
      </w:r>
      <w:r>
        <w:rPr>
          <w:rFonts w:hint="eastAsia" w:ascii="宋体" w:hAnsi="宋体" w:eastAsia="宋体"/>
          <w:szCs w:val="21"/>
          <w:lang w:eastAsia="zh-CN"/>
        </w:rPr>
        <w:t>万</w:t>
      </w:r>
      <w:r>
        <w:rPr>
          <w:rFonts w:ascii="宋体" w:hAnsi="宋体" w:eastAsia="宋体"/>
          <w:szCs w:val="21"/>
        </w:rPr>
        <w:t>～8</w:t>
      </w:r>
      <w:r>
        <w:rPr>
          <w:rFonts w:hint="eastAsia" w:ascii="宋体" w:hAnsi="宋体" w:eastAsia="宋体"/>
          <w:szCs w:val="21"/>
          <w:lang w:eastAsia="zh-CN"/>
        </w:rPr>
        <w:t>万</w:t>
      </w:r>
      <w:r>
        <w:rPr>
          <w:rFonts w:ascii="宋体" w:hAnsi="宋体" w:eastAsia="宋体"/>
          <w:szCs w:val="21"/>
        </w:rPr>
        <w:t>元。</w:t>
      </w:r>
    </w:p>
    <w:p w14:paraId="2ACF3DAD">
      <w:pPr>
        <w:keepNext/>
        <w:keepLines/>
        <w:spacing w:before="120" w:beforeLines="50" w:line="440" w:lineRule="exact"/>
        <w:outlineLvl w:val="0"/>
        <w:rPr>
          <w:rFonts w:ascii="黑体" w:hAnsi="黑体" w:eastAsia="黑体"/>
        </w:rPr>
      </w:pPr>
      <w:r>
        <w:rPr>
          <w:rFonts w:ascii="黑体" w:hAnsi="黑体" w:eastAsia="黑体"/>
        </w:rPr>
        <w:t>13.4 工程隐蔽部位覆盖前的检查</w:t>
      </w:r>
    </w:p>
    <w:p w14:paraId="56C57FD2">
      <w:pPr>
        <w:spacing w:line="440" w:lineRule="exact"/>
        <w:rPr>
          <w:rFonts w:ascii="宋体" w:hAnsi="宋体" w:eastAsia="宋体"/>
          <w:szCs w:val="21"/>
        </w:rPr>
      </w:pPr>
      <w:r>
        <w:rPr>
          <w:rFonts w:hint="eastAsia" w:eastAsia="宋体"/>
        </w:rPr>
        <w:t>1</w:t>
      </w:r>
      <w:r>
        <w:rPr>
          <w:rFonts w:eastAsia="宋体"/>
        </w:rPr>
        <w:t>3.4.5</w:t>
      </w:r>
      <w:r>
        <w:rPr>
          <w:rFonts w:ascii="宋体" w:hAnsi="宋体" w:eastAsia="宋体"/>
          <w:szCs w:val="21"/>
        </w:rPr>
        <w:t>需要质检的隐蔽工程和中间验收部位的分类、部位、质检内容、标准、表格和参检方的约定：</w:t>
      </w:r>
    </w:p>
    <w:p w14:paraId="5ABF7E34">
      <w:pPr>
        <w:spacing w:line="440" w:lineRule="exact"/>
        <w:rPr>
          <w:rFonts w:ascii="宋体" w:hAnsi="宋体" w:eastAsia="宋体"/>
          <w:szCs w:val="21"/>
        </w:rPr>
      </w:pPr>
      <w:r>
        <w:rPr>
          <w:rFonts w:ascii="宋体" w:hAnsi="宋体" w:eastAsia="宋体"/>
          <w:szCs w:val="21"/>
        </w:rPr>
        <w:t>（1）按设计文件及现行国家、行业验收规范进行隐蔽工程和中间验收。任何工作已经做好,拟进行覆盖、掩蔽前48小时内,承包人应以书面形式通知监理人,监理人负责组织承包人、发包人，邀请质量监督等相关单位人员</w:t>
      </w:r>
      <w:r>
        <w:rPr>
          <w:rFonts w:hint="eastAsia" w:ascii="宋体" w:hAnsi="宋体" w:eastAsia="宋体"/>
          <w:szCs w:val="21"/>
        </w:rPr>
        <w:t>（如有要求）</w:t>
      </w:r>
      <w:r>
        <w:rPr>
          <w:rFonts w:ascii="宋体" w:hAnsi="宋体" w:eastAsia="宋体"/>
          <w:szCs w:val="21"/>
        </w:rPr>
        <w:t>及时参加检查、检验、测量或试验,并对符合规定的结果认可签字。</w:t>
      </w:r>
      <w:r>
        <w:rPr>
          <w:rFonts w:hint="eastAsia" w:ascii="宋体" w:hAnsi="宋体" w:eastAsia="宋体"/>
          <w:szCs w:val="21"/>
        </w:rPr>
        <w:t>经验收不合格的，承包人应在发包人指定的时间内返工，并由发包人和监理人重新检验，由此产生的费用及延误的工期由承包人承担。</w:t>
      </w:r>
    </w:p>
    <w:p w14:paraId="2AF040D7">
      <w:pPr>
        <w:spacing w:line="440" w:lineRule="exact"/>
        <w:rPr>
          <w:rFonts w:hint="eastAsia" w:ascii="宋体" w:hAnsi="宋体" w:eastAsia="宋体"/>
          <w:szCs w:val="21"/>
        </w:rPr>
      </w:pPr>
      <w:r>
        <w:rPr>
          <w:rFonts w:hint="eastAsia" w:ascii="宋体" w:hAnsi="宋体" w:eastAsia="宋体"/>
          <w:szCs w:val="21"/>
        </w:rPr>
        <w:t>（2）</w:t>
      </w:r>
      <w:r>
        <w:rPr>
          <w:rFonts w:ascii="宋体" w:hAnsi="宋体" w:eastAsia="宋体"/>
          <w:szCs w:val="21"/>
        </w:rPr>
        <w:t>承包人应完善工序控制，严格工序间交接检查，上一道隐蔽工程需验收合格后才能进入下一道工序施工；承包人应对重要部位进行试验及技术复核，对关键工序严格把关，对质量事故及时报告并制定处理方案报批。如出现质量隐患及问题，承包人除按规范要求返工外，发包人还将按合同约定</w:t>
      </w:r>
      <w:r>
        <w:rPr>
          <w:rFonts w:hint="eastAsia" w:ascii="宋体" w:hAnsi="宋体" w:eastAsia="宋体"/>
          <w:szCs w:val="21"/>
        </w:rPr>
        <w:t>追究</w:t>
      </w:r>
      <w:r>
        <w:rPr>
          <w:rFonts w:ascii="宋体" w:hAnsi="宋体" w:eastAsia="宋体"/>
          <w:szCs w:val="21"/>
        </w:rPr>
        <w:t>承包人</w:t>
      </w:r>
      <w:r>
        <w:rPr>
          <w:rFonts w:hint="eastAsia" w:ascii="宋体" w:hAnsi="宋体" w:eastAsia="宋体"/>
          <w:szCs w:val="21"/>
        </w:rPr>
        <w:t>违约责任</w:t>
      </w:r>
      <w:r>
        <w:rPr>
          <w:rFonts w:ascii="宋体" w:hAnsi="宋体" w:eastAsia="宋体"/>
          <w:szCs w:val="21"/>
        </w:rPr>
        <w:t>。</w:t>
      </w:r>
    </w:p>
    <w:p w14:paraId="16C378AC">
      <w:pPr>
        <w:keepNext/>
        <w:keepLines/>
        <w:spacing w:before="48" w:beforeLines="20" w:line="440" w:lineRule="exact"/>
        <w:outlineLvl w:val="0"/>
        <w:rPr>
          <w:rFonts w:ascii="Arial" w:hAnsi="Arial" w:eastAsia="黑体"/>
          <w:bCs/>
          <w:sz w:val="24"/>
          <w:szCs w:val="32"/>
          <w:highlight w:val="none"/>
        </w:rPr>
      </w:pPr>
      <w:r>
        <w:rPr>
          <w:rFonts w:ascii="Arial" w:hAnsi="Arial" w:eastAsia="黑体"/>
          <w:bCs/>
          <w:sz w:val="24"/>
          <w:szCs w:val="32"/>
          <w:highlight w:val="none"/>
        </w:rPr>
        <w:t>15. 变更</w:t>
      </w:r>
    </w:p>
    <w:p w14:paraId="059576FF">
      <w:pPr>
        <w:keepNext/>
        <w:keepLines/>
        <w:spacing w:before="120" w:beforeLines="50" w:line="440" w:lineRule="exact"/>
        <w:outlineLvl w:val="0"/>
        <w:rPr>
          <w:rFonts w:ascii="黑体" w:hAnsi="黑体" w:eastAsia="黑体"/>
          <w:highlight w:val="none"/>
        </w:rPr>
      </w:pPr>
      <w:r>
        <w:rPr>
          <w:rFonts w:ascii="黑体" w:hAnsi="黑体" w:eastAsia="黑体"/>
          <w:highlight w:val="none"/>
        </w:rPr>
        <w:t xml:space="preserve">15.1 </w:t>
      </w:r>
      <w:r>
        <w:rPr>
          <w:rFonts w:hint="eastAsia" w:ascii="黑体" w:hAnsi="黑体" w:eastAsia="黑体"/>
          <w:highlight w:val="none"/>
        </w:rPr>
        <w:t>变更权</w:t>
      </w:r>
    </w:p>
    <w:p w14:paraId="3E828CE9">
      <w:pPr>
        <w:spacing w:line="440" w:lineRule="exact"/>
        <w:rPr>
          <w:rFonts w:eastAsia="宋体"/>
          <w:szCs w:val="21"/>
        </w:rPr>
      </w:pPr>
      <w:r>
        <w:rPr>
          <w:rFonts w:eastAsia="宋体"/>
          <w:szCs w:val="21"/>
          <w:highlight w:val="none"/>
        </w:rPr>
        <w:t>15.1.1</w:t>
      </w:r>
      <w:r>
        <w:rPr>
          <w:rFonts w:hint="eastAsia" w:ascii="宋体" w:hAnsi="宋体" w:eastAsia="宋体"/>
          <w:b/>
          <w:bCs/>
          <w:szCs w:val="21"/>
          <w:highlight w:val="none"/>
        </w:rPr>
        <w:t>设计变更管理。</w:t>
      </w:r>
      <w:r>
        <w:rPr>
          <w:rFonts w:hint="eastAsia" w:ascii="宋体" w:hAnsi="宋体" w:eastAsia="宋体"/>
          <w:szCs w:val="21"/>
          <w:highlight w:val="none"/>
        </w:rPr>
        <w:t>该项设计变更的界定：指的是施工图纸取得图审合格意见书后，所发生的设</w:t>
      </w:r>
      <w:r>
        <w:rPr>
          <w:rFonts w:hint="eastAsia" w:ascii="宋体" w:hAnsi="宋体" w:eastAsia="宋体"/>
          <w:szCs w:val="21"/>
        </w:rPr>
        <w:t>计变更。</w:t>
      </w:r>
      <w:r>
        <w:rPr>
          <w:rFonts w:hint="eastAsia" w:eastAsia="宋体"/>
          <w:szCs w:val="21"/>
        </w:rPr>
        <w:t>允许发生合同变更的主要情形：</w:t>
      </w:r>
    </w:p>
    <w:p w14:paraId="428E0F8B">
      <w:pPr>
        <w:spacing w:line="440" w:lineRule="exact"/>
        <w:rPr>
          <w:rFonts w:eastAsia="宋体"/>
          <w:szCs w:val="21"/>
        </w:rPr>
      </w:pPr>
      <w:r>
        <w:rPr>
          <w:rFonts w:hint="eastAsia" w:eastAsia="宋体"/>
          <w:szCs w:val="21"/>
        </w:rPr>
        <w:t>（1）因不可抗力原因造成的工程变更；</w:t>
      </w:r>
    </w:p>
    <w:p w14:paraId="72E53B70">
      <w:pPr>
        <w:spacing w:line="440" w:lineRule="exact"/>
        <w:rPr>
          <w:rFonts w:eastAsia="宋体"/>
          <w:szCs w:val="21"/>
        </w:rPr>
      </w:pPr>
      <w:r>
        <w:rPr>
          <w:rFonts w:hint="eastAsia" w:eastAsia="宋体"/>
          <w:szCs w:val="21"/>
        </w:rPr>
        <w:t>（</w:t>
      </w:r>
      <w:r>
        <w:rPr>
          <w:rFonts w:hint="eastAsia" w:eastAsia="宋体"/>
          <w:szCs w:val="21"/>
          <w:lang w:val="en-US" w:eastAsia="zh-CN"/>
        </w:rPr>
        <w:t>2</w:t>
      </w:r>
      <w:r>
        <w:rPr>
          <w:rFonts w:hint="eastAsia" w:eastAsia="宋体"/>
          <w:szCs w:val="21"/>
        </w:rPr>
        <w:t>）因政策改变原因造成的工程变更；</w:t>
      </w:r>
    </w:p>
    <w:p w14:paraId="74965245">
      <w:pPr>
        <w:spacing w:line="440" w:lineRule="exact"/>
        <w:rPr>
          <w:rFonts w:hint="eastAsia" w:eastAsia="宋体"/>
          <w:szCs w:val="21"/>
          <w:lang w:eastAsia="zh-CN"/>
        </w:rPr>
      </w:pPr>
      <w:r>
        <w:rPr>
          <w:rFonts w:hint="eastAsia" w:eastAsia="宋体"/>
          <w:szCs w:val="21"/>
        </w:rPr>
        <w:t>（</w:t>
      </w:r>
      <w:r>
        <w:rPr>
          <w:rFonts w:hint="eastAsia" w:eastAsia="宋体"/>
          <w:szCs w:val="21"/>
          <w:lang w:val="en-US" w:eastAsia="zh-CN"/>
        </w:rPr>
        <w:t>3</w:t>
      </w:r>
      <w:r>
        <w:rPr>
          <w:rFonts w:hint="eastAsia" w:eastAsia="宋体"/>
          <w:szCs w:val="21"/>
        </w:rPr>
        <w:t>）因发包人原因造成的工程变更</w:t>
      </w:r>
      <w:r>
        <w:rPr>
          <w:rFonts w:hint="eastAsia" w:eastAsia="宋体"/>
          <w:szCs w:val="21"/>
          <w:lang w:eastAsia="zh-CN"/>
        </w:rPr>
        <w:t>；</w:t>
      </w:r>
    </w:p>
    <w:p w14:paraId="49285F0C">
      <w:pPr>
        <w:spacing w:line="440" w:lineRule="exact"/>
        <w:rPr>
          <w:rFonts w:eastAsia="宋体"/>
          <w:szCs w:val="21"/>
        </w:rPr>
      </w:pPr>
      <w:r>
        <w:rPr>
          <w:rFonts w:hint="eastAsia" w:eastAsia="宋体"/>
          <w:szCs w:val="21"/>
        </w:rPr>
        <w:t>（</w:t>
      </w:r>
      <w:r>
        <w:rPr>
          <w:rFonts w:hint="eastAsia" w:eastAsia="宋体"/>
          <w:szCs w:val="21"/>
          <w:lang w:val="en-US" w:eastAsia="zh-CN"/>
        </w:rPr>
        <w:t>4</w:t>
      </w:r>
      <w:r>
        <w:rPr>
          <w:rFonts w:hint="eastAsia" w:eastAsia="宋体"/>
          <w:szCs w:val="21"/>
        </w:rPr>
        <w:t>）</w:t>
      </w:r>
      <w:r>
        <w:rPr>
          <w:rFonts w:eastAsia="宋体"/>
          <w:szCs w:val="21"/>
        </w:rPr>
        <w:t>没有</w:t>
      </w:r>
      <w:r>
        <w:rPr>
          <w:rFonts w:hint="eastAsia" w:eastAsia="宋体"/>
          <w:szCs w:val="21"/>
          <w:lang w:eastAsia="zh-CN"/>
        </w:rPr>
        <w:t>发包人、</w:t>
      </w:r>
      <w:r>
        <w:rPr>
          <w:rFonts w:eastAsia="宋体"/>
          <w:szCs w:val="21"/>
        </w:rPr>
        <w:t>监理人的变更指示，承包人不得擅自变更</w:t>
      </w:r>
      <w:r>
        <w:rPr>
          <w:rFonts w:hint="eastAsia" w:eastAsia="宋体"/>
          <w:szCs w:val="21"/>
          <w:lang w:val="en-US" w:eastAsia="zh-CN"/>
        </w:rPr>
        <w:t>和优化</w:t>
      </w:r>
      <w:r>
        <w:rPr>
          <w:rFonts w:eastAsia="宋体"/>
          <w:szCs w:val="21"/>
        </w:rPr>
        <w:t>。</w:t>
      </w:r>
    </w:p>
    <w:p w14:paraId="11C860B9">
      <w:pPr>
        <w:spacing w:line="440" w:lineRule="exact"/>
        <w:rPr>
          <w:rFonts w:eastAsia="宋体"/>
          <w:szCs w:val="21"/>
        </w:rPr>
      </w:pPr>
      <w:r>
        <w:rPr>
          <w:rFonts w:eastAsia="宋体"/>
          <w:b/>
          <w:bCs/>
          <w:szCs w:val="21"/>
        </w:rPr>
        <w:t>15.1.2</w:t>
      </w:r>
      <w:r>
        <w:rPr>
          <w:rFonts w:hint="eastAsia" w:eastAsia="宋体"/>
          <w:b/>
          <w:bCs/>
          <w:szCs w:val="21"/>
        </w:rPr>
        <w:t>变更洽商事项：</w:t>
      </w:r>
      <w:r>
        <w:rPr>
          <w:rFonts w:hint="eastAsia" w:eastAsia="宋体"/>
          <w:szCs w:val="21"/>
        </w:rPr>
        <w:t>合同履行期间，经发包人批准，监理人可按本条约定的程序向承包人发出设计变更或工程洽商指令，承包人应遵照执行。变更洽商事项包括以下情形：</w:t>
      </w:r>
    </w:p>
    <w:p w14:paraId="6DFF3C69">
      <w:pPr>
        <w:spacing w:line="440" w:lineRule="exact"/>
        <w:rPr>
          <w:rFonts w:eastAsia="宋体"/>
          <w:szCs w:val="21"/>
        </w:rPr>
      </w:pPr>
      <w:r>
        <w:rPr>
          <w:rFonts w:hint="eastAsia" w:eastAsia="宋体"/>
          <w:szCs w:val="21"/>
        </w:rPr>
        <w:t>（1）因设计变更或工程规模变化而引起的工程量增减（不含固定单价合同暂定工程量的重计量和固定总价合同工程量的偏差）；</w:t>
      </w:r>
    </w:p>
    <w:p w14:paraId="7D5A860C">
      <w:pPr>
        <w:spacing w:line="440" w:lineRule="exact"/>
        <w:rPr>
          <w:rFonts w:eastAsia="宋体"/>
          <w:szCs w:val="21"/>
        </w:rPr>
      </w:pPr>
      <w:r>
        <w:rPr>
          <w:rFonts w:hint="eastAsia" w:eastAsia="宋体"/>
          <w:szCs w:val="21"/>
        </w:rPr>
        <w:t>（2）因设计变更而使得某些工程内容被取消；</w:t>
      </w:r>
    </w:p>
    <w:p w14:paraId="60E93DD5">
      <w:pPr>
        <w:spacing w:line="440" w:lineRule="exact"/>
        <w:rPr>
          <w:rFonts w:eastAsia="宋体"/>
          <w:szCs w:val="21"/>
        </w:rPr>
      </w:pPr>
      <w:r>
        <w:rPr>
          <w:rFonts w:hint="eastAsia" w:eastAsia="宋体"/>
          <w:szCs w:val="21"/>
        </w:rPr>
        <w:t>（3）因设计变更改变而导致的工程质量、性质或类型的改变；</w:t>
      </w:r>
    </w:p>
    <w:p w14:paraId="79F7D749">
      <w:pPr>
        <w:spacing w:line="440" w:lineRule="exact"/>
        <w:rPr>
          <w:rFonts w:eastAsia="宋体"/>
          <w:szCs w:val="21"/>
        </w:rPr>
      </w:pPr>
      <w:r>
        <w:rPr>
          <w:rFonts w:hint="eastAsia" w:eastAsia="宋体"/>
          <w:szCs w:val="21"/>
        </w:rPr>
        <w:t>（4）因设计变更改变而导致的产品档次、功能的改变；</w:t>
      </w:r>
    </w:p>
    <w:p w14:paraId="2A6D0927">
      <w:pPr>
        <w:spacing w:line="440" w:lineRule="exact"/>
        <w:rPr>
          <w:rFonts w:eastAsia="宋体"/>
          <w:szCs w:val="21"/>
        </w:rPr>
      </w:pPr>
      <w:r>
        <w:rPr>
          <w:rFonts w:hint="eastAsia" w:eastAsia="宋体"/>
          <w:szCs w:val="21"/>
        </w:rPr>
        <w:t>出现承包人不积极履约或发包人认为必要的其它情况，发包人有权减少承包人工作内容或对合同范围重新划分，承包人需接受并不得因此提出任何费用或利润的索赔。</w:t>
      </w:r>
    </w:p>
    <w:p w14:paraId="22CABFA0">
      <w:pPr>
        <w:spacing w:line="440" w:lineRule="exact"/>
        <w:rPr>
          <w:rFonts w:eastAsia="宋体"/>
          <w:szCs w:val="21"/>
        </w:rPr>
      </w:pPr>
      <w:r>
        <w:rPr>
          <w:rFonts w:eastAsia="宋体"/>
          <w:b/>
          <w:bCs/>
          <w:szCs w:val="21"/>
        </w:rPr>
        <w:t>15.1.3</w:t>
      </w:r>
      <w:r>
        <w:rPr>
          <w:rFonts w:hint="eastAsia" w:eastAsia="宋体"/>
          <w:b/>
          <w:bCs/>
          <w:szCs w:val="21"/>
        </w:rPr>
        <w:t>变更洽商的影响：</w:t>
      </w:r>
      <w:r>
        <w:rPr>
          <w:rFonts w:hint="eastAsia" w:eastAsia="宋体"/>
          <w:szCs w:val="21"/>
        </w:rPr>
        <w:t>变更洽商不应当以任何方式使合同失效，如果发包人通过监理人发出指令进行变更洽商完全是因为下述原因引起的，则均视为技术洽商，发包人不予任何经济补偿：</w:t>
      </w:r>
    </w:p>
    <w:p w14:paraId="1A68C338">
      <w:pPr>
        <w:spacing w:line="440" w:lineRule="exact"/>
        <w:rPr>
          <w:rFonts w:eastAsia="宋体"/>
          <w:szCs w:val="21"/>
        </w:rPr>
      </w:pPr>
      <w:r>
        <w:rPr>
          <w:rFonts w:hint="eastAsia" w:eastAsia="宋体"/>
          <w:szCs w:val="21"/>
        </w:rPr>
        <w:t>（1）承包人的违约或毁约；</w:t>
      </w:r>
    </w:p>
    <w:p w14:paraId="00802D28">
      <w:pPr>
        <w:spacing w:line="440" w:lineRule="exact"/>
        <w:rPr>
          <w:rFonts w:eastAsia="宋体"/>
          <w:szCs w:val="21"/>
        </w:rPr>
      </w:pPr>
      <w:r>
        <w:rPr>
          <w:rFonts w:hint="eastAsia" w:eastAsia="宋体"/>
          <w:szCs w:val="21"/>
        </w:rPr>
        <w:t>（2）承包人已审图纸缺陷导致的变更洽商；</w:t>
      </w:r>
    </w:p>
    <w:p w14:paraId="5F6CCA84">
      <w:pPr>
        <w:spacing w:line="440" w:lineRule="exact"/>
        <w:rPr>
          <w:rFonts w:eastAsia="宋体"/>
          <w:szCs w:val="21"/>
        </w:rPr>
      </w:pPr>
      <w:r>
        <w:rPr>
          <w:rFonts w:hint="eastAsia" w:eastAsia="宋体"/>
          <w:szCs w:val="21"/>
        </w:rPr>
        <w:t>（3）承包人自身施工的方便；</w:t>
      </w:r>
    </w:p>
    <w:p w14:paraId="70338DAE">
      <w:pPr>
        <w:spacing w:line="440" w:lineRule="exact"/>
        <w:rPr>
          <w:rFonts w:eastAsia="宋体"/>
          <w:szCs w:val="21"/>
        </w:rPr>
      </w:pPr>
      <w:r>
        <w:rPr>
          <w:rFonts w:hint="eastAsia" w:eastAsia="宋体"/>
          <w:szCs w:val="21"/>
        </w:rPr>
        <w:t>（4）承包人施工措施需要；</w:t>
      </w:r>
    </w:p>
    <w:p w14:paraId="2783D7D1">
      <w:pPr>
        <w:spacing w:line="440" w:lineRule="exact"/>
        <w:rPr>
          <w:rFonts w:hint="eastAsia" w:eastAsia="宋体"/>
          <w:szCs w:val="21"/>
        </w:rPr>
      </w:pPr>
      <w:r>
        <w:rPr>
          <w:rFonts w:hint="eastAsia" w:eastAsia="宋体"/>
          <w:szCs w:val="21"/>
        </w:rPr>
        <w:t>（5）承包人的其它原因。</w:t>
      </w:r>
    </w:p>
    <w:p w14:paraId="6EE930A9">
      <w:pPr>
        <w:spacing w:line="440" w:lineRule="exact"/>
        <w:rPr>
          <w:rFonts w:ascii="宋体" w:hAnsi="宋体" w:eastAsia="宋体" w:cs="宋体"/>
          <w:b/>
          <w:bCs/>
          <w:szCs w:val="21"/>
        </w:rPr>
      </w:pPr>
      <w:r>
        <w:rPr>
          <w:rFonts w:hint="eastAsia" w:ascii="宋体" w:hAnsi="宋体" w:eastAsia="宋体"/>
          <w:b/>
          <w:bCs/>
          <w:szCs w:val="21"/>
        </w:rPr>
        <w:t>1</w:t>
      </w:r>
      <w:r>
        <w:rPr>
          <w:rFonts w:ascii="宋体" w:hAnsi="宋体" w:eastAsia="宋体"/>
          <w:b/>
          <w:bCs/>
          <w:szCs w:val="21"/>
        </w:rPr>
        <w:t>5.1.4</w:t>
      </w:r>
      <w:r>
        <w:rPr>
          <w:rFonts w:hint="eastAsia" w:ascii="宋体" w:hAnsi="宋体" w:eastAsia="宋体" w:cs="宋体"/>
          <w:b/>
          <w:bCs/>
          <w:szCs w:val="21"/>
        </w:rPr>
        <w:t>承包人发起的变更</w:t>
      </w:r>
    </w:p>
    <w:p w14:paraId="37279464">
      <w:pPr>
        <w:spacing w:line="440" w:lineRule="exact"/>
        <w:rPr>
          <w:rFonts w:ascii="宋体" w:hAnsi="宋体" w:eastAsia="宋体" w:cs="宋体"/>
          <w:szCs w:val="21"/>
        </w:rPr>
      </w:pPr>
      <w:r>
        <w:rPr>
          <w:rFonts w:hint="eastAsia" w:ascii="宋体" w:hAnsi="宋体" w:eastAsia="宋体" w:cs="宋体"/>
          <w:szCs w:val="21"/>
        </w:rPr>
        <w:t>（1）因承包人设计遗漏、错误、不合理及影响施工等修正产生的设计变更的工程费、返工费等均由承包人承担，且工期不予调整。</w:t>
      </w:r>
    </w:p>
    <w:p w14:paraId="17F80CD2">
      <w:pPr>
        <w:spacing w:line="440" w:lineRule="exact"/>
        <w:rPr>
          <w:rFonts w:ascii="宋体" w:hAnsi="宋体" w:eastAsia="宋体" w:cs="宋体"/>
          <w:szCs w:val="21"/>
        </w:rPr>
      </w:pPr>
      <w:r>
        <w:rPr>
          <w:rFonts w:hint="eastAsia" w:ascii="宋体" w:hAnsi="宋体" w:eastAsia="宋体" w:cs="宋体"/>
          <w:szCs w:val="21"/>
        </w:rPr>
        <w:t>（2）承包人应严格按照经审查机构（如有要求）或发包人批复后的设计文件进行施工，如由承包人原因发起的任何设计变更均需经监理人审核及发包人确认，内容包括变更图纸、变更原因与依据。通过发包人确认后的设计变更由监理人下达变更指令，按要求实施。未经发包人确认的设计变更不得实施。</w:t>
      </w:r>
    </w:p>
    <w:p w14:paraId="7673A6C9">
      <w:pPr>
        <w:spacing w:line="440" w:lineRule="exact"/>
        <w:outlineLvl w:val="0"/>
        <w:rPr>
          <w:rFonts w:hint="eastAsia" w:ascii="黑体" w:hAnsi="黑体" w:eastAsia="黑体" w:cs="黑体"/>
        </w:rPr>
      </w:pPr>
      <w:r>
        <w:rPr>
          <w:rFonts w:hint="eastAsia" w:ascii="黑体" w:hAnsi="黑体" w:eastAsia="黑体" w:cs="黑体"/>
        </w:rPr>
        <w:t>15.5 计日工</w:t>
      </w:r>
    </w:p>
    <w:p w14:paraId="5760E813">
      <w:pPr>
        <w:spacing w:line="440" w:lineRule="exact"/>
        <w:rPr>
          <w:rFonts w:hint="eastAsia" w:ascii="宋体" w:hAnsi="宋体" w:eastAsia="宋体" w:cs="宋体"/>
          <w:szCs w:val="21"/>
        </w:rPr>
      </w:pPr>
      <w:r>
        <w:rPr>
          <w:rFonts w:hint="eastAsia" w:ascii="宋体" w:hAnsi="宋体" w:eastAsia="宋体" w:cs="宋体"/>
          <w:color w:val="000000"/>
          <w:sz w:val="21"/>
          <w:szCs w:val="21"/>
          <w:highlight w:val="none"/>
        </w:rPr>
        <w:t>签约合同价包括计日工的，按合同约定进行支付。</w:t>
      </w:r>
    </w:p>
    <w:p w14:paraId="77C708CA">
      <w:pPr>
        <w:keepNext w:val="0"/>
        <w:keepLines w:val="0"/>
        <w:spacing w:before="0" w:beforeLines="0" w:line="440" w:lineRule="exact"/>
        <w:outlineLvl w:val="0"/>
        <w:rPr>
          <w:rFonts w:hint="eastAsia" w:ascii="黑体" w:hAnsi="黑体" w:eastAsia="黑体" w:cs="黑体"/>
        </w:rPr>
      </w:pPr>
      <w:r>
        <w:rPr>
          <w:rFonts w:hint="eastAsia" w:ascii="黑体" w:hAnsi="黑体" w:eastAsia="黑体" w:cs="黑体"/>
        </w:rPr>
        <w:t>15.6 暂估价</w:t>
      </w:r>
    </w:p>
    <w:p w14:paraId="71B9E76E">
      <w:pPr>
        <w:spacing w:line="440" w:lineRule="exact"/>
        <w:rPr>
          <w:rFonts w:hint="eastAsia" w:eastAsia="宋体"/>
          <w:u w:val="single"/>
          <w:lang w:eastAsia="zh-CN"/>
        </w:rPr>
      </w:pPr>
      <w:r>
        <w:rPr>
          <w:rFonts w:hint="eastAsia" w:ascii="宋体" w:hAnsi="宋体" w:eastAsia="宋体" w:cs="宋体"/>
          <w:color w:val="000000"/>
          <w:sz w:val="21"/>
          <w:szCs w:val="21"/>
          <w:highlight w:val="none"/>
        </w:rPr>
        <w:t>签约合同价包括暂估价的，按合同约定进行支付</w:t>
      </w:r>
      <w:r>
        <w:rPr>
          <w:rFonts w:hint="eastAsia" w:ascii="宋体" w:hAnsi="宋体" w:eastAsia="宋体" w:cs="宋体"/>
          <w:color w:val="000000"/>
          <w:sz w:val="21"/>
          <w:szCs w:val="21"/>
          <w:highlight w:val="none"/>
          <w:lang w:eastAsia="zh-CN"/>
        </w:rPr>
        <w:t>。</w:t>
      </w:r>
    </w:p>
    <w:p w14:paraId="5E350340">
      <w:pPr>
        <w:spacing w:line="440" w:lineRule="exact"/>
        <w:rPr>
          <w:rFonts w:eastAsia="宋体"/>
          <w:b/>
          <w:bCs/>
        </w:rPr>
      </w:pPr>
      <w:r>
        <w:rPr>
          <w:rFonts w:hint="eastAsia" w:eastAsia="宋体"/>
          <w:b/>
          <w:bCs/>
        </w:rPr>
        <w:t>将通用条款本款修改为：</w:t>
      </w:r>
    </w:p>
    <w:p w14:paraId="14A54D06">
      <w:pPr>
        <w:spacing w:line="440" w:lineRule="exact"/>
        <w:rPr>
          <w:rFonts w:hint="eastAsia" w:ascii="宋体" w:hAnsi="宋体" w:eastAsia="宋体"/>
          <w:bCs/>
          <w:szCs w:val="21"/>
        </w:rPr>
      </w:pPr>
      <w:r>
        <w:rPr>
          <w:rFonts w:hint="eastAsia" w:ascii="宋体" w:hAnsi="宋体" w:eastAsia="宋体"/>
          <w:bCs/>
          <w:szCs w:val="21"/>
        </w:rPr>
        <w:t>15.6.3 结算方式约定如下：</w:t>
      </w:r>
    </w:p>
    <w:p w14:paraId="6361BC95">
      <w:pPr>
        <w:spacing w:line="440" w:lineRule="exact"/>
        <w:rPr>
          <w:rFonts w:ascii="宋体" w:hAnsi="宋体" w:eastAsia="宋体"/>
          <w:bCs/>
          <w:szCs w:val="21"/>
        </w:rPr>
      </w:pPr>
      <w:r>
        <w:rPr>
          <w:rFonts w:hint="eastAsia" w:ascii="宋体" w:hAnsi="宋体" w:eastAsia="宋体"/>
          <w:bCs/>
          <w:szCs w:val="21"/>
        </w:rPr>
        <w:t>（1）发包人给定暂估价的专业服务（如有）、材料（如有）、工程设备（如有）和专业工程（如有）属于依法必须招标的范围并达到规定的规模标准的，由承包人以公开招标的方式选择供应商或分包人，承包人为招标人。发包人给定暂估价的材料（如有）、工程设备（如有）不属于依法必须招标的范围或未达到规定的规模标准的，应由承包人提供。经监理人报发包人认可后的材料、工程设备的价格为合同价格中暂估价的结算依据；发包人给定暂估价的专业服务（如有）、专业工程（如有）不属于依法必须招标的范围或未达到规定的规模标准的，由承包人以竞争性磋商、谈判或询价的方式选择供应商或分包人，承包人为采购人。</w:t>
      </w:r>
    </w:p>
    <w:p w14:paraId="4D450336">
      <w:pPr>
        <w:spacing w:line="440" w:lineRule="exact"/>
        <w:rPr>
          <w:rFonts w:ascii="宋体" w:hAnsi="宋体" w:eastAsia="宋体"/>
          <w:bCs/>
          <w:szCs w:val="21"/>
        </w:rPr>
      </w:pPr>
      <w:r>
        <w:rPr>
          <w:rFonts w:hint="eastAsia" w:ascii="宋体" w:hAnsi="宋体" w:eastAsia="宋体"/>
          <w:bCs/>
          <w:szCs w:val="21"/>
        </w:rPr>
        <w:t>（2）在工程</w:t>
      </w:r>
      <w:r>
        <w:rPr>
          <w:rFonts w:ascii="宋体" w:hAnsi="宋体" w:eastAsia="宋体"/>
          <w:bCs/>
          <w:szCs w:val="21"/>
        </w:rPr>
        <w:t>总承包人</w:t>
      </w:r>
      <w:r>
        <w:rPr>
          <w:rFonts w:hint="eastAsia" w:ascii="宋体" w:hAnsi="宋体" w:eastAsia="宋体"/>
          <w:bCs/>
          <w:szCs w:val="21"/>
        </w:rPr>
        <w:t>组织采购的过程中，招标文件（资格预审文件）/采购文件、控制价、技术要求及商务条款、澄清答疑等文件须经发包人审批同意后方可发出，发包人有权委派评委参与评标，有权制定最高投标限价或对承包人报送的最高投标限价进行审批，承包人应予执行。暂估价的支付按工程总承包合同约定的支付方式，如经发包人同意，暂估价招标或采购时对支付另有约定，从其约定。因发包人原因使得暂估价的采购工作延误，发包人应承担由此引起的工期延误；因承包人的原因使得暂估价的采购工作延误，工期和费用损失由承包人自行承担。承包人与暂估价项目成交人签订的采购合同价格作为</w:t>
      </w:r>
      <w:r>
        <w:rPr>
          <w:rFonts w:ascii="宋体" w:hAnsi="宋体" w:eastAsia="宋体"/>
          <w:bCs/>
          <w:szCs w:val="21"/>
        </w:rPr>
        <w:t>EPC</w:t>
      </w:r>
      <w:r>
        <w:rPr>
          <w:rFonts w:hint="eastAsia" w:ascii="宋体" w:hAnsi="宋体" w:eastAsia="宋体"/>
          <w:bCs/>
          <w:szCs w:val="21"/>
        </w:rPr>
        <w:t>总承包</w:t>
      </w:r>
      <w:r>
        <w:rPr>
          <w:rFonts w:ascii="宋体" w:hAnsi="宋体" w:eastAsia="宋体"/>
          <w:bCs/>
          <w:szCs w:val="21"/>
        </w:rPr>
        <w:t>合同的中相应暂估价</w:t>
      </w:r>
      <w:r>
        <w:rPr>
          <w:rFonts w:hint="eastAsia" w:ascii="宋体" w:hAnsi="宋体" w:eastAsia="宋体"/>
          <w:bCs/>
          <w:szCs w:val="21"/>
        </w:rPr>
        <w:t>项目</w:t>
      </w:r>
      <w:r>
        <w:rPr>
          <w:rFonts w:ascii="宋体" w:hAnsi="宋体" w:eastAsia="宋体"/>
          <w:bCs/>
          <w:szCs w:val="21"/>
        </w:rPr>
        <w:t>的实际合同价格</w:t>
      </w:r>
      <w:r>
        <w:rPr>
          <w:rFonts w:hint="eastAsia" w:ascii="宋体" w:hAnsi="宋体" w:eastAsia="宋体"/>
          <w:bCs/>
          <w:szCs w:val="21"/>
        </w:rPr>
        <w:t>，并最终作为EPC总承包</w:t>
      </w:r>
      <w:r>
        <w:rPr>
          <w:rFonts w:ascii="宋体" w:hAnsi="宋体" w:eastAsia="宋体"/>
          <w:bCs/>
          <w:szCs w:val="21"/>
        </w:rPr>
        <w:t>合同</w:t>
      </w:r>
      <w:r>
        <w:rPr>
          <w:rFonts w:hint="eastAsia" w:ascii="宋体" w:hAnsi="宋体" w:eastAsia="宋体"/>
          <w:bCs/>
          <w:szCs w:val="21"/>
        </w:rPr>
        <w:t>的结算依据。</w:t>
      </w:r>
    </w:p>
    <w:p w14:paraId="7611C627">
      <w:pPr>
        <w:spacing w:line="440" w:lineRule="exact"/>
        <w:rPr>
          <w:rFonts w:ascii="宋体" w:hAnsi="宋体" w:eastAsia="宋体"/>
          <w:bCs/>
          <w:szCs w:val="21"/>
        </w:rPr>
      </w:pPr>
      <w:r>
        <w:rPr>
          <w:rFonts w:hint="eastAsia" w:ascii="宋体" w:hAnsi="宋体" w:eastAsia="宋体"/>
          <w:bCs/>
          <w:szCs w:val="21"/>
        </w:rPr>
        <w:t>（3）根据项目实际情况，发包人有权在招标及合同履行期间将本项目中涉及品质、质量、进度及销售的专业服务或专业工程或材料设备转为暂估价项目，并确定供应商和价格。属于依法必须招标范围且达到规定的规模标准的暂估价，应由承包人组织招标确定分包人和分包价格，并按分包中标后的价格列入并调整合同价；未达到依法必须招标的规模标准的，可由双方协商确定分包人并按合同原则确定分包价格，如双方不能协商一致，发包人有权采取招标等竞争性方式确定分包人和分包价格，并按分包中标后的价格或协商价格列入并调整合同价。招标或其他竞争性采购方式由承包人组织并与中标人签订分包合同。</w:t>
      </w:r>
    </w:p>
    <w:p w14:paraId="3BF77568">
      <w:pPr>
        <w:spacing w:line="440" w:lineRule="exact"/>
        <w:rPr>
          <w:rFonts w:ascii="宋体" w:hAnsi="宋体" w:eastAsia="宋体"/>
          <w:bCs/>
          <w:szCs w:val="21"/>
        </w:rPr>
      </w:pPr>
      <w:r>
        <w:rPr>
          <w:rFonts w:hint="eastAsia" w:ascii="宋体" w:hAnsi="宋体" w:eastAsia="宋体"/>
          <w:bCs/>
          <w:szCs w:val="21"/>
        </w:rPr>
        <w:t>15.6.4承包人应当根据施工进度计划，于暂估价项目计划实施之日提前 40 天及以上将招标文件、招标控制价通过监理人报送发包人审批；中标入围情况及资料应在 3 天内通过监理人报送发包人审批；承包人应当在签订合同后 7 天内，将暂估价合同副本报送发包人备案留存。</w:t>
      </w:r>
    </w:p>
    <w:p w14:paraId="12ED6331">
      <w:pPr>
        <w:keepNext/>
        <w:keepLines/>
        <w:spacing w:before="120" w:beforeLines="50" w:line="440" w:lineRule="exact"/>
        <w:outlineLvl w:val="0"/>
        <w:rPr>
          <w:rFonts w:ascii="黑体" w:hAnsi="黑体" w:eastAsia="黑体"/>
        </w:rPr>
      </w:pPr>
      <w:r>
        <w:rPr>
          <w:rFonts w:ascii="黑体" w:hAnsi="黑体" w:eastAsia="黑体"/>
        </w:rPr>
        <w:t xml:space="preserve">15.7 </w:t>
      </w:r>
      <w:r>
        <w:rPr>
          <w:rFonts w:hint="eastAsia" w:ascii="黑体" w:hAnsi="黑体" w:eastAsia="黑体"/>
        </w:rPr>
        <w:t>建筑安装工程费</w:t>
      </w:r>
    </w:p>
    <w:p w14:paraId="1422DE66">
      <w:pPr>
        <w:spacing w:line="440" w:lineRule="exact"/>
        <w:rPr>
          <w:rFonts w:hint="eastAsia" w:ascii="宋体" w:hAnsi="宋体" w:eastAsia="宋体"/>
          <w:bCs/>
          <w:szCs w:val="21"/>
        </w:rPr>
      </w:pPr>
      <w:r>
        <w:rPr>
          <w:rFonts w:eastAsia="宋体"/>
          <w:szCs w:val="21"/>
        </w:rPr>
        <w:t>15.</w:t>
      </w:r>
      <w:r>
        <w:rPr>
          <w:rFonts w:hint="eastAsia" w:eastAsia="宋体"/>
          <w:szCs w:val="21"/>
        </w:rPr>
        <w:t>7</w:t>
      </w:r>
      <w:r>
        <w:rPr>
          <w:rFonts w:eastAsia="宋体"/>
          <w:szCs w:val="21"/>
        </w:rPr>
        <w:t>.</w:t>
      </w:r>
      <w:r>
        <w:rPr>
          <w:rFonts w:hint="eastAsia" w:eastAsia="宋体"/>
          <w:szCs w:val="21"/>
        </w:rPr>
        <w:t>1</w:t>
      </w:r>
      <w:r>
        <w:rPr>
          <w:rFonts w:eastAsia="宋体"/>
          <w:szCs w:val="21"/>
        </w:rPr>
        <w:t xml:space="preserve"> </w:t>
      </w:r>
      <w:r>
        <w:rPr>
          <w:rFonts w:hint="eastAsia" w:ascii="宋体" w:hAnsi="宋体" w:eastAsia="宋体"/>
          <w:bCs/>
          <w:szCs w:val="21"/>
        </w:rPr>
        <w:t>建筑安装工程费一旦确定，除发包人承担以下的</w:t>
      </w:r>
      <w:r>
        <w:rPr>
          <w:rFonts w:hint="eastAsia" w:ascii="宋体" w:hAnsi="宋体" w:eastAsia="宋体"/>
          <w:b w:val="0"/>
          <w:bCs/>
          <w:szCs w:val="21"/>
        </w:rPr>
        <w:t>风险</w:t>
      </w:r>
      <w:r>
        <w:rPr>
          <w:rFonts w:hint="eastAsia" w:ascii="宋体" w:hAnsi="宋体" w:eastAsia="宋体"/>
          <w:bCs/>
          <w:szCs w:val="21"/>
        </w:rPr>
        <w:t>范围外，其余部分均不调整：</w:t>
      </w:r>
    </w:p>
    <w:p w14:paraId="2C4E61F3">
      <w:pPr>
        <w:widowControl w:val="0"/>
        <w:spacing w:line="440" w:lineRule="exact"/>
        <w:jc w:val="both"/>
        <w:rPr>
          <w:rFonts w:ascii="宋体" w:hAnsi="宋体" w:eastAsia="宋体" w:cs="Times New Roman"/>
          <w:bCs/>
          <w:kern w:val="2"/>
          <w:sz w:val="21"/>
          <w:szCs w:val="21"/>
          <w:lang w:val="en-US" w:eastAsia="zh-CN" w:bidi="ar-SA"/>
        </w:rPr>
      </w:pPr>
      <w:r>
        <w:rPr>
          <w:rFonts w:hint="eastAsia" w:ascii="宋体" w:hAnsi="宋体" w:eastAsia="宋体" w:cs="Times New Roman"/>
          <w:bCs/>
          <w:kern w:val="2"/>
          <w:sz w:val="21"/>
          <w:szCs w:val="21"/>
          <w:lang w:val="en-US" w:eastAsia="zh-CN" w:bidi="ar-SA"/>
        </w:rPr>
        <w:t>（</w:t>
      </w:r>
      <w:r>
        <w:rPr>
          <w:rFonts w:ascii="宋体" w:hAnsi="宋体" w:eastAsia="宋体" w:cs="Times New Roman"/>
          <w:bCs/>
          <w:kern w:val="2"/>
          <w:sz w:val="21"/>
          <w:szCs w:val="21"/>
          <w:lang w:val="en-US" w:eastAsia="zh-CN" w:bidi="ar-SA"/>
        </w:rPr>
        <w:t>1</w:t>
      </w:r>
      <w:r>
        <w:rPr>
          <w:rFonts w:hint="eastAsia" w:ascii="宋体" w:hAnsi="宋体" w:eastAsia="宋体" w:cs="Times New Roman"/>
          <w:bCs/>
          <w:kern w:val="2"/>
          <w:sz w:val="21"/>
          <w:szCs w:val="21"/>
          <w:lang w:val="en-US" w:eastAsia="zh-CN" w:bidi="ar-SA"/>
        </w:rPr>
        <w:t>）</w:t>
      </w:r>
      <w:r>
        <w:rPr>
          <w:rFonts w:ascii="宋体" w:hAnsi="宋体" w:eastAsia="宋体" w:cs="Times New Roman"/>
          <w:bCs/>
          <w:kern w:val="2"/>
          <w:sz w:val="21"/>
          <w:szCs w:val="21"/>
          <w:lang w:val="en-US" w:eastAsia="zh-CN" w:bidi="ar-SA"/>
        </w:rPr>
        <w:t>发包人提出的</w:t>
      </w:r>
      <w:r>
        <w:rPr>
          <w:rFonts w:hint="eastAsia" w:ascii="宋体" w:hAnsi="宋体" w:eastAsia="宋体" w:cs="Times New Roman"/>
          <w:bCs/>
          <w:kern w:val="2"/>
          <w:sz w:val="21"/>
          <w:szCs w:val="21"/>
          <w:lang w:val="en-US" w:eastAsia="zh-CN" w:bidi="ar-SA"/>
        </w:rPr>
        <w:t>对合同约定的</w:t>
      </w:r>
      <w:r>
        <w:rPr>
          <w:rFonts w:ascii="宋体" w:hAnsi="宋体" w:eastAsia="宋体" w:cs="Times New Roman"/>
          <w:bCs/>
          <w:kern w:val="2"/>
          <w:sz w:val="21"/>
          <w:szCs w:val="21"/>
          <w:lang w:val="en-US" w:eastAsia="zh-CN" w:bidi="ar-SA"/>
        </w:rPr>
        <w:t>建设范围、建设规模、建设标准、功能需求</w:t>
      </w:r>
      <w:r>
        <w:rPr>
          <w:rFonts w:hint="eastAsia" w:ascii="宋体" w:hAnsi="宋体" w:eastAsia="宋体" w:cs="Times New Roman"/>
          <w:bCs/>
          <w:kern w:val="2"/>
          <w:sz w:val="21"/>
          <w:szCs w:val="21"/>
          <w:lang w:val="en-US" w:eastAsia="zh-CN" w:bidi="ar-SA"/>
        </w:rPr>
        <w:t>变更</w:t>
      </w:r>
      <w:r>
        <w:rPr>
          <w:rFonts w:ascii="宋体" w:hAnsi="宋体" w:eastAsia="宋体" w:cs="Times New Roman"/>
          <w:bCs/>
          <w:kern w:val="2"/>
          <w:sz w:val="21"/>
          <w:szCs w:val="21"/>
          <w:lang w:val="en-US" w:eastAsia="zh-CN" w:bidi="ar-SA"/>
        </w:rPr>
        <w:t>或</w:t>
      </w:r>
      <w:r>
        <w:rPr>
          <w:rFonts w:hint="eastAsia" w:ascii="宋体" w:hAnsi="宋体" w:eastAsia="宋体" w:cs="Times New Roman"/>
          <w:bCs/>
          <w:kern w:val="2"/>
          <w:sz w:val="21"/>
          <w:szCs w:val="21"/>
          <w:lang w:val="en-US" w:eastAsia="zh-CN" w:bidi="ar-SA"/>
        </w:rPr>
        <w:t>合同总</w:t>
      </w:r>
      <w:r>
        <w:rPr>
          <w:rFonts w:ascii="宋体" w:hAnsi="宋体" w:eastAsia="宋体" w:cs="Times New Roman"/>
          <w:bCs/>
          <w:kern w:val="2"/>
          <w:sz w:val="21"/>
          <w:szCs w:val="21"/>
          <w:lang w:val="en-US" w:eastAsia="zh-CN" w:bidi="ar-SA"/>
        </w:rPr>
        <w:t>工期的调整，</w:t>
      </w:r>
      <w:r>
        <w:rPr>
          <w:rFonts w:hint="eastAsia" w:ascii="宋体" w:hAnsi="宋体" w:eastAsia="宋体" w:cs="Times New Roman"/>
          <w:bCs/>
          <w:kern w:val="2"/>
          <w:sz w:val="21"/>
          <w:szCs w:val="21"/>
          <w:lang w:val="en-US" w:eastAsia="zh-CN" w:bidi="ar-SA"/>
        </w:rPr>
        <w:t>且</w:t>
      </w:r>
      <w:r>
        <w:rPr>
          <w:rFonts w:ascii="宋体" w:hAnsi="宋体" w:eastAsia="宋体" w:cs="Times New Roman"/>
          <w:bCs/>
          <w:kern w:val="2"/>
          <w:sz w:val="21"/>
          <w:szCs w:val="21"/>
          <w:lang w:val="en-US" w:eastAsia="zh-CN" w:bidi="ar-SA"/>
        </w:rPr>
        <w:t>属于非承包人原因导致，</w:t>
      </w:r>
      <w:r>
        <w:rPr>
          <w:rFonts w:hint="eastAsia" w:ascii="宋体" w:hAnsi="宋体" w:eastAsia="宋体" w:cs="Times New Roman"/>
          <w:bCs/>
          <w:kern w:val="2"/>
          <w:sz w:val="21"/>
          <w:szCs w:val="21"/>
          <w:lang w:val="en-US" w:eastAsia="zh-CN" w:bidi="ar-SA"/>
        </w:rPr>
        <w:t>合同经费</w:t>
      </w:r>
      <w:r>
        <w:rPr>
          <w:rFonts w:ascii="宋体" w:hAnsi="宋体" w:eastAsia="宋体" w:cs="Times New Roman"/>
          <w:bCs/>
          <w:kern w:val="2"/>
          <w:sz w:val="21"/>
          <w:szCs w:val="21"/>
          <w:lang w:val="en-US" w:eastAsia="zh-CN" w:bidi="ar-SA"/>
        </w:rPr>
        <w:t>据实调整。发包人提出的变更，且变更属于承包人原因，包括设计遗漏、错误、不满足初步设计文件要求等产生的变更导致</w:t>
      </w:r>
      <w:r>
        <w:rPr>
          <w:rFonts w:hint="eastAsia" w:ascii="宋体" w:hAnsi="宋体" w:eastAsia="宋体" w:cs="Times New Roman"/>
          <w:bCs/>
          <w:kern w:val="2"/>
          <w:sz w:val="21"/>
          <w:szCs w:val="21"/>
          <w:lang w:val="en-US" w:eastAsia="zh-CN" w:bidi="ar-SA"/>
        </w:rPr>
        <w:t>建筑安装</w:t>
      </w:r>
      <w:r>
        <w:rPr>
          <w:rFonts w:ascii="宋体" w:hAnsi="宋体" w:eastAsia="宋体" w:cs="Times New Roman"/>
          <w:bCs/>
          <w:kern w:val="2"/>
          <w:sz w:val="21"/>
          <w:szCs w:val="21"/>
          <w:lang w:val="en-US" w:eastAsia="zh-CN" w:bidi="ar-SA"/>
        </w:rPr>
        <w:t>工程费用增加，结算</w:t>
      </w:r>
      <w:r>
        <w:rPr>
          <w:rFonts w:hint="eastAsia" w:ascii="宋体" w:hAnsi="宋体" w:eastAsia="宋体" w:cs="Times New Roman"/>
          <w:bCs/>
          <w:kern w:val="2"/>
          <w:sz w:val="21"/>
          <w:szCs w:val="21"/>
          <w:lang w:val="en-US" w:eastAsia="zh-CN" w:bidi="ar-SA"/>
        </w:rPr>
        <w:t>时</w:t>
      </w:r>
      <w:r>
        <w:rPr>
          <w:rFonts w:ascii="宋体" w:hAnsi="宋体" w:eastAsia="宋体" w:cs="Times New Roman"/>
          <w:bCs/>
          <w:kern w:val="2"/>
          <w:sz w:val="21"/>
          <w:szCs w:val="21"/>
          <w:lang w:val="en-US" w:eastAsia="zh-CN" w:bidi="ar-SA"/>
        </w:rPr>
        <w:t>不予调整。</w:t>
      </w:r>
    </w:p>
    <w:p w14:paraId="09145EC9">
      <w:pPr>
        <w:spacing w:line="440" w:lineRule="exact"/>
        <w:rPr>
          <w:rFonts w:hint="eastAsia" w:hAnsi="宋体" w:eastAsia="宋体"/>
          <w:color w:val="auto"/>
        </w:rPr>
      </w:pPr>
      <w:r>
        <w:rPr>
          <w:rFonts w:hAnsi="宋体" w:eastAsia="宋体"/>
          <w:b/>
          <w:bCs/>
          <w:color w:val="FF0000"/>
          <w:u w:val="single"/>
        </w:rPr>
        <w:t>（</w:t>
      </w:r>
      <w:r>
        <w:rPr>
          <w:rFonts w:eastAsia="宋体"/>
          <w:b/>
          <w:bCs/>
          <w:color w:val="FF0000"/>
          <w:u w:val="single"/>
        </w:rPr>
        <w:t>2</w:t>
      </w:r>
      <w:r>
        <w:rPr>
          <w:rFonts w:hAnsi="宋体" w:eastAsia="宋体"/>
          <w:b/>
          <w:bCs/>
          <w:color w:val="FF0000"/>
          <w:u w:val="single"/>
        </w:rPr>
        <w:t>）</w:t>
      </w:r>
      <w:r>
        <w:rPr>
          <w:rFonts w:hint="eastAsia" w:hAnsi="宋体" w:eastAsia="宋体"/>
          <w:b/>
          <w:bCs/>
          <w:color w:val="FF0000"/>
          <w:u w:val="single"/>
        </w:rPr>
        <w:t>工程损害造成的第三者人员伤亡和财产损失</w:t>
      </w:r>
      <w:r>
        <w:rPr>
          <w:rFonts w:hint="eastAsia" w:hAnsi="宋体" w:eastAsia="宋体"/>
          <w:b/>
          <w:bCs/>
          <w:color w:val="FF0000"/>
          <w:u w:val="single"/>
          <w:lang w:eastAsia="zh-CN"/>
        </w:rPr>
        <w:t>，</w:t>
      </w:r>
      <w:r>
        <w:rPr>
          <w:rFonts w:hint="eastAsia" w:hAnsi="宋体" w:eastAsia="宋体"/>
          <w:b/>
          <w:bCs/>
          <w:color w:val="FF0000"/>
          <w:u w:val="single"/>
        </w:rPr>
        <w:t>因承包人原因造成的由承包人承担；</w:t>
      </w:r>
    </w:p>
    <w:p w14:paraId="646EA61D">
      <w:pPr>
        <w:spacing w:line="440" w:lineRule="exact"/>
        <w:rPr>
          <w:rFonts w:eastAsia="宋体"/>
          <w:color w:val="auto"/>
        </w:rPr>
      </w:pPr>
      <w:r>
        <w:rPr>
          <w:rFonts w:hint="eastAsia" w:hAnsi="宋体" w:eastAsia="宋体"/>
          <w:color w:val="auto"/>
          <w:lang w:eastAsia="zh-CN"/>
        </w:rPr>
        <w:t>（</w:t>
      </w:r>
      <w:r>
        <w:rPr>
          <w:rFonts w:hint="eastAsia" w:hAnsi="宋体" w:eastAsia="宋体"/>
          <w:color w:val="auto"/>
          <w:lang w:val="en-US" w:eastAsia="zh-CN"/>
        </w:rPr>
        <w:t>3</w:t>
      </w:r>
      <w:r>
        <w:rPr>
          <w:rFonts w:hint="eastAsia" w:hAnsi="宋体" w:eastAsia="宋体"/>
          <w:color w:val="auto"/>
          <w:lang w:eastAsia="zh-CN"/>
        </w:rPr>
        <w:t>）</w:t>
      </w:r>
      <w:r>
        <w:rPr>
          <w:rFonts w:hAnsi="宋体" w:eastAsia="宋体"/>
          <w:color w:val="auto"/>
        </w:rPr>
        <w:t>承包人设备的损坏由承包人承担；</w:t>
      </w:r>
    </w:p>
    <w:p w14:paraId="1AB207F6">
      <w:pPr>
        <w:widowControl w:val="0"/>
        <w:spacing w:line="440" w:lineRule="exact"/>
        <w:jc w:val="both"/>
        <w:rPr>
          <w:rFonts w:hint="eastAsia" w:ascii="宋体" w:hAnsi="宋体" w:eastAsia="宋体" w:cs="Times New Roman"/>
          <w:bCs/>
          <w:kern w:val="2"/>
          <w:sz w:val="21"/>
          <w:szCs w:val="21"/>
          <w:lang w:val="en-US" w:eastAsia="zh-CN" w:bidi="ar-SA"/>
        </w:rPr>
      </w:pPr>
      <w:r>
        <w:rPr>
          <w:rFonts w:ascii="Calibri" w:hAnsi="宋体" w:eastAsia="宋体" w:cs="Times New Roman"/>
          <w:color w:val="auto"/>
          <w:kern w:val="2"/>
          <w:sz w:val="21"/>
          <w:szCs w:val="22"/>
          <w:lang w:val="en-US" w:eastAsia="zh-CN" w:bidi="ar-SA"/>
        </w:rPr>
        <w:t>（</w:t>
      </w:r>
      <w:r>
        <w:rPr>
          <w:rFonts w:hint="eastAsia" w:ascii="Calibri" w:hAnsi="Calibri" w:eastAsia="宋体" w:cs="Times New Roman"/>
          <w:color w:val="auto"/>
          <w:kern w:val="2"/>
          <w:sz w:val="21"/>
          <w:szCs w:val="22"/>
          <w:lang w:val="en-US" w:eastAsia="zh-CN" w:bidi="ar-SA"/>
        </w:rPr>
        <w:t>4</w:t>
      </w:r>
      <w:r>
        <w:rPr>
          <w:rFonts w:ascii="Calibri" w:hAnsi="宋体" w:eastAsia="宋体" w:cs="Times New Roman"/>
          <w:color w:val="auto"/>
          <w:kern w:val="2"/>
          <w:sz w:val="21"/>
          <w:szCs w:val="22"/>
          <w:lang w:val="en-US" w:eastAsia="zh-CN" w:bidi="ar-SA"/>
        </w:rPr>
        <w:t>）发包人和承包人各自承担其人员伤亡和其他财产损失及其相关费用；</w:t>
      </w:r>
    </w:p>
    <w:p w14:paraId="000005B7">
      <w:pPr>
        <w:widowControl w:val="0"/>
        <w:spacing w:line="440" w:lineRule="exact"/>
        <w:jc w:val="both"/>
        <w:rPr>
          <w:rFonts w:ascii="宋体" w:hAnsi="宋体" w:eastAsia="宋体" w:cs="Times New Roman"/>
          <w:bCs/>
          <w:kern w:val="2"/>
          <w:sz w:val="21"/>
          <w:szCs w:val="21"/>
          <w:lang w:val="en-US" w:eastAsia="zh-CN" w:bidi="ar-SA"/>
        </w:rPr>
      </w:pPr>
      <w:r>
        <w:rPr>
          <w:rFonts w:hint="eastAsia" w:ascii="宋体" w:hAnsi="宋体" w:eastAsia="宋体" w:cs="Times New Roman"/>
          <w:bCs/>
          <w:kern w:val="2"/>
          <w:sz w:val="21"/>
          <w:szCs w:val="21"/>
          <w:lang w:val="en-US" w:eastAsia="zh-CN" w:bidi="ar-SA"/>
        </w:rPr>
        <w:t>（5）</w:t>
      </w:r>
      <w:r>
        <w:rPr>
          <w:rFonts w:ascii="宋体" w:hAnsi="宋体" w:eastAsia="宋体" w:cs="Times New Roman"/>
          <w:bCs/>
          <w:kern w:val="2"/>
          <w:sz w:val="21"/>
          <w:szCs w:val="21"/>
          <w:lang w:val="en-US" w:eastAsia="zh-CN" w:bidi="ar-SA"/>
        </w:rPr>
        <w:t>不可抗力，按照国家</w:t>
      </w:r>
      <w:r>
        <w:rPr>
          <w:rFonts w:hint="eastAsia" w:ascii="宋体" w:hAnsi="宋体" w:eastAsia="宋体" w:cs="Times New Roman"/>
          <w:bCs/>
          <w:kern w:val="2"/>
          <w:sz w:val="21"/>
          <w:szCs w:val="21"/>
          <w:lang w:val="en-US" w:eastAsia="zh-CN" w:bidi="ar-SA"/>
        </w:rPr>
        <w:t>规定的</w:t>
      </w:r>
      <w:r>
        <w:rPr>
          <w:rFonts w:ascii="宋体" w:hAnsi="宋体" w:eastAsia="宋体" w:cs="Times New Roman"/>
          <w:bCs/>
          <w:kern w:val="2"/>
          <w:sz w:val="21"/>
          <w:szCs w:val="21"/>
          <w:lang w:val="en-US" w:eastAsia="zh-CN" w:bidi="ar-SA"/>
        </w:rPr>
        <w:t>不可抗力的分摊原则进行结算。</w:t>
      </w:r>
    </w:p>
    <w:p w14:paraId="135BB5DE">
      <w:pPr>
        <w:widowControl w:val="0"/>
        <w:spacing w:line="440" w:lineRule="exact"/>
        <w:jc w:val="both"/>
        <w:rPr>
          <w:rFonts w:hint="eastAsia" w:ascii="宋体" w:hAnsi="宋体" w:eastAsia="宋体" w:cs="Times New Roman"/>
          <w:bCs/>
          <w:kern w:val="2"/>
          <w:sz w:val="21"/>
          <w:szCs w:val="21"/>
          <w:lang w:val="en-US" w:eastAsia="zh-CN" w:bidi="ar-SA"/>
        </w:rPr>
      </w:pPr>
      <w:r>
        <w:rPr>
          <w:rFonts w:hint="eastAsia" w:ascii="宋体" w:hAnsi="宋体" w:eastAsia="宋体" w:cs="Times New Roman"/>
          <w:bCs/>
          <w:kern w:val="2"/>
          <w:sz w:val="21"/>
          <w:szCs w:val="21"/>
          <w:lang w:val="en-US" w:eastAsia="zh-CN" w:bidi="ar-SA"/>
        </w:rPr>
        <w:t>（6）</w:t>
      </w:r>
      <w:r>
        <w:rPr>
          <w:rFonts w:ascii="宋体" w:hAnsi="宋体" w:eastAsia="宋体" w:cs="Times New Roman"/>
          <w:bCs/>
          <w:kern w:val="2"/>
          <w:sz w:val="21"/>
          <w:szCs w:val="21"/>
          <w:lang w:val="en-US" w:eastAsia="zh-CN" w:bidi="ar-SA"/>
        </w:rPr>
        <w:t>设计变更导致</w:t>
      </w:r>
      <w:r>
        <w:rPr>
          <w:rFonts w:hint="eastAsia" w:ascii="宋体" w:hAnsi="宋体" w:eastAsia="宋体" w:cs="Times New Roman"/>
          <w:bCs/>
          <w:kern w:val="2"/>
          <w:sz w:val="21"/>
          <w:szCs w:val="21"/>
          <w:lang w:val="en-US" w:eastAsia="zh-CN" w:bidi="ar-SA"/>
        </w:rPr>
        <w:t>建筑安装</w:t>
      </w:r>
      <w:r>
        <w:rPr>
          <w:rFonts w:ascii="宋体" w:hAnsi="宋体" w:eastAsia="宋体" w:cs="Times New Roman"/>
          <w:bCs/>
          <w:kern w:val="2"/>
          <w:sz w:val="21"/>
          <w:szCs w:val="21"/>
          <w:lang w:val="en-US" w:eastAsia="zh-CN" w:bidi="ar-SA"/>
        </w:rPr>
        <w:t>工程费用减少，结算时予以扣除。</w:t>
      </w:r>
    </w:p>
    <w:p w14:paraId="25212F1D">
      <w:pPr>
        <w:keepNext/>
        <w:keepLines/>
        <w:spacing w:before="120" w:beforeLines="50" w:line="440" w:lineRule="exact"/>
        <w:outlineLvl w:val="2"/>
        <w:rPr>
          <w:rFonts w:hint="eastAsia" w:ascii="黑体" w:hAnsi="黑体" w:eastAsia="黑体" w:cs="黑体"/>
        </w:rPr>
      </w:pPr>
      <w:r>
        <w:rPr>
          <w:rFonts w:hint="eastAsia" w:ascii="黑体" w:hAnsi="黑体" w:eastAsia="黑体" w:cs="黑体"/>
          <w:szCs w:val="21"/>
        </w:rPr>
        <w:t>15.7.2</w:t>
      </w:r>
      <w:r>
        <w:rPr>
          <w:rFonts w:hint="eastAsia" w:ascii="黑体" w:hAnsi="黑体" w:eastAsia="黑体" w:cs="黑体"/>
        </w:rPr>
        <w:t>承包人承担的风险范围</w:t>
      </w:r>
    </w:p>
    <w:p w14:paraId="57C8B5AF">
      <w:pPr>
        <w:spacing w:line="440" w:lineRule="exact"/>
        <w:rPr>
          <w:rFonts w:ascii="宋体" w:hAnsi="宋体" w:eastAsia="宋体"/>
          <w:bCs/>
          <w:szCs w:val="21"/>
        </w:rPr>
      </w:pPr>
      <w:r>
        <w:rPr>
          <w:rFonts w:ascii="宋体" w:hAnsi="宋体" w:eastAsia="宋体"/>
          <w:bCs/>
          <w:szCs w:val="21"/>
        </w:rPr>
        <w:t>除</w:t>
      </w:r>
      <w:r>
        <w:rPr>
          <w:rFonts w:hint="eastAsia" w:ascii="宋体" w:hAnsi="宋体" w:eastAsia="宋体"/>
          <w:bCs/>
          <w:szCs w:val="21"/>
        </w:rPr>
        <w:t>上述约定的合同价格调整范围以外，EPC承包范围内的其他风险均由承包人承担，包括但不限于：</w:t>
      </w:r>
    </w:p>
    <w:p w14:paraId="7051955F">
      <w:pPr>
        <w:spacing w:line="440" w:lineRule="exact"/>
        <w:rPr>
          <w:rFonts w:ascii="宋体" w:hAnsi="宋体" w:eastAsia="宋体"/>
          <w:szCs w:val="21"/>
        </w:rPr>
      </w:pPr>
      <w:r>
        <w:rPr>
          <w:rFonts w:hint="eastAsia" w:ascii="宋体" w:hAnsi="宋体" w:eastAsia="宋体"/>
          <w:szCs w:val="21"/>
        </w:rPr>
        <w:t>（1）完成发包人委托承包人EPC范围内所有相关工作的风险。</w:t>
      </w:r>
    </w:p>
    <w:p w14:paraId="4883B620">
      <w:pPr>
        <w:spacing w:line="440" w:lineRule="exact"/>
        <w:rPr>
          <w:rFonts w:ascii="宋体" w:hAnsi="宋体" w:eastAsia="宋体"/>
          <w:szCs w:val="21"/>
        </w:rPr>
      </w:pPr>
      <w:r>
        <w:rPr>
          <w:rFonts w:hint="eastAsia" w:ascii="宋体" w:hAnsi="宋体" w:eastAsia="宋体"/>
          <w:szCs w:val="21"/>
        </w:rPr>
        <w:t>（2）承包人的设计工作必须满足招标文件的相关要求。因承包人设计原因（包括设计遗漏、设计错误、未考虑到现场情况而需要改变措施方案、不满足设计或技术要求等）导致合同价格的增加，由承包人自行承担。</w:t>
      </w:r>
    </w:p>
    <w:p w14:paraId="214D32C5">
      <w:pPr>
        <w:spacing w:line="440" w:lineRule="exact"/>
        <w:rPr>
          <w:rFonts w:ascii="宋体" w:hAnsi="宋体" w:eastAsia="宋体"/>
          <w:szCs w:val="21"/>
        </w:rPr>
      </w:pPr>
      <w:r>
        <w:rPr>
          <w:rFonts w:hint="eastAsia" w:ascii="宋体" w:hAnsi="宋体" w:eastAsia="宋体"/>
          <w:szCs w:val="21"/>
        </w:rPr>
        <w:t>（3）承包人施工过程中因自身原因导致工程整改、返工等引起的合同价格的增加，由承包人自行承担。</w:t>
      </w:r>
    </w:p>
    <w:p w14:paraId="772B590D">
      <w:pPr>
        <w:spacing w:line="440" w:lineRule="exact"/>
        <w:rPr>
          <w:rFonts w:ascii="宋体" w:hAnsi="宋体" w:eastAsia="宋体"/>
          <w:szCs w:val="21"/>
        </w:rPr>
      </w:pPr>
      <w:r>
        <w:rPr>
          <w:rFonts w:hint="eastAsia" w:ascii="宋体" w:hAnsi="宋体" w:eastAsia="宋体"/>
          <w:szCs w:val="21"/>
        </w:rPr>
        <w:t>（4）在建设过程中，需要协调周边单位及居民、相关管理单位、行政主管部门等产生的工作成本及因承包人原因造成的处罚等。</w:t>
      </w:r>
    </w:p>
    <w:p w14:paraId="2E2207C3">
      <w:pPr>
        <w:spacing w:line="440" w:lineRule="exact"/>
        <w:rPr>
          <w:rFonts w:ascii="宋体" w:hAnsi="宋体" w:eastAsia="宋体"/>
          <w:szCs w:val="21"/>
        </w:rPr>
      </w:pPr>
      <w:r>
        <w:rPr>
          <w:rFonts w:hint="eastAsia" w:ascii="宋体" w:hAnsi="宋体" w:eastAsia="宋体"/>
          <w:szCs w:val="21"/>
        </w:rPr>
        <w:t>（5）从设计开始直至竣工交付过程中的各类材料、设备的价格（除约定可以调差的主材外）风险。</w:t>
      </w:r>
    </w:p>
    <w:p w14:paraId="04004681">
      <w:pPr>
        <w:spacing w:line="440" w:lineRule="exact"/>
        <w:rPr>
          <w:rFonts w:ascii="宋体" w:hAnsi="宋体" w:eastAsia="宋体"/>
          <w:szCs w:val="21"/>
        </w:rPr>
      </w:pPr>
      <w:r>
        <w:rPr>
          <w:rFonts w:hint="eastAsia" w:ascii="宋体" w:hAnsi="宋体" w:eastAsia="宋体"/>
          <w:szCs w:val="21"/>
        </w:rPr>
        <w:t>（6）因承包人自身管理原因造成的施工组织、措施费用和工期风险。</w:t>
      </w:r>
    </w:p>
    <w:p w14:paraId="4426FD4F">
      <w:pPr>
        <w:spacing w:line="440" w:lineRule="exact"/>
        <w:rPr>
          <w:rFonts w:ascii="宋体" w:hAnsi="宋体" w:eastAsia="宋体"/>
          <w:szCs w:val="21"/>
        </w:rPr>
      </w:pPr>
      <w:r>
        <w:rPr>
          <w:rFonts w:hint="eastAsia" w:ascii="宋体" w:hAnsi="宋体" w:eastAsia="宋体"/>
          <w:szCs w:val="21"/>
        </w:rPr>
        <w:t>（7）从设计开始直至竣工交付过程中的全部质量、职业健康和安全、环保的风险。</w:t>
      </w:r>
    </w:p>
    <w:p w14:paraId="3EC8EC9D">
      <w:pPr>
        <w:spacing w:line="440" w:lineRule="exact"/>
        <w:rPr>
          <w:rFonts w:ascii="宋体" w:hAnsi="宋体" w:eastAsia="宋体"/>
          <w:szCs w:val="21"/>
        </w:rPr>
      </w:pPr>
      <w:r>
        <w:rPr>
          <w:rFonts w:hint="eastAsia" w:ascii="宋体" w:hAnsi="宋体" w:eastAsia="宋体"/>
          <w:szCs w:val="21"/>
        </w:rPr>
        <w:t>（8）承包人工作范围内各类建设许可手续报批报验和水电气报装等的时间风险及费用风险。承包人在投标时对此应进行充分的调查了解及摸底，并承担因错报、漏报等的风险</w:t>
      </w:r>
      <w:r>
        <w:rPr>
          <w:rFonts w:hint="eastAsia" w:ascii="宋体" w:hAnsi="宋体" w:eastAsia="宋体"/>
          <w:bCs/>
          <w:szCs w:val="21"/>
        </w:rPr>
        <w:t>。</w:t>
      </w:r>
    </w:p>
    <w:p w14:paraId="1E541A8A">
      <w:pPr>
        <w:spacing w:line="440" w:lineRule="exact"/>
        <w:rPr>
          <w:rFonts w:ascii="宋体" w:hAnsi="宋体" w:eastAsia="宋体"/>
          <w:szCs w:val="21"/>
        </w:rPr>
      </w:pPr>
      <w:r>
        <w:rPr>
          <w:rFonts w:hint="eastAsia" w:ascii="宋体" w:hAnsi="宋体" w:eastAsia="宋体"/>
          <w:szCs w:val="21"/>
        </w:rPr>
        <w:t>（9）承包人工作范围内应承担的水电道路、临时围墙、临时设施、施工安全文明活动、主管部门检查、开竣工活动、工地安保等相关费用。</w:t>
      </w:r>
    </w:p>
    <w:p w14:paraId="73CA01ED">
      <w:pPr>
        <w:spacing w:line="440" w:lineRule="exact"/>
        <w:rPr>
          <w:rFonts w:ascii="宋体" w:hAnsi="宋体" w:eastAsia="宋体"/>
          <w:szCs w:val="21"/>
        </w:rPr>
      </w:pPr>
      <w:r>
        <w:rPr>
          <w:rFonts w:hint="eastAsia" w:ascii="宋体" w:hAnsi="宋体" w:eastAsia="宋体"/>
          <w:szCs w:val="21"/>
        </w:rPr>
        <w:t>（10）承包人工作范围内的调试、材料设备及系统的检测检验、工程单体验收及整体竣工验收的所有风险。</w:t>
      </w:r>
    </w:p>
    <w:p w14:paraId="7D42F36A">
      <w:pPr>
        <w:spacing w:line="440" w:lineRule="exact"/>
        <w:rPr>
          <w:rFonts w:hint="eastAsia" w:ascii="宋体" w:hAnsi="宋体" w:eastAsia="宋体"/>
          <w:szCs w:val="21"/>
        </w:rPr>
      </w:pPr>
      <w:r>
        <w:rPr>
          <w:rFonts w:hint="eastAsia" w:ascii="宋体" w:hAnsi="宋体" w:eastAsia="宋体"/>
          <w:szCs w:val="21"/>
        </w:rPr>
        <w:t>（11）相关的安全责任、安全问题及由安全原因增加的费用风险均由承包人负责。</w:t>
      </w:r>
    </w:p>
    <w:p w14:paraId="435B1DB5">
      <w:pPr>
        <w:keepNext/>
        <w:keepLines/>
        <w:spacing w:before="48" w:beforeLines="20" w:line="440" w:lineRule="exact"/>
        <w:outlineLvl w:val="0"/>
        <w:rPr>
          <w:rFonts w:hint="eastAsia" w:ascii="Arial" w:hAnsi="Arial" w:eastAsia="黑体"/>
          <w:b/>
          <w:bCs w:val="0"/>
          <w:color w:val="FF0000"/>
          <w:sz w:val="24"/>
          <w:szCs w:val="32"/>
          <w:u w:val="single"/>
          <w:lang w:eastAsia="zh-CN"/>
        </w:rPr>
      </w:pPr>
      <w:r>
        <w:rPr>
          <w:rFonts w:ascii="Arial" w:hAnsi="Arial" w:eastAsia="黑体"/>
          <w:b/>
          <w:bCs w:val="0"/>
          <w:color w:val="FF0000"/>
          <w:sz w:val="24"/>
          <w:szCs w:val="32"/>
          <w:u w:val="single"/>
        </w:rPr>
        <w:t>16. 价格调整</w:t>
      </w:r>
      <w:r>
        <w:rPr>
          <w:rFonts w:hint="eastAsia" w:ascii="Arial" w:hAnsi="Arial" w:eastAsia="黑体"/>
          <w:b/>
          <w:bCs w:val="0"/>
          <w:color w:val="FF0000"/>
          <w:sz w:val="24"/>
          <w:szCs w:val="32"/>
          <w:u w:val="single"/>
          <w:lang w:eastAsia="zh-CN"/>
        </w:rPr>
        <w:t>（仅适用于发包人提出的变更）</w:t>
      </w:r>
    </w:p>
    <w:p w14:paraId="4F66723F">
      <w:pPr>
        <w:spacing w:line="360" w:lineRule="auto"/>
        <w:rPr>
          <w:rFonts w:hint="eastAsia" w:ascii="黑体" w:hAnsi="黑体" w:eastAsia="黑体" w:cs="黑体"/>
          <w:color w:val="auto"/>
        </w:rPr>
      </w:pPr>
      <w:r>
        <w:rPr>
          <w:rFonts w:hint="eastAsia" w:ascii="黑体" w:hAnsi="黑体" w:eastAsia="黑体" w:cs="黑体"/>
          <w:color w:val="auto"/>
        </w:rPr>
        <w:t>16.1</w:t>
      </w:r>
      <w:bookmarkStart w:id="307" w:name="_Hlk79666667"/>
      <w:r>
        <w:rPr>
          <w:rFonts w:hint="eastAsia" w:ascii="黑体" w:hAnsi="黑体" w:eastAsia="黑体" w:cs="黑体"/>
          <w:color w:val="auto"/>
        </w:rPr>
        <w:t>物价波动被引起的调整</w:t>
      </w:r>
      <w:bookmarkEnd w:id="307"/>
    </w:p>
    <w:p w14:paraId="1436F7FC">
      <w:pPr>
        <w:widowControl w:val="0"/>
        <w:spacing w:after="120"/>
        <w:jc w:val="both"/>
        <w:rPr>
          <w:rFonts w:hint="eastAsia" w:ascii="Calibri" w:hAnsi="Calibri" w:eastAsia="宋体" w:cs="Times New Roman"/>
          <w:kern w:val="2"/>
          <w:sz w:val="21"/>
          <w:szCs w:val="22"/>
          <w:lang w:val="en-US" w:eastAsia="zh-CN" w:bidi="ar-SA"/>
        </w:rPr>
      </w:pPr>
      <w:r>
        <w:rPr>
          <w:rFonts w:ascii="Calibri" w:hAnsi="宋体" w:eastAsia="宋体" w:cs="Times New Roman"/>
          <w:color w:val="auto"/>
          <w:kern w:val="2"/>
          <w:sz w:val="21"/>
          <w:szCs w:val="21"/>
          <w:lang w:val="en-US" w:eastAsia="zh-CN" w:bidi="ar-SA"/>
        </w:rPr>
        <w:t>合同价格不因物价波动进行调整</w:t>
      </w:r>
      <w:r>
        <w:rPr>
          <w:rFonts w:hint="eastAsia" w:ascii="Calibri" w:hAnsi="Calibri" w:eastAsia="宋体" w:cs="Times New Roman"/>
          <w:color w:val="auto"/>
          <w:kern w:val="2"/>
          <w:sz w:val="21"/>
          <w:szCs w:val="21"/>
          <w:lang w:val="en-US" w:eastAsia="zh-CN" w:bidi="ar-SA"/>
        </w:rPr>
        <w:t>。</w:t>
      </w:r>
    </w:p>
    <w:p w14:paraId="1F3286F1">
      <w:pPr>
        <w:spacing w:line="360" w:lineRule="auto"/>
        <w:rPr>
          <w:rFonts w:eastAsia="宋体"/>
          <w:color w:val="auto"/>
        </w:rPr>
      </w:pPr>
      <w:r>
        <w:rPr>
          <w:rFonts w:hint="eastAsia" w:ascii="黑体" w:hAnsi="黑体" w:eastAsia="黑体" w:cs="黑体"/>
          <w:color w:val="auto"/>
        </w:rPr>
        <w:t>16.3其他要求</w:t>
      </w:r>
      <w:r>
        <w:rPr>
          <w:rFonts w:eastAsia="宋体"/>
          <w:color w:val="auto"/>
        </w:rPr>
        <w:t>：</w:t>
      </w:r>
    </w:p>
    <w:p w14:paraId="6E62AA8F">
      <w:pPr>
        <w:spacing w:line="440" w:lineRule="exact"/>
        <w:outlineLvl w:val="0"/>
        <w:rPr>
          <w:rFonts w:ascii="宋体" w:hAnsi="宋体" w:eastAsia="宋体"/>
          <w:b/>
          <w:szCs w:val="21"/>
          <w:highlight w:val="none"/>
        </w:rPr>
      </w:pPr>
      <w:r>
        <w:rPr>
          <w:rFonts w:hint="eastAsia" w:ascii="宋体" w:hAnsi="宋体" w:eastAsia="宋体"/>
          <w:b/>
          <w:color w:val="auto"/>
          <w:szCs w:val="21"/>
          <w:highlight w:val="none"/>
        </w:rPr>
        <w:t xml:space="preserve">16.3.1 </w:t>
      </w:r>
      <w:r>
        <w:rPr>
          <w:rFonts w:hint="eastAsia" w:ascii="宋体" w:hAnsi="宋体" w:eastAsia="宋体"/>
          <w:b/>
          <w:szCs w:val="21"/>
          <w:highlight w:val="none"/>
        </w:rPr>
        <w:t>建筑安装工程综合单价变更价款的调整方式：</w:t>
      </w:r>
    </w:p>
    <w:p w14:paraId="33EE3F40">
      <w:pPr>
        <w:spacing w:line="440" w:lineRule="exact"/>
        <w:rPr>
          <w:rFonts w:hint="eastAsia" w:ascii="宋体" w:hAnsi="宋体" w:eastAsia="宋体"/>
          <w:bCs/>
          <w:szCs w:val="21"/>
          <w:highlight w:val="none"/>
        </w:rPr>
      </w:pPr>
      <w:r>
        <w:rPr>
          <w:rFonts w:hint="eastAsia" w:ascii="宋体" w:hAnsi="宋体" w:eastAsia="宋体"/>
          <w:bCs/>
          <w:szCs w:val="21"/>
          <w:highlight w:val="none"/>
        </w:rPr>
        <w:t>（1)合同中已有适用于变更工程的单价(审定的施工图预算），按合同已有的价格；</w:t>
      </w:r>
    </w:p>
    <w:p w14:paraId="7394BA82">
      <w:pPr>
        <w:spacing w:line="440" w:lineRule="exact"/>
        <w:rPr>
          <w:rFonts w:ascii="宋体" w:hAnsi="宋体" w:eastAsia="宋体"/>
          <w:bCs/>
          <w:szCs w:val="21"/>
          <w:highlight w:val="none"/>
        </w:rPr>
      </w:pPr>
      <w:r>
        <w:rPr>
          <w:rFonts w:hint="eastAsia" w:ascii="宋体" w:hAnsi="宋体" w:eastAsia="宋体"/>
          <w:bCs/>
          <w:szCs w:val="21"/>
          <w:highlight w:val="none"/>
        </w:rPr>
        <w:t xml:space="preserve">（2)合同中有类似于变更工程的单价(审定的施工图预算），可参照类似价格调整。按类似项目的综合单价组价原则对相应子目消耗量、单价等进行调整换算，管理费率、利润率不变。如合同中类似项目的综合单价有两个以上，则按管理费和利润取费最低的优先顺序选择类似项目综合单价进行换算。 </w:t>
      </w:r>
    </w:p>
    <w:p w14:paraId="49808DF0">
      <w:pPr>
        <w:spacing w:line="440" w:lineRule="exact"/>
        <w:rPr>
          <w:rFonts w:hint="eastAsia" w:eastAsia="宋体"/>
          <w:highlight w:val="none"/>
        </w:rPr>
      </w:pPr>
      <w:r>
        <w:rPr>
          <w:rFonts w:hint="eastAsia" w:ascii="宋体" w:hAnsi="宋体" w:eastAsia="宋体"/>
          <w:bCs/>
          <w:szCs w:val="21"/>
          <w:highlight w:val="none"/>
        </w:rPr>
        <w:t>（3)合同中没有适用或类似于变更工程的单价，由承包人依据变更工程资料、计量规则和计价办法提出综合单价，经发包人和监理人确认后执行。</w:t>
      </w:r>
    </w:p>
    <w:p w14:paraId="4506D14C">
      <w:pPr>
        <w:widowControl/>
        <w:spacing w:line="440" w:lineRule="exact"/>
        <w:jc w:val="left"/>
        <w:rPr>
          <w:rFonts w:eastAsia="宋体"/>
          <w:szCs w:val="21"/>
          <w:highlight w:val="none"/>
        </w:rPr>
      </w:pPr>
      <w:r>
        <w:rPr>
          <w:rFonts w:hint="eastAsia" w:ascii="宋体" w:hAnsi="宋体" w:eastAsia="宋体"/>
          <w:b/>
          <w:color w:val="auto"/>
          <w:szCs w:val="21"/>
          <w:highlight w:val="none"/>
        </w:rPr>
        <w:t>16.3.</w:t>
      </w:r>
      <w:r>
        <w:rPr>
          <w:rFonts w:hint="eastAsia" w:ascii="宋体" w:hAnsi="宋体" w:eastAsia="宋体"/>
          <w:b/>
          <w:color w:val="auto"/>
          <w:szCs w:val="21"/>
          <w:highlight w:val="none"/>
          <w:lang w:val="en-US" w:eastAsia="zh-CN"/>
        </w:rPr>
        <w:t>2</w:t>
      </w:r>
      <w:r>
        <w:rPr>
          <w:rFonts w:hint="eastAsia" w:ascii="宋体" w:hAnsi="宋体" w:eastAsia="宋体" w:cs="宋体"/>
          <w:b/>
          <w:kern w:val="0"/>
          <w:szCs w:val="21"/>
          <w:highlight w:val="none"/>
          <w:lang w:bidi="ar"/>
        </w:rPr>
        <w:t xml:space="preserve">变更估价原则及程序 </w:t>
      </w:r>
    </w:p>
    <w:p w14:paraId="69481F1D">
      <w:pPr>
        <w:spacing w:line="440" w:lineRule="exact"/>
        <w:rPr>
          <w:rFonts w:hint="eastAsia" w:ascii="宋体" w:hAnsi="宋体" w:eastAsia="宋体"/>
          <w:bCs/>
          <w:szCs w:val="21"/>
          <w:highlight w:val="none"/>
          <w:lang w:bidi="ar"/>
        </w:rPr>
      </w:pPr>
      <w:r>
        <w:rPr>
          <w:rFonts w:hint="eastAsia" w:ascii="宋体" w:hAnsi="宋体" w:eastAsia="宋体"/>
          <w:bCs/>
          <w:szCs w:val="21"/>
          <w:highlight w:val="none"/>
          <w:lang w:bidi="ar"/>
        </w:rPr>
        <w:t>(1)变更估价由承包人报监理人、发包人审核，由发包人按照上述变更估价原则及计价依据给予暂定估价。计价依据:《公路工程预算定额》、《公路工程机械台班费用定额》和《湖北省交通运输厅关于执行交通运输部第86号公告有关补充规定的通知》(鄂交建[2019]187号)</w:t>
      </w:r>
      <w:r>
        <w:rPr>
          <w:rFonts w:hint="eastAsia" w:ascii="宋体" w:hAnsi="宋体" w:eastAsia="宋体"/>
          <w:bCs/>
          <w:szCs w:val="21"/>
          <w:highlight w:val="none"/>
        </w:rPr>
        <w:t>（承包人应报送变更预算及实际实施当月）；④行业市场价：无相应信息价的材料、设备按发包人、承包人、造价咨询单位三方共同确认的市场询价价格；⑤投标人中标下浮率，</w:t>
      </w:r>
      <w:r>
        <w:rPr>
          <w:rFonts w:hint="eastAsia" w:ascii="宋体" w:hAnsi="宋体" w:eastAsia="宋体"/>
          <w:bCs/>
          <w:szCs w:val="21"/>
          <w:highlight w:val="none"/>
          <w:lang w:val="en-US" w:eastAsia="zh-CN"/>
        </w:rPr>
        <w:t>建筑安装工程费的</w:t>
      </w:r>
      <w:r>
        <w:rPr>
          <w:rFonts w:hint="eastAsia" w:ascii="宋体" w:hAnsi="宋体" w:eastAsia="宋体"/>
          <w:bCs/>
          <w:szCs w:val="21"/>
          <w:highlight w:val="none"/>
        </w:rPr>
        <w:t>中标下浮率=（1-</w:t>
      </w:r>
      <w:r>
        <w:rPr>
          <w:rFonts w:hint="eastAsia" w:ascii="宋体" w:hAnsi="宋体" w:eastAsia="宋体"/>
          <w:bCs/>
          <w:szCs w:val="21"/>
          <w:highlight w:val="none"/>
          <w:lang w:val="en-US" w:eastAsia="zh-CN"/>
        </w:rPr>
        <w:t>建筑安装工程费的</w:t>
      </w:r>
      <w:r>
        <w:rPr>
          <w:rFonts w:hint="eastAsia" w:ascii="宋体" w:hAnsi="宋体" w:eastAsia="宋体"/>
          <w:bCs/>
          <w:szCs w:val="21"/>
          <w:highlight w:val="none"/>
        </w:rPr>
        <w:t>中标价/</w:t>
      </w:r>
      <w:r>
        <w:rPr>
          <w:rFonts w:hint="eastAsia" w:ascii="宋体" w:hAnsi="宋体" w:eastAsia="宋体"/>
          <w:bCs/>
          <w:szCs w:val="21"/>
          <w:highlight w:val="none"/>
          <w:lang w:val="en-US" w:eastAsia="zh-CN"/>
        </w:rPr>
        <w:t>建筑安装工程费的</w:t>
      </w:r>
      <w:r>
        <w:rPr>
          <w:rFonts w:hint="eastAsia" w:ascii="宋体" w:hAnsi="宋体" w:eastAsia="宋体"/>
          <w:bCs/>
          <w:szCs w:val="21"/>
          <w:highlight w:val="none"/>
        </w:rPr>
        <w:t>控制价）*100%。</w:t>
      </w:r>
    </w:p>
    <w:p w14:paraId="2B09E293">
      <w:pPr>
        <w:spacing w:line="440" w:lineRule="exact"/>
        <w:rPr>
          <w:rFonts w:hint="eastAsia" w:ascii="宋体" w:hAnsi="宋体" w:eastAsia="宋体"/>
          <w:bCs/>
          <w:szCs w:val="21"/>
          <w:highlight w:val="none"/>
        </w:rPr>
      </w:pPr>
      <w:r>
        <w:rPr>
          <w:rFonts w:hint="eastAsia" w:ascii="宋体" w:hAnsi="宋体" w:eastAsia="宋体"/>
          <w:bCs/>
          <w:szCs w:val="21"/>
          <w:highlight w:val="none"/>
          <w:lang w:bidi="ar"/>
        </w:rPr>
        <w:t>(2)变更实施过程中由发包人、承包人、监理人共同对变更工程事实及相关数据进行认定，最终变更价款则由造价咨询单位在竣工结算审核时按照变更估价、合同约定、清单及消耗量、工程量计算规则和折扣率进行计量确定。对于工程实施过程中，合同中无单价参考依据的新增设备与材料单价，承包人应提前向发包人提出变更（定价）申请，由发包人按工作程序在工程施工过程中予以认定。</w:t>
      </w:r>
    </w:p>
    <w:p w14:paraId="4E5CB5F8">
      <w:pPr>
        <w:keepNext/>
        <w:keepLines/>
        <w:spacing w:before="48" w:beforeLines="20" w:line="440" w:lineRule="exact"/>
        <w:outlineLvl w:val="1"/>
        <w:rPr>
          <w:rFonts w:ascii="Arial" w:hAnsi="Arial" w:eastAsia="黑体"/>
          <w:b/>
          <w:bCs w:val="0"/>
          <w:sz w:val="24"/>
          <w:szCs w:val="32"/>
        </w:rPr>
      </w:pPr>
      <w:r>
        <w:rPr>
          <w:rFonts w:ascii="Arial" w:hAnsi="Arial" w:eastAsia="黑体"/>
          <w:b/>
          <w:bCs w:val="0"/>
          <w:sz w:val="24"/>
          <w:szCs w:val="32"/>
        </w:rPr>
        <w:t>17. 计量与支付</w:t>
      </w:r>
    </w:p>
    <w:p w14:paraId="165E4820">
      <w:pPr>
        <w:keepNext/>
        <w:keepLines/>
        <w:spacing w:before="120" w:beforeLines="50" w:line="440" w:lineRule="exact"/>
        <w:outlineLvl w:val="2"/>
        <w:rPr>
          <w:rFonts w:ascii="黑体" w:hAnsi="黑体" w:eastAsia="黑体"/>
        </w:rPr>
      </w:pPr>
      <w:r>
        <w:rPr>
          <w:rFonts w:ascii="黑体" w:hAnsi="黑体" w:eastAsia="黑体"/>
        </w:rPr>
        <w:t>17.1合同价格</w:t>
      </w:r>
    </w:p>
    <w:p w14:paraId="501A72CF">
      <w:pPr>
        <w:spacing w:line="440" w:lineRule="exact"/>
        <w:rPr>
          <w:rFonts w:eastAsia="宋体"/>
          <w:b/>
          <w:bCs/>
        </w:rPr>
      </w:pPr>
      <w:r>
        <w:rPr>
          <w:rFonts w:hint="eastAsia" w:eastAsia="宋体"/>
          <w:b/>
          <w:bCs/>
        </w:rPr>
        <w:t>1</w:t>
      </w:r>
      <w:r>
        <w:rPr>
          <w:rFonts w:eastAsia="宋体"/>
          <w:b/>
          <w:bCs/>
        </w:rPr>
        <w:t>7.1.1合同价格的约定：</w:t>
      </w:r>
    </w:p>
    <w:p w14:paraId="41945442">
      <w:pPr>
        <w:spacing w:line="440" w:lineRule="exact"/>
        <w:rPr>
          <w:rFonts w:hint="eastAsia" w:ascii="宋体" w:hAnsi="宋体" w:eastAsia="宋体"/>
          <w:szCs w:val="21"/>
        </w:rPr>
      </w:pPr>
      <w:r>
        <w:rPr>
          <w:rFonts w:hint="eastAsia" w:ascii="宋体" w:hAnsi="宋体" w:eastAsia="宋体"/>
          <w:szCs w:val="21"/>
        </w:rPr>
        <w:t>合同价格=设计费+建筑安装工程费</w:t>
      </w:r>
      <w:r>
        <w:rPr>
          <w:rFonts w:hint="eastAsia" w:ascii="宋体" w:hAnsi="宋体" w:eastAsia="宋体"/>
          <w:szCs w:val="21"/>
          <w:lang w:val="en-US" w:eastAsia="zh-CN"/>
        </w:rPr>
        <w:t>+建设工程其他费</w:t>
      </w:r>
      <w:r>
        <w:rPr>
          <w:rFonts w:hint="eastAsia" w:ascii="宋体" w:hAnsi="宋体" w:eastAsia="宋体"/>
          <w:szCs w:val="21"/>
        </w:rPr>
        <w:t>。</w:t>
      </w:r>
    </w:p>
    <w:p w14:paraId="01203858">
      <w:pPr>
        <w:widowControl w:val="0"/>
        <w:spacing w:line="440" w:lineRule="exact"/>
        <w:jc w:val="both"/>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最终合同价格的确定按照“双控”的方式进行确定。按上述规定计算的建筑安装工程合同价格加上工程设计费得到的总价和合同总价限价进行比较，按照“就低”的原则确定最终合同价格。（竣工结算价超过合同价的按合同价结算，低于合同价则按竣工结算价结算。）</w:t>
      </w:r>
    </w:p>
    <w:p w14:paraId="05EEAF3D">
      <w:pPr>
        <w:spacing w:line="440" w:lineRule="exact"/>
        <w:rPr>
          <w:rFonts w:hint="eastAsia" w:ascii="宋体" w:hAnsi="宋体" w:eastAsia="宋体"/>
          <w:szCs w:val="21"/>
        </w:rPr>
      </w:pPr>
      <w:r>
        <w:rPr>
          <w:rFonts w:hint="eastAsia" w:ascii="宋体" w:hAnsi="宋体" w:eastAsia="宋体"/>
          <w:szCs w:val="21"/>
        </w:rPr>
        <w:t>（2）合同总价限价为财政评审的建筑安装工程费和工程设计费</w:t>
      </w:r>
      <w:r>
        <w:rPr>
          <w:rFonts w:hint="eastAsia" w:ascii="宋体" w:hAnsi="宋体" w:eastAsia="宋体"/>
          <w:szCs w:val="21"/>
          <w:lang w:eastAsia="zh-CN"/>
        </w:rPr>
        <w:t>（</w:t>
      </w:r>
      <w:r>
        <w:rPr>
          <w:rFonts w:hint="eastAsia" w:ascii="宋体" w:hAnsi="宋体" w:eastAsia="宋体"/>
          <w:szCs w:val="21"/>
        </w:rPr>
        <w:t>或者概算审核的建筑安装工程费和工程设计费</w:t>
      </w:r>
      <w:r>
        <w:rPr>
          <w:rFonts w:hint="eastAsia" w:ascii="宋体" w:hAnsi="宋体" w:eastAsia="宋体" w:cs="宋体"/>
          <w:szCs w:val="21"/>
          <w:lang w:eastAsia="zh-CN"/>
        </w:rPr>
        <w:t>）</w:t>
      </w:r>
      <w:r>
        <w:rPr>
          <w:rFonts w:hint="eastAsia" w:ascii="宋体" w:hAnsi="宋体" w:eastAsia="宋体"/>
          <w:szCs w:val="21"/>
        </w:rPr>
        <w:t>。</w:t>
      </w:r>
    </w:p>
    <w:p w14:paraId="061B9EDA">
      <w:pPr>
        <w:spacing w:line="440" w:lineRule="exact"/>
        <w:rPr>
          <w:rFonts w:ascii="宋体" w:hAnsi="宋体" w:eastAsia="宋体"/>
          <w:szCs w:val="21"/>
        </w:rPr>
      </w:pPr>
      <w:r>
        <w:rPr>
          <w:rFonts w:hint="eastAsia" w:ascii="宋体" w:hAnsi="宋体" w:eastAsia="宋体"/>
          <w:szCs w:val="21"/>
        </w:rPr>
        <w:t>（3）设计费：</w:t>
      </w:r>
      <w:r>
        <w:rPr>
          <w:rFonts w:hint="eastAsia" w:ascii="宋体" w:hAnsi="宋体" w:eastAsia="宋体"/>
          <w:szCs w:val="21"/>
          <w:highlight w:val="none"/>
        </w:rPr>
        <w:t>采用固定总价</w:t>
      </w:r>
      <w:r>
        <w:rPr>
          <w:rFonts w:hint="eastAsia" w:ascii="宋体" w:hAnsi="宋体" w:eastAsia="宋体"/>
          <w:szCs w:val="21"/>
        </w:rPr>
        <w:t>。即中标价为包干价格，结算不予调整。按照要求完成相关工作，</w:t>
      </w:r>
      <w:r>
        <w:rPr>
          <w:rFonts w:hint="eastAsia" w:ascii="宋体" w:hAnsi="宋体" w:eastAsia="宋体" w:cs="宋体"/>
          <w:kern w:val="0"/>
          <w:szCs w:val="21"/>
          <w:lang w:bidi="ar"/>
        </w:rPr>
        <w:t>此部分不会因工程修改而做出调整（此修改包括但不限于发包人提出的建设范围、建设规模、建设标准、功能要求、工期或质量要求等调整），不论实际情况与投标时的估计有多大出入，亦不论设计变更的数量多少、建筑安装工程的投标金额与最终结算金额有多大差别，设计费用在结算时一律不予以调整。</w:t>
      </w:r>
    </w:p>
    <w:p w14:paraId="2A4FBD2C">
      <w:pPr>
        <w:widowControl w:val="0"/>
        <w:spacing w:line="440" w:lineRule="exact"/>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（4）建筑安装工程费确定形式：</w:t>
      </w:r>
      <w:r>
        <w:rPr>
          <w:rFonts w:hint="eastAsia" w:ascii="宋体" w:hAnsi="宋体" w:eastAsia="宋体" w:cs="Times New Roman"/>
          <w:kern w:val="2"/>
          <w:sz w:val="21"/>
          <w:szCs w:val="21"/>
          <w:highlight w:val="none"/>
          <w:lang w:val="en-US" w:eastAsia="zh-CN" w:bidi="ar-SA"/>
        </w:rPr>
        <w:t>采用可变总价</w:t>
      </w:r>
      <w:r>
        <w:rPr>
          <w:rFonts w:hint="eastAsia" w:ascii="宋体" w:hAnsi="宋体" w:eastAsia="宋体" w:cs="Times New Roman"/>
          <w:kern w:val="2"/>
          <w:sz w:val="21"/>
          <w:szCs w:val="21"/>
          <w:lang w:val="en-US" w:eastAsia="zh-CN" w:bidi="ar-SA"/>
        </w:rPr>
        <w:t>，即工程最终竣工结算价=</w:t>
      </w:r>
      <w:r>
        <w:rPr>
          <w:rFonts w:hint="eastAsia" w:ascii="Calibri" w:hAnsi="Calibri" w:eastAsia="宋体" w:cs="Times New Roman"/>
          <w:color w:val="0000FF"/>
          <w:kern w:val="2"/>
          <w:sz w:val="21"/>
          <w:szCs w:val="22"/>
          <w:highlight w:val="none"/>
          <w:lang w:val="en-US" w:eastAsia="zh-CN" w:bidi="ar-SA"/>
        </w:rPr>
        <w:t>建筑安装工程费</w:t>
      </w:r>
      <w:r>
        <w:rPr>
          <w:rFonts w:hint="eastAsia" w:ascii="宋体" w:hAnsi="宋体" w:eastAsia="宋体" w:cs="Times New Roman"/>
          <w:kern w:val="2"/>
          <w:sz w:val="21"/>
          <w:szCs w:val="21"/>
          <w:lang w:val="en-US" w:eastAsia="zh-CN" w:bidi="ar-SA"/>
        </w:rPr>
        <w:t>预算审核价+变更价款。因承包人原因，竣工结算价超过合同价的按合同价结算，低于合同价则按竣工结算价结算。</w:t>
      </w:r>
    </w:p>
    <w:p w14:paraId="05BFB490">
      <w:pPr>
        <w:spacing w:line="440" w:lineRule="exact"/>
        <w:rPr>
          <w:rFonts w:ascii="宋体" w:hAnsi="宋体" w:eastAsia="宋体"/>
          <w:szCs w:val="21"/>
        </w:rPr>
      </w:pPr>
      <w:r>
        <w:rPr>
          <w:rFonts w:hint="eastAsia" w:ascii="宋体" w:hAnsi="宋体" w:eastAsia="宋体"/>
          <w:szCs w:val="21"/>
        </w:rPr>
        <w:t>（5）施工图预算审定依据：</w:t>
      </w:r>
    </w:p>
    <w:p w14:paraId="61E50C8D">
      <w:pPr>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1</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《公路工程基本建设项目概算预算编制办法》(UTG3830一2018)；《公路工程预算定额》(UJTG/T3832-2018)；《公路工程机械台班费用定额》(TG/T38332018)；批复的施工图设计文件；</w:t>
      </w:r>
    </w:p>
    <w:p w14:paraId="79AE267A">
      <w:pPr>
        <w:spacing w:line="440" w:lineRule="exact"/>
        <w:rPr>
          <w:rFonts w:ascii="宋体" w:hAnsi="宋体" w:eastAsia="宋体" w:cs="Times New Roman"/>
          <w:szCs w:val="21"/>
          <w:highlight w:val="none"/>
        </w:rPr>
      </w:pPr>
      <w:r>
        <w:rPr>
          <w:rFonts w:hint="eastAsia" w:ascii="宋体" w:hAnsi="宋体" w:eastAsia="宋体" w:cs="Times New Roman"/>
          <w:szCs w:val="21"/>
          <w:highlight w:val="none"/>
        </w:rPr>
        <w:t>项目公司批准的施工组织设计及专项、专题施工方案；湖北省交通工程造价信息网发布的《湖北交通工程造价信息》（初步设计批复时间，项目所在地材料价格）；湖北省建设工程造价管理总站发布的《市场价格信息》(《湖北工程造价管理》信息版)（初步设计批复时间，项目所在地材料价格）</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lang w:val="en-US" w:eastAsia="zh-CN"/>
        </w:rPr>
        <w:t>若涉及的内容上述内容无相关造价信息，可参照其他行业的定额</w:t>
      </w:r>
      <w:r>
        <w:rPr>
          <w:rFonts w:hint="eastAsia" w:ascii="宋体" w:hAnsi="宋体" w:eastAsia="宋体" w:cs="Times New Roman"/>
          <w:szCs w:val="21"/>
          <w:highlight w:val="none"/>
        </w:rPr>
        <w:t>。</w:t>
      </w:r>
    </w:p>
    <w:p w14:paraId="3851EE28">
      <w:pPr>
        <w:spacing w:line="440" w:lineRule="exact"/>
        <w:rPr>
          <w:rFonts w:ascii="宋体" w:hAnsi="宋体" w:eastAsia="宋体" w:cs="Times New Roman"/>
          <w:szCs w:val="21"/>
          <w:highlight w:val="none"/>
        </w:rPr>
      </w:pPr>
      <w:r>
        <w:rPr>
          <w:rFonts w:hint="eastAsia" w:ascii="宋体" w:hAnsi="宋体" w:eastAsia="宋体" w:cs="Times New Roman"/>
          <w:szCs w:val="21"/>
          <w:highlight w:val="none"/>
        </w:rPr>
        <w:t>2）材料价格按照施工图预算编制完成前一个月《咸宁工程造价信息》材料价格执行，《咸宁工程造价信息》不包含的材料、设备价格，属于依法必须进行招标的项目范围且达到国家规定规模标准的，由承包人作为招标人依法进行招标确定（招标方案须发包人审定）。不属于依法必须进行招标的项目范围或未达到国家规定规模标准的由承包人经市场询价等非招标方式确定，通过招标、市场询价等方式确定的材料、设备价格直接计价。</w:t>
      </w:r>
    </w:p>
    <w:p w14:paraId="0C9B9309">
      <w:pPr>
        <w:spacing w:line="440" w:lineRule="exact"/>
        <w:rPr>
          <w:rFonts w:ascii="宋体" w:hAnsi="宋体" w:eastAsia="宋体" w:cs="Times New Roman"/>
          <w:szCs w:val="21"/>
        </w:rPr>
      </w:pPr>
      <w:r>
        <w:rPr>
          <w:rFonts w:hint="eastAsia" w:ascii="宋体" w:hAnsi="宋体" w:eastAsia="宋体" w:cs="Times New Roman"/>
          <w:szCs w:val="21"/>
          <w:lang w:val="en-US" w:eastAsia="zh-CN"/>
        </w:rPr>
        <w:t>3</w:t>
      </w:r>
      <w:r>
        <w:rPr>
          <w:rFonts w:hint="eastAsia" w:ascii="宋体" w:hAnsi="宋体" w:eastAsia="宋体" w:cs="Times New Roman"/>
          <w:szCs w:val="21"/>
        </w:rPr>
        <w:t>）询价或招标均设置最高限价，最高限价由承包人提出，报造价咨询单位审核后，报发包人最终审核确定，由承包人按照最终确定的最高限价自行组织询价或招标采购；如承包人不认同发包人提出的最高限价，则发包人有权收回该材料采购权，转为甲供材,在此情况下甲供材由承包人负责现场照管且不得向发包人收取任何费用。</w:t>
      </w:r>
    </w:p>
    <w:p w14:paraId="7BC62F46">
      <w:pPr>
        <w:widowControl w:val="0"/>
        <w:spacing w:line="440" w:lineRule="exact"/>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4）施工图经审查确定后，承包人根据施工图，按照上述预算标准以工程量清单计价方式编制施工图预算，并报发包人委托全过程工程造价控制机构进行审定，发包人确认。审定结果作为建筑安装工程预算造价。</w:t>
      </w:r>
    </w:p>
    <w:p w14:paraId="42D21278">
      <w:pPr>
        <w:spacing w:line="440" w:lineRule="exact"/>
        <w:rPr>
          <w:rFonts w:ascii="宋体" w:hAnsi="宋体" w:eastAsia="宋体" w:cs="Times New Roman"/>
          <w:bCs/>
          <w:szCs w:val="21"/>
        </w:rPr>
      </w:pPr>
      <w:r>
        <w:rPr>
          <w:rFonts w:hint="eastAsia" w:ascii="宋体" w:hAnsi="宋体" w:eastAsia="宋体" w:cs="Times New Roman"/>
          <w:bCs/>
          <w:szCs w:val="21"/>
          <w:lang w:val="en-US" w:eastAsia="zh-CN"/>
        </w:rPr>
        <w:t>5</w:t>
      </w:r>
      <w:r>
        <w:rPr>
          <w:rFonts w:hint="eastAsia" w:ascii="宋体" w:hAnsi="宋体" w:eastAsia="宋体" w:cs="Times New Roman"/>
          <w:bCs/>
          <w:szCs w:val="21"/>
        </w:rPr>
        <w:t>）建筑安装工程费不得因定额人工费低于市场水平而要求任何调价。</w:t>
      </w:r>
    </w:p>
    <w:p w14:paraId="7DD7475B">
      <w:pPr>
        <w:spacing w:line="440" w:lineRule="exact"/>
        <w:rPr>
          <w:rFonts w:hint="eastAsia" w:ascii="宋体" w:hAnsi="宋体" w:eastAsia="宋体" w:cs="Times New Roman"/>
          <w:bCs/>
          <w:szCs w:val="21"/>
        </w:rPr>
      </w:pPr>
      <w:r>
        <w:rPr>
          <w:rFonts w:hint="eastAsia" w:ascii="宋体" w:hAnsi="宋体" w:eastAsia="宋体" w:cs="Times New Roman"/>
          <w:bCs/>
          <w:szCs w:val="21"/>
          <w:lang w:val="en-US" w:eastAsia="zh-CN"/>
        </w:rPr>
        <w:t>6</w:t>
      </w:r>
      <w:r>
        <w:rPr>
          <w:rFonts w:hint="eastAsia" w:ascii="宋体" w:hAnsi="宋体" w:eastAsia="宋体" w:cs="Times New Roman"/>
          <w:bCs/>
          <w:szCs w:val="21"/>
        </w:rPr>
        <w:t>）中标人自身原因导致合同工期延误，由此产生的各项保证合同工期的费用，由承包人自行承担，不调整建筑安装工程费。</w:t>
      </w:r>
    </w:p>
    <w:p w14:paraId="122755B7">
      <w:pPr>
        <w:spacing w:line="440" w:lineRule="exact"/>
        <w:rPr>
          <w:rFonts w:ascii="宋体" w:hAnsi="宋体" w:eastAsia="宋体"/>
          <w:szCs w:val="21"/>
        </w:rPr>
      </w:pPr>
      <w:r>
        <w:rPr>
          <w:rFonts w:hint="eastAsia" w:ascii="宋体" w:hAnsi="宋体" w:eastAsia="宋体" w:cs="Times New Roman"/>
          <w:bCs/>
          <w:szCs w:val="21"/>
          <w:lang w:eastAsia="zh-CN"/>
        </w:rPr>
        <w:t>（</w:t>
      </w:r>
      <w:r>
        <w:rPr>
          <w:rFonts w:hint="eastAsia" w:ascii="宋体" w:hAnsi="宋体" w:eastAsia="宋体" w:cs="Times New Roman"/>
          <w:bCs/>
          <w:szCs w:val="21"/>
          <w:lang w:val="en-US" w:eastAsia="zh-CN"/>
        </w:rPr>
        <w:t>6</w:t>
      </w:r>
      <w:r>
        <w:rPr>
          <w:rFonts w:hint="eastAsia" w:ascii="宋体" w:hAnsi="宋体" w:eastAsia="宋体" w:cs="Times New Roman"/>
          <w:bCs/>
          <w:szCs w:val="21"/>
          <w:lang w:eastAsia="zh-CN"/>
        </w:rPr>
        <w:t>）</w:t>
      </w:r>
      <w:r>
        <w:rPr>
          <w:rFonts w:hint="eastAsia" w:ascii="宋体" w:hAnsi="宋体" w:eastAsia="宋体"/>
          <w:szCs w:val="21"/>
          <w:lang w:val="en-US" w:eastAsia="zh-CN"/>
        </w:rPr>
        <w:t>建设工程其他费</w:t>
      </w:r>
      <w:r>
        <w:rPr>
          <w:rFonts w:hint="eastAsia" w:ascii="宋体" w:hAnsi="宋体" w:eastAsia="宋体"/>
          <w:szCs w:val="21"/>
          <w:highlight w:val="none"/>
        </w:rPr>
        <w:t>采用固定总价</w:t>
      </w:r>
      <w:r>
        <w:rPr>
          <w:rFonts w:hint="eastAsia" w:ascii="宋体" w:hAnsi="宋体" w:eastAsia="宋体"/>
          <w:szCs w:val="21"/>
        </w:rPr>
        <w:t>。即中标价为包干价格，结算不予调整。按照要求完成相关工作，</w:t>
      </w:r>
      <w:r>
        <w:rPr>
          <w:rFonts w:hint="eastAsia" w:ascii="宋体" w:hAnsi="宋体" w:eastAsia="宋体" w:cs="宋体"/>
          <w:kern w:val="0"/>
          <w:szCs w:val="21"/>
          <w:lang w:bidi="ar"/>
        </w:rPr>
        <w:t>此部分不会因工程修改而做出调整（此修改包括但不限于发包人提出的建设范围、建设规模、建设标准、功能要求、工期或质量要求等调整），不论实际情况与投标时的估计有多大出入，亦不论设计变更的数量多少、建筑安装工程的投标金额与最终结算金额有多大差别，在结算时一律不予以调整。</w:t>
      </w:r>
    </w:p>
    <w:p w14:paraId="2963016A">
      <w:pPr>
        <w:spacing w:line="440" w:lineRule="exact"/>
        <w:rPr>
          <w:rFonts w:eastAsia="宋体"/>
          <w:b/>
          <w:bCs/>
        </w:rPr>
      </w:pPr>
      <w:r>
        <w:rPr>
          <w:rFonts w:hint="eastAsia" w:eastAsia="宋体"/>
          <w:b/>
          <w:bCs/>
        </w:rPr>
        <w:t>1</w:t>
      </w:r>
      <w:r>
        <w:rPr>
          <w:rFonts w:eastAsia="宋体"/>
          <w:b/>
          <w:bCs/>
        </w:rPr>
        <w:t>7.1.2</w:t>
      </w:r>
      <w:r>
        <w:rPr>
          <w:rFonts w:hint="eastAsia" w:eastAsia="宋体"/>
          <w:b/>
          <w:bCs/>
        </w:rPr>
        <w:t>中标人施工图预算编制要求：</w:t>
      </w:r>
    </w:p>
    <w:p w14:paraId="50921DFC">
      <w:pPr>
        <w:spacing w:line="440" w:lineRule="exact"/>
        <w:rPr>
          <w:rFonts w:ascii="宋体" w:hAnsi="宋体" w:eastAsia="宋体"/>
          <w:bCs/>
          <w:szCs w:val="21"/>
        </w:rPr>
      </w:pPr>
      <w:r>
        <w:rPr>
          <w:rFonts w:hint="eastAsia" w:ascii="宋体" w:hAnsi="宋体" w:eastAsia="宋体"/>
          <w:bCs/>
          <w:szCs w:val="21"/>
        </w:rPr>
        <w:t>（1）提交时间：因承包人原因未在约定时间内递交施工图及施工图预算，且经发包人书面催告后10日历天仍未提交，每延迟递交一天，按1万元/天承担违约金，如延迟递交累计20日历天仍然未提供或明确答复的，发包人委托造价咨询单位按照合格的施工图及方案等资料，按照上述约定出具审核结果，审核结果乘以中标折扣率即为建筑安装工程费。</w:t>
      </w:r>
    </w:p>
    <w:p w14:paraId="5D1088B1">
      <w:pPr>
        <w:spacing w:line="440" w:lineRule="exact"/>
        <w:rPr>
          <w:rFonts w:ascii="宋体" w:hAnsi="宋体" w:eastAsia="宋体"/>
          <w:bCs/>
          <w:szCs w:val="21"/>
        </w:rPr>
      </w:pPr>
      <w:r>
        <w:rPr>
          <w:rFonts w:hint="eastAsia" w:ascii="宋体" w:hAnsi="宋体" w:eastAsia="宋体" w:cs="宋体"/>
          <w:bCs/>
          <w:szCs w:val="21"/>
        </w:rPr>
        <w:t>（2）</w:t>
      </w:r>
      <w:r>
        <w:rPr>
          <w:rFonts w:hint="eastAsia" w:ascii="宋体" w:hAnsi="宋体" w:eastAsia="宋体"/>
          <w:bCs/>
          <w:szCs w:val="21"/>
        </w:rPr>
        <w:t>预算要求：建筑安装工程费施工图预算采用全费用清单计价模式、一般计税方式。按照清单规范编制工程量清单，确保不漏项错项，如合同价格确定后出现清单错项漏项等问题，由承包人承担，施工过程中不得拒绝施工，结算时不予调整。提供广联达软件版计量与计价文件，安装工程与装修工程提供详细计算式。</w:t>
      </w:r>
    </w:p>
    <w:p w14:paraId="0619E892">
      <w:pPr>
        <w:keepNext/>
        <w:keepLines/>
        <w:spacing w:before="120" w:beforeLines="50" w:line="440" w:lineRule="exact"/>
        <w:outlineLvl w:val="0"/>
        <w:rPr>
          <w:rFonts w:ascii="黑体" w:hAnsi="黑体" w:eastAsia="黑体"/>
        </w:rPr>
      </w:pPr>
      <w:r>
        <w:rPr>
          <w:rFonts w:ascii="黑体" w:hAnsi="黑体" w:eastAsia="黑体"/>
        </w:rPr>
        <w:t>17.2 预付款</w:t>
      </w:r>
    </w:p>
    <w:p w14:paraId="69DA483A">
      <w:pPr>
        <w:spacing w:line="440" w:lineRule="exact"/>
        <w:rPr>
          <w:rFonts w:hint="eastAsia" w:eastAsia="宋体"/>
        </w:rPr>
      </w:pPr>
      <w:r>
        <w:rPr>
          <w:rFonts w:eastAsia="宋体"/>
        </w:rPr>
        <w:t xml:space="preserve">17.2.1预付款 </w:t>
      </w:r>
      <w:r>
        <w:rPr>
          <w:rFonts w:hint="eastAsia" w:eastAsia="宋体"/>
        </w:rPr>
        <w:t>：</w:t>
      </w:r>
    </w:p>
    <w:p w14:paraId="4EE0465F">
      <w:pPr>
        <w:spacing w:line="440" w:lineRule="exact"/>
        <w:rPr>
          <w:rFonts w:hint="eastAsia" w:eastAsia="宋体"/>
        </w:rPr>
      </w:pPr>
      <w:r>
        <w:rPr>
          <w:rFonts w:hint="eastAsia" w:eastAsia="宋体"/>
        </w:rPr>
        <w:t>本项约定的预付款为开工预付款，其额度和预付办法如下：</w:t>
      </w:r>
    </w:p>
    <w:p w14:paraId="61967574">
      <w:pPr>
        <w:widowControl w:val="0"/>
        <w:spacing w:line="440" w:lineRule="exact"/>
        <w:jc w:val="left"/>
        <w:rPr>
          <w:rFonts w:hint="eastAsia" w:ascii="Calibri" w:hAnsi="Calibri" w:eastAsia="宋体" w:cs="Times New Roman"/>
          <w:kern w:val="2"/>
          <w:sz w:val="21"/>
          <w:szCs w:val="22"/>
          <w:lang w:val="en-US" w:eastAsia="zh-CN" w:bidi="ar-SA"/>
        </w:rPr>
      </w:pPr>
      <w:r>
        <w:rPr>
          <w:rFonts w:hint="eastAsia" w:ascii="Calibri" w:hAnsi="Calibri" w:eastAsia="宋体" w:cs="Times New Roman"/>
          <w:b/>
          <w:bCs/>
          <w:color w:val="FF0000"/>
          <w:kern w:val="2"/>
          <w:sz w:val="21"/>
          <w:szCs w:val="22"/>
          <w:u w:val="single"/>
          <w:lang w:val="en-US" w:eastAsia="zh-CN" w:bidi="ar-SA"/>
        </w:rPr>
        <w:t>(1)开工预付款的金额为签约合同价中的建筑安装工程费用的 10%～30% （甲方根据资金到位情况自行确定）。</w:t>
      </w:r>
      <w:r>
        <w:rPr>
          <w:rFonts w:hint="eastAsia" w:ascii="Calibri" w:hAnsi="Calibri" w:eastAsia="宋体" w:cs="Times New Roman"/>
          <w:kern w:val="2"/>
          <w:sz w:val="21"/>
          <w:szCs w:val="22"/>
          <w:lang w:val="en-US" w:eastAsia="zh-CN" w:bidi="ar-SA"/>
        </w:rPr>
        <w:t>在承包人签订了合同协议书且承包人承诺的主要设备进场后，报监理人同意后，发包人应在当期进度付款证书中向承包人支付开工预付款。</w:t>
      </w:r>
    </w:p>
    <w:p w14:paraId="6A196D1E">
      <w:pPr>
        <w:spacing w:line="440" w:lineRule="exact"/>
        <w:rPr>
          <w:rFonts w:hint="eastAsia" w:eastAsia="宋体"/>
        </w:rPr>
      </w:pPr>
      <w:r>
        <w:rPr>
          <w:rFonts w:hint="eastAsia" w:eastAsia="宋体"/>
        </w:rPr>
        <w:t xml:space="preserve">承包人不得将该预付款用于与本工程无关的支出，监理人有权监督承包人对该项费用的使用，如经查实承包人滥用开工预付款，发包人有权索赔，并解除合同。 </w:t>
      </w:r>
    </w:p>
    <w:p w14:paraId="080BE730">
      <w:pPr>
        <w:spacing w:line="440" w:lineRule="exact"/>
        <w:rPr>
          <w:rFonts w:hint="eastAsia" w:eastAsia="宋体"/>
        </w:rPr>
      </w:pPr>
      <w:r>
        <w:rPr>
          <w:rFonts w:hint="eastAsia" w:eastAsia="宋体"/>
        </w:rPr>
        <w:t>17.2.3预付款的扣回与还清</w:t>
      </w:r>
    </w:p>
    <w:p w14:paraId="72C289A7">
      <w:pPr>
        <w:spacing w:line="440" w:lineRule="exact"/>
        <w:rPr>
          <w:rFonts w:hint="eastAsia" w:eastAsia="宋体" w:cs="Times New Roman"/>
          <w:b/>
          <w:bCs/>
          <w:color w:val="FF0000"/>
          <w:u w:val="single"/>
        </w:rPr>
      </w:pPr>
      <w:r>
        <w:rPr>
          <w:rFonts w:hint="eastAsia" w:eastAsia="宋体" w:cs="Times New Roman"/>
          <w:b/>
          <w:bCs/>
          <w:color w:val="FF0000"/>
          <w:u w:val="single"/>
        </w:rPr>
        <w:t xml:space="preserve">开工预付款在进度付款证书的累计金额未达到签约合同价的 </w:t>
      </w:r>
      <w:r>
        <w:rPr>
          <w:rFonts w:hint="eastAsia" w:eastAsia="宋体" w:cs="Times New Roman"/>
          <w:b/>
          <w:bCs/>
          <w:color w:val="FF0000"/>
          <w:u w:val="single"/>
          <w:lang w:val="en-US" w:eastAsia="zh-CN"/>
        </w:rPr>
        <w:t>30</w:t>
      </w:r>
      <w:r>
        <w:rPr>
          <w:rFonts w:hint="eastAsia" w:eastAsia="宋体" w:cs="Times New Roman"/>
          <w:b/>
          <w:bCs/>
          <w:color w:val="FF0000"/>
          <w:u w:val="single"/>
        </w:rPr>
        <w:t xml:space="preserve"> %之前不予扣回，在达到签约合同价 </w:t>
      </w:r>
      <w:r>
        <w:rPr>
          <w:rFonts w:hint="eastAsia" w:eastAsia="宋体" w:cs="Times New Roman"/>
          <w:b/>
          <w:bCs/>
          <w:color w:val="FF0000"/>
          <w:u w:val="single"/>
          <w:lang w:val="en-US" w:eastAsia="zh-CN"/>
        </w:rPr>
        <w:t>30</w:t>
      </w:r>
      <w:r>
        <w:rPr>
          <w:rFonts w:hint="eastAsia" w:ascii="Times New Roman" w:hAnsi="Times New Roman" w:eastAsia="宋体" w:cs="Times New Roman"/>
          <w:b/>
          <w:bCs/>
          <w:color w:val="FF0000"/>
          <w:u w:val="single"/>
        </w:rPr>
        <w:t xml:space="preserve">  </w:t>
      </w:r>
      <w:r>
        <w:rPr>
          <w:rFonts w:hint="eastAsia" w:eastAsia="宋体" w:cs="Times New Roman"/>
          <w:b/>
          <w:bCs/>
          <w:color w:val="FF0000"/>
          <w:u w:val="single"/>
        </w:rPr>
        <w:t>%之后，开始按工程进度以固定比例(即每完成签约合同价的</w:t>
      </w:r>
      <w:r>
        <w:rPr>
          <w:rFonts w:hint="eastAsia" w:ascii="Times New Roman" w:hAnsi="Times New Roman" w:eastAsia="宋体" w:cs="Times New Roman"/>
          <w:b/>
          <w:bCs/>
          <w:color w:val="FF0000"/>
          <w:u w:val="single"/>
        </w:rPr>
        <w:t xml:space="preserve"> </w:t>
      </w:r>
      <w:r>
        <w:rPr>
          <w:rFonts w:hint="eastAsia" w:ascii="Times New Roman" w:hAnsi="Times New Roman" w:eastAsia="宋体" w:cs="Times New Roman"/>
          <w:b/>
          <w:bCs/>
          <w:color w:val="FF0000"/>
          <w:u w:val="single"/>
          <w:lang w:val="en-US" w:eastAsia="zh-CN"/>
        </w:rPr>
        <w:t>1</w:t>
      </w:r>
      <w:r>
        <w:rPr>
          <w:rFonts w:hint="eastAsia" w:eastAsia="宋体" w:cs="Times New Roman"/>
          <w:b/>
          <w:bCs/>
          <w:color w:val="FF0000"/>
          <w:u w:val="single"/>
        </w:rPr>
        <w:t>%，扣回开工预付款的</w:t>
      </w:r>
      <w:r>
        <w:rPr>
          <w:rFonts w:hint="eastAsia" w:ascii="Times New Roman" w:hAnsi="Times New Roman" w:eastAsia="宋体" w:cs="Times New Roman"/>
          <w:b/>
          <w:bCs/>
          <w:color w:val="FF0000"/>
          <w:u w:val="single"/>
        </w:rPr>
        <w:t xml:space="preserve">  </w:t>
      </w:r>
      <w:r>
        <w:rPr>
          <w:rFonts w:hint="eastAsia" w:ascii="Times New Roman" w:hAnsi="Times New Roman" w:eastAsia="宋体" w:cs="Times New Roman"/>
          <w:b/>
          <w:bCs/>
          <w:color w:val="FF0000"/>
          <w:u w:val="single"/>
          <w:lang w:val="en-US" w:eastAsia="zh-CN"/>
        </w:rPr>
        <w:t>2</w:t>
      </w:r>
      <w:r>
        <w:rPr>
          <w:rFonts w:hint="eastAsia" w:eastAsia="宋体" w:cs="Times New Roman"/>
          <w:b/>
          <w:bCs/>
          <w:color w:val="FF0000"/>
          <w:u w:val="single"/>
        </w:rPr>
        <w:t xml:space="preserve"> %)分期从各月的进度付款证书中扣回，全部金额在进度付款证书的累计金额达到签约合同价的</w:t>
      </w:r>
      <w:r>
        <w:rPr>
          <w:rFonts w:hint="eastAsia" w:eastAsia="宋体" w:cs="Times New Roman"/>
          <w:b/>
          <w:bCs/>
          <w:color w:val="FF0000"/>
          <w:u w:val="single"/>
          <w:lang w:val="en-US" w:eastAsia="zh-CN"/>
        </w:rPr>
        <w:t xml:space="preserve"> </w:t>
      </w:r>
      <w:r>
        <w:rPr>
          <w:rFonts w:hint="eastAsia" w:ascii="Times New Roman" w:hAnsi="Times New Roman" w:eastAsia="宋体" w:cs="Times New Roman"/>
          <w:b/>
          <w:bCs/>
          <w:color w:val="FF0000"/>
          <w:u w:val="single"/>
        </w:rPr>
        <w:t>80%</w:t>
      </w:r>
      <w:r>
        <w:rPr>
          <w:rFonts w:hint="eastAsia" w:ascii="Times New Roman" w:hAnsi="Times New Roman" w:eastAsia="宋体" w:cs="Times New Roman"/>
          <w:b/>
          <w:bCs/>
          <w:color w:val="FF0000"/>
          <w:u w:val="single"/>
          <w:lang w:val="en-US" w:eastAsia="zh-CN"/>
        </w:rPr>
        <w:t xml:space="preserve"> </w:t>
      </w:r>
      <w:r>
        <w:rPr>
          <w:rFonts w:hint="eastAsia" w:eastAsia="宋体" w:cs="Times New Roman"/>
          <w:b/>
          <w:bCs/>
          <w:color w:val="FF0000"/>
          <w:u w:val="single"/>
        </w:rPr>
        <w:t>时扣完。</w:t>
      </w:r>
    </w:p>
    <w:p w14:paraId="3B5AC345">
      <w:pPr>
        <w:keepNext/>
        <w:keepLines/>
        <w:spacing w:before="120" w:beforeLines="50" w:line="440" w:lineRule="exact"/>
        <w:outlineLvl w:val="0"/>
        <w:rPr>
          <w:rFonts w:ascii="黑体" w:hAnsi="黑体" w:eastAsia="黑体"/>
        </w:rPr>
      </w:pPr>
      <w:r>
        <w:rPr>
          <w:rFonts w:ascii="黑体" w:hAnsi="黑体" w:eastAsia="黑体"/>
        </w:rPr>
        <w:t>17.3 工程进度付款</w:t>
      </w:r>
    </w:p>
    <w:p w14:paraId="3B6E8589">
      <w:pPr>
        <w:spacing w:line="440" w:lineRule="exact"/>
        <w:rPr>
          <w:rFonts w:ascii="宋体" w:hAnsi="宋体" w:eastAsia="宋体"/>
          <w:bCs/>
          <w:szCs w:val="21"/>
        </w:rPr>
      </w:pPr>
      <w:r>
        <w:rPr>
          <w:rFonts w:hint="eastAsia" w:ascii="宋体" w:hAnsi="宋体" w:eastAsia="宋体"/>
          <w:bCs/>
          <w:szCs w:val="21"/>
        </w:rPr>
        <w:t>17.3.1 付款时间:</w:t>
      </w:r>
    </w:p>
    <w:p w14:paraId="634B6E21">
      <w:pPr>
        <w:spacing w:line="440" w:lineRule="exact"/>
        <w:rPr>
          <w:rFonts w:ascii="宋体" w:hAnsi="宋体" w:eastAsia="宋体"/>
          <w:b/>
          <w:szCs w:val="21"/>
        </w:rPr>
      </w:pPr>
      <w:r>
        <w:rPr>
          <w:rFonts w:hint="eastAsia" w:ascii="宋体" w:hAnsi="宋体" w:eastAsia="宋体"/>
          <w:b/>
          <w:szCs w:val="21"/>
        </w:rPr>
        <w:t>1、设计费支付方式</w:t>
      </w:r>
    </w:p>
    <w:p w14:paraId="299566CA">
      <w:pPr>
        <w:spacing w:line="440" w:lineRule="exact"/>
        <w:rPr>
          <w:rFonts w:ascii="宋体" w:hAnsi="宋体" w:eastAsia="宋体"/>
          <w:b/>
          <w:szCs w:val="21"/>
        </w:rPr>
      </w:pPr>
      <w:r>
        <w:rPr>
          <w:rFonts w:hint="eastAsia" w:ascii="宋体" w:hAnsi="宋体" w:eastAsia="宋体"/>
          <w:b/>
          <w:szCs w:val="21"/>
        </w:rPr>
        <w:t>（1）包含的工作内容</w:t>
      </w:r>
    </w:p>
    <w:p w14:paraId="0E45C229">
      <w:pPr>
        <w:spacing w:line="440" w:lineRule="exact"/>
        <w:rPr>
          <w:rFonts w:ascii="宋体" w:hAnsi="宋体" w:eastAsia="宋体" w:cs="宋体"/>
          <w:bCs/>
          <w:szCs w:val="21"/>
        </w:rPr>
      </w:pPr>
      <w:r>
        <w:rPr>
          <w:rFonts w:hint="eastAsia" w:ascii="宋体" w:hAnsi="宋体" w:eastAsia="宋体" w:cs="宋体"/>
          <w:bCs/>
          <w:szCs w:val="21"/>
        </w:rPr>
        <w:t>1）为完成本合同及设计任务书所要求的全部工作，以及完成所有这些工作须由承包人聘请的其他设计师和/或咨询顾问而产生的一切费用；</w:t>
      </w:r>
    </w:p>
    <w:p w14:paraId="66B6C81A">
      <w:pPr>
        <w:spacing w:line="440" w:lineRule="exact"/>
        <w:rPr>
          <w:rFonts w:ascii="宋体" w:hAnsi="宋体" w:eastAsia="宋体" w:cs="宋体"/>
          <w:bCs/>
          <w:szCs w:val="21"/>
        </w:rPr>
      </w:pPr>
      <w:r>
        <w:rPr>
          <w:rFonts w:ascii="宋体" w:hAnsi="宋体" w:eastAsia="宋体" w:cs="宋体"/>
          <w:bCs/>
          <w:szCs w:val="21"/>
        </w:rPr>
        <w:t>2</w:t>
      </w:r>
      <w:r>
        <w:rPr>
          <w:rFonts w:hint="eastAsia" w:ascii="宋体" w:hAnsi="宋体" w:eastAsia="宋体" w:cs="宋体"/>
          <w:bCs/>
          <w:szCs w:val="21"/>
        </w:rPr>
        <w:t>）报批、报建所需符合国家要求各项专业资质的盖章、图签等相关一切费用；</w:t>
      </w:r>
    </w:p>
    <w:p w14:paraId="62EC0458">
      <w:pPr>
        <w:spacing w:line="440" w:lineRule="exact"/>
        <w:rPr>
          <w:rFonts w:ascii="宋体" w:hAnsi="宋体" w:eastAsia="宋体" w:cs="宋体"/>
          <w:bCs/>
          <w:szCs w:val="21"/>
        </w:rPr>
      </w:pPr>
      <w:r>
        <w:rPr>
          <w:rFonts w:ascii="宋体" w:hAnsi="宋体" w:eastAsia="宋体" w:cs="宋体"/>
          <w:bCs/>
          <w:szCs w:val="21"/>
        </w:rPr>
        <w:t>3</w:t>
      </w:r>
      <w:r>
        <w:rPr>
          <w:rFonts w:hint="eastAsia" w:ascii="宋体" w:hAnsi="宋体" w:eastAsia="宋体" w:cs="宋体"/>
          <w:bCs/>
          <w:szCs w:val="21"/>
        </w:rPr>
        <w:t>）承包人负责本项目的</w:t>
      </w:r>
      <w:r>
        <w:rPr>
          <w:rFonts w:hint="eastAsia" w:ascii="宋体" w:hAnsi="宋体" w:eastAsia="宋体" w:cs="宋体"/>
          <w:bCs/>
          <w:szCs w:val="21"/>
          <w:lang w:val="en-US" w:eastAsia="zh-CN"/>
        </w:rPr>
        <w:t>工程</w:t>
      </w:r>
      <w:r>
        <w:rPr>
          <w:rFonts w:hint="eastAsia" w:ascii="宋体" w:hAnsi="宋体" w:eastAsia="宋体" w:cs="宋体"/>
          <w:bCs/>
          <w:szCs w:val="21"/>
        </w:rPr>
        <w:t>师参与、各期政府审批会议的费用；</w:t>
      </w:r>
    </w:p>
    <w:p w14:paraId="49EC45E5">
      <w:pPr>
        <w:spacing w:line="440" w:lineRule="exact"/>
        <w:rPr>
          <w:rFonts w:ascii="宋体" w:hAnsi="宋体" w:eastAsia="宋体" w:cs="宋体"/>
          <w:bCs/>
          <w:szCs w:val="21"/>
        </w:rPr>
      </w:pPr>
      <w:r>
        <w:rPr>
          <w:rFonts w:ascii="宋体" w:hAnsi="宋体" w:eastAsia="宋体" w:cs="宋体"/>
          <w:bCs/>
          <w:szCs w:val="21"/>
        </w:rPr>
        <w:t>4</w:t>
      </w:r>
      <w:r>
        <w:rPr>
          <w:rFonts w:hint="eastAsia" w:ascii="宋体" w:hAnsi="宋体" w:eastAsia="宋体" w:cs="宋体"/>
          <w:bCs/>
          <w:szCs w:val="21"/>
        </w:rPr>
        <w:t>）设计所涉及的、发包人必须知道并缺少的标准文件经发包人通知由承包人提供；</w:t>
      </w:r>
    </w:p>
    <w:p w14:paraId="5A0DF304">
      <w:pPr>
        <w:spacing w:line="440" w:lineRule="exact"/>
        <w:rPr>
          <w:rFonts w:ascii="宋体" w:hAnsi="宋体" w:eastAsia="宋体" w:cs="宋体"/>
          <w:bCs/>
          <w:szCs w:val="21"/>
        </w:rPr>
      </w:pPr>
      <w:r>
        <w:rPr>
          <w:rFonts w:ascii="宋体" w:hAnsi="宋体" w:eastAsia="宋体" w:cs="宋体"/>
          <w:bCs/>
          <w:szCs w:val="21"/>
        </w:rPr>
        <w:t>5</w:t>
      </w:r>
      <w:r>
        <w:rPr>
          <w:rFonts w:hint="eastAsia" w:ascii="宋体" w:hAnsi="宋体" w:eastAsia="宋体" w:cs="宋体"/>
          <w:bCs/>
          <w:szCs w:val="21"/>
        </w:rPr>
        <w:t>）本合同规定的各单项设计的审核费用，对发包人聘请或指定的顾问公司提供的方案予以审核、咨询、顾问及总体技术协调和场外综合管线图的费用（包括给出审核意见书的费用）；</w:t>
      </w:r>
    </w:p>
    <w:p w14:paraId="6EB7B508">
      <w:pPr>
        <w:spacing w:line="440" w:lineRule="exact"/>
        <w:rPr>
          <w:rFonts w:ascii="宋体" w:hAnsi="宋体" w:eastAsia="宋体" w:cs="宋体"/>
          <w:bCs/>
          <w:szCs w:val="21"/>
        </w:rPr>
      </w:pPr>
      <w:r>
        <w:rPr>
          <w:rFonts w:ascii="宋体" w:hAnsi="宋体" w:eastAsia="宋体" w:cs="宋体"/>
          <w:bCs/>
          <w:szCs w:val="21"/>
        </w:rPr>
        <w:t>6</w:t>
      </w:r>
      <w:r>
        <w:rPr>
          <w:rFonts w:hint="eastAsia" w:ascii="宋体" w:hAnsi="宋体" w:eastAsia="宋体" w:cs="宋体"/>
          <w:bCs/>
          <w:szCs w:val="21"/>
        </w:rPr>
        <w:t>）本合同及附件规定应由承包人提供的所有光盘、文档、蓝图、白图及其他相关的文件资料的制作和服务费用；（含为满足本工程报批报建所需的非政府垄断性各专项设计的费用，具体内容详见设计任务书）</w:t>
      </w:r>
    </w:p>
    <w:p w14:paraId="09766CF8">
      <w:pPr>
        <w:spacing w:line="440" w:lineRule="exact"/>
        <w:rPr>
          <w:rFonts w:ascii="宋体" w:hAnsi="宋体" w:eastAsia="宋体" w:cs="宋体"/>
          <w:bCs/>
          <w:szCs w:val="21"/>
        </w:rPr>
      </w:pPr>
      <w:r>
        <w:rPr>
          <w:rFonts w:ascii="宋体" w:hAnsi="宋体" w:eastAsia="宋体" w:cs="宋体"/>
          <w:bCs/>
          <w:szCs w:val="21"/>
        </w:rPr>
        <w:t>7</w:t>
      </w:r>
      <w:r>
        <w:rPr>
          <w:rFonts w:hint="eastAsia" w:ascii="宋体" w:hAnsi="宋体" w:eastAsia="宋体" w:cs="宋体"/>
          <w:bCs/>
          <w:szCs w:val="21"/>
        </w:rPr>
        <w:t>）承包人办公费用、加班费、差旅费用；</w:t>
      </w:r>
    </w:p>
    <w:p w14:paraId="38646F11">
      <w:pPr>
        <w:spacing w:line="440" w:lineRule="exact"/>
        <w:rPr>
          <w:rFonts w:ascii="宋体" w:hAnsi="宋体" w:eastAsia="宋体" w:cs="宋体"/>
          <w:bCs/>
          <w:szCs w:val="21"/>
        </w:rPr>
      </w:pPr>
      <w:r>
        <w:rPr>
          <w:rFonts w:ascii="宋体" w:hAnsi="宋体" w:eastAsia="宋体" w:cs="宋体"/>
          <w:bCs/>
          <w:szCs w:val="21"/>
        </w:rPr>
        <w:t>8</w:t>
      </w:r>
      <w:r>
        <w:rPr>
          <w:rFonts w:hint="eastAsia" w:ascii="宋体" w:hAnsi="宋体" w:eastAsia="宋体" w:cs="宋体"/>
          <w:bCs/>
          <w:szCs w:val="21"/>
        </w:rPr>
        <w:t>）承包人需交付的与本工程有关的增值税额及其他各项税费（附加费）、咨询费、承包人之单项注册费等；</w:t>
      </w:r>
    </w:p>
    <w:p w14:paraId="02232E27">
      <w:pPr>
        <w:spacing w:line="440" w:lineRule="exact"/>
        <w:rPr>
          <w:rFonts w:ascii="宋体" w:hAnsi="宋体" w:eastAsia="宋体" w:cs="宋体"/>
          <w:bCs/>
          <w:szCs w:val="21"/>
        </w:rPr>
      </w:pPr>
      <w:r>
        <w:rPr>
          <w:rFonts w:ascii="宋体" w:hAnsi="宋体" w:eastAsia="宋体" w:cs="宋体"/>
          <w:bCs/>
          <w:szCs w:val="21"/>
        </w:rPr>
        <w:t>9</w:t>
      </w:r>
      <w:r>
        <w:rPr>
          <w:rFonts w:hint="eastAsia" w:ascii="宋体" w:hAnsi="宋体" w:eastAsia="宋体" w:cs="宋体"/>
          <w:bCs/>
          <w:szCs w:val="21"/>
        </w:rPr>
        <w:t>）除本合同另有约定外的其他一切费用。</w:t>
      </w:r>
    </w:p>
    <w:p w14:paraId="1F1007AB">
      <w:pPr>
        <w:spacing w:line="440" w:lineRule="exact"/>
        <w:rPr>
          <w:rFonts w:ascii="宋体" w:hAnsi="宋体" w:eastAsia="宋体"/>
          <w:b/>
          <w:szCs w:val="21"/>
        </w:rPr>
      </w:pPr>
      <w:r>
        <w:rPr>
          <w:rFonts w:hint="eastAsia" w:ascii="宋体" w:hAnsi="宋体" w:eastAsia="宋体"/>
          <w:b/>
          <w:szCs w:val="21"/>
        </w:rPr>
        <w:t>（2）支付进度和节点</w:t>
      </w:r>
    </w:p>
    <w:p w14:paraId="7C357282">
      <w:pPr>
        <w:spacing w:line="440" w:lineRule="exact"/>
        <w:rPr>
          <w:rFonts w:hint="eastAsia" w:ascii="宋体" w:hAnsi="宋体" w:eastAsia="宋体"/>
          <w:b/>
          <w:bCs w:val="0"/>
          <w:szCs w:val="21"/>
          <w:u w:val="none"/>
        </w:rPr>
      </w:pPr>
      <w:r>
        <w:rPr>
          <w:rFonts w:hint="eastAsia" w:ascii="宋体" w:hAnsi="宋体" w:eastAsia="宋体"/>
          <w:b/>
          <w:bCs w:val="0"/>
          <w:szCs w:val="21"/>
          <w:u w:val="none"/>
        </w:rPr>
        <w:t>1）设计费支付方式：</w:t>
      </w:r>
    </w:p>
    <w:p w14:paraId="3CF56A96">
      <w:pPr>
        <w:numPr>
          <w:ilvl w:val="0"/>
          <w:numId w:val="0"/>
        </w:numPr>
        <w:spacing w:line="440" w:lineRule="exact"/>
        <w:rPr>
          <w:rFonts w:hint="eastAsia" w:ascii="宋体" w:hAnsi="宋体" w:eastAsia="宋体" w:cs="Times New Roman"/>
          <w:b/>
          <w:bCs w:val="0"/>
          <w:szCs w:val="21"/>
          <w:highlight w:val="none"/>
          <w:u w:val="single"/>
        </w:rPr>
      </w:pPr>
      <w:r>
        <w:rPr>
          <w:rFonts w:hint="eastAsia" w:ascii="宋体" w:hAnsi="宋体" w:eastAsia="宋体" w:cs="Times New Roman"/>
          <w:b/>
          <w:bCs w:val="0"/>
          <w:szCs w:val="21"/>
          <w:highlight w:val="none"/>
          <w:u w:val="single"/>
        </w:rPr>
        <w:t>①一期土建工程施工图设计文件、参考资料、施工图预算按期完成后并送至发包人处，经发包人或上级主管部门审查批准，支付</w:t>
      </w:r>
      <w:r>
        <w:rPr>
          <w:rFonts w:hint="eastAsia" w:ascii="宋体" w:hAnsi="宋体" w:eastAsia="宋体" w:cs="Times New Roman"/>
          <w:b/>
          <w:bCs w:val="0"/>
          <w:szCs w:val="21"/>
          <w:highlight w:val="none"/>
          <w:u w:val="single"/>
          <w:lang w:eastAsia="zh-CN"/>
        </w:rPr>
        <w:t>施工图</w:t>
      </w:r>
      <w:r>
        <w:rPr>
          <w:rFonts w:hint="eastAsia" w:ascii="宋体" w:hAnsi="宋体" w:eastAsia="宋体" w:cs="Times New Roman"/>
          <w:b/>
          <w:bCs w:val="0"/>
          <w:szCs w:val="21"/>
          <w:highlight w:val="none"/>
          <w:u w:val="single"/>
        </w:rPr>
        <w:t>勘察设计合同总价的60％；</w:t>
      </w:r>
    </w:p>
    <w:p w14:paraId="33BFD183">
      <w:pPr>
        <w:numPr>
          <w:ilvl w:val="0"/>
          <w:numId w:val="0"/>
        </w:numPr>
        <w:spacing w:line="440" w:lineRule="exact"/>
        <w:rPr>
          <w:rFonts w:hint="eastAsia" w:ascii="宋体" w:hAnsi="宋体" w:eastAsia="宋体" w:cs="Times New Roman"/>
          <w:b/>
          <w:bCs w:val="0"/>
          <w:szCs w:val="21"/>
          <w:highlight w:val="none"/>
          <w:u w:val="single"/>
        </w:rPr>
      </w:pPr>
      <w:r>
        <w:rPr>
          <w:rFonts w:hint="eastAsia" w:ascii="宋体" w:hAnsi="宋体" w:eastAsia="宋体" w:cs="Times New Roman"/>
          <w:b/>
          <w:bCs w:val="0"/>
          <w:szCs w:val="21"/>
          <w:highlight w:val="none"/>
          <w:u w:val="single"/>
        </w:rPr>
        <w:t>②全部工程施工图设计文件均按期完成并送至发包人处，经发包人或上级主管部门审查批准后，向承包人支付</w:t>
      </w:r>
      <w:r>
        <w:rPr>
          <w:rFonts w:hint="eastAsia" w:ascii="宋体" w:hAnsi="宋体" w:eastAsia="宋体" w:cs="Times New Roman"/>
          <w:b/>
          <w:bCs w:val="0"/>
          <w:szCs w:val="21"/>
          <w:highlight w:val="none"/>
          <w:u w:val="single"/>
          <w:lang w:eastAsia="zh-CN"/>
        </w:rPr>
        <w:t>施工图</w:t>
      </w:r>
      <w:r>
        <w:rPr>
          <w:rFonts w:hint="eastAsia" w:ascii="宋体" w:hAnsi="宋体" w:eastAsia="宋体" w:cs="Times New Roman"/>
          <w:b/>
          <w:bCs w:val="0"/>
          <w:szCs w:val="21"/>
          <w:highlight w:val="none"/>
          <w:u w:val="single"/>
        </w:rPr>
        <w:t>勘察设计合同总价的20％；</w:t>
      </w:r>
    </w:p>
    <w:p w14:paraId="4614745D">
      <w:pPr>
        <w:numPr>
          <w:ilvl w:val="0"/>
          <w:numId w:val="0"/>
        </w:numPr>
        <w:spacing w:line="440" w:lineRule="exact"/>
        <w:rPr>
          <w:rFonts w:hint="eastAsia" w:ascii="宋体" w:hAnsi="宋体" w:eastAsia="宋体" w:cs="Times New Roman"/>
          <w:b/>
          <w:bCs w:val="0"/>
          <w:szCs w:val="21"/>
          <w:highlight w:val="none"/>
          <w:u w:val="single"/>
        </w:rPr>
      </w:pPr>
      <w:r>
        <w:rPr>
          <w:rFonts w:hint="eastAsia" w:ascii="宋体" w:hAnsi="宋体" w:eastAsia="宋体" w:cs="Times New Roman"/>
          <w:b/>
          <w:bCs w:val="0"/>
          <w:szCs w:val="21"/>
          <w:highlight w:val="none"/>
          <w:u w:val="single"/>
        </w:rPr>
        <w:t>③本项目交工证书签发后28天内，支付</w:t>
      </w:r>
      <w:r>
        <w:rPr>
          <w:rFonts w:hint="eastAsia" w:ascii="宋体" w:hAnsi="宋体" w:eastAsia="宋体" w:cs="Times New Roman"/>
          <w:b/>
          <w:bCs w:val="0"/>
          <w:szCs w:val="21"/>
          <w:highlight w:val="none"/>
          <w:u w:val="single"/>
          <w:lang w:eastAsia="zh-CN"/>
        </w:rPr>
        <w:t>施工图</w:t>
      </w:r>
      <w:r>
        <w:rPr>
          <w:rFonts w:hint="eastAsia" w:ascii="宋体" w:hAnsi="宋体" w:eastAsia="宋体" w:cs="Times New Roman"/>
          <w:b/>
          <w:bCs w:val="0"/>
          <w:szCs w:val="21"/>
          <w:highlight w:val="none"/>
          <w:u w:val="single"/>
        </w:rPr>
        <w:t>勘察设计合同总价的</w:t>
      </w:r>
      <w:r>
        <w:rPr>
          <w:rFonts w:hint="eastAsia" w:ascii="宋体" w:hAnsi="宋体" w:eastAsia="宋体" w:cs="Times New Roman"/>
          <w:b/>
          <w:bCs w:val="0"/>
          <w:szCs w:val="21"/>
          <w:highlight w:val="none"/>
          <w:u w:val="single"/>
          <w:lang w:val="en-US" w:eastAsia="zh-CN"/>
        </w:rPr>
        <w:t>18.5</w:t>
      </w:r>
      <w:r>
        <w:rPr>
          <w:rFonts w:hint="eastAsia" w:ascii="宋体" w:hAnsi="宋体" w:eastAsia="宋体" w:cs="Times New Roman"/>
          <w:b/>
          <w:bCs w:val="0"/>
          <w:szCs w:val="21"/>
          <w:highlight w:val="none"/>
          <w:u w:val="single"/>
        </w:rPr>
        <w:t>%</w:t>
      </w:r>
      <w:r>
        <w:rPr>
          <w:rFonts w:hint="eastAsia" w:ascii="宋体" w:hAnsi="宋体" w:eastAsia="宋体" w:cs="Times New Roman"/>
          <w:b/>
          <w:bCs w:val="0"/>
          <w:szCs w:val="21"/>
          <w:highlight w:val="none"/>
          <w:u w:val="single"/>
          <w:lang w:eastAsia="zh-CN"/>
        </w:rPr>
        <w:t>；</w:t>
      </w:r>
    </w:p>
    <w:p w14:paraId="1DF01E6D">
      <w:pPr>
        <w:numPr>
          <w:ilvl w:val="0"/>
          <w:numId w:val="0"/>
        </w:numPr>
        <w:spacing w:line="440" w:lineRule="exact"/>
        <w:rPr>
          <w:rFonts w:hint="eastAsia" w:ascii="宋体" w:hAnsi="宋体" w:eastAsia="宋体" w:cs="Times New Roman"/>
          <w:b/>
          <w:bCs w:val="0"/>
          <w:szCs w:val="21"/>
          <w:highlight w:val="none"/>
          <w:u w:val="single"/>
        </w:rPr>
      </w:pPr>
      <w:r>
        <w:rPr>
          <w:rFonts w:hint="eastAsia" w:ascii="宋体" w:hAnsi="宋体" w:eastAsia="宋体" w:cs="Times New Roman"/>
          <w:b/>
          <w:bCs w:val="0"/>
          <w:szCs w:val="21"/>
          <w:highlight w:val="none"/>
          <w:u w:val="single"/>
          <w:lang w:val="en-US" w:eastAsia="zh-CN"/>
        </w:rPr>
        <w:t>④</w:t>
      </w:r>
      <w:r>
        <w:rPr>
          <w:rFonts w:hint="eastAsia" w:ascii="宋体" w:hAnsi="宋体" w:eastAsia="宋体" w:cs="Times New Roman"/>
          <w:b/>
          <w:bCs w:val="0"/>
          <w:szCs w:val="21"/>
          <w:highlight w:val="none"/>
          <w:u w:val="single"/>
        </w:rPr>
        <w:t>工程结算完成、项目竣工验收后发包人向承包人支付剩余</w:t>
      </w:r>
      <w:r>
        <w:rPr>
          <w:rFonts w:hint="eastAsia" w:ascii="宋体" w:hAnsi="宋体" w:eastAsia="宋体" w:cs="Times New Roman"/>
          <w:b/>
          <w:bCs w:val="0"/>
          <w:szCs w:val="21"/>
          <w:highlight w:val="none"/>
          <w:u w:val="single"/>
          <w:lang w:eastAsia="zh-CN"/>
        </w:rPr>
        <w:t>施工图</w:t>
      </w:r>
      <w:r>
        <w:rPr>
          <w:rFonts w:hint="eastAsia" w:ascii="宋体" w:hAnsi="宋体" w:eastAsia="宋体" w:cs="Times New Roman"/>
          <w:b/>
          <w:bCs w:val="0"/>
          <w:szCs w:val="21"/>
          <w:highlight w:val="none"/>
          <w:u w:val="single"/>
        </w:rPr>
        <w:t>勘察设计费。</w:t>
      </w:r>
    </w:p>
    <w:p w14:paraId="041BCAB9">
      <w:pPr>
        <w:numPr>
          <w:ilvl w:val="0"/>
          <w:numId w:val="7"/>
        </w:numPr>
        <w:spacing w:line="440" w:lineRule="exact"/>
        <w:rPr>
          <w:rFonts w:hint="eastAsia" w:eastAsia="宋体"/>
          <w:b/>
          <w:bCs w:val="0"/>
          <w:u w:val="single"/>
        </w:rPr>
      </w:pPr>
      <w:r>
        <w:rPr>
          <w:rFonts w:hint="eastAsia" w:ascii="宋体" w:hAnsi="宋体" w:eastAsia="宋体"/>
          <w:b/>
          <w:bCs w:val="0"/>
          <w:szCs w:val="21"/>
          <w:u w:val="single"/>
        </w:rPr>
        <w:t>建筑安装</w:t>
      </w:r>
      <w:r>
        <w:rPr>
          <w:rFonts w:ascii="宋体" w:hAnsi="宋体" w:eastAsia="宋体"/>
          <w:b/>
          <w:bCs w:val="0"/>
          <w:szCs w:val="21"/>
          <w:u w:val="single"/>
        </w:rPr>
        <w:t>工程费</w:t>
      </w:r>
      <w:r>
        <w:rPr>
          <w:rFonts w:hint="eastAsia" w:ascii="宋体" w:hAnsi="宋体" w:eastAsia="宋体"/>
          <w:b/>
          <w:bCs w:val="0"/>
          <w:szCs w:val="21"/>
          <w:u w:val="single"/>
        </w:rPr>
        <w:t>支付方式：</w:t>
      </w:r>
    </w:p>
    <w:p w14:paraId="4D1E2DBC">
      <w:pPr>
        <w:spacing w:line="440" w:lineRule="exact"/>
        <w:rPr>
          <w:rFonts w:hint="default" w:eastAsia="宋体" w:cs="Times New Roman"/>
          <w:b/>
          <w:bCs w:val="0"/>
          <w:color w:val="FF0000"/>
          <w:highlight w:val="none"/>
          <w:u w:val="single"/>
          <w:lang w:val="en-US" w:eastAsia="zh-CN"/>
        </w:rPr>
      </w:pPr>
      <w:r>
        <w:rPr>
          <w:rFonts w:hint="eastAsia" w:eastAsia="宋体" w:cs="Times New Roman"/>
          <w:b/>
          <w:bCs w:val="0"/>
          <w:color w:val="FF0000"/>
          <w:highlight w:val="none"/>
          <w:u w:val="single"/>
        </w:rPr>
        <w:t>本项目按</w:t>
      </w:r>
      <w:r>
        <w:rPr>
          <w:rFonts w:hint="eastAsia" w:eastAsia="宋体" w:cs="Times New Roman"/>
          <w:b/>
          <w:bCs w:val="0"/>
          <w:color w:val="FF0000"/>
          <w:highlight w:val="none"/>
          <w:u w:val="single"/>
          <w:lang w:eastAsia="zh-CN"/>
        </w:rPr>
        <w:t>季度</w:t>
      </w:r>
      <w:r>
        <w:rPr>
          <w:rFonts w:hint="eastAsia" w:eastAsia="宋体" w:cs="Times New Roman"/>
          <w:b/>
          <w:bCs w:val="0"/>
          <w:color w:val="FF0000"/>
          <w:highlight w:val="none"/>
          <w:u w:val="single"/>
        </w:rPr>
        <w:t>支付实际工程价款，工程量由承包人上报现场监理签认、监理人审核签认后报发包人审核批准后计量支付。</w:t>
      </w:r>
    </w:p>
    <w:p w14:paraId="1F6CB0CB">
      <w:pPr>
        <w:keepNext/>
        <w:keepLines/>
        <w:spacing w:before="120" w:beforeLines="50" w:line="440" w:lineRule="exact"/>
        <w:outlineLvl w:val="0"/>
        <w:rPr>
          <w:rFonts w:ascii="黑体" w:hAnsi="黑体" w:eastAsia="黑体"/>
        </w:rPr>
      </w:pPr>
      <w:r>
        <w:rPr>
          <w:rFonts w:ascii="黑体" w:hAnsi="黑体" w:eastAsia="黑体"/>
        </w:rPr>
        <w:t>17.4 质量保证金</w:t>
      </w:r>
    </w:p>
    <w:p w14:paraId="6540B98D">
      <w:pPr>
        <w:spacing w:line="440" w:lineRule="exact"/>
        <w:ind w:right="0"/>
        <w:rPr>
          <w:rFonts w:ascii="宋体" w:hAnsi="宋体" w:eastAsia="宋体"/>
          <w:szCs w:val="21"/>
          <w:u w:val="single"/>
        </w:rPr>
      </w:pPr>
      <w:r>
        <w:rPr>
          <w:rFonts w:eastAsia="宋体"/>
          <w:szCs w:val="21"/>
        </w:rPr>
        <w:t>17.4.1质量保证金的扣留方式：</w:t>
      </w:r>
      <w:r>
        <w:rPr>
          <w:rFonts w:ascii="Times New Roman" w:hAnsi="Times New Roman" w:eastAsia="宋体"/>
          <w:color w:val="auto"/>
          <w:szCs w:val="21"/>
          <w:highlight w:val="none"/>
        </w:rPr>
        <w:t>监理人应从发包人的每笔进度付款中，按专用合同条款的约定扣留质量保证金，直至扣留的质量保证金总额达到专用合同条款约定的金额或比例为止。质量保证金的计算额度不包括预付款的支付、扣回以及价格调整的金额。</w:t>
      </w:r>
    </w:p>
    <w:p w14:paraId="40A0EF0C">
      <w:pPr>
        <w:keepNext/>
        <w:keepLines/>
        <w:spacing w:before="120" w:beforeLines="50" w:line="440" w:lineRule="exact"/>
        <w:outlineLvl w:val="0"/>
        <w:rPr>
          <w:rFonts w:ascii="黑体" w:hAnsi="黑体" w:eastAsia="黑体"/>
        </w:rPr>
      </w:pPr>
      <w:r>
        <w:rPr>
          <w:rFonts w:ascii="黑体" w:hAnsi="黑体" w:eastAsia="黑体"/>
        </w:rPr>
        <w:t>17.5 竣工结算</w:t>
      </w:r>
    </w:p>
    <w:p w14:paraId="1D867835">
      <w:pPr>
        <w:spacing w:line="440" w:lineRule="exact"/>
        <w:rPr>
          <w:rFonts w:hint="eastAsia" w:ascii="宋体" w:hAnsi="宋体" w:eastAsia="宋体" w:cs="宋体"/>
          <w:b/>
          <w:szCs w:val="21"/>
        </w:rPr>
      </w:pPr>
      <w:r>
        <w:rPr>
          <w:rFonts w:hint="eastAsia" w:ascii="宋体" w:hAnsi="宋体" w:eastAsia="宋体" w:cs="宋体"/>
          <w:szCs w:val="21"/>
        </w:rPr>
        <w:t>17.5.3</w:t>
      </w:r>
      <w:r>
        <w:rPr>
          <w:rFonts w:hint="eastAsia" w:ascii="宋体" w:hAnsi="宋体" w:eastAsia="宋体" w:cs="宋体"/>
          <w:b/>
          <w:szCs w:val="21"/>
        </w:rPr>
        <w:t>结算送审要求</w:t>
      </w:r>
    </w:p>
    <w:p w14:paraId="260766C9">
      <w:pPr>
        <w:spacing w:line="440" w:lineRule="exact"/>
        <w:rPr>
          <w:rFonts w:hint="eastAsia" w:ascii="宋体" w:hAnsi="宋体" w:eastAsia="宋体"/>
          <w:bCs/>
          <w:szCs w:val="21"/>
        </w:rPr>
      </w:pPr>
      <w:r>
        <w:rPr>
          <w:rFonts w:hint="eastAsia" w:ascii="宋体" w:hAnsi="宋体" w:eastAsia="宋体"/>
          <w:bCs/>
          <w:szCs w:val="21"/>
        </w:rPr>
        <w:t>承包人应在工程竣工验收合格后60天内向发包人提供满足发包人要求的结算资料。承包人自身原因未在上述约定时间内递交，且经发包人书面催告后15日历天仍未提交，发包人有权按</w:t>
      </w:r>
      <w:r>
        <w:rPr>
          <w:rFonts w:hint="eastAsia" w:ascii="宋体" w:hAnsi="宋体" w:eastAsia="宋体"/>
          <w:bCs/>
          <w:szCs w:val="21"/>
          <w:lang w:val="en-US" w:eastAsia="zh-CN"/>
        </w:rPr>
        <w:t>1</w:t>
      </w:r>
      <w:r>
        <w:rPr>
          <w:rFonts w:hint="eastAsia" w:ascii="宋体" w:hAnsi="宋体" w:eastAsia="宋体"/>
          <w:bCs/>
          <w:szCs w:val="21"/>
        </w:rPr>
        <w:t>000元/天处以违约金。如延迟递交累计30日历天仍然未提供明确答复的，发包人可依据已有资料办理工程结算，最终工程结算金额以发包人委托的第三方造价咨询单位的评审金额为准。</w:t>
      </w:r>
    </w:p>
    <w:p w14:paraId="6226EB32">
      <w:pPr>
        <w:spacing w:line="440" w:lineRule="exact"/>
        <w:ind w:firstLine="0"/>
        <w:jc w:val="left"/>
        <w:rPr>
          <w:rFonts w:hint="eastAsia" w:ascii="宋体" w:hAnsi="宋体" w:eastAsia="宋体" w:cs="Times New Roman"/>
          <w:bCs/>
          <w:color w:val="000000"/>
          <w:szCs w:val="21"/>
          <w:highlight w:val="yellow"/>
        </w:rPr>
      </w:pPr>
      <w:r>
        <w:rPr>
          <w:rFonts w:hint="eastAsia" w:ascii="宋体" w:hAnsi="宋体" w:eastAsia="宋体" w:cs="Times New Roman"/>
          <w:bCs/>
          <w:color w:val="000000"/>
          <w:szCs w:val="21"/>
          <w:highlight w:val="none"/>
        </w:rPr>
        <w:t>发承包双方完成交工结算后，若政府审计部门对项目进行审计的，承包人承诺配合发包人完成审计工作。双方同意，若政府审计部门出具的审计报告载明的审计结论对交工结算金额提出审减结论，则承包人应在收到发包人书面通知之日起30日内，将审减金额一次性退还至发包人指定账户。</w:t>
      </w:r>
    </w:p>
    <w:p w14:paraId="377BD9DA">
      <w:pPr>
        <w:spacing w:line="440" w:lineRule="exact"/>
        <w:rPr>
          <w:rFonts w:hint="eastAsia" w:ascii="宋体" w:hAnsi="宋体" w:eastAsia="宋体" w:cs="宋体"/>
          <w:b/>
          <w:szCs w:val="21"/>
        </w:rPr>
      </w:pPr>
      <w:r>
        <w:rPr>
          <w:rFonts w:hint="eastAsia" w:ascii="宋体" w:hAnsi="宋体" w:eastAsia="宋体" w:cs="宋体"/>
          <w:szCs w:val="21"/>
        </w:rPr>
        <w:t>17.5.4</w:t>
      </w:r>
      <w:r>
        <w:rPr>
          <w:rFonts w:hint="eastAsia" w:ascii="宋体" w:hAnsi="宋体" w:eastAsia="宋体" w:cs="宋体"/>
          <w:b/>
          <w:szCs w:val="21"/>
        </w:rPr>
        <w:t>结算送审资料组成</w:t>
      </w:r>
    </w:p>
    <w:p w14:paraId="63E94723">
      <w:pPr>
        <w:spacing w:line="440" w:lineRule="exact"/>
        <w:rPr>
          <w:rFonts w:ascii="宋体" w:hAnsi="宋体" w:eastAsia="宋体"/>
          <w:bCs/>
          <w:szCs w:val="21"/>
        </w:rPr>
      </w:pPr>
      <w:r>
        <w:rPr>
          <w:rFonts w:hint="eastAsia" w:ascii="宋体" w:hAnsi="宋体" w:eastAsia="宋体"/>
          <w:bCs/>
          <w:szCs w:val="21"/>
        </w:rPr>
        <w:t>（1)工程结算书与编制说明、工程量（含钢筋）计算书等原件及电子版；</w:t>
      </w:r>
    </w:p>
    <w:p w14:paraId="1A8E9B2F">
      <w:pPr>
        <w:spacing w:line="440" w:lineRule="exact"/>
        <w:rPr>
          <w:rFonts w:ascii="宋体" w:hAnsi="宋体" w:eastAsia="宋体"/>
          <w:bCs/>
          <w:szCs w:val="21"/>
        </w:rPr>
      </w:pPr>
      <w:r>
        <w:rPr>
          <w:rFonts w:hint="eastAsia" w:ascii="宋体" w:hAnsi="宋体" w:eastAsia="宋体"/>
          <w:bCs/>
          <w:szCs w:val="21"/>
        </w:rPr>
        <w:t>（2)工程总承包合同及补充协议（含审定的施工图预算）；</w:t>
      </w:r>
    </w:p>
    <w:p w14:paraId="50290A3A">
      <w:pPr>
        <w:spacing w:line="440" w:lineRule="exact"/>
        <w:rPr>
          <w:rFonts w:ascii="宋体" w:hAnsi="宋体" w:eastAsia="宋体"/>
          <w:bCs/>
          <w:szCs w:val="21"/>
        </w:rPr>
      </w:pPr>
      <w:r>
        <w:rPr>
          <w:rFonts w:hint="eastAsia" w:ascii="宋体" w:hAnsi="宋体" w:eastAsia="宋体"/>
          <w:bCs/>
          <w:szCs w:val="21"/>
        </w:rPr>
        <w:t>（3)勘察成果文件及图纸（含招标用图纸、施工图纸及竣工图）；</w:t>
      </w:r>
    </w:p>
    <w:p w14:paraId="09EEF9FB">
      <w:pPr>
        <w:spacing w:line="440" w:lineRule="exact"/>
        <w:rPr>
          <w:rFonts w:ascii="宋体" w:hAnsi="宋体" w:eastAsia="宋体"/>
          <w:bCs/>
          <w:szCs w:val="21"/>
        </w:rPr>
      </w:pPr>
      <w:r>
        <w:rPr>
          <w:rFonts w:hint="eastAsia" w:ascii="宋体" w:hAnsi="宋体" w:eastAsia="宋体"/>
          <w:bCs/>
          <w:szCs w:val="21"/>
        </w:rPr>
        <w:t>（4)招标文件、招标答疑、补充纪要、中标通知书、施工单位投标书（含承诺书）等，且同时提供电子版；</w:t>
      </w:r>
    </w:p>
    <w:p w14:paraId="6063016D">
      <w:pPr>
        <w:spacing w:line="440" w:lineRule="exact"/>
        <w:rPr>
          <w:rFonts w:ascii="宋体" w:hAnsi="宋体" w:eastAsia="宋体"/>
          <w:bCs/>
          <w:szCs w:val="21"/>
        </w:rPr>
      </w:pPr>
      <w:r>
        <w:rPr>
          <w:rFonts w:hint="eastAsia" w:ascii="宋体" w:hAnsi="宋体" w:eastAsia="宋体"/>
          <w:bCs/>
          <w:szCs w:val="21"/>
        </w:rPr>
        <w:t>（5)地勘报告及会审记录，施工组织设计（如有），会议记录；</w:t>
      </w:r>
    </w:p>
    <w:p w14:paraId="79AC505A">
      <w:pPr>
        <w:spacing w:line="440" w:lineRule="exact"/>
        <w:rPr>
          <w:rFonts w:ascii="宋体" w:hAnsi="宋体" w:eastAsia="宋体"/>
          <w:bCs/>
          <w:szCs w:val="21"/>
        </w:rPr>
      </w:pPr>
      <w:r>
        <w:rPr>
          <w:rFonts w:hint="eastAsia" w:ascii="宋体" w:hAnsi="宋体" w:eastAsia="宋体"/>
          <w:bCs/>
          <w:szCs w:val="21"/>
        </w:rPr>
        <w:t>（6)工程变更单、现场签证单、技术联系函（如有）；</w:t>
      </w:r>
    </w:p>
    <w:p w14:paraId="74F8B10F">
      <w:pPr>
        <w:spacing w:line="440" w:lineRule="exact"/>
        <w:rPr>
          <w:rFonts w:ascii="宋体" w:hAnsi="宋体" w:eastAsia="宋体"/>
          <w:bCs/>
          <w:szCs w:val="21"/>
        </w:rPr>
      </w:pPr>
      <w:r>
        <w:rPr>
          <w:rFonts w:hint="eastAsia" w:ascii="宋体" w:hAnsi="宋体" w:eastAsia="宋体"/>
          <w:bCs/>
          <w:szCs w:val="21"/>
        </w:rPr>
        <w:t>（7)开工、停工、复工、延期、完工报告；</w:t>
      </w:r>
    </w:p>
    <w:p w14:paraId="5A6EBF6C">
      <w:pPr>
        <w:spacing w:line="440" w:lineRule="exact"/>
        <w:rPr>
          <w:rFonts w:ascii="宋体" w:hAnsi="宋体" w:eastAsia="宋体"/>
          <w:bCs/>
          <w:szCs w:val="21"/>
        </w:rPr>
      </w:pPr>
      <w:r>
        <w:rPr>
          <w:rFonts w:hint="eastAsia" w:ascii="宋体" w:hAnsi="宋体" w:eastAsia="宋体"/>
          <w:bCs/>
          <w:szCs w:val="21"/>
        </w:rPr>
        <w:t>（8)竣工验收报告；</w:t>
      </w:r>
    </w:p>
    <w:p w14:paraId="52D0B450">
      <w:pPr>
        <w:spacing w:line="440" w:lineRule="exact"/>
        <w:rPr>
          <w:rFonts w:ascii="宋体" w:hAnsi="宋体" w:eastAsia="宋体"/>
          <w:bCs/>
          <w:szCs w:val="21"/>
        </w:rPr>
      </w:pPr>
      <w:r>
        <w:rPr>
          <w:rFonts w:hint="eastAsia" w:ascii="宋体" w:hAnsi="宋体" w:eastAsia="宋体"/>
          <w:bCs/>
          <w:szCs w:val="21"/>
        </w:rPr>
        <w:t>（9)甲供材料设备清单及定价资料（如有）；</w:t>
      </w:r>
    </w:p>
    <w:p w14:paraId="67AEFECC">
      <w:pPr>
        <w:spacing w:line="440" w:lineRule="exact"/>
        <w:rPr>
          <w:rFonts w:ascii="宋体" w:hAnsi="宋体" w:eastAsia="宋体"/>
          <w:bCs/>
          <w:szCs w:val="21"/>
        </w:rPr>
      </w:pPr>
      <w:r>
        <w:rPr>
          <w:rFonts w:hint="eastAsia" w:ascii="宋体" w:hAnsi="宋体" w:eastAsia="宋体"/>
          <w:bCs/>
          <w:szCs w:val="21"/>
        </w:rPr>
        <w:t>（10)暂估价材料清单及定价材料清单；</w:t>
      </w:r>
    </w:p>
    <w:p w14:paraId="2D1FB09C">
      <w:pPr>
        <w:spacing w:line="440" w:lineRule="exact"/>
        <w:rPr>
          <w:rFonts w:ascii="宋体" w:hAnsi="宋体" w:eastAsia="宋体"/>
          <w:bCs/>
          <w:szCs w:val="21"/>
        </w:rPr>
      </w:pPr>
      <w:r>
        <w:rPr>
          <w:rFonts w:hint="eastAsia" w:ascii="宋体" w:hAnsi="宋体" w:eastAsia="宋体"/>
          <w:bCs/>
          <w:szCs w:val="21"/>
        </w:rPr>
        <w:t>（11)签报、会议纪要及工程洽商记录；</w:t>
      </w:r>
    </w:p>
    <w:p w14:paraId="719A08A8">
      <w:pPr>
        <w:spacing w:line="440" w:lineRule="exact"/>
        <w:rPr>
          <w:rFonts w:ascii="宋体" w:hAnsi="宋体" w:eastAsia="宋体"/>
          <w:bCs/>
          <w:szCs w:val="21"/>
        </w:rPr>
      </w:pPr>
      <w:r>
        <w:rPr>
          <w:rFonts w:hint="eastAsia" w:ascii="宋体" w:hAnsi="宋体" w:eastAsia="宋体"/>
          <w:bCs/>
          <w:szCs w:val="21"/>
        </w:rPr>
        <w:t>（12)其他涉及造价扣除的事项，如违约金、甲方代缴(扣）水电费（如有）、其他施工单位协作费（如有）等；</w:t>
      </w:r>
    </w:p>
    <w:p w14:paraId="189686E0">
      <w:pPr>
        <w:spacing w:line="440" w:lineRule="exact"/>
        <w:rPr>
          <w:rFonts w:ascii="宋体" w:hAnsi="宋体" w:eastAsia="宋体"/>
          <w:bCs/>
          <w:szCs w:val="21"/>
        </w:rPr>
      </w:pPr>
      <w:r>
        <w:rPr>
          <w:rFonts w:hint="eastAsia" w:ascii="宋体" w:hAnsi="宋体" w:eastAsia="宋体"/>
          <w:bCs/>
          <w:szCs w:val="21"/>
        </w:rPr>
        <w:t>（13)其他资料。</w:t>
      </w:r>
    </w:p>
    <w:p w14:paraId="1B2D7ED4">
      <w:pPr>
        <w:spacing w:line="440" w:lineRule="exact"/>
        <w:rPr>
          <w:rFonts w:ascii="宋体" w:hAnsi="宋体" w:eastAsia="宋体"/>
          <w:b/>
          <w:szCs w:val="21"/>
        </w:rPr>
      </w:pPr>
      <w:r>
        <w:rPr>
          <w:rFonts w:hint="eastAsia" w:ascii="黑体" w:hAnsi="黑体" w:eastAsia="黑体" w:cs="黑体"/>
          <w:szCs w:val="21"/>
        </w:rPr>
        <w:t xml:space="preserve">17.5.5 </w:t>
      </w:r>
      <w:r>
        <w:rPr>
          <w:rFonts w:hint="eastAsia" w:ascii="宋体" w:hAnsi="宋体" w:eastAsia="宋体"/>
          <w:b/>
          <w:szCs w:val="21"/>
        </w:rPr>
        <w:t>竣工结算其它约定：</w:t>
      </w:r>
    </w:p>
    <w:p w14:paraId="52F311A9">
      <w:pPr>
        <w:spacing w:line="440" w:lineRule="exact"/>
        <w:rPr>
          <w:rFonts w:ascii="宋体" w:hAnsi="宋体" w:eastAsia="宋体"/>
          <w:bCs/>
          <w:szCs w:val="21"/>
        </w:rPr>
      </w:pPr>
      <w:r>
        <w:rPr>
          <w:rFonts w:hint="eastAsia" w:ascii="宋体" w:hAnsi="宋体" w:eastAsia="宋体"/>
          <w:bCs/>
          <w:szCs w:val="21"/>
        </w:rPr>
        <w:t>（1）结算资料审核通过后，承包人应予以装订加盖公章，并报送2份。</w:t>
      </w:r>
    </w:p>
    <w:p w14:paraId="40BB44B3">
      <w:pPr>
        <w:spacing w:line="440" w:lineRule="exact"/>
        <w:rPr>
          <w:rFonts w:ascii="宋体" w:hAnsi="宋体" w:eastAsia="宋体"/>
          <w:bCs/>
          <w:szCs w:val="21"/>
        </w:rPr>
      </w:pPr>
      <w:r>
        <w:rPr>
          <w:rFonts w:hint="eastAsia" w:ascii="宋体" w:hAnsi="宋体" w:eastAsia="宋体"/>
          <w:bCs/>
          <w:szCs w:val="21"/>
        </w:rPr>
        <w:t>（2）工程结算审查期</w:t>
      </w:r>
      <w:r>
        <w:rPr>
          <w:rFonts w:hint="eastAsia" w:ascii="宋体" w:hAnsi="宋体" w:eastAsia="宋体"/>
          <w:bCs/>
          <w:szCs w:val="21"/>
          <w:highlight w:val="none"/>
        </w:rPr>
        <w:t>限按照财建[2004]369号文审查期限执行</w:t>
      </w:r>
      <w:r>
        <w:rPr>
          <w:rFonts w:hint="eastAsia" w:ascii="宋体" w:hAnsi="宋体" w:eastAsia="宋体"/>
          <w:bCs/>
          <w:szCs w:val="21"/>
        </w:rPr>
        <w:t>。对结算审计单位出具的审计结果（包括中间审计结果）承包人应在5个工作日内书面提交反馈意见，超出时限未提出书面意见的则视为已认可审计意见。</w:t>
      </w:r>
    </w:p>
    <w:p w14:paraId="546EDC1A">
      <w:pPr>
        <w:spacing w:line="440" w:lineRule="exact"/>
        <w:ind w:right="248"/>
        <w:rPr>
          <w:rFonts w:hint="eastAsia" w:ascii="宋体" w:hAnsi="宋体" w:eastAsia="宋体"/>
          <w:bCs/>
          <w:szCs w:val="21"/>
        </w:rPr>
      </w:pPr>
      <w:r>
        <w:rPr>
          <w:rFonts w:hint="eastAsia" w:ascii="宋体" w:hAnsi="宋体" w:eastAsia="宋体"/>
          <w:bCs/>
          <w:szCs w:val="21"/>
        </w:rPr>
        <w:t>（</w:t>
      </w:r>
      <w:r>
        <w:rPr>
          <w:rFonts w:ascii="宋体" w:hAnsi="宋体" w:eastAsia="宋体"/>
          <w:bCs/>
          <w:szCs w:val="21"/>
        </w:rPr>
        <w:t>3</w:t>
      </w:r>
      <w:r>
        <w:rPr>
          <w:rFonts w:hint="eastAsia" w:ascii="宋体" w:hAnsi="宋体" w:eastAsia="宋体"/>
          <w:bCs/>
          <w:szCs w:val="21"/>
        </w:rPr>
        <w:t xml:space="preserve">）本项目结算总价按照上述合同价格调整的相关条款进行计算，并经造价咨询单位的审计，以审定结果为准。 </w:t>
      </w:r>
    </w:p>
    <w:p w14:paraId="555D9217">
      <w:pPr>
        <w:widowControl/>
        <w:spacing w:line="440" w:lineRule="exact"/>
        <w:jc w:val="left"/>
        <w:rPr>
          <w:rFonts w:hint="eastAsia" w:ascii="宋体" w:hAnsi="宋体" w:eastAsia="宋体" w:cs="宋体"/>
          <w:bCs/>
          <w:szCs w:val="21"/>
        </w:rPr>
      </w:pPr>
      <w:r>
        <w:rPr>
          <w:rFonts w:hint="eastAsia" w:ascii="宋体" w:hAnsi="宋体" w:eastAsia="宋体"/>
          <w:szCs w:val="21"/>
        </w:rPr>
        <w:t>（</w:t>
      </w:r>
      <w:r>
        <w:rPr>
          <w:rFonts w:ascii="宋体" w:hAnsi="宋体" w:eastAsia="宋体"/>
          <w:szCs w:val="21"/>
        </w:rPr>
        <w:t>4</w:t>
      </w:r>
      <w:r>
        <w:rPr>
          <w:rFonts w:hint="eastAsia" w:ascii="宋体" w:hAnsi="宋体" w:eastAsia="宋体"/>
          <w:szCs w:val="21"/>
        </w:rPr>
        <w:t>）</w:t>
      </w:r>
      <w:r>
        <w:rPr>
          <w:rFonts w:hint="eastAsia" w:ascii="宋体" w:hAnsi="宋体" w:eastAsia="宋体" w:cs="宋体"/>
          <w:bCs/>
          <w:kern w:val="0"/>
          <w:szCs w:val="21"/>
          <w:lang w:bidi="ar"/>
        </w:rPr>
        <w:t xml:space="preserve">一旦双方对竣工结算审计报告进行了确认，则视为：双方一致同意该结算书的结算价款，工程涉及到的所有费用（包括但不限于本工程可能存在其他工程价款、工程变更价款、合同价款调整、工程索赔款等）已经包括在上述结算金额之中，承包人不再向发包人主张任何费用。 </w:t>
      </w:r>
    </w:p>
    <w:p w14:paraId="4F15148B">
      <w:pPr>
        <w:widowControl/>
        <w:spacing w:line="440" w:lineRule="exact"/>
        <w:jc w:val="left"/>
        <w:rPr>
          <w:rFonts w:hint="eastAsia" w:ascii="宋体" w:hAnsi="宋体" w:eastAsia="宋体" w:cs="宋体"/>
          <w:bCs/>
          <w:kern w:val="0"/>
          <w:szCs w:val="21"/>
          <w:lang w:bidi="ar"/>
        </w:rPr>
      </w:pPr>
      <w:r>
        <w:rPr>
          <w:rFonts w:hint="eastAsia" w:ascii="宋体" w:hAnsi="宋体" w:eastAsia="宋体" w:cs="宋体"/>
          <w:bCs/>
          <w:kern w:val="0"/>
          <w:szCs w:val="21"/>
          <w:lang w:bidi="ar"/>
        </w:rPr>
        <w:t>（5）承包人在工程结（决）算审计过程中不按规定及时报送相关资料、对审计工作不配合的，或报送的工程结算、竣工资料中出现相互矛盾、冲突，影响工程结算审计工作，承包人承担相应责任。</w:t>
      </w:r>
    </w:p>
    <w:p w14:paraId="5980412C">
      <w:pPr>
        <w:keepNext/>
        <w:keepLines/>
        <w:spacing w:before="120" w:beforeLines="50" w:line="440" w:lineRule="exact"/>
        <w:outlineLvl w:val="0"/>
        <w:rPr>
          <w:rFonts w:ascii="黑体" w:hAnsi="黑体" w:eastAsia="黑体"/>
        </w:rPr>
      </w:pPr>
      <w:r>
        <w:rPr>
          <w:rFonts w:ascii="黑体" w:hAnsi="黑体" w:eastAsia="黑体"/>
        </w:rPr>
        <w:t>17.6 最终结清</w:t>
      </w:r>
    </w:p>
    <w:p w14:paraId="1CED818A">
      <w:pPr>
        <w:spacing w:line="440" w:lineRule="exact"/>
        <w:ind w:right="248"/>
        <w:rPr>
          <w:rFonts w:eastAsia="宋体" w:cs="Times New Roman"/>
          <w:szCs w:val="21"/>
        </w:rPr>
      </w:pPr>
      <w:r>
        <w:rPr>
          <w:rFonts w:eastAsia="宋体" w:cs="Times New Roman"/>
          <w:szCs w:val="21"/>
        </w:rPr>
        <w:t>17.6.1  最终结清申请单</w:t>
      </w:r>
    </w:p>
    <w:p w14:paraId="04FFBF8C">
      <w:pPr>
        <w:spacing w:line="440" w:lineRule="exact"/>
        <w:ind w:right="248"/>
        <w:rPr>
          <w:rFonts w:hint="default" w:hAnsi="Calibri" w:eastAsia="宋体" w:cs="Times New Roman"/>
          <w:szCs w:val="21"/>
        </w:rPr>
      </w:pPr>
      <w:r>
        <w:rPr>
          <w:rFonts w:hAnsi="Calibri" w:eastAsia="宋体" w:cs="Times New Roman"/>
          <w:szCs w:val="21"/>
        </w:rPr>
        <w:t>最终结清申请单提交的份数及期限：缺陷责任期终止证书签发后</w:t>
      </w:r>
      <w:r>
        <w:rPr>
          <w:rFonts w:hint="default" w:hAnsi="Calibri" w:eastAsia="宋体" w:cs="Times New Roman"/>
          <w:szCs w:val="21"/>
        </w:rPr>
        <w:t>15日内</w:t>
      </w:r>
      <w:r>
        <w:rPr>
          <w:rFonts w:hAnsi="Calibri" w:eastAsia="宋体" w:cs="Times New Roman"/>
          <w:szCs w:val="21"/>
        </w:rPr>
        <w:t>，承包人向监理人</w:t>
      </w:r>
      <w:r>
        <w:rPr>
          <w:rFonts w:hint="default" w:hAnsi="Calibri" w:eastAsia="宋体" w:cs="Times New Roman"/>
          <w:szCs w:val="21"/>
        </w:rPr>
        <w:t>和发包人</w:t>
      </w:r>
      <w:r>
        <w:rPr>
          <w:rFonts w:hAnsi="Calibri" w:eastAsia="宋体" w:cs="Times New Roman"/>
          <w:szCs w:val="21"/>
        </w:rPr>
        <w:t>提交最终结清申请单</w:t>
      </w:r>
      <w:r>
        <w:rPr>
          <w:rFonts w:hint="default" w:hAnsi="Calibri" w:eastAsia="宋体" w:cs="Times New Roman"/>
          <w:szCs w:val="21"/>
        </w:rPr>
        <w:t>3份</w:t>
      </w:r>
      <w:r>
        <w:rPr>
          <w:rFonts w:hAnsi="Calibri" w:eastAsia="宋体" w:cs="Times New Roman"/>
          <w:szCs w:val="21"/>
        </w:rPr>
        <w:t>，并提供相关证明材料</w:t>
      </w:r>
      <w:r>
        <w:rPr>
          <w:rFonts w:hint="default" w:hAnsi="Calibri" w:eastAsia="宋体" w:cs="Times New Roman"/>
          <w:szCs w:val="21"/>
        </w:rPr>
        <w:t>。</w:t>
      </w:r>
    </w:p>
    <w:p w14:paraId="1765B023">
      <w:pPr>
        <w:spacing w:line="440" w:lineRule="exact"/>
        <w:ind w:right="248"/>
        <w:jc w:val="left"/>
        <w:rPr>
          <w:rFonts w:hint="default" w:hAnsi="宋体" w:eastAsia="宋体" w:cs="Times New Roman"/>
          <w:highlight w:val="none"/>
        </w:rPr>
      </w:pPr>
      <w:r>
        <w:rPr>
          <w:rFonts w:hint="default" w:eastAsia="宋体" w:cs="Times New Roman"/>
          <w:color w:val="000000"/>
          <w:szCs w:val="21"/>
          <w:highlight w:val="none"/>
          <w:lang w:val="en-US" w:eastAsia="zh-CN"/>
        </w:rPr>
        <w:t>17.6.2</w:t>
      </w:r>
      <w:r>
        <w:rPr>
          <w:rFonts w:hint="default" w:eastAsia="宋体" w:cs="Times New Roman"/>
          <w:color w:val="000000"/>
          <w:szCs w:val="21"/>
          <w:highlight w:val="none"/>
        </w:rPr>
        <w:t>发承包双方完成最终结清后，若政府审计部门对项目进行审计的，承包人承诺配合发包人完成审计工作。双方同意，若政府审计部门出具的审计报告载明的审计结论对最终结清金额提出审减结论，则承包人应在收到发包人书面通知之日起30日内，将审减金额一次性退还至发包人指定账户。</w:t>
      </w:r>
    </w:p>
    <w:p w14:paraId="446B80B2">
      <w:pPr>
        <w:keepNext/>
        <w:keepLines/>
        <w:numPr>
          <w:ilvl w:val="0"/>
          <w:numId w:val="8"/>
        </w:numPr>
        <w:spacing w:before="48" w:beforeLines="20" w:line="440" w:lineRule="exact"/>
        <w:outlineLvl w:val="0"/>
        <w:rPr>
          <w:rFonts w:ascii="Arial" w:hAnsi="Arial" w:eastAsia="黑体"/>
          <w:b/>
          <w:bCs w:val="0"/>
          <w:sz w:val="24"/>
          <w:szCs w:val="32"/>
        </w:rPr>
      </w:pPr>
      <w:r>
        <w:rPr>
          <w:rFonts w:ascii="Arial" w:hAnsi="Arial" w:eastAsia="黑体"/>
          <w:b/>
          <w:bCs w:val="0"/>
          <w:sz w:val="24"/>
          <w:szCs w:val="32"/>
        </w:rPr>
        <w:t>竣工试验和竣工验收</w:t>
      </w:r>
    </w:p>
    <w:p w14:paraId="0F72E976">
      <w:pPr>
        <w:keepNext w:val="0"/>
        <w:keepLines w:val="0"/>
        <w:widowControl/>
        <w:spacing w:before="0" w:beforeLines="0" w:line="440" w:lineRule="exact"/>
        <w:jc w:val="left"/>
        <w:outlineLvl w:val="9"/>
        <w:rPr>
          <w:rFonts w:ascii="宋体" w:hAnsi="宋体" w:eastAsia="宋体" w:cs="Times New Roman"/>
          <w:b w:val="0"/>
          <w:bCs w:val="0"/>
          <w:sz w:val="21"/>
          <w:szCs w:val="21"/>
          <w:lang w:bidi="ar"/>
        </w:rPr>
      </w:pPr>
      <w:r>
        <w:rPr>
          <w:rFonts w:ascii="宋体" w:hAnsi="宋体" w:eastAsia="宋体" w:cs="Times New Roman"/>
          <w:b w:val="0"/>
          <w:bCs w:val="0"/>
          <w:sz w:val="21"/>
          <w:szCs w:val="21"/>
          <w:lang w:bidi="ar"/>
        </w:rPr>
        <w:t>本款增加第18.1.5项：</w:t>
      </w:r>
    </w:p>
    <w:p w14:paraId="5B349BB1">
      <w:pPr>
        <w:keepNext w:val="0"/>
        <w:keepLines w:val="0"/>
        <w:widowControl/>
        <w:spacing w:before="0" w:beforeLines="0" w:line="440" w:lineRule="exact"/>
        <w:jc w:val="left"/>
        <w:outlineLvl w:val="9"/>
        <w:rPr>
          <w:rFonts w:ascii="宋体" w:hAnsi="宋体" w:eastAsia="宋体" w:cs="Times New Roman"/>
          <w:b w:val="0"/>
          <w:bCs w:val="0"/>
          <w:sz w:val="21"/>
          <w:szCs w:val="21"/>
          <w:lang w:bidi="ar"/>
        </w:rPr>
      </w:pPr>
      <w:r>
        <w:rPr>
          <w:rFonts w:ascii="宋体" w:hAnsi="宋体" w:eastAsia="宋体" w:cs="Times New Roman"/>
          <w:b w:val="0"/>
          <w:bCs w:val="0"/>
          <w:sz w:val="21"/>
          <w:szCs w:val="21"/>
          <w:lang w:bidi="ar"/>
        </w:rPr>
        <w:t>18.1.5 竣工验收和交工验收按交通运输部《公路工程竣（交）工验收办法》和《公路工程竣交工验收办法实施细则》等相关规定执行。</w:t>
      </w:r>
    </w:p>
    <w:p w14:paraId="3185CCAB">
      <w:pPr>
        <w:keepNext w:val="0"/>
        <w:keepLines w:val="0"/>
        <w:widowControl/>
        <w:spacing w:before="0" w:beforeLines="0" w:line="440" w:lineRule="exact"/>
        <w:jc w:val="left"/>
        <w:outlineLvl w:val="9"/>
        <w:rPr>
          <w:rFonts w:ascii="宋体" w:hAnsi="宋体" w:eastAsia="宋体" w:cs="Times New Roman"/>
          <w:b w:val="0"/>
          <w:bCs w:val="0"/>
          <w:sz w:val="21"/>
          <w:szCs w:val="21"/>
          <w:lang w:bidi="ar"/>
        </w:rPr>
      </w:pPr>
      <w:r>
        <w:rPr>
          <w:rFonts w:ascii="宋体" w:hAnsi="宋体" w:eastAsia="宋体" w:cs="Times New Roman"/>
          <w:b w:val="0"/>
          <w:bCs w:val="0"/>
          <w:sz w:val="21"/>
          <w:szCs w:val="21"/>
          <w:lang w:bidi="ar"/>
        </w:rPr>
        <w:t>18.3.2项补充：</w:t>
      </w:r>
    </w:p>
    <w:p w14:paraId="781BAF29">
      <w:pPr>
        <w:keepNext w:val="0"/>
        <w:keepLines w:val="0"/>
        <w:widowControl/>
        <w:spacing w:before="0" w:beforeLines="0" w:line="440" w:lineRule="exact"/>
        <w:jc w:val="left"/>
        <w:outlineLvl w:val="9"/>
        <w:rPr>
          <w:rFonts w:ascii="宋体" w:hAnsi="宋体" w:eastAsia="宋体" w:cs="Times New Roman"/>
          <w:b w:val="0"/>
          <w:bCs w:val="0"/>
          <w:sz w:val="21"/>
          <w:szCs w:val="21"/>
          <w:lang w:bidi="ar"/>
        </w:rPr>
      </w:pPr>
      <w:r>
        <w:rPr>
          <w:rFonts w:ascii="宋体" w:hAnsi="宋体" w:eastAsia="宋体" w:cs="Times New Roman"/>
          <w:b w:val="0"/>
          <w:bCs w:val="0"/>
          <w:sz w:val="21"/>
          <w:szCs w:val="21"/>
          <w:lang w:bidi="ar"/>
        </w:rPr>
        <w:t>交工验收由发包人主持，由发包人、监理人、质监、设计、施工、运营、管理养护等有关部门代表组成交工验收委员会，对本项目的工程质量进行评定，并写出交工验收报告报交通主管部门备案。承包人应按发包人的要求提交交工资料，完成交工验收准备工作。</w:t>
      </w:r>
    </w:p>
    <w:p w14:paraId="4EF7012D">
      <w:pPr>
        <w:keepNext w:val="0"/>
        <w:keepLines w:val="0"/>
        <w:widowControl/>
        <w:spacing w:before="0" w:beforeLines="0" w:line="440" w:lineRule="exact"/>
        <w:jc w:val="left"/>
        <w:outlineLvl w:val="9"/>
        <w:rPr>
          <w:rFonts w:ascii="宋体" w:hAnsi="宋体" w:eastAsia="宋体" w:cs="Times New Roman"/>
          <w:b w:val="0"/>
          <w:bCs w:val="0"/>
          <w:sz w:val="21"/>
          <w:szCs w:val="21"/>
          <w:lang w:bidi="ar"/>
        </w:rPr>
      </w:pPr>
      <w:r>
        <w:rPr>
          <w:rFonts w:ascii="宋体" w:hAnsi="宋体" w:eastAsia="宋体" w:cs="Times New Roman"/>
          <w:b w:val="0"/>
          <w:bCs w:val="0"/>
          <w:sz w:val="21"/>
          <w:szCs w:val="21"/>
          <w:lang w:bidi="ar"/>
        </w:rPr>
        <w:t>18.3.5项约定为：</w:t>
      </w:r>
    </w:p>
    <w:p w14:paraId="31ACF65E">
      <w:pPr>
        <w:keepNext w:val="0"/>
        <w:keepLines w:val="0"/>
        <w:widowControl/>
        <w:spacing w:before="0" w:beforeLines="0" w:line="440" w:lineRule="exact"/>
        <w:jc w:val="left"/>
        <w:outlineLvl w:val="9"/>
        <w:rPr>
          <w:rFonts w:ascii="宋体" w:hAnsi="宋体" w:eastAsia="宋体" w:cs="Times New Roman"/>
          <w:b w:val="0"/>
          <w:bCs w:val="0"/>
          <w:sz w:val="21"/>
          <w:szCs w:val="21"/>
          <w:lang w:bidi="ar"/>
        </w:rPr>
      </w:pPr>
      <w:r>
        <w:rPr>
          <w:rFonts w:ascii="宋体" w:hAnsi="宋体" w:eastAsia="宋体" w:cs="Times New Roman"/>
          <w:b w:val="0"/>
          <w:bCs w:val="0"/>
          <w:sz w:val="21"/>
          <w:szCs w:val="21"/>
          <w:lang w:bidi="ar"/>
        </w:rPr>
        <w:t>经验收合格工程的实际交工日期，以最终提交交工验收申请报告的日期为准，并在工程接收证书中写明。</w:t>
      </w:r>
    </w:p>
    <w:p w14:paraId="4C881182">
      <w:pPr>
        <w:keepNext w:val="0"/>
        <w:keepLines w:val="0"/>
        <w:widowControl/>
        <w:spacing w:before="0" w:beforeLines="0" w:line="440" w:lineRule="exact"/>
        <w:jc w:val="left"/>
        <w:outlineLvl w:val="9"/>
        <w:rPr>
          <w:rFonts w:ascii="宋体" w:hAnsi="宋体" w:eastAsia="宋体" w:cs="Times New Roman"/>
          <w:b w:val="0"/>
          <w:bCs w:val="0"/>
          <w:sz w:val="21"/>
          <w:szCs w:val="21"/>
          <w:lang w:bidi="ar"/>
        </w:rPr>
      </w:pPr>
      <w:r>
        <w:rPr>
          <w:rFonts w:ascii="宋体" w:hAnsi="宋体" w:eastAsia="宋体" w:cs="Times New Roman"/>
          <w:b w:val="0"/>
          <w:bCs w:val="0"/>
          <w:sz w:val="21"/>
          <w:szCs w:val="21"/>
          <w:lang w:bidi="ar"/>
        </w:rPr>
        <w:t>本款增加第18.3.7项：</w:t>
      </w:r>
    </w:p>
    <w:p w14:paraId="5433AB46">
      <w:pPr>
        <w:keepNext w:val="0"/>
        <w:keepLines w:val="0"/>
        <w:widowControl/>
        <w:spacing w:before="0" w:beforeLines="0" w:line="440" w:lineRule="exact"/>
        <w:jc w:val="left"/>
        <w:outlineLvl w:val="9"/>
        <w:rPr>
          <w:rFonts w:ascii="宋体" w:hAnsi="宋体" w:eastAsia="宋体" w:cs="Times New Roman"/>
          <w:b w:val="0"/>
          <w:bCs w:val="0"/>
          <w:sz w:val="21"/>
          <w:szCs w:val="21"/>
          <w:lang w:bidi="ar"/>
        </w:rPr>
      </w:pPr>
      <w:r>
        <w:rPr>
          <w:rFonts w:ascii="宋体" w:hAnsi="宋体" w:eastAsia="宋体" w:cs="Times New Roman"/>
          <w:b w:val="0"/>
          <w:bCs w:val="0"/>
          <w:sz w:val="21"/>
          <w:szCs w:val="21"/>
          <w:lang w:bidi="ar"/>
        </w:rPr>
        <w:t>交工验收工作所需的费用由相应的承包人承担。整个建设项目竣（交）工验收期间质量监督机构进行工程质量检测所需的费用由发包人承担。</w:t>
      </w:r>
    </w:p>
    <w:p w14:paraId="4B429BAC">
      <w:pPr>
        <w:spacing w:line="400" w:lineRule="atLeast"/>
        <w:rPr>
          <w:rFonts w:ascii="Times New Roman" w:hAnsi="Times New Roman" w:eastAsia="宋体" w:cs="Times New Roman"/>
          <w:b/>
          <w:color w:val="000000"/>
          <w:sz w:val="24"/>
          <w:highlight w:val="none"/>
        </w:rPr>
      </w:pPr>
      <w:r>
        <w:rPr>
          <w:rFonts w:hint="default" w:ascii="Times New Roman" w:hAnsi="Times New Roman" w:eastAsia="宋体" w:cs="Times New Roman"/>
          <w:b/>
          <w:color w:val="000000"/>
          <w:sz w:val="24"/>
          <w:highlight w:val="none"/>
        </w:rPr>
        <w:t>19. 缺陷责任</w:t>
      </w:r>
      <w:r>
        <w:rPr>
          <w:rFonts w:ascii="Times New Roman" w:hAnsi="Times New Roman" w:eastAsia="宋体" w:cs="Times New Roman"/>
          <w:b/>
          <w:color w:val="000000"/>
          <w:sz w:val="24"/>
          <w:highlight w:val="none"/>
        </w:rPr>
        <w:t>与保修责任</w:t>
      </w:r>
    </w:p>
    <w:p w14:paraId="145F70A2">
      <w:pPr>
        <w:spacing w:line="400" w:lineRule="atLeast"/>
        <w:ind w:firstLine="482" w:firstLineChars="200"/>
        <w:rPr>
          <w:rFonts w:ascii="Times New Roman" w:hAnsi="Times New Roman" w:eastAsia="宋体" w:cs="Times New Roman"/>
          <w:b/>
          <w:color w:val="000000"/>
          <w:sz w:val="24"/>
          <w:highlight w:val="none"/>
        </w:rPr>
      </w:pPr>
      <w:r>
        <w:rPr>
          <w:rFonts w:hint="default" w:ascii="Times New Roman" w:hAnsi="Times New Roman" w:eastAsia="宋体" w:cs="Times New Roman"/>
          <w:b/>
          <w:color w:val="000000"/>
          <w:sz w:val="24"/>
          <w:highlight w:val="none"/>
        </w:rPr>
        <w:t>19.1缺陷责任期的起算时间</w:t>
      </w:r>
    </w:p>
    <w:p w14:paraId="28B9D1B8">
      <w:pPr>
        <w:widowControl/>
        <w:spacing w:line="440" w:lineRule="exact"/>
        <w:ind w:firstLine="0" w:firstLineChars="0"/>
        <w:jc w:val="left"/>
        <w:outlineLvl w:val="9"/>
        <w:rPr>
          <w:rFonts w:ascii="宋体" w:hAnsi="宋体" w:eastAsia="宋体" w:cs="Times New Roman"/>
          <w:b w:val="0"/>
          <w:color w:val="000000"/>
          <w:sz w:val="21"/>
          <w:szCs w:val="21"/>
          <w:highlight w:val="none"/>
          <w:lang w:bidi="ar"/>
        </w:rPr>
      </w:pPr>
      <w:r>
        <w:rPr>
          <w:rFonts w:hint="default" w:ascii="宋体" w:hAnsi="宋体" w:eastAsia="宋体" w:cs="Times New Roman"/>
          <w:color w:val="000000"/>
          <w:sz w:val="21"/>
          <w:szCs w:val="21"/>
          <w:highlight w:val="none"/>
          <w:lang w:bidi="ar"/>
        </w:rPr>
        <w:t>本款补充</w:t>
      </w:r>
      <w:r>
        <w:rPr>
          <w:rFonts w:ascii="宋体" w:hAnsi="宋体" w:eastAsia="宋体" w:cs="Times New Roman"/>
          <w:b w:val="0"/>
          <w:color w:val="000000"/>
          <w:sz w:val="21"/>
          <w:szCs w:val="21"/>
          <w:highlight w:val="none"/>
          <w:lang w:bidi="ar"/>
        </w:rPr>
        <w:t>：</w:t>
      </w:r>
    </w:p>
    <w:p w14:paraId="40033F76">
      <w:pPr>
        <w:widowControl/>
        <w:spacing w:line="440" w:lineRule="exact"/>
        <w:ind w:firstLine="0" w:firstLineChars="0"/>
        <w:jc w:val="left"/>
        <w:rPr>
          <w:rFonts w:ascii="Times New Roman" w:hAnsi="Times New Roman" w:eastAsia="宋体" w:cs="Times New Roman"/>
          <w:color w:val="000000"/>
          <w:sz w:val="24"/>
          <w:highlight w:val="none"/>
        </w:rPr>
      </w:pPr>
      <w:r>
        <w:rPr>
          <w:rFonts w:ascii="宋体" w:hAnsi="宋体" w:eastAsia="宋体" w:cs="Times New Roman"/>
          <w:color w:val="000000"/>
          <w:sz w:val="21"/>
          <w:szCs w:val="21"/>
          <w:highlight w:val="none"/>
          <w:lang w:bidi="ar"/>
        </w:rPr>
        <w:t>缺陷责任期</w:t>
      </w:r>
      <w:r>
        <w:rPr>
          <w:rFonts w:hint="default" w:ascii="宋体" w:hAnsi="宋体" w:eastAsia="宋体" w:cs="Times New Roman"/>
          <w:color w:val="000000"/>
          <w:sz w:val="21"/>
          <w:szCs w:val="21"/>
          <w:highlight w:val="none"/>
          <w:lang w:bidi="ar"/>
        </w:rPr>
        <w:t>为项目通过交工验收后24个月。</w:t>
      </w:r>
    </w:p>
    <w:p w14:paraId="1F1A32E7">
      <w:pPr>
        <w:spacing w:line="400" w:lineRule="atLeast"/>
        <w:ind w:firstLine="482" w:firstLineChars="200"/>
        <w:rPr>
          <w:rFonts w:ascii="Times New Roman" w:hAnsi="Times New Roman" w:eastAsia="宋体" w:cs="Times New Roman"/>
          <w:b/>
          <w:color w:val="000000"/>
          <w:sz w:val="24"/>
          <w:highlight w:val="none"/>
        </w:rPr>
      </w:pPr>
      <w:r>
        <w:rPr>
          <w:rFonts w:hint="default" w:ascii="Times New Roman" w:hAnsi="Times New Roman" w:eastAsia="宋体" w:cs="Times New Roman"/>
          <w:b/>
          <w:color w:val="000000"/>
          <w:sz w:val="24"/>
          <w:highlight w:val="none"/>
        </w:rPr>
        <w:t>19.2缺陷责任</w:t>
      </w:r>
    </w:p>
    <w:p w14:paraId="48276FDA">
      <w:pPr>
        <w:widowControl/>
        <w:spacing w:line="440" w:lineRule="exact"/>
        <w:ind w:firstLine="0" w:firstLineChars="0"/>
        <w:jc w:val="left"/>
        <w:outlineLvl w:val="9"/>
        <w:rPr>
          <w:rFonts w:hint="default" w:ascii="宋体" w:hAnsi="宋体" w:eastAsia="宋体" w:cs="Times New Roman"/>
          <w:sz w:val="21"/>
          <w:szCs w:val="21"/>
          <w:highlight w:val="none"/>
          <w:lang w:bidi="ar"/>
        </w:rPr>
      </w:pPr>
      <w:r>
        <w:rPr>
          <w:rFonts w:hint="default" w:ascii="宋体" w:hAnsi="宋体" w:eastAsia="宋体" w:cs="Times New Roman"/>
          <w:sz w:val="21"/>
          <w:szCs w:val="21"/>
          <w:highlight w:val="none"/>
          <w:lang w:bidi="ar"/>
        </w:rPr>
        <w:t>第</w:t>
      </w:r>
      <w:r>
        <w:rPr>
          <w:rFonts w:ascii="宋体" w:hAnsi="宋体" w:eastAsia="宋体" w:cs="Times New Roman"/>
          <w:sz w:val="21"/>
          <w:szCs w:val="21"/>
          <w:highlight w:val="none"/>
          <w:lang w:bidi="ar"/>
        </w:rPr>
        <w:t>19.2.</w:t>
      </w:r>
      <w:r>
        <w:rPr>
          <w:rFonts w:hint="default" w:ascii="宋体" w:hAnsi="宋体" w:eastAsia="宋体" w:cs="Times New Roman"/>
          <w:sz w:val="21"/>
          <w:szCs w:val="21"/>
          <w:highlight w:val="none"/>
          <w:lang w:bidi="ar"/>
        </w:rPr>
        <w:t>1</w:t>
      </w:r>
      <w:r>
        <w:rPr>
          <w:rFonts w:ascii="宋体" w:hAnsi="宋体" w:eastAsia="宋体" w:cs="Times New Roman"/>
          <w:sz w:val="21"/>
          <w:szCs w:val="21"/>
          <w:highlight w:val="none"/>
          <w:lang w:bidi="ar"/>
        </w:rPr>
        <w:t>项</w:t>
      </w:r>
      <w:r>
        <w:rPr>
          <w:rFonts w:hint="default" w:ascii="宋体" w:hAnsi="宋体" w:eastAsia="宋体" w:cs="Times New Roman"/>
          <w:sz w:val="21"/>
          <w:szCs w:val="21"/>
          <w:highlight w:val="none"/>
          <w:lang w:bidi="ar"/>
        </w:rPr>
        <w:t>修改为：</w:t>
      </w:r>
    </w:p>
    <w:p w14:paraId="3562081F">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关于缺陷责任期的缺陷修复，如果承包人不履行缺陷修复义务的，将由发包人通过竞争性方式选择具有相应资质的养护单位承担(发包人另有通知的除外)缺陷责任期缺陷修复工作，相关费用由承包人承担，并委托发包人从其未支付的合同款中扣除或质量保证金支取，未支付的合同款不足以支付的，由承包人支付超额部分费用。该项修复工作的委托并不免除承包人应承担的质量和结构安全责任。缺陷责任期内若承包人有不履约缺陷修复义务和责任、不及时进场完成缺陷修复工作等行为，则承包人应承担由于违约造成的法律后果，并由发包人将其违约行为上报省级交通主管部门。</w:t>
      </w:r>
    </w:p>
    <w:p w14:paraId="44BEC4DA">
      <w:pPr>
        <w:widowControl/>
        <w:spacing w:line="440" w:lineRule="exact"/>
        <w:ind w:firstLine="0" w:firstLineChars="0"/>
        <w:jc w:val="left"/>
        <w:outlineLvl w:val="9"/>
        <w:rPr>
          <w:rFonts w:ascii="宋体" w:hAnsi="宋体" w:eastAsia="宋体" w:cs="Times New Roman"/>
          <w:sz w:val="21"/>
          <w:szCs w:val="21"/>
          <w:highlight w:val="none"/>
          <w:lang w:bidi="ar"/>
        </w:rPr>
      </w:pPr>
      <w:r>
        <w:rPr>
          <w:rFonts w:hint="default" w:ascii="宋体" w:hAnsi="宋体" w:eastAsia="宋体" w:cs="Times New Roman"/>
          <w:color w:val="000000"/>
          <w:sz w:val="21"/>
          <w:szCs w:val="21"/>
          <w:highlight w:val="none"/>
          <w:lang w:bidi="ar"/>
        </w:rPr>
        <w:t>承包人实施和完成本合同工程及缺陷修复工程中的一切施工作业，应不影响当地道路的使用或其他交通设施的使用，如果发生上述情况（如交通阻塞等），并由此导致的损失，应由承包人依法承担。同时，承包人应当</w:t>
      </w:r>
      <w:r>
        <w:rPr>
          <w:rFonts w:ascii="宋体" w:hAnsi="宋体" w:eastAsia="宋体" w:cs="Times New Roman"/>
          <w:color w:val="000000"/>
          <w:sz w:val="21"/>
          <w:szCs w:val="21"/>
          <w:highlight w:val="none"/>
          <w:lang w:bidi="ar"/>
        </w:rPr>
        <w:t>按法律规定依法办理</w:t>
      </w:r>
      <w:r>
        <w:rPr>
          <w:rFonts w:hint="default" w:ascii="宋体" w:hAnsi="宋体" w:eastAsia="宋体" w:cs="Times New Roman"/>
          <w:color w:val="000000"/>
          <w:sz w:val="21"/>
          <w:szCs w:val="21"/>
          <w:highlight w:val="none"/>
          <w:lang w:bidi="ar"/>
        </w:rPr>
        <w:t>相</w:t>
      </w:r>
      <w:r>
        <w:rPr>
          <w:rFonts w:ascii="宋体" w:hAnsi="宋体" w:eastAsia="宋体" w:cs="Times New Roman"/>
          <w:color w:val="000000"/>
          <w:sz w:val="21"/>
          <w:szCs w:val="21"/>
          <w:highlight w:val="none"/>
          <w:lang w:bidi="ar"/>
        </w:rPr>
        <w:t>关手续</w:t>
      </w:r>
      <w:r>
        <w:rPr>
          <w:rFonts w:hint="default" w:ascii="宋体" w:hAnsi="宋体" w:eastAsia="宋体" w:cs="Times New Roman"/>
          <w:color w:val="000000"/>
          <w:sz w:val="21"/>
          <w:szCs w:val="21"/>
          <w:highlight w:val="none"/>
          <w:lang w:bidi="ar"/>
        </w:rPr>
        <w:t>。</w:t>
      </w:r>
    </w:p>
    <w:p w14:paraId="41D9B1B1">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19.2.2项补充：</w:t>
      </w:r>
    </w:p>
    <w:p w14:paraId="7C1D4B53">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在缺陷责任期内，承包人应尽快完成在工程接收证书中写明的未完成工作，并完成对本工程缺陷的修复或监理人指令的修补工作。</w:t>
      </w:r>
    </w:p>
    <w:p w14:paraId="17E78640">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19.2.3项补充：</w:t>
      </w:r>
    </w:p>
    <w:p w14:paraId="57F80B0E">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在缺陷责任期内，下述原因造成的缺陷修复和查验费用应由承包人自行负责：</w:t>
      </w:r>
    </w:p>
    <w:p w14:paraId="2CAD02BE">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(1)承包人所用的材料、设备或操作工艺不符合合同要求；或</w:t>
      </w:r>
    </w:p>
    <w:p w14:paraId="77CD816C">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(2)承包人的疏忽或未遵守合同中对承包人规定的义务。</w:t>
      </w:r>
    </w:p>
    <w:p w14:paraId="06ED2D16">
      <w:pPr>
        <w:spacing w:line="440" w:lineRule="exact"/>
        <w:outlineLvl w:val="0"/>
        <w:rPr>
          <w:rFonts w:ascii="Times New Roman" w:hAnsi="Times New Roman" w:eastAsia="宋体" w:cs="Times New Roman"/>
          <w:sz w:val="24"/>
          <w:highlight w:val="none"/>
        </w:rPr>
      </w:pPr>
      <w:bookmarkStart w:id="308" w:name="_Toc382086616"/>
      <w:r>
        <w:rPr>
          <w:rFonts w:ascii="Times New Roman" w:hAnsi="Times New Roman" w:eastAsia="宋体" w:cs="Times New Roman"/>
          <w:sz w:val="24"/>
          <w:highlight w:val="none"/>
        </w:rPr>
        <w:t xml:space="preserve">19.3 </w:t>
      </w:r>
      <w:r>
        <w:rPr>
          <w:rFonts w:ascii="Times New Roman" w:hAnsi="Times New Roman" w:eastAsia="黑体" w:cs="Times New Roman"/>
          <w:sz w:val="24"/>
          <w:highlight w:val="none"/>
        </w:rPr>
        <w:t>缺陷责任期的延长</w:t>
      </w:r>
      <w:bookmarkEnd w:id="308"/>
    </w:p>
    <w:p w14:paraId="433109D4">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本款细化为：</w:t>
      </w:r>
    </w:p>
    <w:p w14:paraId="0C2A6A85">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由于承包人原因造成某项缺陷或损坏使某项工程或工程设备不能按原定目标使用而需要再次检查、检验和修复的，发包人有权要求承包人相应延长缺陷责任期，缺陷责任期延长</w:t>
      </w:r>
      <w:r>
        <w:rPr>
          <w:rFonts w:hint="default" w:ascii="宋体" w:hAnsi="宋体" w:eastAsia="宋体" w:cs="Times New Roman"/>
          <w:sz w:val="21"/>
          <w:szCs w:val="21"/>
          <w:highlight w:val="none"/>
          <w:lang w:val="en-US" w:eastAsia="zh-CN" w:bidi="ar"/>
        </w:rPr>
        <w:t>时间</w:t>
      </w:r>
      <w:r>
        <w:rPr>
          <w:rFonts w:ascii="宋体" w:hAnsi="宋体" w:eastAsia="宋体" w:cs="Times New Roman"/>
          <w:sz w:val="21"/>
          <w:szCs w:val="21"/>
          <w:highlight w:val="none"/>
          <w:lang w:bidi="ar"/>
        </w:rPr>
        <w:t>自该工程或工程设备修复之日起算</w:t>
      </w:r>
      <w:r>
        <w:rPr>
          <w:rFonts w:hint="default" w:ascii="宋体" w:hAnsi="宋体" w:eastAsia="宋体" w:cs="Times New Roman"/>
          <w:sz w:val="21"/>
          <w:szCs w:val="21"/>
          <w:highlight w:val="none"/>
          <w:lang w:eastAsia="zh-CN" w:bidi="ar"/>
        </w:rPr>
        <w:t>，</w:t>
      </w:r>
      <w:r>
        <w:rPr>
          <w:rFonts w:ascii="宋体" w:hAnsi="宋体" w:eastAsia="宋体" w:cs="Times New Roman"/>
          <w:sz w:val="21"/>
          <w:szCs w:val="21"/>
          <w:highlight w:val="none"/>
          <w:lang w:bidi="ar"/>
        </w:rPr>
        <w:t>最长不超过2年。</w:t>
      </w:r>
    </w:p>
    <w:p w14:paraId="425D1AEA">
      <w:pPr>
        <w:spacing w:line="440" w:lineRule="exact"/>
        <w:outlineLvl w:val="0"/>
        <w:rPr>
          <w:rFonts w:ascii="Times New Roman" w:hAnsi="Times New Roman" w:eastAsia="黑体" w:cs="Times New Roman"/>
          <w:sz w:val="24"/>
          <w:highlight w:val="none"/>
        </w:rPr>
      </w:pPr>
      <w:bookmarkStart w:id="309" w:name="_Toc382086617"/>
      <w:r>
        <w:rPr>
          <w:rFonts w:ascii="Times New Roman" w:hAnsi="Times New Roman" w:eastAsia="宋体" w:cs="Times New Roman"/>
          <w:sz w:val="24"/>
          <w:highlight w:val="none"/>
        </w:rPr>
        <w:t xml:space="preserve">19.5 </w:t>
      </w:r>
      <w:r>
        <w:rPr>
          <w:rFonts w:ascii="Times New Roman" w:hAnsi="Times New Roman" w:eastAsia="黑体" w:cs="Times New Roman"/>
          <w:sz w:val="24"/>
          <w:highlight w:val="none"/>
        </w:rPr>
        <w:t>承包人的进入权</w:t>
      </w:r>
      <w:bookmarkEnd w:id="309"/>
      <w:r>
        <w:rPr>
          <w:rFonts w:ascii="Times New Roman" w:hAnsi="Times New Roman" w:eastAsia="黑体" w:cs="Times New Roman"/>
          <w:sz w:val="24"/>
          <w:highlight w:val="none"/>
        </w:rPr>
        <w:t xml:space="preserve"> </w:t>
      </w:r>
    </w:p>
    <w:p w14:paraId="68346B0A">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本款补充：</w:t>
      </w:r>
    </w:p>
    <w:p w14:paraId="52FBC90B">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承包人在缺陷修复施工过程中，应服从管养单位的有关安全管理规定，由于承包人自身原因造成的人员伤亡、设备和材料的损毁及罚款等责任由承包人自负。</w:t>
      </w:r>
    </w:p>
    <w:p w14:paraId="55BA5DF7">
      <w:pPr>
        <w:spacing w:line="440" w:lineRule="exact"/>
        <w:outlineLvl w:val="0"/>
        <w:rPr>
          <w:rFonts w:ascii="Times New Roman" w:hAnsi="Times New Roman" w:eastAsia="宋体" w:cs="Times New Roman"/>
          <w:sz w:val="24"/>
          <w:highlight w:val="none"/>
        </w:rPr>
      </w:pPr>
      <w:bookmarkStart w:id="310" w:name="_Toc382086618"/>
      <w:r>
        <w:rPr>
          <w:rFonts w:ascii="Times New Roman" w:hAnsi="Times New Roman" w:eastAsia="宋体" w:cs="Times New Roman"/>
          <w:sz w:val="24"/>
          <w:highlight w:val="none"/>
        </w:rPr>
        <w:t xml:space="preserve">19.7 </w:t>
      </w:r>
      <w:r>
        <w:rPr>
          <w:rFonts w:ascii="Times New Roman" w:hAnsi="Times New Roman" w:eastAsia="黑体" w:cs="Times New Roman"/>
          <w:sz w:val="24"/>
          <w:highlight w:val="none"/>
        </w:rPr>
        <w:t>保修责任</w:t>
      </w:r>
      <w:bookmarkEnd w:id="310"/>
    </w:p>
    <w:p w14:paraId="420F1946">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本款细化为：</w:t>
      </w:r>
    </w:p>
    <w:p w14:paraId="3E449244">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(1)工程进入五年的保修期，承包人可不在工地留有办事人员和机械设备，但必须随时与发包人保持联系，在保修期内承包人应对由于施工质量原因造成的损坏进行修复。若承包人不履行保修义务和责任，则承包人应承担由于违约造成的法律后果。</w:t>
      </w:r>
    </w:p>
    <w:p w14:paraId="1A094593">
      <w:pPr>
        <w:widowControl/>
        <w:spacing w:line="440" w:lineRule="exact"/>
        <w:ind w:firstLine="0" w:firstLineChars="0"/>
        <w:jc w:val="left"/>
        <w:outlineLvl w:val="9"/>
        <w:rPr>
          <w:rFonts w:ascii="宋体" w:hAnsi="宋体" w:eastAsia="宋体" w:cs="Times New Roman"/>
          <w:sz w:val="21"/>
          <w:szCs w:val="21"/>
          <w:highlight w:val="none"/>
          <w:lang w:bidi="ar"/>
        </w:rPr>
      </w:pPr>
      <w:r>
        <w:rPr>
          <w:rFonts w:ascii="宋体" w:hAnsi="宋体" w:eastAsia="宋体" w:cs="Times New Roman"/>
          <w:sz w:val="21"/>
          <w:szCs w:val="21"/>
          <w:highlight w:val="none"/>
          <w:lang w:bidi="ar"/>
        </w:rPr>
        <w:t>(2)在全部工程竣工验收前，已经发包人提前验收的单位工程，其保修期的起算日期相应提前。</w:t>
      </w:r>
    </w:p>
    <w:p w14:paraId="51C2ED17">
      <w:pPr>
        <w:keepNext w:val="0"/>
        <w:keepLines w:val="0"/>
        <w:widowControl/>
        <w:spacing w:before="0" w:beforeLines="0" w:line="440" w:lineRule="exact"/>
        <w:jc w:val="left"/>
        <w:outlineLvl w:val="9"/>
        <w:rPr>
          <w:rFonts w:ascii="宋体" w:hAnsi="宋体" w:eastAsia="宋体" w:cs="Times New Roman"/>
          <w:b w:val="0"/>
          <w:bCs w:val="0"/>
          <w:sz w:val="21"/>
          <w:szCs w:val="21"/>
          <w:lang w:bidi="ar"/>
        </w:rPr>
      </w:pPr>
      <w:r>
        <w:rPr>
          <w:rFonts w:ascii="宋体" w:hAnsi="宋体" w:eastAsia="宋体" w:cs="Times New Roman"/>
          <w:sz w:val="21"/>
          <w:szCs w:val="21"/>
          <w:highlight w:val="none"/>
          <w:lang w:bidi="ar"/>
        </w:rPr>
        <w:t>(3)工程保修期终止后28天内，监理人签发保修期终止证书。</w:t>
      </w:r>
    </w:p>
    <w:p w14:paraId="3D3B1B63">
      <w:pPr>
        <w:keepNext/>
        <w:keepLines/>
        <w:spacing w:before="48" w:beforeLines="20" w:line="440" w:lineRule="exact"/>
        <w:outlineLvl w:val="0"/>
        <w:rPr>
          <w:rFonts w:ascii="Arial" w:hAnsi="Arial" w:eastAsia="黑体"/>
          <w:b/>
          <w:bCs w:val="0"/>
          <w:sz w:val="24"/>
          <w:szCs w:val="32"/>
        </w:rPr>
      </w:pPr>
      <w:r>
        <w:rPr>
          <w:rFonts w:ascii="Arial" w:hAnsi="Arial" w:eastAsia="黑体"/>
          <w:b/>
          <w:bCs w:val="0"/>
          <w:sz w:val="24"/>
          <w:szCs w:val="32"/>
        </w:rPr>
        <w:t>20. 保险</w:t>
      </w:r>
    </w:p>
    <w:p w14:paraId="36D93808">
      <w:pPr>
        <w:keepNext/>
        <w:keepLines/>
        <w:spacing w:before="120" w:beforeLines="50" w:line="440" w:lineRule="exact"/>
        <w:outlineLvl w:val="0"/>
        <w:rPr>
          <w:rFonts w:ascii="黑体" w:hAnsi="黑体" w:eastAsia="黑体"/>
        </w:rPr>
      </w:pPr>
      <w:r>
        <w:rPr>
          <w:rFonts w:ascii="黑体" w:hAnsi="黑体" w:eastAsia="黑体"/>
        </w:rPr>
        <w:t>20.1 设计和工程保险</w:t>
      </w:r>
    </w:p>
    <w:p w14:paraId="73544E8F">
      <w:pPr>
        <w:widowControl/>
        <w:spacing w:line="440" w:lineRule="exact"/>
        <w:jc w:val="left"/>
        <w:rPr>
          <w:rFonts w:ascii="宋体" w:hAnsi="宋体" w:eastAsia="宋体"/>
          <w:szCs w:val="21"/>
          <w:lang w:bidi="ar"/>
        </w:rPr>
      </w:pPr>
      <w:r>
        <w:rPr>
          <w:rFonts w:ascii="宋体" w:hAnsi="宋体" w:eastAsia="宋体"/>
          <w:szCs w:val="21"/>
        </w:rPr>
        <w:t>20.1.1 建筑工程一切险和（或）安装工程一切险投保人</w:t>
      </w:r>
      <w:r>
        <w:rPr>
          <w:rFonts w:ascii="宋体" w:hAnsi="宋体" w:eastAsia="宋体"/>
          <w:szCs w:val="21"/>
          <w:lang w:bidi="ar"/>
        </w:rPr>
        <w:t>：</w:t>
      </w:r>
      <w:r>
        <w:rPr>
          <w:rFonts w:ascii="宋体" w:hAnsi="宋体" w:eastAsia="宋体"/>
          <w:szCs w:val="21"/>
        </w:rPr>
        <w:t>承包人负责投保</w:t>
      </w:r>
      <w:r>
        <w:rPr>
          <w:rFonts w:ascii="宋体" w:hAnsi="宋体" w:eastAsia="宋体"/>
          <w:szCs w:val="21"/>
          <w:lang w:bidi="ar"/>
        </w:rPr>
        <w:t xml:space="preserve">。 </w:t>
      </w:r>
    </w:p>
    <w:p w14:paraId="36E5B1FA">
      <w:pPr>
        <w:widowControl/>
        <w:spacing w:line="440" w:lineRule="exact"/>
        <w:jc w:val="left"/>
        <w:rPr>
          <w:rFonts w:ascii="宋体" w:hAnsi="宋体" w:eastAsia="宋体"/>
          <w:szCs w:val="21"/>
        </w:rPr>
      </w:pPr>
      <w:r>
        <w:rPr>
          <w:rFonts w:ascii="宋体" w:hAnsi="宋体" w:eastAsia="宋体"/>
          <w:szCs w:val="21"/>
          <w:lang w:bidi="ar"/>
        </w:rPr>
        <w:t>投保险种、保险范围、</w:t>
      </w:r>
      <w:r>
        <w:rPr>
          <w:rFonts w:ascii="宋体" w:hAnsi="宋体" w:eastAsia="宋体"/>
          <w:szCs w:val="21"/>
        </w:rPr>
        <w:t xml:space="preserve">保险金额、保险费率和保险期限： </w:t>
      </w:r>
      <w:r>
        <w:rPr>
          <w:rFonts w:ascii="宋体" w:hAnsi="宋体" w:eastAsia="宋体"/>
          <w:szCs w:val="21"/>
          <w:lang w:bidi="ar"/>
        </w:rPr>
        <w:t>投保险种、保险范围、</w:t>
      </w:r>
      <w:r>
        <w:rPr>
          <w:rFonts w:ascii="宋体" w:hAnsi="宋体" w:eastAsia="宋体"/>
          <w:szCs w:val="21"/>
        </w:rPr>
        <w:t>保险金额、保险费率均按国家和省市相关规定执行，保险期限由开工之日起至质保期满止。</w:t>
      </w:r>
    </w:p>
    <w:p w14:paraId="06C6444E">
      <w:pPr>
        <w:widowControl/>
        <w:spacing w:line="440" w:lineRule="exact"/>
        <w:jc w:val="left"/>
        <w:rPr>
          <w:rFonts w:ascii="宋体" w:hAnsi="宋体" w:eastAsia="宋体"/>
          <w:szCs w:val="21"/>
          <w:lang w:bidi="ar"/>
        </w:rPr>
      </w:pPr>
      <w:r>
        <w:rPr>
          <w:rFonts w:ascii="宋体" w:hAnsi="宋体" w:eastAsia="宋体"/>
          <w:szCs w:val="21"/>
        </w:rPr>
        <w:t>20.1.2 第三者责任险：承包人负责投保</w:t>
      </w:r>
      <w:r>
        <w:rPr>
          <w:rFonts w:ascii="宋体" w:hAnsi="宋体" w:eastAsia="宋体"/>
          <w:szCs w:val="21"/>
          <w:lang w:bidi="ar"/>
        </w:rPr>
        <w:t xml:space="preserve">。 </w:t>
      </w:r>
    </w:p>
    <w:p w14:paraId="513D5C88">
      <w:pPr>
        <w:widowControl/>
        <w:spacing w:line="440" w:lineRule="exact"/>
        <w:jc w:val="left"/>
        <w:rPr>
          <w:rFonts w:ascii="宋体" w:hAnsi="宋体" w:eastAsia="宋体"/>
          <w:szCs w:val="21"/>
          <w:lang w:bidi="ar"/>
        </w:rPr>
      </w:pPr>
      <w:r>
        <w:rPr>
          <w:rFonts w:ascii="宋体" w:hAnsi="宋体" w:eastAsia="宋体"/>
          <w:szCs w:val="21"/>
          <w:lang w:bidi="ar"/>
        </w:rPr>
        <w:t>投保险种、保险范围、</w:t>
      </w:r>
      <w:r>
        <w:rPr>
          <w:rFonts w:ascii="宋体" w:hAnsi="宋体" w:eastAsia="宋体"/>
          <w:szCs w:val="21"/>
        </w:rPr>
        <w:t xml:space="preserve">保险金额、保险费率和保险期限： </w:t>
      </w:r>
      <w:r>
        <w:rPr>
          <w:rFonts w:ascii="宋体" w:hAnsi="宋体" w:eastAsia="宋体"/>
          <w:szCs w:val="21"/>
          <w:lang w:bidi="ar"/>
        </w:rPr>
        <w:t>投保险种、保险范围、</w:t>
      </w:r>
      <w:r>
        <w:rPr>
          <w:rFonts w:ascii="宋体" w:hAnsi="宋体" w:eastAsia="宋体"/>
          <w:szCs w:val="21"/>
        </w:rPr>
        <w:t>保险金额、保险费率均按国家和省市相关规定执行，保险期限由开工之日起至质保期满止。</w:t>
      </w:r>
    </w:p>
    <w:p w14:paraId="059C3722">
      <w:pPr>
        <w:keepNext/>
        <w:keepLines/>
        <w:spacing w:before="120" w:beforeLines="50" w:line="440" w:lineRule="exact"/>
        <w:outlineLvl w:val="0"/>
        <w:rPr>
          <w:rFonts w:ascii="黑体" w:hAnsi="黑体" w:eastAsia="黑体"/>
        </w:rPr>
      </w:pPr>
      <w:r>
        <w:rPr>
          <w:rFonts w:ascii="黑体" w:hAnsi="黑体" w:eastAsia="黑体"/>
        </w:rPr>
        <w:t>20.4 其他保险</w:t>
      </w:r>
    </w:p>
    <w:p w14:paraId="456A9B1B">
      <w:pPr>
        <w:spacing w:line="440" w:lineRule="exact"/>
        <w:rPr>
          <w:rFonts w:eastAsia="宋体"/>
        </w:rPr>
      </w:pPr>
      <w:r>
        <w:rPr>
          <w:rFonts w:eastAsia="宋体"/>
        </w:rPr>
        <w:t>需要投保的其他内容：</w:t>
      </w:r>
    </w:p>
    <w:p w14:paraId="2B0C40E6">
      <w:pPr>
        <w:spacing w:line="440" w:lineRule="exact"/>
        <w:rPr>
          <w:rFonts w:eastAsia="宋体"/>
          <w:szCs w:val="21"/>
          <w:u w:val="single"/>
        </w:rPr>
      </w:pPr>
      <w:r>
        <w:rPr>
          <w:rFonts w:eastAsia="宋体"/>
        </w:rPr>
        <w:t>保险金额、保险费率和保险期限：</w:t>
      </w:r>
    </w:p>
    <w:p w14:paraId="5F46F23A">
      <w:pPr>
        <w:keepNext/>
        <w:keepLines/>
        <w:spacing w:before="120" w:beforeLines="50" w:line="440" w:lineRule="exact"/>
        <w:outlineLvl w:val="0"/>
        <w:rPr>
          <w:rFonts w:ascii="黑体" w:hAnsi="黑体" w:eastAsia="黑体"/>
        </w:rPr>
      </w:pPr>
      <w:r>
        <w:rPr>
          <w:rFonts w:ascii="黑体" w:hAnsi="黑体" w:eastAsia="黑体"/>
        </w:rPr>
        <w:t>20.5 对各项保险的一般要求</w:t>
      </w:r>
    </w:p>
    <w:p w14:paraId="32642583">
      <w:pPr>
        <w:keepNext/>
        <w:keepLines/>
        <w:spacing w:before="120" w:beforeLines="50" w:line="440" w:lineRule="exact"/>
        <w:outlineLvl w:val="2"/>
        <w:rPr>
          <w:rFonts w:ascii="黑体" w:hAnsi="黑体" w:eastAsia="黑体"/>
        </w:rPr>
      </w:pPr>
      <w:r>
        <w:rPr>
          <w:rFonts w:ascii="黑体" w:hAnsi="黑体" w:eastAsia="黑体"/>
        </w:rPr>
        <w:t>20.5.1  保险凭证</w:t>
      </w:r>
    </w:p>
    <w:p w14:paraId="06AF4567">
      <w:pPr>
        <w:spacing w:line="440" w:lineRule="exact"/>
        <w:rPr>
          <w:rFonts w:eastAsia="宋体"/>
        </w:rPr>
      </w:pPr>
      <w:r>
        <w:rPr>
          <w:rFonts w:hint="eastAsia" w:eastAsia="宋体"/>
        </w:rPr>
        <w:t>承包人在开工（总监理工程师批准的开工报告明确的动工时间）之前7天向发包人提交各项保险生效的证据和保险单副本，保险单必须与约定的条件保持一致。</w:t>
      </w:r>
    </w:p>
    <w:p w14:paraId="41736885">
      <w:pPr>
        <w:keepNext/>
        <w:keepLines/>
        <w:spacing w:before="120" w:beforeLines="50" w:line="440" w:lineRule="exact"/>
        <w:outlineLvl w:val="2"/>
        <w:rPr>
          <w:rFonts w:ascii="黑体" w:hAnsi="黑体" w:eastAsia="黑体"/>
        </w:rPr>
      </w:pPr>
      <w:r>
        <w:rPr>
          <w:rFonts w:ascii="黑体" w:hAnsi="黑体" w:eastAsia="黑体"/>
        </w:rPr>
        <w:t>20.6.4  保险金不足的补偿</w:t>
      </w:r>
    </w:p>
    <w:p w14:paraId="5660C5FF">
      <w:pPr>
        <w:spacing w:line="440" w:lineRule="exact"/>
        <w:rPr>
          <w:rFonts w:eastAsia="宋体"/>
        </w:rPr>
      </w:pPr>
      <w:r>
        <w:rPr>
          <w:rFonts w:hint="eastAsia" w:ascii="宋体" w:hAnsi="宋体" w:eastAsia="宋体" w:cs="宋体"/>
          <w:kern w:val="0"/>
          <w:szCs w:val="21"/>
          <w:lang w:bidi="ar"/>
        </w:rPr>
        <w:t>保险金不足以补偿损失时，承包人和发包人负责补偿的责任分摊：</w:t>
      </w:r>
      <w:r>
        <w:rPr>
          <w:rFonts w:hint="eastAsia" w:ascii="宋体" w:hAnsi="宋体" w:eastAsia="宋体" w:cs="宋体"/>
          <w:kern w:val="0"/>
          <w:szCs w:val="21"/>
          <w:u w:val="single"/>
          <w:lang w:val="en-US" w:eastAsia="zh-CN" w:bidi="ar"/>
        </w:rPr>
        <w:t xml:space="preserve"> </w:t>
      </w:r>
      <w:r>
        <w:rPr>
          <w:rFonts w:hint="eastAsia" w:ascii="宋体" w:hAnsi="宋体" w:eastAsia="宋体" w:cs="宋体"/>
          <w:kern w:val="0"/>
          <w:szCs w:val="21"/>
          <w:u w:val="single"/>
          <w:lang w:bidi="ar"/>
        </w:rPr>
        <w:t>均由承包人负责</w:t>
      </w:r>
      <w:r>
        <w:rPr>
          <w:rFonts w:hint="eastAsia" w:ascii="宋体" w:hAnsi="宋体" w:eastAsia="宋体" w:cs="宋体"/>
          <w:kern w:val="0"/>
          <w:szCs w:val="21"/>
          <w:u w:val="single"/>
          <w:lang w:val="en-US" w:eastAsia="zh-CN" w:bidi="ar"/>
        </w:rPr>
        <w:t xml:space="preserve"> </w:t>
      </w:r>
      <w:r>
        <w:rPr>
          <w:rFonts w:hint="eastAsia" w:ascii="宋体" w:hAnsi="宋体" w:eastAsia="宋体" w:cs="宋体"/>
          <w:kern w:val="0"/>
          <w:szCs w:val="21"/>
          <w:lang w:bidi="ar"/>
        </w:rPr>
        <w:t>。</w:t>
      </w:r>
    </w:p>
    <w:p w14:paraId="05FF9E53">
      <w:pPr>
        <w:keepNext/>
        <w:keepLines/>
        <w:spacing w:before="48" w:beforeLines="20" w:line="440" w:lineRule="exact"/>
        <w:outlineLvl w:val="0"/>
        <w:rPr>
          <w:rFonts w:ascii="Arial" w:hAnsi="Arial" w:eastAsia="黑体"/>
          <w:b/>
          <w:bCs w:val="0"/>
          <w:sz w:val="24"/>
          <w:szCs w:val="32"/>
        </w:rPr>
      </w:pPr>
      <w:r>
        <w:rPr>
          <w:rFonts w:ascii="Arial" w:hAnsi="Arial" w:eastAsia="黑体"/>
          <w:b/>
          <w:bCs w:val="0"/>
          <w:sz w:val="24"/>
          <w:szCs w:val="32"/>
        </w:rPr>
        <w:t>21. 不可抗力</w:t>
      </w:r>
    </w:p>
    <w:p w14:paraId="622FC1BD">
      <w:pPr>
        <w:keepNext/>
        <w:keepLines/>
        <w:spacing w:before="120" w:beforeLines="50" w:line="440" w:lineRule="exact"/>
        <w:outlineLvl w:val="0"/>
        <w:rPr>
          <w:rFonts w:ascii="黑体" w:hAnsi="黑体" w:eastAsia="黑体"/>
        </w:rPr>
      </w:pPr>
      <w:r>
        <w:rPr>
          <w:rFonts w:ascii="黑体" w:hAnsi="黑体" w:eastAsia="黑体"/>
        </w:rPr>
        <w:t>21.1 不可抗力的确认</w:t>
      </w:r>
    </w:p>
    <w:p w14:paraId="76D7D640">
      <w:pPr>
        <w:spacing w:line="440" w:lineRule="exact"/>
        <w:rPr>
          <w:rFonts w:eastAsia="宋体"/>
          <w:szCs w:val="21"/>
          <w:u w:val="single"/>
        </w:rPr>
      </w:pPr>
      <w:r>
        <w:rPr>
          <w:rFonts w:eastAsia="宋体"/>
        </w:rPr>
        <w:t>21.1.1不可抗力的其他情形：</w:t>
      </w:r>
    </w:p>
    <w:p w14:paraId="2E2FC165">
      <w:pPr>
        <w:keepNext/>
        <w:keepLines/>
        <w:spacing w:before="120" w:beforeLines="50" w:line="440" w:lineRule="exact"/>
        <w:outlineLvl w:val="0"/>
        <w:rPr>
          <w:rFonts w:ascii="黑体" w:hAnsi="黑体" w:eastAsia="黑体"/>
        </w:rPr>
      </w:pPr>
      <w:r>
        <w:rPr>
          <w:rFonts w:ascii="黑体" w:hAnsi="黑体" w:eastAsia="黑体"/>
        </w:rPr>
        <w:t>21.3 不可抗力后果及其处理</w:t>
      </w:r>
    </w:p>
    <w:p w14:paraId="6D639C4A">
      <w:pPr>
        <w:spacing w:line="440" w:lineRule="exact"/>
        <w:rPr>
          <w:rFonts w:eastAsia="宋体"/>
          <w:szCs w:val="21"/>
          <w:u w:val="single"/>
        </w:rPr>
      </w:pPr>
      <w:r>
        <w:rPr>
          <w:rFonts w:eastAsia="宋体"/>
        </w:rPr>
        <w:t>21.3.1不可抗力处理的原则：</w:t>
      </w:r>
    </w:p>
    <w:p w14:paraId="1EEF7934">
      <w:pPr>
        <w:keepNext/>
        <w:keepLines/>
        <w:spacing w:before="48" w:beforeLines="20" w:line="440" w:lineRule="exact"/>
        <w:outlineLvl w:val="0"/>
        <w:rPr>
          <w:rFonts w:eastAsia="宋体"/>
          <w:b/>
          <w:bCs w:val="0"/>
          <w:sz w:val="24"/>
          <w:szCs w:val="32"/>
        </w:rPr>
      </w:pPr>
      <w:r>
        <w:rPr>
          <w:rFonts w:eastAsia="宋体"/>
          <w:b/>
          <w:bCs w:val="0"/>
          <w:sz w:val="24"/>
          <w:szCs w:val="32"/>
        </w:rPr>
        <w:t xml:space="preserve">22. </w:t>
      </w:r>
      <w:r>
        <w:rPr>
          <w:rFonts w:ascii="Arial" w:hAnsi="Arial" w:eastAsia="黑体"/>
          <w:b/>
          <w:bCs w:val="0"/>
          <w:sz w:val="24"/>
          <w:szCs w:val="32"/>
        </w:rPr>
        <w:t>违约</w:t>
      </w:r>
    </w:p>
    <w:p w14:paraId="1125E765">
      <w:pPr>
        <w:keepNext/>
        <w:keepLines/>
        <w:spacing w:before="120" w:beforeLines="50" w:line="440" w:lineRule="exact"/>
        <w:outlineLvl w:val="0"/>
        <w:rPr>
          <w:rFonts w:hint="eastAsia" w:ascii="黑体" w:hAnsi="黑体" w:eastAsia="黑体" w:cs="黑体"/>
        </w:rPr>
      </w:pPr>
      <w:r>
        <w:rPr>
          <w:rFonts w:hint="eastAsia" w:ascii="黑体" w:hAnsi="黑体" w:eastAsia="黑体" w:cs="黑体"/>
        </w:rPr>
        <w:t>22.1 承包人违约</w:t>
      </w:r>
    </w:p>
    <w:p w14:paraId="16045A12">
      <w:pPr>
        <w:widowControl w:val="0"/>
        <w:spacing w:before="120" w:after="120"/>
        <w:jc w:val="left"/>
        <w:rPr>
          <w:rFonts w:hint="eastAsia" w:ascii="黑体" w:hAnsi="黑体" w:eastAsia="黑体" w:cs="黑体"/>
          <w:b/>
          <w:bCs/>
          <w:caps/>
          <w:kern w:val="2"/>
          <w:sz w:val="21"/>
          <w:szCs w:val="21"/>
          <w:highlight w:val="none"/>
          <w:lang w:val="en-US" w:eastAsia="zh-CN" w:bidi="ar-SA"/>
        </w:rPr>
      </w:pPr>
      <w:r>
        <w:rPr>
          <w:rFonts w:hint="eastAsia" w:ascii="黑体" w:hAnsi="黑体" w:eastAsia="黑体" w:cs="黑体"/>
          <w:b/>
          <w:bCs/>
          <w:caps/>
          <w:kern w:val="2"/>
          <w:sz w:val="21"/>
          <w:szCs w:val="21"/>
          <w:highlight w:val="none"/>
          <w:lang w:val="en-US" w:eastAsia="zh-CN" w:bidi="ar-SA"/>
        </w:rPr>
        <w:t>第22.1.1项补充：</w:t>
      </w:r>
    </w:p>
    <w:p w14:paraId="39AD6B10">
      <w:pPr>
        <w:spacing w:line="440" w:lineRule="exact"/>
        <w:ind w:left="0" w:leftChars="0" w:firstLine="0" w:firstLineChars="0"/>
        <w:rPr>
          <w:rFonts w:ascii="Calibri" w:hAnsi="Calibri" w:eastAsia="宋体" w:cs="Times New Roman"/>
          <w:color w:val="000000"/>
          <w:sz w:val="21"/>
          <w:highlight w:val="none"/>
        </w:rPr>
      </w:pPr>
      <w:r>
        <w:rPr>
          <w:rFonts w:ascii="Calibri" w:hAnsi="Calibri" w:eastAsia="宋体" w:cs="Times New Roman"/>
          <w:color w:val="000000"/>
          <w:sz w:val="21"/>
          <w:highlight w:val="none"/>
        </w:rPr>
        <w:t xml:space="preserve">(10) </w:t>
      </w:r>
      <w:r>
        <w:rPr>
          <w:rFonts w:hint="default" w:ascii="Calibri" w:hAnsi="Calibri" w:eastAsia="宋体" w:cs="Times New Roman"/>
          <w:color w:val="000000"/>
          <w:sz w:val="21"/>
          <w:highlight w:val="none"/>
        </w:rPr>
        <w:t>因勘察设计深度不够、资料不足、方案缺陷等原因导致未通过发包人或交通</w:t>
      </w:r>
      <w:r>
        <w:rPr>
          <w:rFonts w:ascii="Calibri" w:hAnsi="Calibri" w:eastAsia="宋体" w:cs="Times New Roman"/>
          <w:color w:val="000000"/>
          <w:sz w:val="21"/>
          <w:highlight w:val="none"/>
        </w:rPr>
        <w:t>运输等</w:t>
      </w:r>
      <w:r>
        <w:rPr>
          <w:rFonts w:hint="default" w:ascii="Calibri" w:hAnsi="Calibri" w:eastAsia="宋体" w:cs="Times New Roman"/>
          <w:color w:val="000000"/>
          <w:sz w:val="21"/>
          <w:highlight w:val="none"/>
        </w:rPr>
        <w:t>行政</w:t>
      </w:r>
      <w:r>
        <w:rPr>
          <w:rFonts w:ascii="Calibri" w:hAnsi="Calibri" w:eastAsia="宋体" w:cs="Times New Roman"/>
          <w:color w:val="000000"/>
          <w:sz w:val="21"/>
          <w:highlight w:val="none"/>
        </w:rPr>
        <w:t>主管</w:t>
      </w:r>
      <w:r>
        <w:rPr>
          <w:rFonts w:hint="default" w:ascii="Calibri" w:hAnsi="Calibri" w:eastAsia="宋体" w:cs="Times New Roman"/>
          <w:color w:val="000000"/>
          <w:sz w:val="21"/>
          <w:highlight w:val="none"/>
        </w:rPr>
        <w:t>部门的审查、批准，或者</w:t>
      </w:r>
      <w:r>
        <w:rPr>
          <w:rFonts w:ascii="Calibri" w:hAnsi="Calibri" w:eastAsia="宋体" w:cs="Times New Roman"/>
          <w:color w:val="000000"/>
          <w:sz w:val="21"/>
          <w:highlight w:val="none"/>
        </w:rPr>
        <w:t>因勘察设计错误而造成</w:t>
      </w:r>
      <w:r>
        <w:rPr>
          <w:rFonts w:hint="default" w:ascii="Calibri" w:hAnsi="Calibri" w:eastAsia="宋体" w:cs="Times New Roman"/>
          <w:color w:val="000000"/>
          <w:sz w:val="21"/>
          <w:highlight w:val="none"/>
        </w:rPr>
        <w:t>质量、</w:t>
      </w:r>
      <w:r>
        <w:rPr>
          <w:rFonts w:ascii="Calibri" w:hAnsi="Calibri" w:eastAsia="宋体" w:cs="Times New Roman"/>
          <w:color w:val="000000"/>
          <w:sz w:val="21"/>
          <w:highlight w:val="none"/>
        </w:rPr>
        <w:t>安全等</w:t>
      </w:r>
      <w:r>
        <w:rPr>
          <w:rFonts w:hint="default" w:ascii="Calibri" w:hAnsi="Calibri" w:eastAsia="宋体" w:cs="Times New Roman"/>
          <w:color w:val="000000"/>
          <w:sz w:val="21"/>
          <w:highlight w:val="none"/>
        </w:rPr>
        <w:t>事故，</w:t>
      </w:r>
      <w:r>
        <w:rPr>
          <w:rFonts w:ascii="Calibri" w:hAnsi="Calibri" w:eastAsia="宋体" w:cs="Times New Roman"/>
          <w:color w:val="000000"/>
          <w:sz w:val="21"/>
          <w:highlight w:val="none"/>
        </w:rPr>
        <w:t>或者由于</w:t>
      </w:r>
      <w:r>
        <w:rPr>
          <w:rFonts w:hint="default" w:ascii="Calibri" w:hAnsi="Calibri" w:eastAsia="宋体" w:cs="Times New Roman"/>
          <w:color w:val="000000"/>
          <w:sz w:val="21"/>
          <w:highlight w:val="none"/>
        </w:rPr>
        <w:t>设计不完善或</w:t>
      </w:r>
      <w:r>
        <w:rPr>
          <w:rFonts w:ascii="Calibri" w:hAnsi="Calibri" w:eastAsia="宋体" w:cs="Times New Roman"/>
          <w:color w:val="000000"/>
          <w:sz w:val="21"/>
          <w:highlight w:val="none"/>
        </w:rPr>
        <w:t>错误</w:t>
      </w:r>
      <w:r>
        <w:rPr>
          <w:rFonts w:hint="default" w:ascii="Calibri" w:hAnsi="Calibri" w:eastAsia="宋体" w:cs="Times New Roman"/>
          <w:color w:val="000000"/>
          <w:sz w:val="21"/>
          <w:highlight w:val="none"/>
        </w:rPr>
        <w:t>而引起本项目</w:t>
      </w:r>
      <w:r>
        <w:rPr>
          <w:rFonts w:ascii="Calibri" w:hAnsi="Calibri" w:eastAsia="宋体" w:cs="Times New Roman"/>
          <w:color w:val="000000"/>
          <w:sz w:val="21"/>
          <w:highlight w:val="none"/>
        </w:rPr>
        <w:t>发生</w:t>
      </w:r>
      <w:r>
        <w:rPr>
          <w:rFonts w:hint="default" w:ascii="Calibri" w:hAnsi="Calibri" w:eastAsia="宋体" w:cs="Times New Roman"/>
          <w:color w:val="000000"/>
          <w:sz w:val="21"/>
          <w:highlight w:val="none"/>
        </w:rPr>
        <w:t>较大或</w:t>
      </w:r>
      <w:r>
        <w:rPr>
          <w:rFonts w:ascii="Calibri" w:hAnsi="Calibri" w:eastAsia="宋体" w:cs="Times New Roman"/>
          <w:color w:val="000000"/>
          <w:sz w:val="21"/>
          <w:highlight w:val="none"/>
        </w:rPr>
        <w:t>重大设计变更</w:t>
      </w:r>
      <w:r>
        <w:rPr>
          <w:rFonts w:hint="default" w:ascii="Calibri" w:hAnsi="Calibri" w:eastAsia="宋体" w:cs="Times New Roman"/>
          <w:color w:val="000000"/>
          <w:sz w:val="21"/>
          <w:highlight w:val="none"/>
        </w:rPr>
        <w:t>；</w:t>
      </w:r>
    </w:p>
    <w:p w14:paraId="62C39826">
      <w:pPr>
        <w:spacing w:line="440" w:lineRule="exact"/>
        <w:ind w:firstLine="0" w:firstLineChars="0"/>
        <w:rPr>
          <w:rFonts w:ascii="Calibri" w:hAnsi="Calibri" w:eastAsia="宋体" w:cs="Times New Roman"/>
          <w:color w:val="000000"/>
          <w:sz w:val="21"/>
          <w:highlight w:val="none"/>
        </w:rPr>
      </w:pPr>
      <w:r>
        <w:rPr>
          <w:rFonts w:ascii="Calibri" w:hAnsi="Calibri" w:eastAsia="宋体" w:cs="Times New Roman"/>
          <w:color w:val="000000"/>
          <w:sz w:val="21"/>
          <w:highlight w:val="none"/>
        </w:rPr>
        <w:t>(11) 承包人未按</w:t>
      </w:r>
      <w:r>
        <w:rPr>
          <w:rFonts w:hint="default" w:ascii="Calibri" w:hAnsi="Calibri" w:eastAsia="宋体" w:cs="Times New Roman"/>
          <w:color w:val="000000"/>
          <w:sz w:val="21"/>
          <w:highlight w:val="none"/>
        </w:rPr>
        <w:t>通用合同条款</w:t>
      </w:r>
      <w:r>
        <w:rPr>
          <w:rFonts w:ascii="Calibri" w:hAnsi="Calibri" w:eastAsia="宋体" w:cs="Times New Roman"/>
          <w:color w:val="000000"/>
          <w:sz w:val="21"/>
          <w:highlight w:val="none"/>
        </w:rPr>
        <w:t>4.8.1</w:t>
      </w:r>
      <w:r>
        <w:rPr>
          <w:rFonts w:hint="default" w:ascii="Calibri" w:hAnsi="Calibri" w:eastAsia="宋体" w:cs="Times New Roman"/>
          <w:color w:val="000000"/>
          <w:sz w:val="21"/>
          <w:highlight w:val="none"/>
        </w:rPr>
        <w:t>款</w:t>
      </w:r>
      <w:r>
        <w:rPr>
          <w:rFonts w:ascii="Calibri" w:hAnsi="Calibri" w:eastAsia="宋体" w:cs="Times New Roman"/>
          <w:color w:val="000000"/>
          <w:sz w:val="21"/>
          <w:highlight w:val="none"/>
        </w:rPr>
        <w:t>的规定支付</w:t>
      </w:r>
      <w:r>
        <w:rPr>
          <w:rFonts w:hint="default" w:ascii="Calibri" w:hAnsi="Calibri" w:eastAsia="宋体" w:cs="Times New Roman"/>
          <w:color w:val="000000"/>
          <w:sz w:val="21"/>
          <w:highlight w:val="none"/>
        </w:rPr>
        <w:t>用工人员</w:t>
      </w:r>
      <w:r>
        <w:rPr>
          <w:rFonts w:ascii="Calibri" w:hAnsi="Calibri" w:eastAsia="宋体" w:cs="Times New Roman"/>
          <w:color w:val="000000"/>
          <w:sz w:val="21"/>
          <w:highlight w:val="none"/>
        </w:rPr>
        <w:t>的工资；</w:t>
      </w:r>
    </w:p>
    <w:p w14:paraId="25271925">
      <w:pPr>
        <w:spacing w:line="440" w:lineRule="exact"/>
        <w:ind w:firstLine="0" w:firstLineChars="0"/>
        <w:rPr>
          <w:rFonts w:ascii="Calibri" w:hAnsi="Calibri" w:eastAsia="宋体" w:cs="Times New Roman"/>
          <w:color w:val="000000"/>
          <w:sz w:val="21"/>
          <w:highlight w:val="none"/>
        </w:rPr>
      </w:pPr>
      <w:r>
        <w:rPr>
          <w:rFonts w:ascii="Calibri" w:hAnsi="Calibri" w:eastAsia="宋体" w:cs="Times New Roman"/>
          <w:color w:val="000000"/>
          <w:sz w:val="21"/>
          <w:highlight w:val="none"/>
        </w:rPr>
        <w:t>(12) 在接到根据</w:t>
      </w:r>
      <w:r>
        <w:rPr>
          <w:rFonts w:hint="default" w:ascii="Calibri" w:hAnsi="Calibri" w:eastAsia="宋体" w:cs="Times New Roman"/>
          <w:color w:val="000000"/>
          <w:sz w:val="21"/>
          <w:highlight w:val="none"/>
        </w:rPr>
        <w:t>通用合同条款</w:t>
      </w:r>
      <w:r>
        <w:rPr>
          <w:rFonts w:ascii="Calibri" w:hAnsi="Calibri" w:eastAsia="宋体" w:cs="Times New Roman"/>
          <w:color w:val="000000"/>
          <w:sz w:val="21"/>
          <w:highlight w:val="none"/>
        </w:rPr>
        <w:t>第</w:t>
      </w:r>
      <w:r>
        <w:rPr>
          <w:rFonts w:hint="default" w:ascii="Calibri" w:hAnsi="Calibri" w:eastAsia="宋体" w:cs="Times New Roman"/>
          <w:color w:val="000000"/>
          <w:sz w:val="21"/>
          <w:highlight w:val="none"/>
        </w:rPr>
        <w:t>10.4.1款</w:t>
      </w:r>
      <w:r>
        <w:rPr>
          <w:rFonts w:ascii="Calibri" w:hAnsi="Calibri" w:eastAsia="宋体" w:cs="Times New Roman"/>
          <w:color w:val="000000"/>
          <w:sz w:val="21"/>
          <w:highlight w:val="none"/>
        </w:rPr>
        <w:t>关于从现场清除、撤除并运走废料与垃圾及不再需要的临时设施的规定发出的通知或指令后的28天内不遵守该通知或指令；</w:t>
      </w:r>
    </w:p>
    <w:p w14:paraId="04296FDD">
      <w:pPr>
        <w:spacing w:line="440" w:lineRule="exact"/>
        <w:ind w:firstLine="0" w:firstLineChars="0"/>
        <w:rPr>
          <w:rFonts w:ascii="Calibri" w:hAnsi="Calibri" w:eastAsia="宋体" w:cs="Times New Roman"/>
          <w:color w:val="000000"/>
          <w:sz w:val="21"/>
          <w:highlight w:val="none"/>
        </w:rPr>
      </w:pPr>
      <w:r>
        <w:rPr>
          <w:rFonts w:ascii="Calibri" w:hAnsi="Calibri" w:eastAsia="宋体" w:cs="Times New Roman"/>
          <w:color w:val="000000"/>
          <w:sz w:val="21"/>
          <w:highlight w:val="none"/>
        </w:rPr>
        <w:t>(13) 由于承包人原因引起暂时停工，承包人不积极采取补救措施的；</w:t>
      </w:r>
    </w:p>
    <w:p w14:paraId="130A3103">
      <w:pPr>
        <w:spacing w:line="440" w:lineRule="exact"/>
        <w:ind w:firstLine="0" w:firstLineChars="0"/>
        <w:rPr>
          <w:rFonts w:ascii="Calibri" w:hAnsi="Calibri" w:eastAsia="宋体" w:cs="Times New Roman"/>
          <w:color w:val="000000"/>
          <w:sz w:val="21"/>
          <w:highlight w:val="none"/>
        </w:rPr>
      </w:pPr>
      <w:r>
        <w:rPr>
          <w:rFonts w:ascii="Calibri" w:hAnsi="Calibri" w:eastAsia="宋体" w:cs="Times New Roman"/>
          <w:color w:val="000000"/>
          <w:sz w:val="21"/>
          <w:highlight w:val="none"/>
        </w:rPr>
        <w:t>(14) 在</w:t>
      </w:r>
      <w:r>
        <w:rPr>
          <w:rFonts w:hint="default" w:ascii="Calibri" w:hAnsi="Calibri" w:eastAsia="宋体" w:cs="Times New Roman"/>
          <w:color w:val="000000"/>
          <w:sz w:val="21"/>
          <w:highlight w:val="none"/>
        </w:rPr>
        <w:t>缺陷责任期及</w:t>
      </w:r>
      <w:r>
        <w:rPr>
          <w:rFonts w:ascii="Calibri" w:hAnsi="Calibri" w:eastAsia="宋体" w:cs="Times New Roman"/>
          <w:color w:val="000000"/>
          <w:sz w:val="21"/>
          <w:highlight w:val="none"/>
        </w:rPr>
        <w:t>保修期内，承包人不履行合同义务；</w:t>
      </w:r>
    </w:p>
    <w:p w14:paraId="4CD5C3C9">
      <w:pPr>
        <w:spacing w:line="440" w:lineRule="exact"/>
        <w:ind w:firstLine="0" w:firstLineChars="0"/>
        <w:rPr>
          <w:rFonts w:ascii="Calibri" w:hAnsi="Calibri" w:eastAsia="宋体" w:cs="Times New Roman"/>
          <w:color w:val="000000"/>
          <w:sz w:val="21"/>
          <w:highlight w:val="none"/>
        </w:rPr>
      </w:pPr>
      <w:r>
        <w:rPr>
          <w:rFonts w:ascii="Calibri" w:hAnsi="Calibri" w:eastAsia="宋体" w:cs="Times New Roman"/>
          <w:color w:val="000000"/>
          <w:sz w:val="21"/>
          <w:highlight w:val="none"/>
        </w:rPr>
        <w:t>(15) 无视监理人事先的书面警告，不履行其合同规定的义务；</w:t>
      </w:r>
    </w:p>
    <w:p w14:paraId="11029422">
      <w:pPr>
        <w:spacing w:line="440" w:lineRule="exact"/>
        <w:ind w:firstLine="0" w:firstLineChars="0"/>
        <w:rPr>
          <w:rFonts w:ascii="Calibri" w:hAnsi="Calibri" w:eastAsia="宋体" w:cs="Times New Roman"/>
          <w:color w:val="000000"/>
          <w:sz w:val="21"/>
          <w:highlight w:val="none"/>
        </w:rPr>
      </w:pPr>
      <w:r>
        <w:rPr>
          <w:rFonts w:ascii="Calibri" w:hAnsi="Calibri" w:eastAsia="宋体" w:cs="Times New Roman"/>
          <w:color w:val="000000"/>
          <w:sz w:val="21"/>
          <w:highlight w:val="none"/>
        </w:rPr>
        <w:t>(16) 未经发包人批准，承包人更换了</w:t>
      </w:r>
      <w:r>
        <w:rPr>
          <w:rFonts w:hint="default" w:ascii="Calibri" w:hAnsi="Calibri" w:eastAsia="宋体" w:cs="Times New Roman"/>
          <w:color w:val="000000"/>
          <w:sz w:val="21"/>
          <w:highlight w:val="none"/>
        </w:rPr>
        <w:t>投入本项目主要管理人员（含报备的主要人员）</w:t>
      </w:r>
      <w:r>
        <w:rPr>
          <w:rFonts w:ascii="Calibri" w:hAnsi="Calibri" w:eastAsia="宋体" w:cs="Times New Roman"/>
          <w:color w:val="000000"/>
          <w:sz w:val="21"/>
          <w:highlight w:val="none"/>
        </w:rPr>
        <w:t>；</w:t>
      </w:r>
    </w:p>
    <w:p w14:paraId="773BE145">
      <w:pPr>
        <w:spacing w:line="440" w:lineRule="exact"/>
        <w:ind w:firstLine="0" w:firstLineChars="0"/>
        <w:rPr>
          <w:rFonts w:ascii="Calibri" w:hAnsi="Calibri" w:eastAsia="宋体" w:cs="Times New Roman"/>
          <w:color w:val="000000"/>
          <w:sz w:val="21"/>
          <w:highlight w:val="none"/>
        </w:rPr>
      </w:pPr>
      <w:r>
        <w:rPr>
          <w:rFonts w:ascii="Calibri" w:hAnsi="Calibri" w:eastAsia="宋体" w:cs="Times New Roman"/>
          <w:color w:val="000000"/>
          <w:sz w:val="21"/>
          <w:highlight w:val="none"/>
        </w:rPr>
        <w:t>(17) 承包人不能持续、有效地执行发包人或监理人的指令</w:t>
      </w:r>
      <w:r>
        <w:rPr>
          <w:rFonts w:hint="default" w:ascii="Calibri" w:hAnsi="Calibri" w:eastAsia="宋体" w:cs="Times New Roman"/>
          <w:color w:val="000000"/>
          <w:sz w:val="21"/>
          <w:highlight w:val="none"/>
        </w:rPr>
        <w:t>，或对指令不回复</w:t>
      </w:r>
      <w:r>
        <w:rPr>
          <w:rFonts w:ascii="Calibri" w:hAnsi="Calibri" w:eastAsia="宋体" w:cs="Times New Roman"/>
          <w:color w:val="000000"/>
          <w:sz w:val="21"/>
          <w:highlight w:val="none"/>
        </w:rPr>
        <w:t>；</w:t>
      </w:r>
    </w:p>
    <w:p w14:paraId="3B5FACF9">
      <w:pPr>
        <w:spacing w:line="440" w:lineRule="exact"/>
        <w:ind w:firstLine="0" w:firstLineChars="0"/>
        <w:rPr>
          <w:rFonts w:hint="default" w:ascii="Calibri" w:hAnsi="Calibri" w:eastAsia="宋体" w:cs="Times New Roman"/>
          <w:color w:val="000000"/>
          <w:sz w:val="21"/>
          <w:highlight w:val="none"/>
          <w:lang w:eastAsia="zh-CN"/>
        </w:rPr>
      </w:pPr>
      <w:r>
        <w:rPr>
          <w:rFonts w:hint="default" w:ascii="Calibri" w:hAnsi="Calibri" w:eastAsia="宋体" w:cs="Times New Roman"/>
          <w:color w:val="000000"/>
          <w:sz w:val="21"/>
          <w:highlight w:val="none"/>
          <w:lang w:val="en-US" w:eastAsia="zh-CN"/>
        </w:rPr>
        <w:t>(18)</w:t>
      </w:r>
      <w:r>
        <w:rPr>
          <w:rFonts w:hint="eastAsia" w:eastAsia="宋体" w:cs="Times New Roman"/>
          <w:color w:val="000000"/>
          <w:sz w:val="21"/>
          <w:highlight w:val="none"/>
          <w:lang w:val="en-US" w:eastAsia="zh-CN"/>
        </w:rPr>
        <w:t xml:space="preserve"> </w:t>
      </w:r>
      <w:r>
        <w:rPr>
          <w:rFonts w:hint="default" w:ascii="Calibri" w:hAnsi="Calibri" w:eastAsia="宋体" w:cs="Times New Roman"/>
          <w:color w:val="000000"/>
          <w:sz w:val="21"/>
          <w:highlight w:val="none"/>
          <w:lang w:val="en-US" w:eastAsia="zh-CN"/>
        </w:rPr>
        <w:t>承包人</w:t>
      </w:r>
      <w:r>
        <w:rPr>
          <w:rFonts w:hint="default" w:ascii="Calibri" w:hAnsi="Calibri" w:eastAsia="宋体" w:cs="Times New Roman"/>
          <w:color w:val="000000"/>
          <w:sz w:val="21"/>
          <w:highlight w:val="none"/>
          <w:lang w:eastAsia="zh-CN"/>
        </w:rPr>
        <w:t>将勘察设计任务转让或者未经发包人同意私自</w:t>
      </w:r>
      <w:r>
        <w:rPr>
          <w:rFonts w:hint="eastAsia" w:eastAsia="宋体" w:cs="Times New Roman"/>
          <w:color w:val="000000"/>
          <w:sz w:val="21"/>
          <w:highlight w:val="none"/>
          <w:lang w:val="en-US" w:eastAsia="zh-CN"/>
        </w:rPr>
        <w:t>分包</w:t>
      </w:r>
      <w:r>
        <w:rPr>
          <w:rFonts w:hint="default" w:ascii="Calibri" w:hAnsi="Calibri" w:eastAsia="宋体" w:cs="Times New Roman"/>
          <w:color w:val="000000"/>
          <w:sz w:val="21"/>
          <w:highlight w:val="none"/>
          <w:lang w:eastAsia="zh-CN"/>
        </w:rPr>
        <w:t>；</w:t>
      </w:r>
    </w:p>
    <w:p w14:paraId="33853B6A">
      <w:pPr>
        <w:spacing w:line="440" w:lineRule="exact"/>
        <w:ind w:firstLine="0" w:firstLineChars="0"/>
        <w:rPr>
          <w:rFonts w:hint="default" w:ascii="Calibri" w:hAnsi="Calibri" w:eastAsia="宋体" w:cs="Times New Roman"/>
          <w:color w:val="000000"/>
          <w:sz w:val="21"/>
          <w:highlight w:val="none"/>
          <w:lang w:val="en-US" w:eastAsia="zh-CN"/>
        </w:rPr>
      </w:pPr>
      <w:r>
        <w:rPr>
          <w:rFonts w:hint="default" w:ascii="Calibri" w:hAnsi="Calibri" w:eastAsia="宋体" w:cs="Times New Roman"/>
          <w:color w:val="000000"/>
          <w:sz w:val="21"/>
          <w:highlight w:val="none"/>
          <w:lang w:val="en-US" w:eastAsia="zh-CN"/>
        </w:rPr>
        <w:t>(19)</w:t>
      </w:r>
      <w:r>
        <w:rPr>
          <w:rFonts w:hint="eastAsia" w:eastAsia="宋体" w:cs="Times New Roman"/>
          <w:color w:val="000000"/>
          <w:sz w:val="21"/>
          <w:highlight w:val="none"/>
          <w:lang w:val="en-US" w:eastAsia="zh-CN"/>
        </w:rPr>
        <w:t xml:space="preserve"> </w:t>
      </w:r>
      <w:r>
        <w:rPr>
          <w:rFonts w:hint="default" w:ascii="Calibri" w:hAnsi="Calibri" w:eastAsia="宋体" w:cs="Times New Roman"/>
          <w:color w:val="000000"/>
          <w:sz w:val="21"/>
          <w:highlight w:val="none"/>
          <w:lang w:val="en-US" w:eastAsia="zh-CN"/>
        </w:rPr>
        <w:t>承包人未按照《湖北省公路工程施工分包管理实施细则》的要求执行；</w:t>
      </w:r>
    </w:p>
    <w:p w14:paraId="18F4F0C6">
      <w:pPr>
        <w:spacing w:line="440" w:lineRule="exact"/>
        <w:ind w:firstLine="0" w:firstLineChars="0"/>
        <w:rPr>
          <w:rFonts w:hint="default" w:ascii="Calibri" w:hAnsi="Calibri" w:eastAsia="宋体" w:cs="Times New Roman"/>
          <w:color w:val="000000"/>
          <w:sz w:val="21"/>
          <w:highlight w:val="none"/>
          <w:lang w:val="en-US" w:eastAsia="zh-CN"/>
        </w:rPr>
      </w:pPr>
      <w:r>
        <w:rPr>
          <w:rFonts w:hint="default" w:ascii="Calibri" w:hAnsi="Calibri" w:eastAsia="宋体" w:cs="Times New Roman"/>
          <w:color w:val="000000"/>
          <w:sz w:val="21"/>
          <w:highlight w:val="none"/>
          <w:lang w:val="en-US" w:eastAsia="zh-CN"/>
        </w:rPr>
        <w:t>(20)</w:t>
      </w:r>
      <w:r>
        <w:rPr>
          <w:rFonts w:hint="eastAsia" w:eastAsia="宋体" w:cs="Times New Roman"/>
          <w:color w:val="000000"/>
          <w:sz w:val="21"/>
          <w:highlight w:val="none"/>
          <w:lang w:val="en-US" w:eastAsia="zh-CN"/>
        </w:rPr>
        <w:t xml:space="preserve"> </w:t>
      </w:r>
      <w:r>
        <w:rPr>
          <w:rFonts w:hint="default" w:ascii="Calibri" w:hAnsi="Calibri" w:eastAsia="宋体" w:cs="Times New Roman"/>
          <w:strike w:val="0"/>
          <w:color w:val="000000"/>
          <w:sz w:val="21"/>
          <w:highlight w:val="none"/>
        </w:rPr>
        <w:t>由于承包人的施工图设计文件深度不足而导致分项、分部工程与现场实际不符，存在质量、安全隐患的，</w:t>
      </w:r>
      <w:r>
        <w:rPr>
          <w:rFonts w:hint="default" w:ascii="Calibri" w:hAnsi="Calibri" w:eastAsia="宋体" w:cs="Times New Roman"/>
          <w:b w:val="0"/>
          <w:bCs w:val="0"/>
          <w:strike w:val="0"/>
          <w:color w:val="000000"/>
          <w:sz w:val="21"/>
          <w:highlight w:val="none"/>
        </w:rPr>
        <w:t>发包人或监理人有权要求承包人修改设计和加强现场有关处理措施。</w:t>
      </w:r>
      <w:r>
        <w:rPr>
          <w:rFonts w:hint="default" w:ascii="Calibri" w:hAnsi="Calibri" w:eastAsia="宋体" w:cs="Times New Roman"/>
          <w:strike w:val="0"/>
          <w:color w:val="000000"/>
          <w:sz w:val="21"/>
          <w:highlight w:val="none"/>
        </w:rPr>
        <w:t>承包人拒不执行或执行不到位</w:t>
      </w:r>
    </w:p>
    <w:p w14:paraId="425B76B6">
      <w:pPr>
        <w:spacing w:line="440" w:lineRule="exact"/>
        <w:ind w:firstLine="0" w:firstLineChars="0"/>
        <w:rPr>
          <w:rFonts w:ascii="Calibri" w:hAnsi="Calibri" w:eastAsia="宋体" w:cs="Times New Roman"/>
          <w:color w:val="000000"/>
          <w:sz w:val="21"/>
          <w:highlight w:val="none"/>
        </w:rPr>
      </w:pPr>
      <w:r>
        <w:rPr>
          <w:rFonts w:ascii="Calibri" w:hAnsi="Calibri" w:eastAsia="宋体" w:cs="Times New Roman"/>
          <w:color w:val="000000"/>
          <w:sz w:val="21"/>
          <w:highlight w:val="none"/>
        </w:rPr>
        <w:t>(</w:t>
      </w:r>
      <w:r>
        <w:rPr>
          <w:rFonts w:hint="eastAsia" w:eastAsia="宋体" w:cs="Times New Roman"/>
          <w:sz w:val="21"/>
          <w:highlight w:val="none"/>
          <w:lang w:val="en-US" w:eastAsia="zh-CN"/>
        </w:rPr>
        <w:t xml:space="preserve">21 </w:t>
      </w:r>
      <w:r>
        <w:rPr>
          <w:rFonts w:ascii="Calibri" w:hAnsi="Calibri" w:eastAsia="宋体" w:cs="Times New Roman"/>
          <w:color w:val="000000"/>
          <w:sz w:val="21"/>
          <w:highlight w:val="none"/>
        </w:rPr>
        <w:t>)承包人不按合同约定履行义务的其他情况。</w:t>
      </w:r>
    </w:p>
    <w:p w14:paraId="2AD8D631">
      <w:pPr>
        <w:spacing w:line="440" w:lineRule="exact"/>
        <w:rPr>
          <w:rFonts w:hint="eastAsia" w:eastAsia="宋体"/>
          <w:szCs w:val="21"/>
        </w:rPr>
      </w:pPr>
      <w:r>
        <w:rPr>
          <w:rFonts w:eastAsia="宋体"/>
        </w:rPr>
        <w:t>22.1.</w:t>
      </w:r>
      <w:r>
        <w:rPr>
          <w:rFonts w:hint="eastAsia" w:eastAsia="宋体"/>
        </w:rPr>
        <w:t>2</w:t>
      </w:r>
      <w:r>
        <w:rPr>
          <w:rFonts w:eastAsia="宋体"/>
          <w:szCs w:val="21"/>
        </w:rPr>
        <w:t xml:space="preserve"> </w:t>
      </w:r>
      <w:r>
        <w:rPr>
          <w:rFonts w:hint="eastAsia" w:eastAsia="宋体"/>
          <w:szCs w:val="21"/>
        </w:rPr>
        <w:t>将通用条款22.1.2（2）项修改为：</w:t>
      </w:r>
    </w:p>
    <w:p w14:paraId="682B54BA">
      <w:pPr>
        <w:spacing w:line="440" w:lineRule="exact"/>
        <w:rPr>
          <w:rFonts w:ascii="宋体" w:hAnsi="宋体" w:eastAsia="宋体"/>
          <w:szCs w:val="21"/>
        </w:rPr>
      </w:pPr>
      <w:r>
        <w:rPr>
          <w:rFonts w:hint="eastAsia" w:ascii="宋体" w:hAnsi="宋体" w:eastAsia="宋体"/>
          <w:szCs w:val="21"/>
        </w:rPr>
        <w:t>承包</w:t>
      </w:r>
      <w:r>
        <w:rPr>
          <w:rFonts w:ascii="宋体" w:hAnsi="宋体" w:eastAsia="宋体"/>
          <w:szCs w:val="21"/>
        </w:rPr>
        <w:t>人出现下列违约情形之一的，发包人</w:t>
      </w:r>
      <w:r>
        <w:rPr>
          <w:rFonts w:hint="eastAsia" w:ascii="宋体" w:hAnsi="宋体" w:eastAsia="宋体"/>
          <w:szCs w:val="21"/>
        </w:rPr>
        <w:t>可通知承包人立即解除合同，并按通用条款第22.1.3项、22.1.4项、22.1.5项的约定处理。</w:t>
      </w:r>
    </w:p>
    <w:p w14:paraId="3DAFD522">
      <w:pPr>
        <w:spacing w:line="440" w:lineRule="exact"/>
        <w:jc w:val="left"/>
        <w:rPr>
          <w:rFonts w:ascii="宋体" w:hAnsi="宋体" w:eastAsia="宋体"/>
          <w:szCs w:val="21"/>
        </w:rPr>
      </w:pPr>
      <w:r>
        <w:rPr>
          <w:rFonts w:hint="eastAsia" w:ascii="宋体" w:hAnsi="宋体" w:eastAsia="宋体"/>
          <w:szCs w:val="21"/>
        </w:rPr>
        <w:t>（</w:t>
      </w:r>
      <w:r>
        <w:rPr>
          <w:rFonts w:ascii="宋体" w:hAnsi="宋体" w:eastAsia="宋体"/>
          <w:szCs w:val="21"/>
        </w:rPr>
        <w:t>1</w:t>
      </w:r>
      <w:r>
        <w:rPr>
          <w:rFonts w:hint="eastAsia" w:ascii="宋体" w:hAnsi="宋体" w:eastAsia="宋体"/>
          <w:szCs w:val="21"/>
        </w:rPr>
        <w:t>）承包人原因未能在约定的开工期限内开工，经监理人催告后的</w:t>
      </w:r>
      <w:r>
        <w:rPr>
          <w:rFonts w:ascii="宋体" w:hAnsi="宋体" w:eastAsia="宋体"/>
          <w:szCs w:val="21"/>
        </w:rPr>
        <w:t>28</w:t>
      </w:r>
      <w:r>
        <w:rPr>
          <w:rFonts w:hint="eastAsia" w:ascii="宋体" w:hAnsi="宋体" w:eastAsia="宋体"/>
          <w:szCs w:val="21"/>
        </w:rPr>
        <w:t>天内仍未开工的；</w:t>
      </w:r>
    </w:p>
    <w:p w14:paraId="2220605E">
      <w:pPr>
        <w:spacing w:line="440" w:lineRule="exact"/>
        <w:jc w:val="left"/>
        <w:rPr>
          <w:rFonts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）进度计划未表明有停工而且监理人也未授权停工，但承包人的原因停止施工时间持续达</w:t>
      </w:r>
      <w:r>
        <w:rPr>
          <w:rFonts w:ascii="宋体" w:hAnsi="宋体" w:eastAsia="宋体"/>
          <w:szCs w:val="21"/>
        </w:rPr>
        <w:t>28</w:t>
      </w:r>
      <w:r>
        <w:rPr>
          <w:rFonts w:hint="eastAsia" w:ascii="宋体" w:hAnsi="宋体" w:eastAsia="宋体"/>
          <w:szCs w:val="21"/>
        </w:rPr>
        <w:t>天或累计停止施工时间达</w:t>
      </w:r>
      <w:r>
        <w:rPr>
          <w:rFonts w:ascii="宋体" w:hAnsi="宋体" w:eastAsia="宋体"/>
          <w:szCs w:val="21"/>
        </w:rPr>
        <w:t>42</w:t>
      </w:r>
      <w:r>
        <w:rPr>
          <w:rFonts w:hint="eastAsia" w:ascii="宋体" w:hAnsi="宋体" w:eastAsia="宋体"/>
          <w:szCs w:val="21"/>
        </w:rPr>
        <w:t>天的；</w:t>
      </w:r>
    </w:p>
    <w:p w14:paraId="55D7153A">
      <w:pPr>
        <w:spacing w:line="440" w:lineRule="exact"/>
        <w:jc w:val="left"/>
        <w:rPr>
          <w:rFonts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szCs w:val="21"/>
        </w:rPr>
        <w:t>）承包人破产或清算的，但为机构重组或联合的目的除外；</w:t>
      </w:r>
    </w:p>
    <w:p w14:paraId="2FC4C08A">
      <w:pPr>
        <w:spacing w:line="440" w:lineRule="exact"/>
        <w:jc w:val="left"/>
        <w:rPr>
          <w:rFonts w:ascii="宋体" w:hAnsi="宋体" w:eastAsia="宋体"/>
          <w:szCs w:val="21"/>
        </w:rPr>
      </w:pPr>
      <w:r>
        <w:rPr>
          <w:rFonts w:hint="eastAsia" w:ascii="宋体" w:hAnsi="宋体" w:eastAsia="宋体"/>
          <w:szCs w:val="21"/>
        </w:rPr>
        <w:t>（</w:t>
      </w:r>
      <w:r>
        <w:rPr>
          <w:rFonts w:ascii="宋体" w:hAnsi="宋体" w:eastAsia="宋体"/>
          <w:szCs w:val="21"/>
        </w:rPr>
        <w:t>4</w:t>
      </w:r>
      <w:r>
        <w:rPr>
          <w:rFonts w:hint="eastAsia" w:ascii="宋体" w:hAnsi="宋体" w:eastAsia="宋体"/>
          <w:szCs w:val="21"/>
        </w:rPr>
        <w:t>）承包人原因拖延完工而可偿付的误期赔偿费已达专用条款约定最高限额的；</w:t>
      </w:r>
    </w:p>
    <w:p w14:paraId="71E2B2A8">
      <w:pPr>
        <w:spacing w:line="440" w:lineRule="exact"/>
        <w:jc w:val="left"/>
        <w:rPr>
          <w:rFonts w:ascii="宋体" w:hAnsi="宋体" w:eastAsia="宋体"/>
          <w:szCs w:val="21"/>
        </w:rPr>
      </w:pPr>
      <w:r>
        <w:rPr>
          <w:rFonts w:hint="eastAsia" w:ascii="宋体" w:hAnsi="宋体" w:eastAsia="宋体"/>
          <w:szCs w:val="21"/>
        </w:rPr>
        <w:t>（</w:t>
      </w:r>
      <w:r>
        <w:rPr>
          <w:rFonts w:ascii="宋体" w:hAnsi="宋体" w:eastAsia="宋体"/>
          <w:szCs w:val="21"/>
        </w:rPr>
        <w:t>5</w:t>
      </w:r>
      <w:r>
        <w:rPr>
          <w:rFonts w:hint="eastAsia" w:ascii="宋体" w:hAnsi="宋体" w:eastAsia="宋体"/>
          <w:szCs w:val="21"/>
        </w:rPr>
        <w:t>）承包人明确表示或者其行为表明不履行合同约定主要义务的；</w:t>
      </w:r>
    </w:p>
    <w:p w14:paraId="57A28B5F">
      <w:pPr>
        <w:spacing w:line="440" w:lineRule="exact"/>
        <w:jc w:val="left"/>
        <w:rPr>
          <w:rFonts w:ascii="宋体" w:hAnsi="宋体" w:eastAsia="宋体"/>
          <w:szCs w:val="21"/>
        </w:rPr>
      </w:pPr>
      <w:r>
        <w:rPr>
          <w:rFonts w:hint="eastAsia" w:ascii="宋体" w:hAnsi="宋体" w:eastAsia="宋体"/>
          <w:szCs w:val="21"/>
        </w:rPr>
        <w:t>（</w:t>
      </w:r>
      <w:r>
        <w:rPr>
          <w:rFonts w:ascii="宋体" w:hAnsi="宋体" w:eastAsia="宋体"/>
          <w:szCs w:val="21"/>
        </w:rPr>
        <w:t>6</w:t>
      </w:r>
      <w:r>
        <w:rPr>
          <w:rFonts w:hint="eastAsia" w:ascii="宋体" w:hAnsi="宋体" w:eastAsia="宋体"/>
          <w:szCs w:val="21"/>
        </w:rPr>
        <w:t>）监理人发出整改通知后，承包人在指定的合理期限内仍不纠正违约行为并致使合同目的不能实现的；</w:t>
      </w:r>
    </w:p>
    <w:p w14:paraId="06BF66F5">
      <w:pPr>
        <w:spacing w:line="440" w:lineRule="exact"/>
        <w:jc w:val="left"/>
        <w:rPr>
          <w:rFonts w:ascii="宋体" w:hAnsi="宋体" w:eastAsia="宋体"/>
          <w:szCs w:val="21"/>
        </w:rPr>
      </w:pPr>
      <w:r>
        <w:rPr>
          <w:rFonts w:hint="eastAsia" w:ascii="宋体" w:hAnsi="宋体" w:eastAsia="宋体"/>
          <w:szCs w:val="21"/>
        </w:rPr>
        <w:t>（</w:t>
      </w:r>
      <w:r>
        <w:rPr>
          <w:rFonts w:ascii="宋体" w:hAnsi="宋体" w:eastAsia="宋体"/>
          <w:szCs w:val="21"/>
        </w:rPr>
        <w:t>7</w:t>
      </w:r>
      <w:r>
        <w:rPr>
          <w:rFonts w:hint="eastAsia" w:ascii="宋体" w:hAnsi="宋体" w:eastAsia="宋体"/>
          <w:szCs w:val="21"/>
        </w:rPr>
        <w:t>）承包人在投标过程中或履行合同期间有欺诈行为的；</w:t>
      </w:r>
    </w:p>
    <w:p w14:paraId="2720649B">
      <w:pPr>
        <w:spacing w:line="440" w:lineRule="exact"/>
        <w:jc w:val="left"/>
        <w:rPr>
          <w:rFonts w:ascii="宋体" w:hAnsi="宋体" w:eastAsia="宋体"/>
          <w:szCs w:val="21"/>
        </w:rPr>
      </w:pPr>
      <w:r>
        <w:rPr>
          <w:rFonts w:hint="eastAsia" w:ascii="宋体" w:hAnsi="宋体" w:eastAsia="宋体"/>
          <w:szCs w:val="21"/>
        </w:rPr>
        <w:t>（</w:t>
      </w:r>
      <w:r>
        <w:rPr>
          <w:rFonts w:ascii="宋体" w:hAnsi="宋体" w:eastAsia="宋体"/>
          <w:szCs w:val="21"/>
        </w:rPr>
        <w:t>8</w:t>
      </w:r>
      <w:r>
        <w:rPr>
          <w:rFonts w:hint="eastAsia" w:ascii="宋体" w:hAnsi="宋体" w:eastAsia="宋体"/>
          <w:szCs w:val="21"/>
        </w:rPr>
        <w:t>）承包人转包工程、违法分包的；</w:t>
      </w:r>
    </w:p>
    <w:p w14:paraId="4D41EBFD">
      <w:pPr>
        <w:spacing w:line="440" w:lineRule="exact"/>
        <w:jc w:val="left"/>
        <w:rPr>
          <w:rFonts w:ascii="宋体" w:hAnsi="宋体" w:eastAsia="宋体"/>
          <w:szCs w:val="21"/>
        </w:rPr>
      </w:pPr>
      <w:r>
        <w:rPr>
          <w:rFonts w:hint="eastAsia" w:ascii="宋体" w:hAnsi="宋体" w:eastAsia="宋体"/>
          <w:szCs w:val="21"/>
        </w:rPr>
        <w:t>（</w:t>
      </w:r>
      <w:r>
        <w:rPr>
          <w:rFonts w:ascii="宋体" w:hAnsi="宋体" w:eastAsia="宋体"/>
          <w:szCs w:val="21"/>
        </w:rPr>
        <w:t>9</w:t>
      </w:r>
      <w:r>
        <w:rPr>
          <w:rFonts w:hint="eastAsia" w:ascii="宋体" w:hAnsi="宋体" w:eastAsia="宋体"/>
          <w:szCs w:val="21"/>
        </w:rPr>
        <w:t>）承包人被认为是严重违反合同的其他违约行为的；</w:t>
      </w:r>
    </w:p>
    <w:p w14:paraId="1099D656">
      <w:pPr>
        <w:spacing w:line="440" w:lineRule="exact"/>
        <w:jc w:val="left"/>
        <w:rPr>
          <w:rFonts w:ascii="宋体" w:hAnsi="宋体" w:eastAsia="宋体"/>
          <w:szCs w:val="21"/>
        </w:rPr>
      </w:pPr>
      <w:r>
        <w:rPr>
          <w:rFonts w:ascii="宋体" w:hAnsi="宋体" w:eastAsia="宋体"/>
          <w:szCs w:val="21"/>
        </w:rPr>
        <w:t>(10)</w:t>
      </w:r>
      <w:r>
        <w:rPr>
          <w:rFonts w:hint="eastAsia" w:ascii="宋体" w:hAnsi="宋体" w:eastAsia="宋体"/>
          <w:szCs w:val="21"/>
        </w:rPr>
        <w:t>承包人延迟履行合同约定主要义务，经催告后在合理期限内仍未履行的；</w:t>
      </w:r>
    </w:p>
    <w:p w14:paraId="57FD9C72">
      <w:pPr>
        <w:spacing w:line="440" w:lineRule="exact"/>
        <w:rPr>
          <w:rFonts w:hint="eastAsia" w:ascii="宋体" w:hAnsi="宋体" w:eastAsia="宋体"/>
          <w:szCs w:val="21"/>
          <w:lang w:eastAsia="zh-CN"/>
        </w:rPr>
      </w:pPr>
      <w:r>
        <w:rPr>
          <w:rFonts w:hint="eastAsia" w:ascii="宋体" w:hAnsi="宋体" w:eastAsia="宋体"/>
          <w:szCs w:val="21"/>
        </w:rPr>
        <w:t>合同解除后，因继续完成工程的需要，发包人有权使用承包人在施工现场的材料、设备、临时工程、承包人文件和由承包人或以其名义编制的其他文件，合同当事人应商定相应费用的承担方式。发包人继续使用的行为不免除或减轻承包人应承担的违约责任</w:t>
      </w:r>
      <w:r>
        <w:rPr>
          <w:rFonts w:hint="eastAsia" w:ascii="宋体" w:hAnsi="宋体" w:eastAsia="宋体"/>
          <w:szCs w:val="21"/>
          <w:lang w:eastAsia="zh-CN"/>
        </w:rPr>
        <w:t>；</w:t>
      </w:r>
    </w:p>
    <w:p w14:paraId="578D61C1">
      <w:pPr>
        <w:keepNext/>
        <w:keepLines/>
        <w:spacing w:before="120" w:beforeLines="50" w:line="440" w:lineRule="exact"/>
        <w:outlineLvl w:val="0"/>
        <w:rPr>
          <w:rFonts w:hint="eastAsia" w:ascii="黑体" w:hAnsi="黑体" w:eastAsia="黑体" w:cs="黑体"/>
        </w:rPr>
      </w:pPr>
      <w:r>
        <w:rPr>
          <w:rFonts w:hint="eastAsia" w:ascii="黑体" w:hAnsi="黑体" w:eastAsia="黑体" w:cs="黑体"/>
        </w:rPr>
        <w:t>22.2 发包人违约</w:t>
      </w:r>
    </w:p>
    <w:p w14:paraId="79F89EA2">
      <w:pPr>
        <w:spacing w:after="120" w:line="440" w:lineRule="exact"/>
        <w:rPr>
          <w:rFonts w:hint="eastAsia" w:ascii="黑体" w:hAnsi="黑体" w:eastAsia="黑体" w:cs="黑体"/>
        </w:rPr>
      </w:pPr>
      <w:r>
        <w:rPr>
          <w:rFonts w:hint="eastAsia" w:ascii="黑体" w:hAnsi="黑体" w:eastAsia="黑体" w:cs="黑体"/>
        </w:rPr>
        <w:t>22.1.2  发包人违约的情形</w:t>
      </w:r>
    </w:p>
    <w:p w14:paraId="3ADA74B4">
      <w:pPr>
        <w:autoSpaceDE w:val="0"/>
        <w:autoSpaceDN w:val="0"/>
        <w:adjustRightInd w:val="0"/>
        <w:spacing w:line="440" w:lineRule="exact"/>
        <w:jc w:val="left"/>
        <w:rPr>
          <w:rFonts w:ascii="宋体" w:hAnsi="宋体" w:eastAsia="宋体"/>
          <w:szCs w:val="21"/>
        </w:rPr>
      </w:pPr>
      <w:r>
        <w:rPr>
          <w:rFonts w:hint="eastAsia" w:ascii="宋体" w:hAnsi="宋体" w:eastAsia="宋体"/>
          <w:szCs w:val="21"/>
        </w:rPr>
        <w:t>(6)发包人违约的其他情形：</w:t>
      </w:r>
    </w:p>
    <w:p w14:paraId="7E5B1588">
      <w:pPr>
        <w:keepNext/>
        <w:keepLines/>
        <w:spacing w:before="120" w:beforeLines="50" w:line="440" w:lineRule="exact"/>
        <w:outlineLvl w:val="0"/>
        <w:rPr>
          <w:rFonts w:ascii="Arial" w:hAnsi="Arial" w:eastAsia="黑体"/>
          <w:b/>
          <w:bCs w:val="0"/>
          <w:sz w:val="24"/>
          <w:szCs w:val="32"/>
        </w:rPr>
      </w:pPr>
      <w:r>
        <w:rPr>
          <w:rFonts w:ascii="Arial" w:hAnsi="Arial" w:eastAsia="黑体"/>
          <w:b/>
          <w:bCs w:val="0"/>
          <w:sz w:val="24"/>
          <w:szCs w:val="32"/>
        </w:rPr>
        <w:t>24. 争议的解决</w:t>
      </w:r>
    </w:p>
    <w:p w14:paraId="6ABD01DA">
      <w:pPr>
        <w:keepNext/>
        <w:keepLines/>
        <w:spacing w:before="120" w:beforeLines="50" w:line="440" w:lineRule="exact"/>
        <w:outlineLvl w:val="0"/>
        <w:rPr>
          <w:rFonts w:ascii="黑体" w:hAnsi="黑体" w:eastAsia="黑体"/>
        </w:rPr>
      </w:pPr>
      <w:r>
        <w:rPr>
          <w:rFonts w:ascii="黑体" w:hAnsi="黑体" w:eastAsia="黑体"/>
        </w:rPr>
        <w:t>24.1 争议的解决方式</w:t>
      </w:r>
    </w:p>
    <w:p w14:paraId="613B018F">
      <w:pPr>
        <w:spacing w:line="440" w:lineRule="exact"/>
        <w:rPr>
          <w:rFonts w:eastAsia="宋体"/>
        </w:rPr>
      </w:pPr>
      <w:r>
        <w:rPr>
          <w:rFonts w:eastAsia="宋体"/>
          <w:szCs w:val="21"/>
        </w:rPr>
        <w:t>合同当事人友好协商解决不成、不愿提请争议评审或不接受争议评审组意见的，约定的合同争议解决方式 ：</w:t>
      </w:r>
      <w:r>
        <w:rPr>
          <w:rFonts w:ascii="宋体" w:hAnsi="宋体" w:eastAsia="宋体"/>
          <w:szCs w:val="21"/>
        </w:rPr>
        <w:t>在争议提交调解之日起30日内，双方仍存有争议时，或合同任何一方不同意调解的，</w:t>
      </w:r>
      <w:r>
        <w:rPr>
          <w:rFonts w:hint="eastAsia" w:ascii="宋体" w:hAnsi="宋体" w:eastAsia="宋体"/>
          <w:szCs w:val="21"/>
        </w:rPr>
        <w:t>可</w:t>
      </w:r>
      <w:r>
        <w:rPr>
          <w:rFonts w:ascii="宋体" w:hAnsi="宋体" w:eastAsia="宋体"/>
          <w:szCs w:val="21"/>
        </w:rPr>
        <w:t>向</w:t>
      </w:r>
      <w:r>
        <w:rPr>
          <w:rFonts w:hint="eastAsia" w:ascii="宋体" w:hAnsi="宋体" w:eastAsia="宋体"/>
          <w:szCs w:val="21"/>
        </w:rPr>
        <w:t>咸宁</w:t>
      </w:r>
      <w:r>
        <w:rPr>
          <w:rFonts w:hint="eastAsia" w:ascii="宋体" w:hAnsi="宋体" w:eastAsia="宋体"/>
          <w:szCs w:val="21"/>
          <w:lang w:eastAsia="zh-CN"/>
        </w:rPr>
        <w:t>市</w:t>
      </w:r>
      <w:r>
        <w:rPr>
          <w:rFonts w:hint="eastAsia" w:ascii="宋体" w:hAnsi="宋体" w:eastAsia="宋体"/>
          <w:szCs w:val="21"/>
        </w:rPr>
        <w:t>法院</w:t>
      </w:r>
      <w:r>
        <w:rPr>
          <w:rFonts w:ascii="宋体" w:hAnsi="宋体" w:eastAsia="宋体"/>
          <w:szCs w:val="21"/>
        </w:rPr>
        <w:t>提起</w:t>
      </w:r>
      <w:r>
        <w:rPr>
          <w:rFonts w:hint="eastAsia" w:ascii="宋体" w:hAnsi="宋体" w:eastAsia="宋体"/>
          <w:szCs w:val="21"/>
        </w:rPr>
        <w:t>诉讼</w:t>
      </w:r>
      <w:r>
        <w:rPr>
          <w:rFonts w:ascii="宋体" w:hAnsi="宋体" w:eastAsia="宋体"/>
          <w:szCs w:val="21"/>
        </w:rPr>
        <w:t>。</w:t>
      </w:r>
      <w:r>
        <w:rPr>
          <w:rFonts w:eastAsia="宋体"/>
        </w:rPr>
        <w:t xml:space="preserve"> 　　　　　　　　　　　　　　　　　　　</w:t>
      </w:r>
    </w:p>
    <w:p w14:paraId="5EF6B4F9">
      <w:pPr>
        <w:keepNext/>
        <w:keepLines/>
        <w:spacing w:before="120" w:beforeLines="50" w:line="440" w:lineRule="exact"/>
        <w:outlineLvl w:val="0"/>
        <w:rPr>
          <w:rFonts w:ascii="黑体" w:hAnsi="黑体" w:eastAsia="黑体"/>
        </w:rPr>
      </w:pPr>
      <w:r>
        <w:rPr>
          <w:rFonts w:ascii="黑体" w:hAnsi="黑体" w:eastAsia="黑体"/>
        </w:rPr>
        <w:t>24.3 争议评审</w:t>
      </w:r>
    </w:p>
    <w:p w14:paraId="02E093D2">
      <w:pPr>
        <w:spacing w:line="440" w:lineRule="exact"/>
        <w:rPr>
          <w:rFonts w:eastAsia="宋体"/>
          <w:szCs w:val="21"/>
          <w:u w:val="single"/>
        </w:rPr>
      </w:pPr>
      <w:r>
        <w:rPr>
          <w:rFonts w:eastAsia="宋体"/>
        </w:rPr>
        <w:t>24.3.4</w:t>
      </w:r>
      <w:r>
        <w:rPr>
          <w:rFonts w:eastAsia="宋体"/>
          <w:szCs w:val="21"/>
        </w:rPr>
        <w:t>调查会的约定：</w:t>
      </w:r>
    </w:p>
    <w:p w14:paraId="058D7DA4">
      <w:pPr>
        <w:spacing w:line="440" w:lineRule="exact"/>
        <w:rPr>
          <w:rFonts w:eastAsia="宋体"/>
          <w:u w:val="single"/>
        </w:rPr>
      </w:pPr>
      <w:r>
        <w:rPr>
          <w:rFonts w:eastAsia="宋体"/>
        </w:rPr>
        <w:t>24.3.5 评审意见的约定：</w:t>
      </w:r>
    </w:p>
    <w:p w14:paraId="40FE180F">
      <w:pPr>
        <w:keepNext/>
        <w:keepLines/>
        <w:spacing w:before="48" w:beforeLines="20" w:line="440" w:lineRule="exact"/>
        <w:outlineLvl w:val="0"/>
        <w:rPr>
          <w:rFonts w:ascii="Arial" w:hAnsi="Arial" w:eastAsia="黑体"/>
          <w:b/>
          <w:bCs w:val="0"/>
          <w:sz w:val="24"/>
          <w:szCs w:val="32"/>
        </w:rPr>
      </w:pPr>
      <w:r>
        <w:rPr>
          <w:rFonts w:ascii="Arial" w:hAnsi="Arial" w:eastAsia="黑体"/>
          <w:b/>
          <w:bCs w:val="0"/>
          <w:sz w:val="24"/>
          <w:szCs w:val="32"/>
        </w:rPr>
        <w:t xml:space="preserve">25. </w:t>
      </w:r>
      <w:r>
        <w:rPr>
          <w:rFonts w:hint="eastAsia" w:ascii="Arial" w:hAnsi="Arial" w:eastAsia="黑体"/>
          <w:b/>
          <w:bCs w:val="0"/>
          <w:sz w:val="24"/>
          <w:szCs w:val="32"/>
        </w:rPr>
        <w:t>合同份数</w:t>
      </w:r>
    </w:p>
    <w:p w14:paraId="7B195CED">
      <w:pPr>
        <w:spacing w:line="440" w:lineRule="exact"/>
        <w:rPr>
          <w:rFonts w:eastAsia="宋体"/>
        </w:rPr>
      </w:pPr>
      <w:r>
        <w:rPr>
          <w:rFonts w:hint="eastAsia" w:ascii="宋体" w:hAnsi="宋体" w:eastAsia="宋体"/>
          <w:szCs w:val="21"/>
        </w:rPr>
        <w:t>本合同正本一式：</w:t>
      </w:r>
      <w:r>
        <w:rPr>
          <w:rFonts w:hint="eastAsia" w:ascii="宋体" w:hAnsi="宋体" w:eastAsia="宋体"/>
          <w:szCs w:val="21"/>
          <w:u w:val="single"/>
        </w:rPr>
        <w:t xml:space="preserve"> 二份 </w:t>
      </w:r>
      <w:r>
        <w:rPr>
          <w:rFonts w:hint="eastAsia" w:ascii="宋体" w:hAnsi="宋体" w:eastAsia="宋体"/>
          <w:szCs w:val="21"/>
        </w:rPr>
        <w:t>，合同副本一式：</w:t>
      </w:r>
      <w:r>
        <w:rPr>
          <w:rFonts w:hint="eastAsia" w:ascii="宋体" w:hAnsi="宋体" w:eastAsia="宋体"/>
          <w:szCs w:val="21"/>
          <w:u w:val="single"/>
        </w:rPr>
        <w:t xml:space="preserve"> 八份 </w:t>
      </w:r>
      <w:r>
        <w:rPr>
          <w:rFonts w:hint="eastAsia" w:ascii="宋体" w:hAnsi="宋体" w:eastAsia="宋体"/>
          <w:szCs w:val="21"/>
        </w:rPr>
        <w:t>。合同双方各持的正本份数：</w:t>
      </w:r>
      <w:r>
        <w:rPr>
          <w:rFonts w:hint="eastAsia" w:ascii="宋体" w:hAnsi="宋体" w:eastAsia="宋体"/>
          <w:szCs w:val="21"/>
          <w:u w:val="single"/>
        </w:rPr>
        <w:t xml:space="preserve"> 一份 </w:t>
      </w:r>
      <w:r>
        <w:rPr>
          <w:rFonts w:hint="eastAsia" w:ascii="宋体" w:hAnsi="宋体" w:eastAsia="宋体"/>
          <w:szCs w:val="21"/>
        </w:rPr>
        <w:t>，副本份数：</w:t>
      </w:r>
      <w:r>
        <w:rPr>
          <w:rFonts w:hint="eastAsia" w:ascii="宋体" w:hAnsi="宋体" w:eastAsia="宋体"/>
          <w:szCs w:val="21"/>
          <w:u w:val="single"/>
        </w:rPr>
        <w:t xml:space="preserve">四份 </w:t>
      </w:r>
      <w:r>
        <w:rPr>
          <w:rFonts w:hint="eastAsia" w:ascii="宋体" w:hAnsi="宋体" w:eastAsia="宋体"/>
          <w:szCs w:val="21"/>
        </w:rPr>
        <w:t>。</w:t>
      </w:r>
    </w:p>
    <w:p w14:paraId="5348E97A">
      <w:pPr>
        <w:keepNext/>
        <w:keepLines/>
        <w:widowControl/>
        <w:spacing w:before="48" w:beforeLines="20" w:line="440" w:lineRule="exact"/>
        <w:jc w:val="left"/>
        <w:outlineLvl w:val="0"/>
        <w:rPr>
          <w:rFonts w:ascii="宋体" w:hAnsi="宋体" w:eastAsia="宋体" w:cs="宋体"/>
          <w:kern w:val="0"/>
          <w:szCs w:val="21"/>
          <w:lang w:bidi="ar"/>
        </w:rPr>
      </w:pPr>
      <w:r>
        <w:rPr>
          <w:rFonts w:hint="eastAsia" w:ascii="Arial" w:hAnsi="Arial" w:eastAsia="黑体"/>
          <w:b/>
          <w:bCs w:val="0"/>
          <w:sz w:val="24"/>
          <w:szCs w:val="32"/>
        </w:rPr>
        <w:t>2</w:t>
      </w:r>
      <w:r>
        <w:rPr>
          <w:rFonts w:ascii="Arial" w:hAnsi="Arial" w:eastAsia="黑体"/>
          <w:b/>
          <w:bCs w:val="0"/>
          <w:sz w:val="24"/>
          <w:szCs w:val="32"/>
        </w:rPr>
        <w:t>6.</w:t>
      </w:r>
      <w:r>
        <w:rPr>
          <w:rFonts w:hint="eastAsia" w:ascii="Arial" w:hAnsi="Arial" w:eastAsia="黑体"/>
          <w:b/>
          <w:bCs w:val="0"/>
          <w:sz w:val="24"/>
          <w:szCs w:val="32"/>
        </w:rPr>
        <w:t>补充条款</w:t>
      </w:r>
    </w:p>
    <w:p w14:paraId="36C27A1C">
      <w:pPr>
        <w:spacing w:line="440" w:lineRule="exact"/>
        <w:rPr>
          <w:rFonts w:ascii="宋体" w:hAnsi="宋体" w:eastAsia="宋体"/>
          <w:b/>
          <w:bCs/>
          <w:szCs w:val="21"/>
        </w:rPr>
      </w:pPr>
      <w:r>
        <w:rPr>
          <w:rFonts w:hint="eastAsia" w:ascii="黑体" w:hAnsi="黑体" w:eastAsia="黑体" w:cs="黑体"/>
        </w:rPr>
        <w:t>26.</w:t>
      </w:r>
      <w:r>
        <w:rPr>
          <w:rFonts w:hint="eastAsia" w:ascii="黑体" w:hAnsi="黑体" w:eastAsia="黑体" w:cs="黑体"/>
          <w:lang w:val="en-US" w:eastAsia="zh-CN"/>
        </w:rPr>
        <w:t>1</w:t>
      </w:r>
      <w:r>
        <w:rPr>
          <w:rFonts w:hint="eastAsia" w:ascii="黑体" w:hAnsi="黑体" w:eastAsia="黑体" w:cs="黑体"/>
          <w:b/>
          <w:bCs/>
          <w:szCs w:val="21"/>
        </w:rPr>
        <w:t>工程资料的要求：</w:t>
      </w:r>
    </w:p>
    <w:p w14:paraId="2B4C3C12">
      <w:pPr>
        <w:spacing w:line="440" w:lineRule="exact"/>
        <w:rPr>
          <w:rFonts w:ascii="宋体" w:hAnsi="宋体" w:eastAsia="宋体" w:cs="宋体"/>
          <w:szCs w:val="21"/>
        </w:rPr>
      </w:pPr>
      <w:r>
        <w:rPr>
          <w:rFonts w:hint="eastAsia" w:ascii="宋体" w:hAnsi="宋体" w:eastAsia="宋体" w:cs="宋体"/>
          <w:szCs w:val="21"/>
        </w:rPr>
        <w:t>（1）所有分包单位的工程资料应由总承包人审核确认后报送到监理单位审查；</w:t>
      </w:r>
    </w:p>
    <w:p w14:paraId="27FF6090">
      <w:pPr>
        <w:spacing w:line="440" w:lineRule="exact"/>
        <w:rPr>
          <w:rFonts w:ascii="宋体" w:hAnsi="宋体" w:eastAsia="宋体" w:cs="宋体"/>
          <w:szCs w:val="21"/>
        </w:rPr>
      </w:pPr>
      <w:r>
        <w:rPr>
          <w:rFonts w:hint="eastAsia" w:ascii="宋体" w:hAnsi="宋体" w:eastAsia="宋体" w:cs="宋体"/>
          <w:szCs w:val="21"/>
        </w:rPr>
        <w:t>（2）总承包人负责收集、整理、汇总各分包单位的工程资料；</w:t>
      </w:r>
    </w:p>
    <w:p w14:paraId="36A53E3A">
      <w:pPr>
        <w:spacing w:line="440" w:lineRule="exact"/>
        <w:rPr>
          <w:rFonts w:ascii="宋体" w:hAnsi="宋体" w:eastAsia="宋体" w:cs="宋体"/>
          <w:szCs w:val="21"/>
        </w:rPr>
      </w:pPr>
      <w:r>
        <w:rPr>
          <w:rFonts w:hint="eastAsia" w:ascii="宋体" w:hAnsi="宋体" w:eastAsia="宋体" w:cs="宋体"/>
          <w:szCs w:val="21"/>
        </w:rPr>
        <w:t>（3）工程资料应随工程进度</w:t>
      </w:r>
      <w:r>
        <w:rPr>
          <w:rFonts w:hint="eastAsia" w:ascii="宋体" w:hAnsi="宋体" w:eastAsia="宋体" w:cs="宋体"/>
          <w:szCs w:val="21"/>
          <w:lang w:eastAsia="zh-CN"/>
        </w:rPr>
        <w:t>同步</w:t>
      </w:r>
      <w:r>
        <w:rPr>
          <w:rFonts w:hint="eastAsia" w:ascii="宋体" w:hAnsi="宋体" w:eastAsia="宋体" w:cs="宋体"/>
          <w:szCs w:val="21"/>
        </w:rPr>
        <w:t>收集、整理、并按专业分类且应齐全、完整，必须真实准确，与工程实际相符合；</w:t>
      </w:r>
    </w:p>
    <w:p w14:paraId="15AA84A4">
      <w:pPr>
        <w:spacing w:line="440" w:lineRule="exact"/>
        <w:rPr>
          <w:rFonts w:ascii="宋体" w:hAnsi="宋体" w:eastAsia="宋体" w:cs="宋体"/>
          <w:szCs w:val="21"/>
        </w:rPr>
      </w:pPr>
      <w:r>
        <w:rPr>
          <w:rFonts w:hint="eastAsia" w:ascii="宋体" w:hAnsi="宋体" w:eastAsia="宋体" w:cs="宋体"/>
          <w:szCs w:val="21"/>
        </w:rPr>
        <w:t>（4）工程资料不得进行涂改、伪造、随意抽撤；</w:t>
      </w:r>
    </w:p>
    <w:p w14:paraId="59A0236F">
      <w:pPr>
        <w:spacing w:line="440" w:lineRule="exact"/>
        <w:rPr>
          <w:rFonts w:ascii="宋体" w:hAnsi="宋体" w:eastAsia="宋体" w:cs="宋体"/>
          <w:szCs w:val="21"/>
        </w:rPr>
      </w:pPr>
      <w:r>
        <w:rPr>
          <w:rFonts w:hint="eastAsia" w:ascii="宋体" w:hAnsi="宋体" w:eastAsia="宋体" w:cs="宋体"/>
          <w:szCs w:val="21"/>
        </w:rPr>
        <w:t>（5）工程竣</w:t>
      </w:r>
      <w:r>
        <w:rPr>
          <w:rFonts w:hint="eastAsia" w:ascii="宋体" w:hAnsi="宋体" w:eastAsia="宋体" w:cs="宋体"/>
          <w:szCs w:val="21"/>
          <w:lang w:eastAsia="zh-CN"/>
        </w:rPr>
        <w:t>（交）</w:t>
      </w:r>
      <w:r>
        <w:rPr>
          <w:rFonts w:hint="eastAsia" w:ascii="宋体" w:hAnsi="宋体" w:eastAsia="宋体" w:cs="宋体"/>
          <w:szCs w:val="21"/>
        </w:rPr>
        <w:t>工验收前，承包人应按承包合同中约定的份数和规定时间向发包人提交完整、准确、经总承包人的项目总工审批并经监理单位审查的工程竣工资料，并对工程竣工资料的真实性、完整性和有效性负责；</w:t>
      </w:r>
    </w:p>
    <w:p w14:paraId="3C8C6027">
      <w:pPr>
        <w:spacing w:line="440" w:lineRule="exact"/>
        <w:rPr>
          <w:rFonts w:ascii="宋体" w:hAnsi="宋体" w:eastAsia="宋体" w:cs="宋体"/>
          <w:szCs w:val="21"/>
        </w:rPr>
      </w:pPr>
      <w:r>
        <w:rPr>
          <w:rFonts w:hint="eastAsia" w:ascii="宋体" w:hAnsi="宋体" w:eastAsia="宋体" w:cs="宋体"/>
          <w:szCs w:val="21"/>
        </w:rPr>
        <w:t>（6）归档的工程资料应为原件，工程资料应字迹清楚、图样清晰、图标整洁、签字盖章手续完备；</w:t>
      </w:r>
    </w:p>
    <w:p w14:paraId="0482E67E">
      <w:pPr>
        <w:spacing w:line="440" w:lineRule="exact"/>
        <w:rPr>
          <w:rFonts w:hint="eastAsia" w:ascii="宋体" w:hAnsi="宋体" w:eastAsia="宋体" w:cs="宋体"/>
          <w:szCs w:val="21"/>
        </w:rPr>
      </w:pPr>
      <w:r>
        <w:rPr>
          <w:rFonts w:hint="eastAsia" w:ascii="宋体" w:hAnsi="宋体" w:eastAsia="宋体" w:cs="宋体"/>
          <w:szCs w:val="21"/>
        </w:rPr>
        <w:t>（7）建设工程资料除必须符合</w:t>
      </w:r>
      <w:r>
        <w:rPr>
          <w:rFonts w:hint="eastAsia" w:ascii="宋体" w:hAnsi="宋体" w:eastAsia="宋体" w:cs="宋体"/>
          <w:i w:val="0"/>
          <w:iCs w:val="0"/>
          <w:caps w:val="0"/>
          <w:color w:val="0F1115"/>
          <w:spacing w:val="0"/>
          <w:sz w:val="21"/>
          <w:szCs w:val="21"/>
          <w:highlight w:val="none"/>
          <w:shd w:val="clear" w:color="auto" w:fill="auto"/>
        </w:rPr>
        <w:t>公路工程竣工文件材料立卷归档</w:t>
      </w:r>
      <w:r>
        <w:rPr>
          <w:rFonts w:hint="eastAsia" w:ascii="宋体" w:hAnsi="宋体" w:eastAsia="宋体" w:cs="宋体"/>
          <w:i w:val="0"/>
          <w:iCs w:val="0"/>
          <w:caps w:val="0"/>
          <w:color w:val="0F1115"/>
          <w:spacing w:val="0"/>
          <w:sz w:val="21"/>
          <w:szCs w:val="21"/>
          <w:shd w:val="clear" w:color="auto" w:fill="auto"/>
        </w:rPr>
        <w:t>管理办法</w:t>
      </w:r>
      <w:r>
        <w:rPr>
          <w:rFonts w:hint="eastAsia" w:ascii="宋体" w:hAnsi="宋体" w:eastAsia="宋体" w:cs="宋体"/>
          <w:szCs w:val="21"/>
        </w:rPr>
        <w:t>文件编制归档规程的相关规定外，还必须满足发包人的其他相关要求。</w:t>
      </w:r>
    </w:p>
    <w:p w14:paraId="0B7793DD">
      <w:pPr>
        <w:keepNext/>
        <w:keepLines/>
        <w:spacing w:line="440" w:lineRule="exact"/>
        <w:outlineLvl w:val="0"/>
        <w:rPr>
          <w:rFonts w:ascii="黑体" w:hAnsi="黑体" w:eastAsia="黑体"/>
        </w:rPr>
      </w:pPr>
      <w:r>
        <w:rPr>
          <w:rFonts w:hint="eastAsia" w:ascii="黑体" w:hAnsi="黑体" w:eastAsia="黑体"/>
        </w:rPr>
        <w:t>2</w:t>
      </w:r>
      <w:r>
        <w:rPr>
          <w:rFonts w:ascii="黑体" w:hAnsi="黑体" w:eastAsia="黑体"/>
        </w:rPr>
        <w:t>6.6其他</w:t>
      </w:r>
    </w:p>
    <w:p w14:paraId="36061597">
      <w:pPr>
        <w:numPr>
          <w:ilvl w:val="0"/>
          <w:numId w:val="9"/>
        </w:numPr>
        <w:spacing w:line="440" w:lineRule="exact"/>
        <w:rPr>
          <w:rFonts w:hint="eastAsia" w:ascii="宋体" w:hAnsi="宋体" w:eastAsia="宋体"/>
          <w:szCs w:val="21"/>
        </w:rPr>
      </w:pPr>
      <w:r>
        <w:rPr>
          <w:rFonts w:hint="eastAsia" w:ascii="宋体" w:hAnsi="宋体" w:eastAsia="宋体"/>
          <w:szCs w:val="21"/>
        </w:rPr>
        <w:t>投标人须严格按照发包人提供的招标文件及发包人要求完成所有招标内容。投标人在符合相关规范、标准和要求的前提下，可结合自身施工、设计经验进行工程设计。由承包方负责设计深化、缺陷完善及施工图设计等，以及承担所需全部费用。</w:t>
      </w:r>
    </w:p>
    <w:p w14:paraId="3274B380">
      <w:pPr>
        <w:numPr>
          <w:ilvl w:val="0"/>
          <w:numId w:val="9"/>
        </w:numPr>
        <w:spacing w:line="440" w:lineRule="exact"/>
        <w:rPr>
          <w:rFonts w:ascii="宋体" w:hAnsi="宋体" w:eastAsia="宋体"/>
          <w:szCs w:val="21"/>
        </w:rPr>
      </w:pPr>
      <w:r>
        <w:rPr>
          <w:rFonts w:hint="eastAsia" w:ascii="宋体" w:hAnsi="宋体" w:eastAsia="宋体"/>
          <w:szCs w:val="21"/>
        </w:rPr>
        <w:t>承包人应履行与目标工程相关的各项采购合同及劳务关系，相关纠纷由承包人自行处理，不得影响项目目标及发包人，如因承包人相关仲裁或诉讼造成目标工程被查封或相关账户及款项被冻结、强制执行的，</w:t>
      </w:r>
      <w:r>
        <w:rPr>
          <w:rFonts w:ascii="宋体" w:hAnsi="宋体" w:eastAsia="宋体"/>
          <w:szCs w:val="21"/>
        </w:rPr>
        <w:t>一切后果概由承包人承担，并由承包人向发包人承担违约责任，赔偿相应损失。</w:t>
      </w:r>
    </w:p>
    <w:p w14:paraId="735A3505">
      <w:pPr>
        <w:spacing w:line="440" w:lineRule="exact"/>
        <w:rPr>
          <w:rFonts w:ascii="宋体" w:hAnsi="宋体" w:eastAsia="宋体"/>
          <w:szCs w:val="21"/>
        </w:rPr>
      </w:pPr>
      <w:r>
        <w:rPr>
          <w:rFonts w:hint="eastAsia" w:ascii="宋体" w:hAnsi="宋体" w:eastAsia="宋体"/>
          <w:szCs w:val="21"/>
        </w:rPr>
        <w:t>（3）</w:t>
      </w:r>
      <w:r>
        <w:rPr>
          <w:rFonts w:ascii="宋体" w:hAnsi="宋体" w:eastAsia="宋体"/>
          <w:szCs w:val="21"/>
        </w:rPr>
        <w:t>发包人在使用本合同项下的工程和服务时，免受由于承包人的工程设计、制造、施工或使用设备、材料等原因导致的专利权、商标权或工业设计权等知识产权的任何侵权或索赔引起的损害。若因上述知识产权发生的争议及纠纷，由承包人承担全部责任，包括但不限于处理索赔或参加诉讼、承担被索赔的款项、诉讼费用、律师费用和其他法律责任，发包人对此不承担任何责任。</w:t>
      </w:r>
    </w:p>
    <w:p w14:paraId="7D6EB826">
      <w:pPr>
        <w:spacing w:line="440" w:lineRule="exact"/>
        <w:rPr>
          <w:rFonts w:ascii="宋体" w:hAnsi="宋体" w:eastAsia="宋体"/>
          <w:szCs w:val="21"/>
        </w:rPr>
      </w:pPr>
      <w:r>
        <w:rPr>
          <w:rFonts w:hint="eastAsia" w:ascii="宋体" w:hAnsi="宋体" w:eastAsia="宋体"/>
          <w:szCs w:val="21"/>
        </w:rPr>
        <w:t>（4）</w:t>
      </w:r>
      <w:r>
        <w:rPr>
          <w:rFonts w:ascii="宋体" w:hAnsi="宋体" w:eastAsia="宋体"/>
          <w:szCs w:val="21"/>
        </w:rPr>
        <w:t>承包人报审每期月报要提交同期月报计量中反映的临时工程、隐蔽（签证）工程、施工措施、变更项目及关键工序的照片，工程进度月报须附有与当期重要节点工程、隐蔽工程相匹配的照片，照片与月报同册装订，作为月报附件资料。</w:t>
      </w:r>
    </w:p>
    <w:p w14:paraId="6910AF56">
      <w:pPr>
        <w:spacing w:line="440" w:lineRule="exact"/>
        <w:rPr>
          <w:rFonts w:ascii="宋体" w:hAnsi="宋体" w:eastAsia="宋体"/>
          <w:szCs w:val="21"/>
        </w:rPr>
      </w:pPr>
      <w:r>
        <w:rPr>
          <w:rFonts w:hint="eastAsia" w:ascii="宋体" w:hAnsi="宋体" w:eastAsia="宋体"/>
          <w:szCs w:val="21"/>
        </w:rPr>
        <w:t>（5）</w:t>
      </w:r>
      <w:r>
        <w:rPr>
          <w:rFonts w:ascii="宋体" w:hAnsi="宋体" w:eastAsia="宋体"/>
          <w:szCs w:val="21"/>
        </w:rPr>
        <w:t>工程结算时，承包人需提供记录进场前、施工过程中及完工后的录像和照片，并复制在U盘中。承包人未经发包人同意，不得擅自对外发布本工程相关信息。</w:t>
      </w:r>
    </w:p>
    <w:p w14:paraId="7DDCBBF9">
      <w:pPr>
        <w:spacing w:line="440" w:lineRule="exact"/>
        <w:rPr>
          <w:rFonts w:ascii="宋体" w:hAnsi="宋体" w:eastAsia="宋体"/>
          <w:szCs w:val="21"/>
        </w:rPr>
      </w:pPr>
      <w:r>
        <w:rPr>
          <w:rFonts w:hint="eastAsia" w:ascii="宋体" w:hAnsi="宋体" w:eastAsia="宋体"/>
          <w:szCs w:val="21"/>
        </w:rPr>
        <w:t>（6）</w:t>
      </w:r>
      <w:r>
        <w:rPr>
          <w:rFonts w:ascii="宋体" w:hAnsi="宋体" w:eastAsia="宋体"/>
          <w:szCs w:val="21"/>
        </w:rPr>
        <w:t>承包人须在合同竣工日期前完成设计范围内的所有工作内容及竣工资料，具备竣工验收条件，完成竣工验收。</w:t>
      </w:r>
    </w:p>
    <w:p w14:paraId="57846F44">
      <w:pPr>
        <w:widowControl/>
        <w:spacing w:line="440" w:lineRule="exact"/>
        <w:jc w:val="left"/>
        <w:rPr>
          <w:rFonts w:ascii="宋体" w:hAnsi="宋体" w:eastAsia="宋体"/>
          <w:szCs w:val="21"/>
        </w:rPr>
      </w:pPr>
      <w:r>
        <w:rPr>
          <w:rFonts w:hint="eastAsia" w:ascii="宋体" w:hAnsi="宋体" w:eastAsia="宋体"/>
          <w:szCs w:val="21"/>
        </w:rPr>
        <w:t>（7）</w:t>
      </w:r>
      <w:r>
        <w:rPr>
          <w:rFonts w:hint="eastAsia" w:ascii="宋体" w:hAnsi="宋体" w:eastAsia="宋体" w:cs="宋体"/>
          <w:kern w:val="0"/>
          <w:szCs w:val="21"/>
          <w:lang w:bidi="ar"/>
        </w:rPr>
        <w:t>工程竣工未移交前，承包人负责对施工范围内现场的一切施工和工程成品进行保护，承担未交付发包人之前发生损坏的修复费用，接受发包方对部分工程采取特殊保护措施的要求。</w:t>
      </w:r>
      <w:r>
        <w:rPr>
          <w:rFonts w:ascii="宋体" w:hAnsi="宋体" w:eastAsia="宋体"/>
          <w:szCs w:val="21"/>
        </w:rPr>
        <w:t>承包人施工质量不能满足移交、接管单位标准要求的，由此产生的移交接管费用由承包人自行承担。</w:t>
      </w:r>
    </w:p>
    <w:p w14:paraId="3E2829AA">
      <w:pPr>
        <w:tabs>
          <w:tab w:val="left" w:pos="840"/>
          <w:tab w:val="left" w:pos="1050"/>
          <w:tab w:val="left" w:pos="1260"/>
        </w:tabs>
        <w:spacing w:line="440" w:lineRule="exact"/>
        <w:rPr>
          <w:rFonts w:ascii="宋体" w:hAnsi="宋体" w:eastAsia="宋体"/>
          <w:szCs w:val="21"/>
        </w:rPr>
      </w:pPr>
      <w:r>
        <w:rPr>
          <w:rFonts w:hint="eastAsia" w:ascii="宋体" w:hAnsi="宋体" w:eastAsia="宋体"/>
          <w:szCs w:val="21"/>
        </w:rPr>
        <w:t>（8）承包人应于竣工验收合格后按期完成备案手续，并及时办理工程资料</w:t>
      </w:r>
      <w:r>
        <w:rPr>
          <w:rFonts w:hint="eastAsia" w:ascii="宋体" w:hAnsi="宋体" w:eastAsia="宋体"/>
          <w:szCs w:val="21"/>
          <w:lang w:eastAsia="zh-CN"/>
        </w:rPr>
        <w:t>专项</w:t>
      </w:r>
      <w:r>
        <w:rPr>
          <w:rFonts w:hint="eastAsia" w:ascii="宋体" w:hAnsi="宋体" w:eastAsia="宋体"/>
          <w:szCs w:val="21"/>
        </w:rPr>
        <w:t>验收和移交。</w:t>
      </w:r>
    </w:p>
    <w:p w14:paraId="5F8234E0">
      <w:pPr>
        <w:spacing w:line="440" w:lineRule="exact"/>
        <w:rPr>
          <w:rFonts w:hint="eastAsia" w:ascii="宋体" w:hAnsi="宋体" w:eastAsia="宋体"/>
          <w:szCs w:val="21"/>
        </w:rPr>
      </w:pPr>
      <w:r>
        <w:rPr>
          <w:rFonts w:hint="eastAsia" w:ascii="宋体" w:hAnsi="宋体" w:eastAsia="宋体" w:cs="宋体"/>
          <w:kern w:val="0"/>
          <w:sz w:val="24"/>
          <w:lang w:bidi="ar"/>
        </w:rPr>
        <w:t>（</w:t>
      </w:r>
      <w:r>
        <w:rPr>
          <w:rFonts w:hint="eastAsia" w:ascii="宋体" w:hAnsi="宋体" w:eastAsia="宋体"/>
          <w:szCs w:val="21"/>
        </w:rPr>
        <w:t xml:space="preserve">9）承包人应编制科学合理进度计划并配置充足资源保障进度目标实现，发包人有权对施工现场进行进度及质量安全检查，并对事实存在的相关问题提出整改意见；承包人拒不接受整改意见、或整改不力造成工期严重滞后或严重质量安全问题的，发包人有权组织其他施工力量完成相关工作，由此而发生的所有费用和损失由承包人承担。 </w:t>
      </w:r>
    </w:p>
    <w:p w14:paraId="507C6D2B">
      <w:pPr>
        <w:spacing w:line="440" w:lineRule="exact"/>
        <w:rPr>
          <w:rFonts w:hint="eastAsia" w:ascii="宋体" w:hAnsi="宋体" w:eastAsia="宋体"/>
          <w:szCs w:val="21"/>
        </w:rPr>
      </w:pPr>
      <w:r>
        <w:rPr>
          <w:rFonts w:hint="eastAsia" w:ascii="宋体" w:hAnsi="宋体" w:eastAsia="宋体"/>
          <w:szCs w:val="21"/>
        </w:rPr>
        <w:t xml:space="preserve">（10）本合同条款出现正本与副本不一致的地方，以正本为准；出现承包人所持合同文本条款与发包人所持合同文本条款不一致的地方，以发包人所持合同正本为准。发包人保留对合同条款的最终解释权，出现专用条款与其他条款有冲突部分以专用条款为准。 </w:t>
      </w:r>
    </w:p>
    <w:p w14:paraId="6AEDB33E">
      <w:pPr>
        <w:spacing w:line="440" w:lineRule="exact"/>
        <w:rPr>
          <w:rFonts w:ascii="宋体" w:hAnsi="宋体" w:eastAsia="宋体"/>
          <w:szCs w:val="21"/>
        </w:rPr>
      </w:pPr>
      <w:r>
        <w:rPr>
          <w:rFonts w:hint="eastAsia" w:ascii="宋体" w:hAnsi="宋体" w:eastAsia="宋体"/>
          <w:szCs w:val="21"/>
        </w:rPr>
        <w:t>（11）本合同所有涉及到的经费均为人民币。</w:t>
      </w:r>
    </w:p>
    <w:p w14:paraId="29D541E1">
      <w:pPr>
        <w:widowControl w:val="0"/>
        <w:spacing w:after="120" w:line="440" w:lineRule="exact"/>
        <w:jc w:val="both"/>
        <w:rPr>
          <w:rFonts w:hint="eastAsia" w:ascii="Calibri" w:hAnsi="Calibri" w:eastAsia="宋体" w:cs="Times New Roman"/>
          <w:kern w:val="2"/>
          <w:sz w:val="21"/>
          <w:szCs w:val="22"/>
          <w:lang w:val="en-US" w:eastAsia="zh-CN" w:bidi="ar-SA"/>
        </w:rPr>
      </w:pPr>
      <w:r>
        <w:rPr>
          <w:rFonts w:hint="eastAsia" w:ascii="Calibri" w:hAnsi="Calibri" w:eastAsia="宋体" w:cs="Times New Roman"/>
          <w:kern w:val="2"/>
          <w:sz w:val="21"/>
          <w:szCs w:val="21"/>
          <w:lang w:val="en-US" w:eastAsia="zh-CN" w:bidi="ar-SA"/>
        </w:rPr>
        <w:t>（12）未合同未尽事宜，双方协商解决，并签订补充协议。</w:t>
      </w:r>
    </w:p>
    <w:bookmarkEnd w:id="306"/>
    <w:p w14:paraId="70593076">
      <w:pPr>
        <w:widowControl/>
        <w:adjustRightInd w:val="0"/>
        <w:snapToGrid w:val="0"/>
        <w:spacing w:line="360" w:lineRule="auto"/>
        <w:ind w:firstLine="480" w:firstLineChars="200"/>
        <w:jc w:val="left"/>
        <w:rPr>
          <w:rFonts w:hint="default" w:ascii="Times New Roman" w:hAnsi="Times New Roman" w:cs="Times New Roman"/>
          <w:color w:val="000000"/>
          <w:sz w:val="24"/>
          <w:szCs w:val="24"/>
          <w:lang w:bidi="ar"/>
        </w:rPr>
      </w:pPr>
    </w:p>
    <w:p w14:paraId="295D884E">
      <w:pPr>
        <w:pStyle w:val="26"/>
        <w:pageBreakBefore/>
        <w:numPr>
          <w:ilvl w:val="0"/>
          <w:numId w:val="4"/>
        </w:numPr>
        <w:ind w:firstLine="482"/>
        <w:rPr>
          <w:rFonts w:hint="default" w:ascii="Times New Roman" w:hAnsi="Times New Roman" w:cs="Times New Roman"/>
          <w:color w:val="000000"/>
        </w:rPr>
      </w:pPr>
      <w:bookmarkStart w:id="311" w:name="_Toc14401"/>
      <w:bookmarkStart w:id="312" w:name="_Toc491075859"/>
      <w:r>
        <w:rPr>
          <w:rFonts w:hint="default" w:ascii="Times New Roman" w:hAnsi="Times New Roman" w:cs="Times New Roman"/>
          <w:color w:val="000000"/>
        </w:rPr>
        <w:t xml:space="preserve"> </w:t>
      </w:r>
      <w:r>
        <w:rPr>
          <w:rFonts w:hint="default" w:ascii="Times New Roman" w:hAnsi="Times New Roman" w:cs="Times New Roman"/>
          <w:color w:val="000000"/>
          <w:lang w:eastAsia="zh-CN"/>
        </w:rPr>
        <w:t>发包人</w:t>
      </w:r>
      <w:r>
        <w:rPr>
          <w:rFonts w:hint="default" w:ascii="Times New Roman" w:hAnsi="Times New Roman" w:cs="Times New Roman"/>
          <w:color w:val="000000"/>
        </w:rPr>
        <w:t>要求</w:t>
      </w:r>
      <w:bookmarkEnd w:id="311"/>
      <w:bookmarkEnd w:id="312"/>
    </w:p>
    <w:p w14:paraId="463A2719">
      <w:pPr>
        <w:pStyle w:val="26"/>
        <w:pageBreakBefore/>
        <w:rPr>
          <w:rFonts w:hint="default" w:ascii="Times New Roman" w:hAnsi="Times New Roman" w:cs="Times New Roman"/>
          <w:color w:val="000000"/>
        </w:rPr>
      </w:pPr>
      <w:bookmarkStart w:id="313" w:name="_Toc11583"/>
      <w:r>
        <w:rPr>
          <w:rFonts w:hint="default" w:ascii="Times New Roman" w:hAnsi="Times New Roman" w:cs="Times New Roman"/>
          <w:color w:val="000000"/>
        </w:rPr>
        <w:t>第六章  图纸、资料、工程量清单（如有）</w:t>
      </w:r>
      <w:bookmarkEnd w:id="313"/>
    </w:p>
    <w:p w14:paraId="06938CDD">
      <w:pPr>
        <w:rPr>
          <w:rFonts w:hint="default" w:ascii="Times New Roman" w:hAnsi="Times New Roman" w:cs="Times New Roman"/>
          <w:color w:val="000000"/>
        </w:rPr>
      </w:pPr>
      <w:r>
        <w:rPr>
          <w:rFonts w:hint="default" w:ascii="Times New Roman" w:hAnsi="Times New Roman" w:cs="Times New Roman"/>
          <w:color w:val="000000"/>
        </w:rPr>
        <w:br w:type="page"/>
      </w:r>
    </w:p>
    <w:p w14:paraId="4C89213A">
      <w:pPr>
        <w:keepNext/>
        <w:keepLines/>
        <w:overflowPunct w:val="0"/>
        <w:adjustRightInd w:val="0"/>
        <w:snapToGrid w:val="0"/>
        <w:spacing w:before="340" w:after="330"/>
        <w:jc w:val="center"/>
        <w:rPr>
          <w:rFonts w:hint="default" w:ascii="Times New Roman" w:hAnsi="Times New Roman" w:eastAsia="新宋体" w:cs="Times New Roman"/>
          <w:b/>
          <w:color w:val="000000"/>
          <w:kern w:val="0"/>
          <w:sz w:val="32"/>
          <w:szCs w:val="32"/>
        </w:rPr>
      </w:pPr>
      <w:r>
        <w:rPr>
          <w:rFonts w:hint="default" w:ascii="Times New Roman" w:hAnsi="Times New Roman" w:eastAsia="新宋体" w:cs="Times New Roman"/>
          <w:b/>
          <w:color w:val="000000"/>
          <w:kern w:val="0"/>
          <w:sz w:val="32"/>
          <w:szCs w:val="32"/>
        </w:rPr>
        <w:t>工程量清单（如有）</w:t>
      </w:r>
    </w:p>
    <w:p w14:paraId="5D356961">
      <w:pPr>
        <w:rPr>
          <w:rFonts w:hint="default" w:ascii="Times New Roman" w:hAnsi="Times New Roman" w:cs="Times New Roman"/>
          <w:color w:val="000000"/>
        </w:rPr>
        <w:sectPr>
          <w:footerReference r:id="rId13" w:type="default"/>
          <w:pgSz w:w="11906" w:h="16838"/>
          <w:pgMar w:top="1440" w:right="1800" w:bottom="1440" w:left="1800" w:header="851" w:footer="992" w:gutter="0"/>
          <w:cols w:space="425" w:num="1"/>
          <w:docGrid w:type="lines" w:linePitch="312" w:charSpace="0"/>
        </w:sectPr>
      </w:pPr>
      <w:r>
        <w:rPr>
          <w:rFonts w:hint="default" w:ascii="Times New Roman" w:hAnsi="Times New Roman" w:cs="Times New Roman"/>
          <w:color w:val="000000"/>
        </w:rPr>
        <w:br w:type="page"/>
      </w:r>
    </w:p>
    <w:p w14:paraId="1A30ECB8">
      <w:pPr>
        <w:pStyle w:val="26"/>
        <w:pageBreakBefore/>
        <w:widowControl/>
        <w:ind w:firstLine="482"/>
        <w:rPr>
          <w:rFonts w:hint="default" w:ascii="Times New Roman" w:hAnsi="Times New Roman" w:cs="Times New Roman"/>
          <w:color w:val="000000"/>
        </w:rPr>
      </w:pPr>
      <w:r>
        <w:rPr>
          <w:rFonts w:hint="default" w:ascii="Times New Roman" w:hAnsi="Times New Roman" w:cs="Times New Roman"/>
          <w:color w:val="000000"/>
        </w:rPr>
        <w:t>第七章  投标文件格式</w:t>
      </w:r>
    </w:p>
    <w:p w14:paraId="1C99ED4F">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B0224B3">
      <w:pPr>
        <w:pStyle w:val="41"/>
        <w:outlineLvl w:val="1"/>
        <w:rPr>
          <w:rFonts w:hint="default" w:ascii="Times New Roman" w:hAnsi="Times New Roman" w:eastAsia="宋体" w:cs="Times New Roman"/>
          <w:color w:val="000000"/>
        </w:rPr>
      </w:pPr>
      <w:r>
        <w:rPr>
          <w:rFonts w:hint="default" w:ascii="Times New Roman" w:hAnsi="Times New Roman" w:eastAsia="宋体" w:cs="Times New Roman"/>
          <w:color w:val="000000"/>
        </w:rPr>
        <w:br w:type="page"/>
      </w:r>
    </w:p>
    <w:p w14:paraId="553CA8BC">
      <w:pPr>
        <w:pStyle w:val="16"/>
        <w:widowControl w:val="0"/>
        <w:spacing w:before="0" w:beforeAutospacing="0" w:after="0" w:afterAutospacing="0"/>
        <w:jc w:val="center"/>
        <w:rPr>
          <w:rFonts w:hint="default" w:ascii="Times New Roman" w:hAnsi="Times New Roman" w:cs="Times New Roman"/>
          <w:kern w:val="2"/>
          <w:sz w:val="32"/>
          <w:szCs w:val="32"/>
        </w:rPr>
      </w:pPr>
      <w:r>
        <w:rPr>
          <w:rFonts w:hint="default" w:ascii="Times New Roman" w:hAnsi="Times New Roman" w:cs="Times New Roman"/>
          <w:sz w:val="21"/>
          <w:szCs w:val="21"/>
          <w:u w:val="single"/>
          <w:lang w:bidi="ar"/>
        </w:rPr>
        <w:t xml:space="preserve">              </w:t>
      </w:r>
      <w:r>
        <w:rPr>
          <w:rFonts w:hint="default" w:ascii="Times New Roman" w:hAnsi="Times New Roman" w:cs="Times New Roman"/>
          <w:kern w:val="2"/>
          <w:sz w:val="28"/>
          <w:szCs w:val="28"/>
          <w:lang w:bidi="ar"/>
        </w:rPr>
        <w:t>(项目名称)</w:t>
      </w:r>
      <w:r>
        <w:rPr>
          <w:rFonts w:hint="default" w:ascii="Times New Roman" w:hAnsi="Times New Roman" w:cs="Times New Roman"/>
          <w:kern w:val="2"/>
          <w:sz w:val="32"/>
          <w:szCs w:val="32"/>
          <w:lang w:bidi="ar"/>
        </w:rPr>
        <w:t>____________________(标段/包名称)</w:t>
      </w:r>
    </w:p>
    <w:p w14:paraId="4BA700A8">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5077FCFA">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78C95293">
      <w:pPr>
        <w:pStyle w:val="16"/>
        <w:widowControl w:val="0"/>
        <w:spacing w:before="0" w:beforeAutospacing="0" w:after="0" w:afterAutospacing="0"/>
        <w:jc w:val="center"/>
        <w:rPr>
          <w:rFonts w:hint="default" w:ascii="Times New Roman" w:hAnsi="Times New Roman" w:cs="Times New Roman"/>
          <w:kern w:val="2"/>
          <w:sz w:val="72"/>
          <w:szCs w:val="72"/>
        </w:rPr>
      </w:pPr>
      <w:r>
        <w:rPr>
          <w:rFonts w:hint="default" w:ascii="Times New Roman" w:hAnsi="Times New Roman" w:cs="Times New Roman"/>
          <w:kern w:val="2"/>
          <w:sz w:val="72"/>
          <w:szCs w:val="72"/>
          <w:lang w:bidi="ar"/>
        </w:rPr>
        <w:t>投   标  文  件</w:t>
      </w:r>
    </w:p>
    <w:p w14:paraId="3715A769">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2BBDFCE0">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7DA53DE6">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22893603">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197D44F5">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49E5E95F">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57011ACF">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3DDB1283">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0C5CB762">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0D2C83BB">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27A9DEF5">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6690963C">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61B08B6B">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39467BF8">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3B8E3CA6">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7539BDB1">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1D0147A3">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7587042D">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1A990A87">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44111151">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0B0A4FB3">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3CD33513">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7955CBDD">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0CCCC8C1">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242FEB1F">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3745C982">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3EDD482E">
      <w:pPr>
        <w:pStyle w:val="16"/>
        <w:widowControl w:val="0"/>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34128649">
      <w:pPr>
        <w:pStyle w:val="16"/>
        <w:widowControl w:val="0"/>
        <w:spacing w:before="0" w:beforeAutospacing="0" w:after="0" w:afterAutospacing="0"/>
        <w:ind w:firstLine="2240" w:firstLineChars="700"/>
        <w:rPr>
          <w:rFonts w:hint="default" w:ascii="Times New Roman" w:hAnsi="Times New Roman" w:cs="Times New Roman"/>
          <w:kern w:val="2"/>
          <w:sz w:val="32"/>
          <w:szCs w:val="32"/>
        </w:rPr>
      </w:pPr>
      <w:r>
        <w:rPr>
          <w:rFonts w:hint="default" w:ascii="Times New Roman" w:hAnsi="Times New Roman" w:cs="Times New Roman"/>
          <w:kern w:val="2"/>
          <w:sz w:val="32"/>
          <w:szCs w:val="32"/>
          <w:lang w:bidi="ar"/>
        </w:rPr>
        <w:t>投  标  人：</w:t>
      </w:r>
      <w:r>
        <w:rPr>
          <w:rFonts w:hint="default" w:ascii="Times New Roman" w:hAnsi="Times New Roman" w:cs="Times New Roman"/>
          <w:kern w:val="2"/>
          <w:sz w:val="32"/>
          <w:szCs w:val="32"/>
          <w:u w:val="single"/>
          <w:lang w:bidi="ar"/>
        </w:rPr>
        <w:t xml:space="preserve">               </w:t>
      </w:r>
      <w:r>
        <w:rPr>
          <w:rFonts w:hint="default" w:ascii="Times New Roman" w:hAnsi="Times New Roman" w:cs="Times New Roman"/>
          <w:kern w:val="2"/>
          <w:sz w:val="32"/>
          <w:szCs w:val="32"/>
          <w:lang w:bidi="ar"/>
        </w:rPr>
        <w:t>(盖单位章)</w:t>
      </w:r>
    </w:p>
    <w:p w14:paraId="1D9D4DDE">
      <w:pPr>
        <w:pStyle w:val="16"/>
        <w:widowControl w:val="0"/>
        <w:spacing w:before="0" w:beforeAutospacing="0" w:after="0" w:afterAutospacing="0"/>
        <w:ind w:firstLine="2240" w:firstLineChars="700"/>
        <w:rPr>
          <w:rFonts w:hint="default" w:ascii="Times New Roman" w:hAnsi="Times New Roman" w:cs="Times New Roman"/>
          <w:kern w:val="2"/>
          <w:sz w:val="32"/>
          <w:szCs w:val="32"/>
        </w:rPr>
      </w:pPr>
      <w:r>
        <w:rPr>
          <w:rFonts w:hint="default" w:ascii="Times New Roman" w:hAnsi="Times New Roman" w:cs="Times New Roman"/>
          <w:kern w:val="2"/>
          <w:sz w:val="32"/>
          <w:szCs w:val="32"/>
          <w:lang w:bidi="ar"/>
        </w:rPr>
        <w:t>法定代表人：</w:t>
      </w:r>
      <w:r>
        <w:rPr>
          <w:rFonts w:hint="default" w:ascii="Times New Roman" w:hAnsi="Times New Roman" w:cs="Times New Roman"/>
          <w:kern w:val="2"/>
          <w:sz w:val="32"/>
          <w:szCs w:val="32"/>
          <w:u w:val="single"/>
          <w:lang w:bidi="ar"/>
        </w:rPr>
        <w:t xml:space="preserve">                   </w:t>
      </w:r>
      <w:r>
        <w:rPr>
          <w:rFonts w:hint="default" w:ascii="Times New Roman" w:hAnsi="Times New Roman" w:cs="Times New Roman"/>
          <w:kern w:val="2"/>
          <w:sz w:val="32"/>
          <w:szCs w:val="32"/>
          <w:lang w:bidi="ar"/>
        </w:rPr>
        <w:t>(签章)</w:t>
      </w:r>
    </w:p>
    <w:p w14:paraId="12661BE5">
      <w:pPr>
        <w:pStyle w:val="16"/>
        <w:widowControl w:val="0"/>
        <w:spacing w:before="0" w:beforeAutospacing="0" w:after="0" w:afterAutospacing="0"/>
        <w:ind w:firstLine="3520" w:firstLineChars="1100"/>
        <w:jc w:val="both"/>
        <w:rPr>
          <w:rFonts w:hint="default" w:ascii="Times New Roman" w:hAnsi="Times New Roman" w:cs="Times New Roman"/>
          <w:kern w:val="2"/>
          <w:sz w:val="32"/>
          <w:szCs w:val="32"/>
        </w:rPr>
      </w:pPr>
      <w:r>
        <w:rPr>
          <w:rFonts w:hint="default" w:ascii="Times New Roman" w:hAnsi="Times New Roman" w:cs="Times New Roman"/>
          <w:kern w:val="2"/>
          <w:sz w:val="32"/>
          <w:szCs w:val="32"/>
          <w:lang w:bidi="ar"/>
        </w:rPr>
        <w:t>日   期：</w:t>
      </w:r>
      <w:r>
        <w:rPr>
          <w:rFonts w:hint="default" w:ascii="Times New Roman" w:hAnsi="Times New Roman" w:cs="Times New Roman"/>
          <w:kern w:val="2"/>
          <w:sz w:val="32"/>
          <w:szCs w:val="32"/>
          <w:u w:val="single"/>
          <w:lang w:bidi="ar"/>
        </w:rPr>
        <w:t xml:space="preserve">    </w:t>
      </w:r>
      <w:r>
        <w:rPr>
          <w:rFonts w:hint="default" w:ascii="Times New Roman" w:hAnsi="Times New Roman" w:cs="Times New Roman"/>
          <w:kern w:val="2"/>
          <w:sz w:val="32"/>
          <w:szCs w:val="32"/>
          <w:lang w:bidi="ar"/>
        </w:rPr>
        <w:t>年</w:t>
      </w:r>
      <w:r>
        <w:rPr>
          <w:rFonts w:hint="default" w:ascii="Times New Roman" w:hAnsi="Times New Roman" w:cs="Times New Roman"/>
          <w:kern w:val="2"/>
          <w:sz w:val="32"/>
          <w:szCs w:val="32"/>
          <w:u w:val="single"/>
          <w:lang w:bidi="ar"/>
        </w:rPr>
        <w:t xml:space="preserve">    </w:t>
      </w:r>
      <w:r>
        <w:rPr>
          <w:rFonts w:hint="default" w:ascii="Times New Roman" w:hAnsi="Times New Roman" w:cs="Times New Roman"/>
          <w:kern w:val="2"/>
          <w:sz w:val="32"/>
          <w:szCs w:val="32"/>
          <w:lang w:bidi="ar"/>
        </w:rPr>
        <w:t>月</w:t>
      </w:r>
      <w:r>
        <w:rPr>
          <w:rFonts w:hint="default" w:ascii="Times New Roman" w:hAnsi="Times New Roman" w:cs="Times New Roman"/>
          <w:kern w:val="2"/>
          <w:sz w:val="32"/>
          <w:szCs w:val="32"/>
          <w:u w:val="single"/>
          <w:lang w:bidi="ar"/>
        </w:rPr>
        <w:t xml:space="preserve">    </w:t>
      </w:r>
      <w:r>
        <w:rPr>
          <w:rFonts w:hint="default" w:ascii="Times New Roman" w:hAnsi="Times New Roman" w:cs="Times New Roman"/>
          <w:kern w:val="2"/>
          <w:sz w:val="32"/>
          <w:szCs w:val="32"/>
          <w:lang w:bidi="ar"/>
        </w:rPr>
        <w:t>日</w:t>
      </w:r>
    </w:p>
    <w:p w14:paraId="13B86A0F">
      <w:pPr>
        <w:pStyle w:val="16"/>
        <w:widowControl w:val="0"/>
        <w:spacing w:before="0" w:beforeAutospacing="0" w:after="0" w:afterAutospacing="0"/>
        <w:ind w:firstLine="3520" w:firstLineChars="1100"/>
        <w:jc w:val="both"/>
        <w:rPr>
          <w:rFonts w:hint="default" w:ascii="Times New Roman" w:hAnsi="Times New Roman" w:cs="Times New Roman"/>
          <w:kern w:val="2"/>
          <w:sz w:val="32"/>
          <w:szCs w:val="32"/>
        </w:rPr>
      </w:pPr>
      <w:r>
        <w:rPr>
          <w:rFonts w:hint="default" w:ascii="Times New Roman" w:hAnsi="Times New Roman" w:cs="Times New Roman"/>
          <w:kern w:val="2"/>
          <w:sz w:val="32"/>
          <w:szCs w:val="32"/>
          <w:lang w:bidi="ar"/>
        </w:rPr>
        <w:br w:type="page"/>
      </w:r>
      <w:r>
        <w:rPr>
          <w:rFonts w:hint="default" w:ascii="Times New Roman" w:hAnsi="Times New Roman" w:cs="Times New Roman"/>
          <w:kern w:val="2"/>
          <w:sz w:val="32"/>
          <w:szCs w:val="32"/>
          <w:lang w:bidi="ar"/>
        </w:rPr>
        <w:t xml:space="preserve"> </w:t>
      </w:r>
    </w:p>
    <w:p w14:paraId="54956285">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6358870">
      <w:pPr>
        <w:pStyle w:val="42"/>
        <w:widowControl/>
        <w:rPr>
          <w:rFonts w:hint="default" w:ascii="Times New Roman" w:hAnsi="Times New Roman" w:cs="Times New Roman"/>
          <w:color w:val="000000"/>
        </w:rPr>
      </w:pPr>
      <w:r>
        <w:rPr>
          <w:rFonts w:hint="default" w:ascii="Times New Roman" w:hAnsi="Times New Roman" w:cs="Times New Roman"/>
          <w:color w:val="000000"/>
          <w:kern w:val="0"/>
          <w:sz w:val="21"/>
          <w:szCs w:val="21"/>
          <w:u w:val="single"/>
        </w:rPr>
        <w:t xml:space="preserve"> </w:t>
      </w:r>
      <w:r>
        <w:rPr>
          <w:rFonts w:hint="default" w:ascii="Times New Roman" w:hAnsi="Times New Roman" w:cs="Times New Roman"/>
          <w:color w:val="000000"/>
        </w:rPr>
        <w:t>目    录</w:t>
      </w:r>
    </w:p>
    <w:p w14:paraId="51180D66">
      <w:pPr>
        <w:ind w:firstLine="424" w:firstLineChars="202"/>
        <w:rPr>
          <w:rFonts w:hint="default" w:ascii="Times New Roman" w:hAnsi="Times New Roman" w:cs="Times New Roman"/>
          <w:color w:val="000000"/>
          <w:szCs w:val="21"/>
        </w:rPr>
      </w:pPr>
      <w:r>
        <w:rPr>
          <w:rFonts w:hint="default" w:ascii="Times New Roman" w:hAnsi="Times New Roman" w:cs="Times New Roman"/>
          <w:color w:val="000000"/>
          <w:szCs w:val="21"/>
          <w:lang w:bidi="ar"/>
        </w:rPr>
        <w:t>一、商务文件</w:t>
      </w:r>
    </w:p>
    <w:p w14:paraId="2AD93C24">
      <w:pPr>
        <w:ind w:firstLine="850" w:firstLineChars="405"/>
        <w:rPr>
          <w:rFonts w:hint="default" w:ascii="Times New Roman" w:hAnsi="Times New Roman" w:cs="Times New Roman"/>
          <w:color w:val="000000"/>
          <w:szCs w:val="21"/>
        </w:rPr>
      </w:pPr>
      <w:r>
        <w:rPr>
          <w:rFonts w:hint="default" w:ascii="Times New Roman" w:hAnsi="Times New Roman" w:cs="Times New Roman"/>
          <w:color w:val="000000"/>
          <w:szCs w:val="21"/>
          <w:lang w:bidi="ar"/>
        </w:rPr>
        <w:t>（一）投标一览表</w:t>
      </w:r>
    </w:p>
    <w:p w14:paraId="1767136F">
      <w:pPr>
        <w:ind w:firstLine="850" w:firstLineChars="405"/>
        <w:rPr>
          <w:rFonts w:hint="default" w:ascii="Times New Roman" w:hAnsi="Times New Roman" w:cs="Times New Roman"/>
          <w:color w:val="000000"/>
          <w:szCs w:val="21"/>
        </w:rPr>
      </w:pPr>
      <w:r>
        <w:rPr>
          <w:rFonts w:hint="default" w:ascii="Times New Roman" w:hAnsi="Times New Roman" w:cs="Times New Roman"/>
          <w:color w:val="000000"/>
          <w:szCs w:val="21"/>
          <w:lang w:bidi="ar"/>
        </w:rPr>
        <w:t>（二）投标函；</w:t>
      </w:r>
    </w:p>
    <w:p w14:paraId="6C417CCB">
      <w:pPr>
        <w:ind w:firstLine="850" w:firstLineChars="405"/>
        <w:rPr>
          <w:rFonts w:hint="default" w:ascii="Times New Roman" w:hAnsi="Times New Roman" w:cs="Times New Roman"/>
          <w:color w:val="000000"/>
          <w:szCs w:val="21"/>
        </w:rPr>
      </w:pPr>
      <w:r>
        <w:rPr>
          <w:rFonts w:hint="default" w:ascii="Times New Roman" w:hAnsi="Times New Roman" w:cs="Times New Roman"/>
          <w:color w:val="000000"/>
          <w:szCs w:val="21"/>
          <w:lang w:bidi="ar"/>
        </w:rPr>
        <w:t>（三）投标函附录；</w:t>
      </w:r>
    </w:p>
    <w:p w14:paraId="3149EDB9">
      <w:pPr>
        <w:ind w:firstLine="850" w:firstLineChars="405"/>
        <w:rPr>
          <w:rFonts w:hint="default" w:ascii="Times New Roman" w:hAnsi="Times New Roman" w:cs="Times New Roman"/>
          <w:color w:val="000000"/>
          <w:szCs w:val="21"/>
        </w:rPr>
      </w:pPr>
      <w:r>
        <w:rPr>
          <w:rFonts w:hint="default" w:ascii="Times New Roman" w:hAnsi="Times New Roman" w:cs="Times New Roman"/>
          <w:color w:val="000000"/>
          <w:szCs w:val="21"/>
          <w:lang w:bidi="ar"/>
        </w:rPr>
        <w:t>（四）法定代表人身份证明；</w:t>
      </w:r>
    </w:p>
    <w:p w14:paraId="49FA2788">
      <w:pPr>
        <w:ind w:firstLine="850" w:firstLineChars="405"/>
        <w:rPr>
          <w:rFonts w:hint="default" w:ascii="Times New Roman" w:hAnsi="Times New Roman" w:cs="Times New Roman"/>
          <w:color w:val="000000"/>
          <w:szCs w:val="21"/>
          <w:lang w:bidi="ar"/>
        </w:rPr>
      </w:pPr>
      <w:r>
        <w:rPr>
          <w:rFonts w:hint="default" w:ascii="Times New Roman" w:hAnsi="Times New Roman" w:cs="Times New Roman"/>
          <w:color w:val="000000"/>
          <w:szCs w:val="21"/>
          <w:lang w:bidi="ar"/>
        </w:rPr>
        <w:t>（</w:t>
      </w:r>
      <w:r>
        <w:rPr>
          <w:rFonts w:hint="default" w:ascii="Times New Roman" w:hAnsi="Times New Roman" w:cs="Times New Roman"/>
          <w:color w:val="000000"/>
          <w:szCs w:val="21"/>
          <w:lang w:eastAsia="zh-CN" w:bidi="ar"/>
        </w:rPr>
        <w:t>五</w:t>
      </w:r>
      <w:r>
        <w:rPr>
          <w:rFonts w:hint="default" w:ascii="Times New Roman" w:hAnsi="Times New Roman" w:cs="Times New Roman"/>
          <w:color w:val="000000"/>
          <w:szCs w:val="21"/>
          <w:lang w:bidi="ar"/>
        </w:rPr>
        <w:t>）联合体协议书（如有）；</w:t>
      </w:r>
    </w:p>
    <w:p w14:paraId="443BA9A1">
      <w:pPr>
        <w:ind w:firstLine="850" w:firstLineChars="405"/>
        <w:rPr>
          <w:rFonts w:hint="default" w:ascii="Times New Roman" w:hAnsi="Times New Roman" w:cs="Times New Roman"/>
          <w:color w:val="000000"/>
          <w:szCs w:val="21"/>
          <w:lang w:bidi="ar"/>
        </w:rPr>
      </w:pPr>
      <w:r>
        <w:rPr>
          <w:rFonts w:hint="default" w:ascii="Times New Roman" w:hAnsi="Times New Roman" w:cs="Times New Roman"/>
          <w:color w:val="000000"/>
          <w:szCs w:val="21"/>
          <w:lang w:bidi="ar"/>
        </w:rPr>
        <w:t>（六）投标保证金（本项目无需提供）</w:t>
      </w:r>
    </w:p>
    <w:p w14:paraId="4FB3C81B">
      <w:pPr>
        <w:ind w:firstLine="850" w:firstLineChars="405"/>
        <w:rPr>
          <w:rFonts w:hint="default" w:ascii="Times New Roman" w:hAnsi="Times New Roman" w:cs="Times New Roman"/>
          <w:color w:val="000000"/>
          <w:szCs w:val="21"/>
        </w:rPr>
      </w:pPr>
      <w:r>
        <w:rPr>
          <w:rFonts w:hint="default" w:ascii="Times New Roman" w:hAnsi="Times New Roman" w:cs="Times New Roman"/>
          <w:color w:val="000000"/>
          <w:szCs w:val="21"/>
          <w:lang w:bidi="ar"/>
        </w:rPr>
        <w:t>（</w:t>
      </w:r>
      <w:r>
        <w:rPr>
          <w:rFonts w:hint="default" w:ascii="Times New Roman" w:hAnsi="Times New Roman" w:cs="Times New Roman"/>
          <w:color w:val="000000"/>
          <w:szCs w:val="21"/>
          <w:lang w:eastAsia="zh-CN" w:bidi="ar"/>
        </w:rPr>
        <w:t>七</w:t>
      </w:r>
      <w:r>
        <w:rPr>
          <w:rFonts w:hint="default" w:ascii="Times New Roman" w:hAnsi="Times New Roman" w:cs="Times New Roman"/>
          <w:color w:val="000000"/>
          <w:szCs w:val="21"/>
          <w:lang w:bidi="ar"/>
        </w:rPr>
        <w:t>）资格审查资料；</w:t>
      </w:r>
    </w:p>
    <w:p w14:paraId="5D164633">
      <w:pPr>
        <w:ind w:firstLine="1050" w:firstLineChars="500"/>
        <w:rPr>
          <w:rFonts w:hint="default" w:ascii="Times New Roman" w:hAnsi="Times New Roman" w:cs="Times New Roman"/>
          <w:color w:val="000000"/>
          <w:szCs w:val="21"/>
        </w:rPr>
      </w:pPr>
      <w:r>
        <w:rPr>
          <w:rFonts w:hint="default" w:ascii="Times New Roman" w:hAnsi="Times New Roman" w:cs="Times New Roman"/>
          <w:color w:val="000000"/>
          <w:szCs w:val="21"/>
          <w:lang w:bidi="ar"/>
        </w:rPr>
        <w:t>1.投标人基本情况</w:t>
      </w:r>
    </w:p>
    <w:p w14:paraId="4AA18762">
      <w:pPr>
        <w:ind w:firstLine="1262" w:firstLineChars="601"/>
        <w:rPr>
          <w:rFonts w:hint="default" w:ascii="Times New Roman" w:hAnsi="Times New Roman" w:cs="Times New Roman"/>
          <w:color w:val="000000"/>
          <w:szCs w:val="21"/>
        </w:rPr>
      </w:pPr>
      <w:r>
        <w:rPr>
          <w:rFonts w:hint="default" w:ascii="Times New Roman" w:hAnsi="Times New Roman" w:cs="Times New Roman"/>
          <w:color w:val="000000"/>
          <w:szCs w:val="21"/>
          <w:lang w:bidi="ar"/>
        </w:rPr>
        <w:t>1-1投标人基本情况表；</w:t>
      </w:r>
    </w:p>
    <w:p w14:paraId="1E9BD535">
      <w:pPr>
        <w:ind w:firstLine="1262" w:firstLineChars="601"/>
        <w:rPr>
          <w:rFonts w:hint="default" w:ascii="Times New Roman" w:hAnsi="Times New Roman" w:cs="Times New Roman"/>
          <w:color w:val="000000"/>
          <w:szCs w:val="21"/>
        </w:rPr>
      </w:pPr>
      <w:r>
        <w:rPr>
          <w:rFonts w:hint="default" w:ascii="Times New Roman" w:hAnsi="Times New Roman" w:cs="Times New Roman"/>
          <w:color w:val="000000"/>
          <w:szCs w:val="21"/>
          <w:lang w:bidi="ar"/>
        </w:rPr>
        <w:t>1-2关联单位情况说明；</w:t>
      </w:r>
    </w:p>
    <w:p w14:paraId="27558618">
      <w:pPr>
        <w:ind w:firstLine="1262" w:firstLineChars="601"/>
        <w:rPr>
          <w:rFonts w:hint="default" w:ascii="Times New Roman" w:hAnsi="Times New Roman" w:cs="Times New Roman"/>
          <w:color w:val="000000"/>
          <w:szCs w:val="21"/>
        </w:rPr>
      </w:pPr>
      <w:r>
        <w:rPr>
          <w:rFonts w:hint="default" w:ascii="Times New Roman" w:hAnsi="Times New Roman" w:cs="Times New Roman"/>
          <w:color w:val="000000"/>
          <w:szCs w:val="21"/>
          <w:lang w:bidi="ar"/>
        </w:rPr>
        <w:t>1-3投标人基本情况其它材料</w:t>
      </w:r>
    </w:p>
    <w:p w14:paraId="10546099">
      <w:pPr>
        <w:ind w:firstLine="1050" w:firstLineChars="500"/>
        <w:rPr>
          <w:rFonts w:hint="default" w:ascii="Times New Roman" w:hAnsi="Times New Roman" w:cs="Times New Roman"/>
          <w:color w:val="000000"/>
          <w:szCs w:val="21"/>
        </w:rPr>
      </w:pPr>
      <w:r>
        <w:rPr>
          <w:rFonts w:hint="default" w:ascii="Times New Roman" w:hAnsi="Times New Roman" w:cs="Times New Roman"/>
          <w:color w:val="000000"/>
          <w:szCs w:val="21"/>
          <w:lang w:bidi="ar"/>
        </w:rPr>
        <w:t>2.近年财务状况；</w:t>
      </w:r>
    </w:p>
    <w:p w14:paraId="24FD05FA">
      <w:pPr>
        <w:ind w:firstLine="1050" w:firstLineChars="500"/>
        <w:rPr>
          <w:rFonts w:hint="default" w:ascii="Times New Roman" w:hAnsi="Times New Roman" w:cs="Times New Roman"/>
          <w:color w:val="000000"/>
          <w:szCs w:val="21"/>
        </w:rPr>
      </w:pPr>
      <w:r>
        <w:rPr>
          <w:rFonts w:hint="default" w:ascii="Times New Roman" w:hAnsi="Times New Roman" w:cs="Times New Roman"/>
          <w:color w:val="000000"/>
          <w:szCs w:val="21"/>
          <w:lang w:val="en-US" w:eastAsia="zh-CN" w:bidi="ar"/>
        </w:rPr>
        <w:t>3</w:t>
      </w:r>
      <w:r>
        <w:rPr>
          <w:rFonts w:hint="default" w:ascii="Times New Roman" w:hAnsi="Times New Roman" w:cs="Times New Roman"/>
          <w:color w:val="000000"/>
          <w:szCs w:val="21"/>
          <w:lang w:bidi="ar"/>
        </w:rPr>
        <w:t>.企业信誉情况</w:t>
      </w:r>
    </w:p>
    <w:p w14:paraId="215266BD">
      <w:pPr>
        <w:ind w:firstLine="1262" w:firstLineChars="601"/>
        <w:rPr>
          <w:rFonts w:ascii="Times New Roman" w:hAnsi="Times New Roman"/>
          <w:color w:val="000000"/>
          <w:szCs w:val="21"/>
          <w:lang w:bidi="ar"/>
        </w:rPr>
      </w:pPr>
      <w:r>
        <w:rPr>
          <w:rFonts w:hint="default" w:ascii="Times New Roman" w:hAnsi="Times New Roman" w:cs="Times New Roman"/>
          <w:color w:val="000000"/>
          <w:szCs w:val="21"/>
          <w:lang w:val="en-US" w:eastAsia="zh-CN" w:bidi="ar"/>
        </w:rPr>
        <w:t>3</w:t>
      </w:r>
      <w:r>
        <w:rPr>
          <w:rFonts w:hint="default" w:ascii="Times New Roman" w:hAnsi="Times New Roman" w:cs="Times New Roman"/>
          <w:color w:val="000000"/>
          <w:szCs w:val="21"/>
          <w:lang w:bidi="ar"/>
        </w:rPr>
        <w:t>-1投标人信誉声明；</w:t>
      </w:r>
    </w:p>
    <w:p w14:paraId="48A7366A">
      <w:pPr>
        <w:spacing w:line="240" w:lineRule="auto"/>
        <w:ind w:firstLine="1262" w:firstLineChars="601"/>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eastAsia="zh-CN" w:bidi="ar"/>
        </w:rPr>
        <w:t>3</w:t>
      </w:r>
      <w:r>
        <w:rPr>
          <w:rFonts w:hint="default" w:ascii="Times New Roman" w:hAnsi="Times New Roman" w:eastAsia="宋体" w:cs="Times New Roman"/>
          <w:color w:val="000000"/>
          <w:szCs w:val="21"/>
          <w:lang w:bidi="ar"/>
        </w:rPr>
        <w:t>-2失信被执行人查询结果</w:t>
      </w:r>
    </w:p>
    <w:p w14:paraId="2B12E70E">
      <w:pPr>
        <w:ind w:firstLine="1262" w:firstLineChars="601"/>
        <w:rPr>
          <w:rFonts w:ascii="Times New Roman" w:hAnsi="Times New Roman"/>
          <w:color w:val="000000"/>
          <w:szCs w:val="21"/>
          <w:lang w:bidi="ar"/>
        </w:rPr>
      </w:pPr>
      <w:r>
        <w:rPr>
          <w:rFonts w:hint="default" w:ascii="Times New Roman" w:hAnsi="Times New Roman" w:cs="Times New Roman"/>
          <w:color w:val="000000"/>
          <w:szCs w:val="21"/>
          <w:lang w:val="en-US" w:eastAsia="zh-CN" w:bidi="ar"/>
        </w:rPr>
        <w:t>3</w:t>
      </w:r>
      <w:r>
        <w:rPr>
          <w:rFonts w:hint="default" w:ascii="Times New Roman" w:hAnsi="Times New Roman" w:cs="Times New Roman"/>
          <w:color w:val="000000"/>
          <w:szCs w:val="21"/>
          <w:lang w:bidi="ar"/>
        </w:rPr>
        <w:t>-</w:t>
      </w:r>
      <w:r>
        <w:rPr>
          <w:rFonts w:hint="default" w:ascii="Times New Roman" w:hAnsi="Times New Roman" w:eastAsia="宋体" w:cs="Times New Roman"/>
          <w:color w:val="000000"/>
          <w:szCs w:val="21"/>
          <w:lang w:eastAsia="zh-CN" w:bidi="ar"/>
        </w:rPr>
        <w:t>3</w:t>
      </w:r>
      <w:r>
        <w:rPr>
          <w:rFonts w:hint="default" w:ascii="Times New Roman" w:hAnsi="Times New Roman" w:cs="Times New Roman"/>
          <w:color w:val="000000"/>
          <w:szCs w:val="21"/>
          <w:lang w:bidi="ar"/>
        </w:rPr>
        <w:t>近年发生的诉讼和仲裁情况；</w:t>
      </w:r>
    </w:p>
    <w:p w14:paraId="43824099">
      <w:pPr>
        <w:ind w:firstLine="1262" w:firstLineChars="601"/>
        <w:rPr>
          <w:rFonts w:ascii="Times New Roman" w:hAnsi="Times New Roman"/>
          <w:color w:val="000000"/>
          <w:szCs w:val="21"/>
          <w:lang w:bidi="ar"/>
        </w:rPr>
      </w:pPr>
      <w:r>
        <w:rPr>
          <w:rFonts w:hint="default" w:ascii="Times New Roman" w:hAnsi="Times New Roman" w:cs="Times New Roman"/>
          <w:color w:val="000000"/>
          <w:szCs w:val="21"/>
          <w:lang w:val="en-US" w:eastAsia="zh-CN" w:bidi="ar"/>
        </w:rPr>
        <w:t>3</w:t>
      </w:r>
      <w:r>
        <w:rPr>
          <w:rFonts w:hint="default" w:ascii="Times New Roman" w:hAnsi="Times New Roman" w:cs="Times New Roman"/>
          <w:color w:val="000000"/>
          <w:szCs w:val="21"/>
          <w:lang w:bidi="ar"/>
        </w:rPr>
        <w:t>-</w:t>
      </w:r>
      <w:r>
        <w:rPr>
          <w:rFonts w:hint="default" w:ascii="Times New Roman" w:hAnsi="Times New Roman" w:eastAsia="宋体" w:cs="Times New Roman"/>
          <w:color w:val="000000"/>
          <w:szCs w:val="21"/>
          <w:lang w:eastAsia="zh-CN" w:bidi="ar"/>
        </w:rPr>
        <w:t>4</w:t>
      </w:r>
      <w:r>
        <w:rPr>
          <w:rFonts w:hint="default" w:ascii="Times New Roman" w:hAnsi="Times New Roman" w:cs="Times New Roman"/>
          <w:color w:val="000000"/>
          <w:szCs w:val="21"/>
          <w:lang w:bidi="ar"/>
        </w:rPr>
        <w:t>近年投标人获得奖项情况；</w:t>
      </w:r>
    </w:p>
    <w:p w14:paraId="19301489">
      <w:pPr>
        <w:ind w:firstLine="1050" w:firstLineChars="500"/>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kern w:val="2"/>
          <w:sz w:val="21"/>
          <w:szCs w:val="21"/>
          <w:lang w:val="en-US" w:eastAsia="zh-CN" w:bidi="ar"/>
        </w:rPr>
        <w:t>4.</w:t>
      </w:r>
      <w:r>
        <w:rPr>
          <w:rFonts w:hint="default" w:ascii="Times New Roman" w:hAnsi="Times New Roman"/>
          <w:color w:val="000000"/>
          <w:szCs w:val="21"/>
          <w:lang w:bidi="ar"/>
        </w:rPr>
        <w:t>其它资格审查材料</w:t>
      </w:r>
    </w:p>
    <w:p w14:paraId="4C053785">
      <w:pPr>
        <w:ind w:firstLine="1050" w:firstLineChars="500"/>
        <w:rPr>
          <w:rFonts w:hint="default" w:ascii="Times New Roman" w:hAnsi="Times New Roman"/>
          <w:color w:val="000000"/>
          <w:szCs w:val="21"/>
          <w:lang w:bidi="ar"/>
        </w:rPr>
      </w:pPr>
      <w:r>
        <w:rPr>
          <w:rFonts w:hint="default" w:ascii="Times New Roman" w:hAnsi="Times New Roman" w:eastAsia="宋体" w:cs="Times New Roman"/>
          <w:color w:val="000000"/>
          <w:szCs w:val="21"/>
          <w:lang w:eastAsia="zh-CN" w:bidi="ar"/>
        </w:rPr>
        <w:t>5</w:t>
      </w:r>
      <w:r>
        <w:rPr>
          <w:rFonts w:hint="default" w:ascii="Times New Roman" w:hAnsi="Times New Roman"/>
          <w:color w:val="000000"/>
          <w:szCs w:val="21"/>
          <w:lang w:bidi="ar"/>
        </w:rPr>
        <w:t>.近年完成类似业绩情况</w:t>
      </w:r>
    </w:p>
    <w:p w14:paraId="61E8CEF9">
      <w:pPr>
        <w:ind w:firstLine="850" w:firstLineChars="405"/>
        <w:rPr>
          <w:rFonts w:hint="default" w:ascii="Times New Roman" w:hAnsi="Times New Roman"/>
          <w:color w:val="000000"/>
          <w:szCs w:val="21"/>
          <w:lang w:bidi="ar"/>
        </w:rPr>
      </w:pPr>
      <w:r>
        <w:rPr>
          <w:rFonts w:hint="default" w:ascii="Times New Roman" w:hAnsi="Times New Roman"/>
          <w:color w:val="000000"/>
          <w:szCs w:val="21"/>
          <w:lang w:bidi="ar"/>
        </w:rPr>
        <w:t>（九）财务会计报表</w:t>
      </w:r>
    </w:p>
    <w:p w14:paraId="323D1BBD">
      <w:pPr>
        <w:ind w:firstLine="850" w:firstLineChars="405"/>
        <w:rPr>
          <w:rFonts w:hint="default" w:ascii="Times New Roman" w:hAnsi="Times New Roman" w:cs="Times New Roman"/>
          <w:color w:val="000000"/>
          <w:szCs w:val="21"/>
          <w:lang w:bidi="ar"/>
        </w:rPr>
      </w:pPr>
      <w:r>
        <w:rPr>
          <w:rFonts w:hint="default" w:ascii="Times New Roman" w:hAnsi="Times New Roman"/>
          <w:color w:val="000000"/>
          <w:szCs w:val="21"/>
          <w:lang w:bidi="ar"/>
        </w:rPr>
        <w:t>（十）投标所需其他材料</w:t>
      </w:r>
    </w:p>
    <w:p w14:paraId="6DD77C1C">
      <w:pPr>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二、投标报价表；</w:t>
      </w:r>
    </w:p>
    <w:p w14:paraId="342B5561">
      <w:pPr>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三、技术文件</w:t>
      </w:r>
    </w:p>
    <w:p w14:paraId="34FCC9FD">
      <w:pPr>
        <w:ind w:firstLine="424" w:firstLineChars="202"/>
        <w:rPr>
          <w:rFonts w:hint="default" w:ascii="Times New Roman" w:hAnsi="Times New Roman" w:cs="Times New Roman"/>
          <w:color w:val="000000"/>
          <w:szCs w:val="21"/>
        </w:rPr>
      </w:pPr>
      <w:r>
        <w:rPr>
          <w:rFonts w:hint="default" w:ascii="Times New Roman" w:hAnsi="Times New Roman" w:cs="Times New Roman"/>
          <w:color w:val="000000"/>
          <w:szCs w:val="21"/>
          <w:lang w:bidi="ar"/>
        </w:rPr>
        <w:t>四、其他材料</w:t>
      </w:r>
    </w:p>
    <w:p w14:paraId="01C7B380">
      <w:pPr>
        <w:ind w:firstLine="424" w:firstLineChars="202"/>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FF8D69D">
      <w:pPr>
        <w:rPr>
          <w:rFonts w:hint="default" w:ascii="Times New Roman" w:hAnsi="Times New Roman" w:cs="Times New Roman"/>
          <w:color w:val="000000"/>
          <w:szCs w:val="21"/>
        </w:rPr>
      </w:pPr>
      <w:r>
        <w:rPr>
          <w:rFonts w:hint="default" w:ascii="Times New Roman" w:hAnsi="Times New Roman" w:cs="Times New Roman"/>
          <w:color w:val="000000"/>
          <w:szCs w:val="21"/>
          <w:lang w:bidi="ar"/>
        </w:rPr>
        <w:br w:type="page"/>
      </w:r>
    </w:p>
    <w:p w14:paraId="642587D7">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0584557">
      <w:pPr>
        <w:pStyle w:val="42"/>
        <w:widowControl/>
        <w:rPr>
          <w:rFonts w:hint="default" w:ascii="Times New Roman" w:hAnsi="Times New Roman" w:cs="Times New Roman"/>
          <w:color w:val="000000"/>
          <w:sz w:val="32"/>
          <w:szCs w:val="32"/>
        </w:rPr>
      </w:pPr>
      <w:r>
        <w:rPr>
          <w:rFonts w:hint="default" w:ascii="Times New Roman" w:hAnsi="Times New Roman" w:cs="Times New Roman"/>
          <w:color w:val="000000"/>
          <w:sz w:val="32"/>
          <w:szCs w:val="32"/>
        </w:rPr>
        <w:t>一、商务文件</w:t>
      </w:r>
    </w:p>
    <w:p w14:paraId="1E8658EB">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416DF3E">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F403344">
      <w:pPr>
        <w:rPr>
          <w:rFonts w:hint="default" w:ascii="Times New Roman" w:hAnsi="Times New Roman" w:cs="Times New Roman"/>
          <w:color w:val="000000"/>
          <w:szCs w:val="21"/>
        </w:rPr>
        <w:sectPr>
          <w:footerReference r:id="rId14" w:type="default"/>
          <w:footerReference r:id="rId15" w:type="even"/>
          <w:pgSz w:w="11907" w:h="16840"/>
          <w:pgMar w:top="1701" w:right="1531" w:bottom="1588" w:left="1474" w:header="851" w:footer="992" w:gutter="0"/>
          <w:cols w:space="720" w:num="1"/>
          <w:docGrid w:type="lines" w:linePitch="312" w:charSpace="0"/>
        </w:sectPr>
      </w:pPr>
    </w:p>
    <w:p w14:paraId="7AE0D733">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36ACE56">
      <w:pPr>
        <w:pStyle w:val="43"/>
        <w:keepNext w:val="0"/>
        <w:keepLines w:val="0"/>
        <w:widowControl/>
        <w:spacing w:beforeAutospacing="1"/>
        <w:jc w:val="center"/>
        <w:rPr>
          <w:rFonts w:hint="default" w:ascii="Times New Roman" w:hAnsi="Times New Roman" w:cs="Times New Roman"/>
          <w:color w:val="000000"/>
        </w:rPr>
      </w:pPr>
      <w:r>
        <w:rPr>
          <w:rFonts w:hint="default" w:ascii="Times New Roman" w:hAnsi="Times New Roman" w:cs="Times New Roman"/>
          <w:color w:val="000000"/>
        </w:rPr>
        <w:t>（一）投标一览表（本项目适用此表）</w:t>
      </w:r>
    </w:p>
    <w:p w14:paraId="78E7BFB4">
      <w:pPr>
        <w:rPr>
          <w:rFonts w:hint="default" w:ascii="Times New Roman" w:hAnsi="Times New Roman" w:cs="Times New Roman"/>
          <w:b/>
          <w:color w:val="000000"/>
          <w:szCs w:val="21"/>
        </w:rPr>
      </w:pPr>
      <w:r>
        <w:rPr>
          <w:rFonts w:hint="default" w:ascii="Times New Roman" w:hAnsi="Times New Roman" w:cs="Times New Roman"/>
          <w:b/>
          <w:color w:val="000000"/>
          <w:szCs w:val="21"/>
          <w:lang w:bidi="ar"/>
        </w:rPr>
        <w:t xml:space="preserve"> </w:t>
      </w:r>
    </w:p>
    <w:p w14:paraId="2C9B50F3">
      <w:pPr>
        <w:widowControl/>
        <w:spacing w:line="360" w:lineRule="auto"/>
        <w:jc w:val="left"/>
        <w:rPr>
          <w:rFonts w:hint="default" w:ascii="Times New Roman" w:hAnsi="Times New Roman" w:cs="Times New Roman"/>
          <w:color w:val="000000"/>
          <w:szCs w:val="21"/>
        </w:rPr>
      </w:pPr>
      <w:r>
        <w:rPr>
          <w:rFonts w:hint="default" w:ascii="Times New Roman" w:hAnsi="Times New Roman" w:cs="Times New Roman"/>
          <w:color w:val="000000"/>
          <w:szCs w:val="21"/>
          <w:lang w:bidi="ar"/>
        </w:rPr>
        <w:t>标段（包）编号：</w:t>
      </w:r>
      <w:r>
        <w:rPr>
          <w:rFonts w:hint="default" w:ascii="Times New Roman" w:hAnsi="Times New Roman" w:cs="Times New Roman"/>
          <w:color w:val="000000"/>
          <w:szCs w:val="21"/>
          <w:u w:val="single"/>
          <w:lang w:bidi="ar"/>
        </w:rPr>
        <w:t xml:space="preserve">                              </w:t>
      </w:r>
    </w:p>
    <w:p w14:paraId="5595BB3E">
      <w:pPr>
        <w:widowControl/>
        <w:spacing w:line="360" w:lineRule="auto"/>
        <w:jc w:val="left"/>
        <w:rPr>
          <w:rFonts w:hint="default" w:ascii="Times New Roman" w:hAnsi="Times New Roman" w:cs="Times New Roman"/>
          <w:color w:val="000000"/>
          <w:szCs w:val="21"/>
        </w:rPr>
      </w:pPr>
      <w:r>
        <w:rPr>
          <w:rFonts w:hint="default" w:ascii="Times New Roman" w:hAnsi="Times New Roman" w:cs="Times New Roman"/>
          <w:color w:val="000000"/>
          <w:szCs w:val="21"/>
          <w:lang w:bidi="ar"/>
        </w:rPr>
        <w:t>标段（包）名称：</w:t>
      </w:r>
      <w:r>
        <w:rPr>
          <w:rFonts w:hint="default" w:ascii="Times New Roman" w:hAnsi="Times New Roman" w:cs="Times New Roman"/>
          <w:color w:val="000000"/>
          <w:szCs w:val="21"/>
          <w:u w:val="single"/>
          <w:lang w:bidi="ar"/>
        </w:rPr>
        <w:t xml:space="preserve">                              </w:t>
      </w:r>
    </w:p>
    <w:p w14:paraId="0159D936">
      <w:pPr>
        <w:widowControl/>
        <w:jc w:val="lef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tbl>
      <w:tblPr>
        <w:tblStyle w:val="17"/>
        <w:tblW w:w="9116" w:type="dxa"/>
        <w:tblInd w:w="0" w:type="dxa"/>
        <w:tblBorders>
          <w:top w:val="single" w:color="auto" w:sz="4" w:space="0"/>
          <w:left w:val="single" w:color="auto" w:sz="4" w:space="0"/>
          <w:bottom w:val="single" w:color="auto" w:sz="4" w:space="0"/>
          <w:right w:val="double" w:color="auto" w:sz="2"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906"/>
        <w:gridCol w:w="6435"/>
      </w:tblGrid>
      <w:tr w14:paraId="61E30D76">
        <w:tblPrEx>
          <w:tblBorders>
            <w:top w:val="single" w:color="auto" w:sz="4" w:space="0"/>
            <w:left w:val="single" w:color="auto" w:sz="4" w:space="0"/>
            <w:bottom w:val="single" w:color="auto" w:sz="4"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775" w:type="dxa"/>
            <w:tcBorders>
              <w:top w:val="single" w:color="auto" w:sz="4" w:space="0"/>
              <w:left w:val="single" w:color="auto" w:sz="4" w:space="0"/>
              <w:bottom w:val="single" w:color="auto" w:sz="4" w:space="0"/>
              <w:right w:val="single" w:color="auto" w:sz="4" w:space="0"/>
            </w:tcBorders>
            <w:shd w:val="clear" w:color="auto" w:fill="7F7F7F"/>
            <w:vAlign w:val="center"/>
          </w:tcPr>
          <w:p w14:paraId="109E8FEF">
            <w:pPr>
              <w:widowControl/>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序号</w:t>
            </w:r>
          </w:p>
        </w:tc>
        <w:tc>
          <w:tcPr>
            <w:tcW w:w="1906" w:type="dxa"/>
            <w:tcBorders>
              <w:top w:val="single" w:color="auto" w:sz="4" w:space="0"/>
              <w:left w:val="nil"/>
              <w:bottom w:val="single" w:color="auto" w:sz="4" w:space="0"/>
              <w:right w:val="single" w:color="auto" w:sz="4" w:space="0"/>
            </w:tcBorders>
            <w:shd w:val="clear" w:color="auto" w:fill="7F7F7F"/>
            <w:vAlign w:val="center"/>
          </w:tcPr>
          <w:p w14:paraId="3EC42FC6">
            <w:pPr>
              <w:widowControl/>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项目</w:t>
            </w:r>
          </w:p>
        </w:tc>
        <w:tc>
          <w:tcPr>
            <w:tcW w:w="6435" w:type="dxa"/>
            <w:tcBorders>
              <w:top w:val="single" w:color="auto" w:sz="4" w:space="0"/>
              <w:left w:val="nil"/>
              <w:bottom w:val="single" w:color="auto" w:sz="4" w:space="0"/>
              <w:right w:val="double" w:color="auto" w:sz="2" w:space="0"/>
            </w:tcBorders>
            <w:shd w:val="clear" w:color="auto" w:fill="7F7F7F"/>
            <w:vAlign w:val="center"/>
          </w:tcPr>
          <w:p w14:paraId="7FD8145F">
            <w:pPr>
              <w:widowControl/>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内容（单位：元）</w:t>
            </w:r>
          </w:p>
        </w:tc>
      </w:tr>
      <w:tr w14:paraId="0F07E1D9">
        <w:tblPrEx>
          <w:tblBorders>
            <w:top w:val="single" w:color="auto" w:sz="4" w:space="0"/>
            <w:left w:val="single" w:color="auto" w:sz="4" w:space="0"/>
            <w:bottom w:val="single" w:color="auto" w:sz="4"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3D3F1432">
            <w:pPr>
              <w:widowControl/>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1</w:t>
            </w:r>
          </w:p>
        </w:tc>
        <w:tc>
          <w:tcPr>
            <w:tcW w:w="1906" w:type="dxa"/>
            <w:tcBorders>
              <w:top w:val="single" w:color="auto" w:sz="4" w:space="0"/>
              <w:left w:val="nil"/>
              <w:bottom w:val="single" w:color="auto" w:sz="4" w:space="0"/>
              <w:right w:val="single" w:color="auto" w:sz="4" w:space="0"/>
            </w:tcBorders>
            <w:shd w:val="clear" w:color="auto" w:fill="auto"/>
            <w:vAlign w:val="center"/>
          </w:tcPr>
          <w:p w14:paraId="6B0DDCE4">
            <w:pPr>
              <w:widowControl/>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投标报价</w:t>
            </w:r>
          </w:p>
        </w:tc>
        <w:tc>
          <w:tcPr>
            <w:tcW w:w="6435" w:type="dxa"/>
            <w:tcBorders>
              <w:top w:val="single" w:color="auto" w:sz="4" w:space="0"/>
              <w:left w:val="nil"/>
              <w:bottom w:val="single" w:color="auto" w:sz="4" w:space="0"/>
              <w:right w:val="double" w:color="auto" w:sz="2" w:space="0"/>
            </w:tcBorders>
            <w:shd w:val="clear" w:color="auto" w:fill="auto"/>
            <w:vAlign w:val="center"/>
          </w:tcPr>
          <w:p w14:paraId="63D275BF">
            <w:pPr>
              <w:widowControl/>
              <w:ind w:left="-38"/>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文字或折扣系数、数字</w:t>
            </w:r>
          </w:p>
        </w:tc>
      </w:tr>
      <w:tr w14:paraId="20EF8B77">
        <w:tblPrEx>
          <w:tblBorders>
            <w:top w:val="single" w:color="auto" w:sz="4" w:space="0"/>
            <w:left w:val="single" w:color="auto" w:sz="4" w:space="0"/>
            <w:bottom w:val="single" w:color="auto" w:sz="4"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252EB664">
            <w:pPr>
              <w:widowControl/>
              <w:jc w:val="center"/>
              <w:rPr>
                <w:rFonts w:hint="default" w:ascii="Times New Roman" w:hAnsi="Times New Roman" w:eastAsia="宋体" w:cs="Times New Roman"/>
                <w:color w:val="000000"/>
                <w:szCs w:val="21"/>
                <w:lang w:val="en-US" w:eastAsia="zh-CN" w:bidi="ar"/>
              </w:rPr>
            </w:pPr>
            <w:r>
              <w:rPr>
                <w:rFonts w:hint="default" w:ascii="Times New Roman" w:hAnsi="Times New Roman" w:cs="Times New Roman"/>
                <w:color w:val="000000"/>
                <w:szCs w:val="21"/>
                <w:lang w:val="en-US" w:eastAsia="zh-CN" w:bidi="ar"/>
              </w:rPr>
              <w:t>2</w:t>
            </w:r>
          </w:p>
        </w:tc>
        <w:tc>
          <w:tcPr>
            <w:tcW w:w="1906" w:type="dxa"/>
            <w:tcBorders>
              <w:top w:val="single" w:color="auto" w:sz="4" w:space="0"/>
              <w:left w:val="nil"/>
              <w:bottom w:val="single" w:color="auto" w:sz="4" w:space="0"/>
              <w:right w:val="single" w:color="auto" w:sz="4" w:space="0"/>
            </w:tcBorders>
            <w:shd w:val="clear" w:color="auto" w:fill="auto"/>
            <w:vAlign w:val="center"/>
          </w:tcPr>
          <w:p w14:paraId="17C80EA8">
            <w:pPr>
              <w:widowControl/>
              <w:jc w:val="center"/>
              <w:rPr>
                <w:rFonts w:hint="default" w:ascii="Times New Roman" w:hAnsi="Times New Roman" w:cs="Times New Roman"/>
                <w:color w:val="000000"/>
                <w:szCs w:val="21"/>
                <w:lang w:val="en-US" w:bidi="ar"/>
              </w:rPr>
            </w:pPr>
            <w:r>
              <w:rPr>
                <w:rFonts w:hint="default" w:ascii="Times New Roman" w:hAnsi="Times New Roman" w:cs="Times New Roman"/>
                <w:color w:val="000000"/>
              </w:rPr>
              <w:t>履约期限</w:t>
            </w:r>
          </w:p>
        </w:tc>
        <w:tc>
          <w:tcPr>
            <w:tcW w:w="6435" w:type="dxa"/>
            <w:tcBorders>
              <w:top w:val="single" w:color="auto" w:sz="4" w:space="0"/>
              <w:left w:val="nil"/>
              <w:bottom w:val="single" w:color="auto" w:sz="4" w:space="0"/>
              <w:right w:val="double" w:color="auto" w:sz="2" w:space="0"/>
            </w:tcBorders>
            <w:shd w:val="clear" w:color="auto" w:fill="auto"/>
            <w:vAlign w:val="center"/>
          </w:tcPr>
          <w:p w14:paraId="1D364C59">
            <w:pPr>
              <w:widowControl/>
              <w:ind w:left="-38"/>
              <w:jc w:val="center"/>
              <w:rPr>
                <w:rFonts w:hint="default" w:ascii="Times New Roman" w:hAnsi="Times New Roman" w:cs="Times New Roman"/>
                <w:color w:val="000000"/>
                <w:szCs w:val="21"/>
                <w:lang w:val="en-US" w:bidi="ar"/>
              </w:rPr>
            </w:pPr>
          </w:p>
        </w:tc>
      </w:tr>
      <w:tr w14:paraId="0C1ACFB9">
        <w:tblPrEx>
          <w:tblBorders>
            <w:top w:val="single" w:color="auto" w:sz="4" w:space="0"/>
            <w:left w:val="single" w:color="auto" w:sz="4" w:space="0"/>
            <w:bottom w:val="single" w:color="auto" w:sz="4"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2C30E3F3">
            <w:pPr>
              <w:widowControl/>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w:t>
            </w:r>
          </w:p>
        </w:tc>
        <w:tc>
          <w:tcPr>
            <w:tcW w:w="1906" w:type="dxa"/>
            <w:tcBorders>
              <w:top w:val="single" w:color="auto" w:sz="4" w:space="0"/>
              <w:left w:val="nil"/>
              <w:bottom w:val="single" w:color="auto" w:sz="4" w:space="0"/>
              <w:right w:val="single" w:color="auto" w:sz="4" w:space="0"/>
            </w:tcBorders>
            <w:shd w:val="clear" w:color="auto" w:fill="auto"/>
            <w:vAlign w:val="center"/>
          </w:tcPr>
          <w:p w14:paraId="1885589B">
            <w:pPr>
              <w:widowControl/>
              <w:jc w:val="center"/>
              <w:rPr>
                <w:rFonts w:hint="default" w:ascii="Times New Roman" w:hAnsi="Times New Roman" w:cs="Times New Roman"/>
                <w:color w:val="000000"/>
                <w:szCs w:val="21"/>
              </w:rPr>
            </w:pPr>
          </w:p>
        </w:tc>
        <w:tc>
          <w:tcPr>
            <w:tcW w:w="6435" w:type="dxa"/>
            <w:tcBorders>
              <w:top w:val="single" w:color="auto" w:sz="4" w:space="0"/>
              <w:left w:val="nil"/>
              <w:bottom w:val="single" w:color="auto" w:sz="4" w:space="0"/>
              <w:right w:val="double" w:color="auto" w:sz="2" w:space="0"/>
            </w:tcBorders>
            <w:shd w:val="clear" w:color="auto" w:fill="auto"/>
            <w:vAlign w:val="center"/>
          </w:tcPr>
          <w:p w14:paraId="56C1C351">
            <w:pPr>
              <w:widowControl/>
              <w:ind w:left="-38"/>
              <w:jc w:val="center"/>
              <w:rPr>
                <w:rFonts w:hint="default" w:ascii="Times New Roman" w:hAnsi="Times New Roman" w:cs="Times New Roman"/>
                <w:color w:val="000000"/>
                <w:szCs w:val="21"/>
              </w:rPr>
            </w:pPr>
          </w:p>
        </w:tc>
      </w:tr>
      <w:tr w14:paraId="06CC7634">
        <w:tblPrEx>
          <w:tblBorders>
            <w:top w:val="single" w:color="auto" w:sz="4" w:space="0"/>
            <w:left w:val="single" w:color="auto" w:sz="4" w:space="0"/>
            <w:bottom w:val="single" w:color="auto" w:sz="4"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0C0A01AC">
            <w:pPr>
              <w:widowControl/>
              <w:jc w:val="center"/>
              <w:rPr>
                <w:rFonts w:hint="default" w:ascii="Times New Roman" w:hAnsi="Times New Roman" w:cs="Times New Roman"/>
                <w:color w:val="000000"/>
                <w:szCs w:val="21"/>
                <w:lang w:bidi="ar"/>
              </w:rPr>
            </w:pPr>
          </w:p>
        </w:tc>
        <w:tc>
          <w:tcPr>
            <w:tcW w:w="1906" w:type="dxa"/>
            <w:tcBorders>
              <w:top w:val="single" w:color="auto" w:sz="4" w:space="0"/>
              <w:left w:val="nil"/>
              <w:bottom w:val="single" w:color="auto" w:sz="4" w:space="0"/>
              <w:right w:val="single" w:color="auto" w:sz="4" w:space="0"/>
            </w:tcBorders>
            <w:shd w:val="clear" w:color="auto" w:fill="auto"/>
            <w:vAlign w:val="center"/>
          </w:tcPr>
          <w:p w14:paraId="7155C568">
            <w:pPr>
              <w:widowControl/>
              <w:jc w:val="center"/>
              <w:rPr>
                <w:rFonts w:hint="default" w:ascii="Times New Roman" w:hAnsi="Times New Roman" w:cs="Times New Roman"/>
                <w:color w:val="000000"/>
                <w:szCs w:val="21"/>
              </w:rPr>
            </w:pPr>
          </w:p>
        </w:tc>
        <w:tc>
          <w:tcPr>
            <w:tcW w:w="6435" w:type="dxa"/>
            <w:tcBorders>
              <w:top w:val="single" w:color="auto" w:sz="4" w:space="0"/>
              <w:left w:val="nil"/>
              <w:bottom w:val="single" w:color="auto" w:sz="4" w:space="0"/>
              <w:right w:val="double" w:color="auto" w:sz="2" w:space="0"/>
            </w:tcBorders>
            <w:shd w:val="clear" w:color="auto" w:fill="auto"/>
            <w:vAlign w:val="center"/>
          </w:tcPr>
          <w:p w14:paraId="654628CF">
            <w:pPr>
              <w:widowControl/>
              <w:ind w:left="-38"/>
              <w:jc w:val="center"/>
              <w:rPr>
                <w:rFonts w:hint="default" w:ascii="Times New Roman" w:hAnsi="Times New Roman" w:cs="Times New Roman"/>
                <w:color w:val="000000"/>
                <w:szCs w:val="21"/>
              </w:rPr>
            </w:pPr>
          </w:p>
        </w:tc>
      </w:tr>
    </w:tbl>
    <w:p w14:paraId="342A39DE">
      <w:pPr>
        <w:widowControl/>
        <w:jc w:val="lef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B3046B5">
      <w:pPr>
        <w:widowControl/>
        <w:jc w:val="lef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2462CA4">
      <w:pPr>
        <w:widowControl/>
        <w:jc w:val="lef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CC3590D">
      <w:pPr>
        <w:widowControl/>
        <w:spacing w:line="400" w:lineRule="atLeast"/>
        <w:ind w:firstLine="3542" w:firstLineChars="1687"/>
        <w:jc w:val="left"/>
        <w:rPr>
          <w:rFonts w:hint="default" w:ascii="Times New Roman" w:hAnsi="Times New Roman" w:eastAsia="宋体" w:cs="Times New Roman"/>
          <w:szCs w:val="21"/>
        </w:rPr>
      </w:pPr>
      <w:r>
        <w:rPr>
          <w:rFonts w:hint="default" w:ascii="Times New Roman" w:hAnsi="Times New Roman" w:eastAsia="宋体" w:cs="Times New Roman"/>
          <w:szCs w:val="21"/>
        </w:rPr>
        <w:t>投标人：</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（盖单位章） </w:t>
      </w:r>
    </w:p>
    <w:p w14:paraId="18B3589A">
      <w:pPr>
        <w:widowControl/>
        <w:spacing w:line="400" w:lineRule="atLeast"/>
        <w:ind w:firstLine="3542" w:firstLineChars="1687"/>
        <w:jc w:val="left"/>
        <w:rPr>
          <w:rFonts w:hint="default" w:ascii="Times New Roman" w:hAnsi="Times New Roman" w:eastAsia="宋体" w:cs="Times New Roman"/>
          <w:szCs w:val="21"/>
        </w:rPr>
      </w:pPr>
      <w:r>
        <w:rPr>
          <w:rFonts w:hint="default" w:ascii="Times New Roman" w:hAnsi="Times New Roman" w:eastAsia="宋体" w:cs="Times New Roman"/>
          <w:szCs w:val="21"/>
        </w:rPr>
        <w:t>法定代表人：</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（签章）</w:t>
      </w:r>
    </w:p>
    <w:p w14:paraId="2D427FA8">
      <w:pPr>
        <w:widowControl/>
        <w:spacing w:line="400" w:lineRule="atLeast"/>
        <w:ind w:firstLine="3542" w:firstLineChars="1687"/>
        <w:jc w:val="left"/>
        <w:rPr>
          <w:rFonts w:hint="default" w:ascii="Times New Roman" w:hAnsi="Times New Roman" w:eastAsia="宋体" w:cs="Times New Roman"/>
          <w:szCs w:val="21"/>
        </w:rPr>
      </w:pPr>
      <w:r>
        <w:rPr>
          <w:rFonts w:hint="default" w:ascii="Times New Roman" w:hAnsi="Times New Roman" w:eastAsia="宋体" w:cs="Times New Roman"/>
          <w:szCs w:val="21"/>
        </w:rPr>
        <w:t>日期：</w:t>
      </w:r>
      <w:r>
        <w:rPr>
          <w:rFonts w:hint="default" w:ascii="Times New Roman" w:hAnsi="Times New Roman" w:eastAsia="宋体" w:cs="Times New Roman"/>
          <w:szCs w:val="21"/>
          <w:u w:val="single"/>
        </w:rPr>
        <w:t xml:space="preserve">                      </w:t>
      </w:r>
    </w:p>
    <w:p w14:paraId="5686BDAA">
      <w:pPr>
        <w:widowControl/>
        <w:spacing w:line="400" w:lineRule="atLeast"/>
        <w:jc w:val="left"/>
        <w:rPr>
          <w:rFonts w:hint="default" w:ascii="Times New Roman" w:hAnsi="Times New Roman" w:eastAsia="宋体" w:cs="Times New Roman"/>
          <w:szCs w:val="21"/>
        </w:rPr>
      </w:pPr>
    </w:p>
    <w:p w14:paraId="6D02C577">
      <w:pPr>
        <w:spacing w:line="400" w:lineRule="atLeast"/>
        <w:rPr>
          <w:rFonts w:hint="default" w:ascii="Times New Roman" w:hAnsi="Times New Roman" w:eastAsia="宋体" w:cs="Times New Roman"/>
          <w:szCs w:val="21"/>
        </w:rPr>
      </w:pPr>
      <w:r>
        <w:rPr>
          <w:rFonts w:hint="default" w:ascii="Times New Roman" w:hAnsi="Times New Roman" w:eastAsia="宋体" w:cs="Times New Roman"/>
          <w:szCs w:val="21"/>
        </w:rPr>
        <w:t>备注：</w:t>
      </w:r>
    </w:p>
    <w:p w14:paraId="4F05BC56">
      <w:pPr>
        <w:spacing w:line="400" w:lineRule="atLeast"/>
        <w:ind w:firstLine="630" w:firstLineChars="300"/>
        <w:rPr>
          <w:rFonts w:hint="default" w:ascii="Times New Roman" w:hAnsi="Times New Roman" w:eastAsia="宋体" w:cs="Times New Roman"/>
          <w:szCs w:val="21"/>
        </w:rPr>
      </w:pPr>
      <w:r>
        <w:rPr>
          <w:rFonts w:hint="default" w:ascii="Times New Roman" w:hAnsi="Times New Roman" w:eastAsia="宋体" w:cs="Times New Roman"/>
          <w:szCs w:val="21"/>
        </w:rPr>
        <w:t>1.项目由招标人根据项目标段（包）实际情况进行填写、编辑，最多只能填写、编辑五项内容，否则开标时开标一览表无法正常打开；</w:t>
      </w:r>
    </w:p>
    <w:p w14:paraId="173153C8">
      <w:pPr>
        <w:spacing w:line="400" w:lineRule="atLeast"/>
        <w:ind w:firstLine="630" w:firstLineChars="300"/>
        <w:rPr>
          <w:rFonts w:hint="default" w:ascii="Times New Roman" w:hAnsi="Times New Roman" w:eastAsia="宋体" w:cs="Times New Roman"/>
          <w:szCs w:val="21"/>
        </w:rPr>
      </w:pPr>
      <w:r>
        <w:rPr>
          <w:rFonts w:hint="default" w:ascii="Times New Roman" w:hAnsi="Times New Roman" w:eastAsia="宋体" w:cs="Times New Roman"/>
          <w:szCs w:val="21"/>
        </w:rPr>
        <w:t>2.内容由各投标人按投标文件制作工具中“投标一览表”中要求的项进行填写。</w:t>
      </w:r>
    </w:p>
    <w:p w14:paraId="530AED6D">
      <w:pPr>
        <w:rPr>
          <w:rFonts w:hint="default" w:ascii="Times New Roman" w:hAnsi="Times New Roman" w:cs="Times New Roman"/>
          <w:b/>
          <w:color w:val="000000"/>
          <w:sz w:val="24"/>
          <w:szCs w:val="24"/>
        </w:rPr>
      </w:pPr>
      <w:r>
        <w:rPr>
          <w:rFonts w:hint="default" w:ascii="Times New Roman" w:hAnsi="Times New Roman" w:cs="Times New Roman"/>
          <w:color w:val="000000"/>
          <w:szCs w:val="21"/>
          <w:lang w:bidi="ar"/>
        </w:rPr>
        <w:br w:type="page"/>
      </w:r>
      <w:r>
        <w:rPr>
          <w:rFonts w:hint="default" w:ascii="Times New Roman" w:hAnsi="Times New Roman" w:cs="Times New Roman"/>
          <w:b/>
          <w:color w:val="000000"/>
          <w:sz w:val="24"/>
          <w:szCs w:val="24"/>
          <w:lang w:bidi="ar"/>
        </w:rPr>
        <w:t xml:space="preserve"> </w:t>
      </w:r>
    </w:p>
    <w:p w14:paraId="7293FDF9">
      <w:pPr>
        <w:pStyle w:val="43"/>
        <w:keepNext w:val="0"/>
        <w:keepLines w:val="0"/>
        <w:widowControl/>
        <w:spacing w:beforeAutospacing="1"/>
        <w:jc w:val="center"/>
        <w:rPr>
          <w:rFonts w:hint="default" w:ascii="Times New Roman" w:hAnsi="Times New Roman" w:cs="Times New Roman"/>
          <w:color w:val="000000"/>
        </w:rPr>
      </w:pPr>
      <w:r>
        <w:rPr>
          <w:rFonts w:hint="default" w:ascii="Times New Roman" w:hAnsi="Times New Roman" w:cs="Times New Roman"/>
          <w:color w:val="000000"/>
        </w:rPr>
        <w:t>（二）投标函</w:t>
      </w:r>
    </w:p>
    <w:p w14:paraId="3A3548FF">
      <w:pPr>
        <w:pStyle w:val="59"/>
        <w:spacing w:line="400" w:lineRule="atLeast"/>
        <w:rPr>
          <w:rFonts w:hint="default" w:ascii="Times New Roman" w:hAnsi="Times New Roman" w:eastAsia="宋体" w:cs="Times New Roman"/>
          <w:szCs w:val="21"/>
        </w:rPr>
      </w:pP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(招标人名称)：</w:t>
      </w:r>
    </w:p>
    <w:p w14:paraId="5B3D5672">
      <w:pPr>
        <w:pStyle w:val="59"/>
        <w:spacing w:line="400" w:lineRule="atLeast"/>
        <w:ind w:firstLine="435"/>
        <w:rPr>
          <w:rFonts w:hint="default" w:ascii="Times New Roman" w:hAnsi="Times New Roman" w:eastAsia="宋体" w:cs="Times New Roman"/>
          <w:szCs w:val="21"/>
        </w:rPr>
      </w:pPr>
      <w:r>
        <w:rPr>
          <w:rFonts w:hint="default" w:ascii="Times New Roman" w:hAnsi="Times New Roman" w:eastAsia="宋体" w:cs="Times New Roman"/>
          <w:szCs w:val="21"/>
        </w:rPr>
        <w:t>1．我方已仔细研究了</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（标段/包名称）招标文件的全部内容，并对此无异议，愿意以本投标文件所附《投标一览表》及投标函附录申明的的投标报价、履约期限等承诺，按合同约定实施和完成承包项目。</w:t>
      </w:r>
    </w:p>
    <w:p w14:paraId="7FF0FF93">
      <w:pPr>
        <w:pStyle w:val="59"/>
        <w:spacing w:line="400" w:lineRule="atLeast"/>
        <w:ind w:firstLine="435"/>
        <w:rPr>
          <w:rFonts w:hint="default" w:ascii="Times New Roman" w:hAnsi="Times New Roman" w:eastAsia="宋体" w:cs="Times New Roman"/>
          <w:szCs w:val="21"/>
        </w:rPr>
      </w:pPr>
      <w:r>
        <w:rPr>
          <w:rFonts w:hint="default" w:ascii="Times New Roman" w:hAnsi="Times New Roman" w:eastAsia="宋体" w:cs="Times New Roman"/>
          <w:szCs w:val="21"/>
        </w:rPr>
        <w:t>2. 我方同意所提交的投标文件在招标文件的投标须知中规定的投标有效期内有效，在此期间内如果中标，我方将受此约束。</w:t>
      </w:r>
    </w:p>
    <w:p w14:paraId="28CCC4DE">
      <w:pPr>
        <w:pStyle w:val="59"/>
        <w:spacing w:line="400" w:lineRule="atLeast"/>
        <w:ind w:firstLine="435"/>
        <w:rPr>
          <w:rFonts w:hint="default" w:ascii="Times New Roman" w:hAnsi="Times New Roman" w:eastAsia="宋体" w:cs="Times New Roman"/>
          <w:szCs w:val="21"/>
        </w:rPr>
      </w:pPr>
      <w:r>
        <w:rPr>
          <w:rFonts w:hint="default" w:ascii="Times New Roman" w:hAnsi="Times New Roman" w:eastAsia="宋体" w:cs="Times New Roman"/>
          <w:szCs w:val="21"/>
        </w:rPr>
        <w:t>3．我方已按招标文件的要求递交投标保证金。</w:t>
      </w:r>
    </w:p>
    <w:p w14:paraId="77AA7EEC">
      <w:pPr>
        <w:pStyle w:val="59"/>
        <w:spacing w:line="400" w:lineRule="atLeast"/>
        <w:ind w:firstLine="435"/>
        <w:rPr>
          <w:rFonts w:hint="default" w:ascii="Times New Roman" w:hAnsi="Times New Roman" w:eastAsia="宋体" w:cs="Times New Roman"/>
          <w:szCs w:val="21"/>
        </w:rPr>
      </w:pPr>
      <w:r>
        <w:rPr>
          <w:rFonts w:hint="default" w:ascii="Times New Roman" w:hAnsi="Times New Roman" w:eastAsia="宋体" w:cs="Times New Roman"/>
          <w:szCs w:val="21"/>
        </w:rPr>
        <w:t>4．如我方中标：</w:t>
      </w:r>
    </w:p>
    <w:p w14:paraId="4FE83011">
      <w:pPr>
        <w:pStyle w:val="59"/>
        <w:spacing w:line="400" w:lineRule="atLeast"/>
        <w:ind w:firstLine="435"/>
        <w:rPr>
          <w:rFonts w:hint="default" w:ascii="Times New Roman" w:hAnsi="Times New Roman" w:eastAsia="宋体" w:cs="Times New Roman"/>
          <w:szCs w:val="21"/>
        </w:rPr>
      </w:pPr>
      <w:r>
        <w:rPr>
          <w:rFonts w:hint="default" w:ascii="Times New Roman" w:hAnsi="Times New Roman" w:eastAsia="宋体" w:cs="Times New Roman"/>
          <w:szCs w:val="21"/>
        </w:rPr>
        <w:t>（1）我方承诺在收到中标通知书后，按照招标文件要求在中标通知书规定的期限内与你方签订合同。</w:t>
      </w:r>
    </w:p>
    <w:p w14:paraId="106F15FE">
      <w:pPr>
        <w:pStyle w:val="59"/>
        <w:spacing w:line="400" w:lineRule="atLeast"/>
        <w:ind w:firstLine="435"/>
        <w:rPr>
          <w:rFonts w:hint="default" w:ascii="Times New Roman" w:hAnsi="Times New Roman" w:eastAsia="宋体" w:cs="Times New Roman"/>
          <w:szCs w:val="21"/>
        </w:rPr>
      </w:pPr>
      <w:r>
        <w:rPr>
          <w:rFonts w:hint="default" w:ascii="Times New Roman" w:hAnsi="Times New Roman" w:eastAsia="宋体" w:cs="Times New Roman"/>
          <w:szCs w:val="21"/>
        </w:rPr>
        <w:t>（2）随同本投标函递交的投标函附录属于合同文件的组成部分。</w:t>
      </w:r>
    </w:p>
    <w:p w14:paraId="31E539E8">
      <w:pPr>
        <w:pStyle w:val="59"/>
        <w:spacing w:line="400" w:lineRule="atLeast"/>
        <w:ind w:firstLine="435"/>
        <w:rPr>
          <w:rFonts w:hint="default" w:ascii="Times New Roman" w:hAnsi="Times New Roman" w:eastAsia="宋体" w:cs="Times New Roman"/>
          <w:szCs w:val="21"/>
        </w:rPr>
      </w:pPr>
      <w:r>
        <w:rPr>
          <w:rFonts w:hint="default" w:ascii="Times New Roman" w:hAnsi="Times New Roman" w:eastAsia="宋体" w:cs="Times New Roman"/>
          <w:szCs w:val="21"/>
        </w:rPr>
        <w:t>（3）我方承诺按照招标文件规定向你方递交履约保证金，并接受招标文件中关于没收投标保证金的约定。</w:t>
      </w:r>
    </w:p>
    <w:p w14:paraId="1DBC6EED">
      <w:pPr>
        <w:pStyle w:val="59"/>
        <w:spacing w:line="400" w:lineRule="atLeast"/>
        <w:ind w:firstLine="435"/>
        <w:rPr>
          <w:rFonts w:hint="default" w:ascii="Times New Roman" w:hAnsi="Times New Roman" w:eastAsia="宋体" w:cs="Times New Roman"/>
          <w:szCs w:val="21"/>
        </w:rPr>
      </w:pPr>
      <w:r>
        <w:rPr>
          <w:rFonts w:hint="default" w:ascii="Times New Roman" w:hAnsi="Times New Roman" w:eastAsia="宋体" w:cs="Times New Roman"/>
          <w:szCs w:val="21"/>
        </w:rPr>
        <w:t>（4）我方承诺在合同约定的期限内完成并移交全部合同项目。</w:t>
      </w:r>
    </w:p>
    <w:p w14:paraId="11082092">
      <w:pPr>
        <w:pStyle w:val="59"/>
        <w:spacing w:line="400" w:lineRule="atLeast"/>
        <w:ind w:firstLine="435"/>
        <w:rPr>
          <w:rFonts w:hint="default" w:ascii="Times New Roman" w:hAnsi="Times New Roman" w:eastAsia="宋体" w:cs="Times New Roman"/>
          <w:szCs w:val="21"/>
        </w:rPr>
      </w:pPr>
      <w:r>
        <w:rPr>
          <w:rFonts w:hint="default" w:ascii="Times New Roman" w:hAnsi="Times New Roman" w:eastAsia="宋体" w:cs="Times New Roman"/>
          <w:szCs w:val="21"/>
        </w:rPr>
        <w:t xml:space="preserve">（5）同意提供按照你方可能要求的与其投标有关一切数据或资料。 </w:t>
      </w:r>
    </w:p>
    <w:p w14:paraId="0BA3A06B">
      <w:pPr>
        <w:pStyle w:val="59"/>
        <w:spacing w:line="400" w:lineRule="atLeast"/>
        <w:ind w:firstLine="435"/>
        <w:rPr>
          <w:rFonts w:hint="default" w:ascii="Times New Roman" w:hAnsi="Times New Roman" w:eastAsia="宋体" w:cs="Times New Roman"/>
          <w:szCs w:val="21"/>
        </w:rPr>
      </w:pPr>
      <w:r>
        <w:rPr>
          <w:rFonts w:hint="default" w:ascii="Times New Roman" w:hAnsi="Times New Roman" w:eastAsia="宋体" w:cs="Times New Roman"/>
          <w:szCs w:val="21"/>
        </w:rPr>
        <w:t>5．我方在此声明，所递交的投标文件及有关资料内容完整、真实和准确。</w:t>
      </w:r>
    </w:p>
    <w:p w14:paraId="22353512">
      <w:pPr>
        <w:pStyle w:val="59"/>
        <w:spacing w:line="400" w:lineRule="atLeast"/>
        <w:ind w:firstLine="435"/>
        <w:rPr>
          <w:rFonts w:hint="default" w:ascii="Times New Roman" w:hAnsi="Times New Roman" w:eastAsia="宋体" w:cs="Times New Roman"/>
          <w:szCs w:val="21"/>
        </w:rPr>
      </w:pPr>
      <w:r>
        <w:rPr>
          <w:rFonts w:hint="default" w:ascii="Times New Roman" w:hAnsi="Times New Roman" w:eastAsia="宋体" w:cs="Times New Roman"/>
          <w:szCs w:val="21"/>
        </w:rPr>
        <w:t>6．其他补充说明</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w:t>
      </w:r>
    </w:p>
    <w:p w14:paraId="0B4A0F9A">
      <w:pPr>
        <w:pStyle w:val="59"/>
        <w:spacing w:line="400" w:lineRule="atLeast"/>
        <w:ind w:firstLine="435"/>
        <w:rPr>
          <w:rFonts w:hint="default" w:ascii="Times New Roman" w:hAnsi="Times New Roman" w:eastAsia="宋体" w:cs="Times New Roman"/>
        </w:rPr>
      </w:pPr>
    </w:p>
    <w:p w14:paraId="63D81147">
      <w:pPr>
        <w:pStyle w:val="59"/>
        <w:spacing w:line="400" w:lineRule="atLeast"/>
        <w:rPr>
          <w:rFonts w:hint="default" w:ascii="Times New Roman" w:hAnsi="Times New Roman" w:eastAsia="宋体" w:cs="Times New Roman"/>
        </w:rPr>
      </w:pPr>
    </w:p>
    <w:p w14:paraId="2CC6BDBE">
      <w:pPr>
        <w:pStyle w:val="59"/>
        <w:spacing w:line="400" w:lineRule="atLeast"/>
        <w:ind w:firstLine="3990" w:firstLineChars="1900"/>
        <w:rPr>
          <w:rFonts w:hint="default" w:ascii="Times New Roman" w:hAnsi="Times New Roman" w:eastAsia="宋体" w:cs="Times New Roman"/>
        </w:rPr>
      </w:pPr>
      <w:r>
        <w:rPr>
          <w:rFonts w:hint="default" w:ascii="Times New Roman" w:hAnsi="Times New Roman" w:eastAsia="宋体" w:cs="Times New Roman"/>
        </w:rPr>
        <w:t>投标人：</w:t>
      </w:r>
      <w:r>
        <w:rPr>
          <w:rFonts w:hint="default" w:ascii="Times New Roman" w:hAnsi="Times New Roman" w:eastAsia="宋体" w:cs="Times New Roman"/>
          <w:u w:val="single"/>
        </w:rPr>
        <w:t xml:space="preserve">                          </w:t>
      </w:r>
      <w:r>
        <w:rPr>
          <w:rFonts w:hint="default" w:ascii="Times New Roman" w:hAnsi="Times New Roman" w:eastAsia="宋体" w:cs="Times New Roman"/>
        </w:rPr>
        <w:t>(盖单位章)</w:t>
      </w:r>
    </w:p>
    <w:p w14:paraId="035D7E1A">
      <w:pPr>
        <w:pStyle w:val="59"/>
        <w:spacing w:line="400" w:lineRule="atLeast"/>
        <w:ind w:firstLine="3990" w:firstLineChars="1900"/>
        <w:rPr>
          <w:rFonts w:hint="default" w:ascii="Times New Roman" w:hAnsi="Times New Roman" w:eastAsia="宋体" w:cs="Times New Roman"/>
        </w:rPr>
      </w:pPr>
      <w:r>
        <w:rPr>
          <w:rFonts w:hint="default" w:ascii="Times New Roman" w:hAnsi="Times New Roman" w:eastAsia="宋体" w:cs="Times New Roman"/>
        </w:rPr>
        <w:t>法定代表人：</w:t>
      </w:r>
      <w:r>
        <w:rPr>
          <w:rFonts w:hint="default" w:ascii="Times New Roman" w:hAnsi="Times New Roman" w:eastAsia="宋体" w:cs="Times New Roman"/>
          <w:u w:val="single"/>
        </w:rPr>
        <w:t xml:space="preserve">                          </w:t>
      </w:r>
      <w:r>
        <w:rPr>
          <w:rFonts w:hint="default" w:ascii="Times New Roman" w:hAnsi="Times New Roman" w:eastAsia="宋体" w:cs="Times New Roman"/>
        </w:rPr>
        <w:t>(签章)</w:t>
      </w:r>
    </w:p>
    <w:p w14:paraId="13CCEA85">
      <w:pPr>
        <w:pStyle w:val="59"/>
        <w:spacing w:line="400" w:lineRule="atLeast"/>
        <w:ind w:firstLine="3990" w:firstLineChars="1900"/>
        <w:rPr>
          <w:rFonts w:hint="default" w:ascii="Times New Roman" w:hAnsi="Times New Roman" w:eastAsia="宋体" w:cs="Times New Roman"/>
        </w:rPr>
      </w:pPr>
      <w:r>
        <w:rPr>
          <w:rFonts w:hint="default" w:ascii="Times New Roman" w:hAnsi="Times New Roman" w:eastAsia="宋体" w:cs="Times New Roman"/>
        </w:rPr>
        <w:t>地址：</w:t>
      </w:r>
      <w:r>
        <w:rPr>
          <w:rFonts w:hint="default" w:ascii="Times New Roman" w:hAnsi="Times New Roman" w:eastAsia="宋体" w:cs="Times New Roman"/>
          <w:u w:val="single"/>
        </w:rPr>
        <w:t xml:space="preserve">                                     </w:t>
      </w:r>
    </w:p>
    <w:p w14:paraId="4611D187">
      <w:pPr>
        <w:pStyle w:val="59"/>
        <w:spacing w:line="400" w:lineRule="atLeast"/>
        <w:ind w:firstLine="3990" w:firstLineChars="1900"/>
        <w:rPr>
          <w:rFonts w:hint="default" w:ascii="Times New Roman" w:hAnsi="Times New Roman" w:eastAsia="宋体" w:cs="Times New Roman"/>
        </w:rPr>
      </w:pPr>
      <w:r>
        <w:rPr>
          <w:rFonts w:hint="default" w:ascii="Times New Roman" w:hAnsi="Times New Roman" w:eastAsia="宋体" w:cs="Times New Roman"/>
        </w:rPr>
        <w:t>电话：</w:t>
      </w:r>
      <w:r>
        <w:rPr>
          <w:rFonts w:hint="default" w:ascii="Times New Roman" w:hAnsi="Times New Roman" w:eastAsia="宋体" w:cs="Times New Roman"/>
          <w:u w:val="single"/>
        </w:rPr>
        <w:t xml:space="preserve">                                     </w:t>
      </w:r>
    </w:p>
    <w:p w14:paraId="2D658F86">
      <w:pPr>
        <w:pStyle w:val="59"/>
        <w:spacing w:line="400" w:lineRule="atLeast"/>
        <w:ind w:firstLine="3990" w:firstLineChars="1900"/>
        <w:rPr>
          <w:rFonts w:hint="default" w:ascii="Times New Roman" w:hAnsi="Times New Roman" w:eastAsia="宋体" w:cs="Times New Roman"/>
        </w:rPr>
      </w:pPr>
      <w:r>
        <w:rPr>
          <w:rFonts w:hint="default" w:ascii="Times New Roman" w:hAnsi="Times New Roman" w:eastAsia="宋体" w:cs="Times New Roman"/>
        </w:rPr>
        <w:t>传真：</w:t>
      </w:r>
      <w:r>
        <w:rPr>
          <w:rFonts w:hint="default" w:ascii="Times New Roman" w:hAnsi="Times New Roman" w:eastAsia="宋体" w:cs="Times New Roman"/>
          <w:u w:val="single"/>
        </w:rPr>
        <w:t xml:space="preserve">                                     </w:t>
      </w:r>
    </w:p>
    <w:p w14:paraId="5075150F">
      <w:pPr>
        <w:pStyle w:val="59"/>
        <w:spacing w:line="400" w:lineRule="atLeast"/>
        <w:ind w:firstLine="3990" w:firstLineChars="1900"/>
        <w:rPr>
          <w:rFonts w:hint="default" w:ascii="Times New Roman" w:hAnsi="Times New Roman" w:eastAsia="宋体" w:cs="Times New Roman"/>
          <w:u w:val="single"/>
        </w:rPr>
      </w:pPr>
      <w:r>
        <w:rPr>
          <w:rFonts w:hint="default" w:ascii="Times New Roman" w:hAnsi="Times New Roman" w:eastAsia="宋体" w:cs="Times New Roman"/>
        </w:rPr>
        <w:t>邮政编码：</w:t>
      </w:r>
      <w:r>
        <w:rPr>
          <w:rFonts w:hint="default" w:ascii="Times New Roman" w:hAnsi="Times New Roman" w:eastAsia="宋体" w:cs="Times New Roman"/>
          <w:u w:val="single"/>
        </w:rPr>
        <w:t xml:space="preserve">                                 </w:t>
      </w:r>
    </w:p>
    <w:p w14:paraId="2EE29CA4">
      <w:pPr>
        <w:pStyle w:val="59"/>
        <w:spacing w:line="400" w:lineRule="atLeast"/>
        <w:ind w:firstLine="3990" w:firstLineChars="1900"/>
        <w:rPr>
          <w:rFonts w:hint="default" w:ascii="Times New Roman" w:hAnsi="Times New Roman" w:eastAsia="宋体" w:cs="Times New Roman"/>
        </w:rPr>
      </w:pPr>
      <w:r>
        <w:rPr>
          <w:rFonts w:hint="default" w:ascii="Times New Roman" w:hAnsi="Times New Roman" w:eastAsia="宋体" w:cs="Times New Roman"/>
        </w:rPr>
        <w:t>日期：</w:t>
      </w:r>
      <w:r>
        <w:rPr>
          <w:rFonts w:hint="default" w:ascii="Times New Roman" w:hAnsi="Times New Roman" w:eastAsia="宋体" w:cs="Times New Roman"/>
          <w:u w:val="single"/>
        </w:rPr>
        <w:t xml:space="preserve">                                     </w:t>
      </w:r>
    </w:p>
    <w:p w14:paraId="4BC3DB2A">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AA7E4C3">
      <w:pPr>
        <w:rPr>
          <w:rFonts w:hint="default" w:ascii="Times New Roman" w:hAnsi="Times New Roman" w:cs="Times New Roman"/>
          <w:color w:val="000000"/>
          <w:szCs w:val="21"/>
        </w:rPr>
      </w:pPr>
      <w:r>
        <w:rPr>
          <w:rFonts w:hint="default" w:ascii="Times New Roman" w:hAnsi="Times New Roman" w:cs="Times New Roman"/>
          <w:color w:val="000000"/>
          <w:szCs w:val="21"/>
          <w:lang w:bidi="ar"/>
        </w:rPr>
        <w:br w:type="page"/>
      </w:r>
    </w:p>
    <w:p w14:paraId="3C2521FE">
      <w:pPr>
        <w:pStyle w:val="43"/>
        <w:keepNext w:val="0"/>
        <w:keepLines w:val="0"/>
        <w:widowControl/>
        <w:spacing w:beforeAutospacing="1"/>
        <w:jc w:val="center"/>
        <w:rPr>
          <w:rFonts w:hint="default" w:ascii="Times New Roman" w:hAnsi="Times New Roman" w:eastAsia="宋体" w:cs="Times New Roman"/>
          <w:color w:val="000000"/>
          <w:lang w:val="en-US" w:eastAsia="zh-CN"/>
        </w:rPr>
      </w:pPr>
      <w:r>
        <w:rPr>
          <w:rFonts w:hint="default" w:ascii="Times New Roman" w:hAnsi="Times New Roman" w:cs="Times New Roman"/>
          <w:color w:val="000000"/>
        </w:rPr>
        <w:t>（三）投标函附录</w:t>
      </w:r>
      <w:r>
        <w:rPr>
          <w:rFonts w:hint="eastAsia" w:ascii="Times New Roman" w:hAnsi="Times New Roman" w:cs="Times New Roman"/>
          <w:color w:val="000000"/>
          <w:lang w:eastAsia="zh-CN"/>
        </w:rPr>
        <w:t>（</w:t>
      </w:r>
      <w:r>
        <w:rPr>
          <w:rFonts w:hint="eastAsia" w:ascii="Times New Roman" w:hAnsi="Times New Roman" w:cs="Times New Roman"/>
          <w:color w:val="000000"/>
          <w:lang w:val="en-US" w:eastAsia="zh-CN"/>
        </w:rPr>
        <w:t>投标人无需提供）</w:t>
      </w:r>
    </w:p>
    <w:p w14:paraId="2DF42C01">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（项目名称）</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（标段/包名称）</w:t>
      </w:r>
    </w:p>
    <w:p w14:paraId="5131C5B5">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tbl>
      <w:tblPr>
        <w:tblStyle w:val="17"/>
        <w:tblW w:w="79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700"/>
        <w:gridCol w:w="3820"/>
        <w:gridCol w:w="720"/>
      </w:tblGrid>
      <w:tr w14:paraId="26842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7051755E">
            <w:pPr>
              <w:ind w:firstLine="34"/>
              <w:jc w:val="center"/>
              <w:rPr>
                <w:rFonts w:hint="default" w:ascii="Times New Roman" w:hAnsi="Times New Roman" w:cs="Times New Roman"/>
                <w:b/>
                <w:color w:val="000000"/>
                <w:szCs w:val="21"/>
              </w:rPr>
            </w:pPr>
            <w:r>
              <w:rPr>
                <w:rFonts w:hint="default" w:ascii="Times New Roman" w:hAnsi="Times New Roman" w:cs="Times New Roman"/>
                <w:b/>
                <w:color w:val="000000"/>
                <w:szCs w:val="21"/>
                <w:lang w:bidi="ar"/>
              </w:rPr>
              <w:t>序号</w:t>
            </w:r>
          </w:p>
        </w:tc>
        <w:tc>
          <w:tcPr>
            <w:tcW w:w="2700" w:type="dxa"/>
            <w:tcBorders>
              <w:top w:val="single" w:color="auto" w:sz="4" w:space="0"/>
              <w:left w:val="nil"/>
              <w:bottom w:val="single" w:color="auto" w:sz="4" w:space="0"/>
              <w:right w:val="single" w:color="auto" w:sz="4" w:space="0"/>
            </w:tcBorders>
            <w:shd w:val="clear" w:color="auto" w:fill="auto"/>
            <w:vAlign w:val="center"/>
          </w:tcPr>
          <w:p w14:paraId="37DA6798">
            <w:pPr>
              <w:ind w:firstLine="34"/>
              <w:jc w:val="center"/>
              <w:rPr>
                <w:rFonts w:hint="default" w:ascii="Times New Roman" w:hAnsi="Times New Roman" w:cs="Times New Roman"/>
                <w:b/>
                <w:color w:val="000000"/>
                <w:szCs w:val="21"/>
              </w:rPr>
            </w:pPr>
            <w:r>
              <w:rPr>
                <w:rFonts w:hint="default" w:ascii="Times New Roman" w:hAnsi="Times New Roman" w:cs="Times New Roman"/>
                <w:b/>
                <w:color w:val="000000"/>
                <w:szCs w:val="21"/>
                <w:lang w:bidi="ar"/>
              </w:rPr>
              <w:t>条款内容</w:t>
            </w:r>
          </w:p>
        </w:tc>
        <w:tc>
          <w:tcPr>
            <w:tcW w:w="3820" w:type="dxa"/>
            <w:tcBorders>
              <w:top w:val="single" w:color="auto" w:sz="4" w:space="0"/>
              <w:left w:val="nil"/>
              <w:bottom w:val="single" w:color="auto" w:sz="4" w:space="0"/>
              <w:right w:val="single" w:color="auto" w:sz="4" w:space="0"/>
            </w:tcBorders>
            <w:shd w:val="clear" w:color="auto" w:fill="auto"/>
            <w:vAlign w:val="center"/>
          </w:tcPr>
          <w:p w14:paraId="2AD6E389">
            <w:pPr>
              <w:ind w:firstLine="34"/>
              <w:jc w:val="center"/>
              <w:rPr>
                <w:rFonts w:hint="default" w:ascii="Times New Roman" w:hAnsi="Times New Roman" w:cs="Times New Roman"/>
                <w:b/>
                <w:color w:val="000000"/>
                <w:szCs w:val="21"/>
              </w:rPr>
            </w:pPr>
            <w:r>
              <w:rPr>
                <w:rFonts w:hint="default" w:ascii="Times New Roman" w:hAnsi="Times New Roman" w:cs="Times New Roman"/>
                <w:b/>
                <w:color w:val="000000"/>
                <w:szCs w:val="21"/>
                <w:lang w:bidi="ar"/>
              </w:rPr>
              <w:t>约定（承诺）内容</w:t>
            </w:r>
          </w:p>
        </w:tc>
        <w:tc>
          <w:tcPr>
            <w:tcW w:w="720" w:type="dxa"/>
            <w:tcBorders>
              <w:top w:val="single" w:color="auto" w:sz="4" w:space="0"/>
              <w:left w:val="nil"/>
              <w:bottom w:val="single" w:color="auto" w:sz="4" w:space="0"/>
              <w:right w:val="single" w:color="auto" w:sz="4" w:space="0"/>
            </w:tcBorders>
            <w:shd w:val="clear" w:color="auto" w:fill="auto"/>
            <w:vAlign w:val="center"/>
          </w:tcPr>
          <w:p w14:paraId="46BD6263">
            <w:pPr>
              <w:ind w:firstLine="34"/>
              <w:jc w:val="center"/>
              <w:rPr>
                <w:rFonts w:hint="default" w:ascii="Times New Roman" w:hAnsi="Times New Roman" w:cs="Times New Roman"/>
                <w:b/>
                <w:color w:val="000000"/>
                <w:szCs w:val="21"/>
              </w:rPr>
            </w:pPr>
            <w:r>
              <w:rPr>
                <w:rFonts w:hint="default" w:ascii="Times New Roman" w:hAnsi="Times New Roman" w:cs="Times New Roman"/>
                <w:b/>
                <w:color w:val="000000"/>
                <w:szCs w:val="21"/>
                <w:lang w:bidi="ar"/>
              </w:rPr>
              <w:t>备注</w:t>
            </w:r>
          </w:p>
        </w:tc>
      </w:tr>
      <w:tr w14:paraId="11E40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4C7AB7A2">
            <w:pPr>
              <w:ind w:firstLine="34"/>
              <w:rPr>
                <w:rFonts w:hint="default" w:ascii="Times New Roman" w:hAnsi="Times New Roman" w:cs="Times New Roman"/>
                <w:color w:val="000000"/>
                <w:szCs w:val="21"/>
              </w:rPr>
            </w:pPr>
            <w:r>
              <w:rPr>
                <w:rFonts w:hint="default" w:ascii="Times New Roman" w:hAnsi="Times New Roman" w:cs="Times New Roman"/>
                <w:color w:val="000000"/>
                <w:szCs w:val="21"/>
                <w:lang w:bidi="ar"/>
              </w:rPr>
              <w:t>1</w:t>
            </w:r>
          </w:p>
        </w:tc>
        <w:tc>
          <w:tcPr>
            <w:tcW w:w="2700" w:type="dxa"/>
            <w:tcBorders>
              <w:top w:val="single" w:color="auto" w:sz="4" w:space="0"/>
              <w:left w:val="nil"/>
              <w:bottom w:val="single" w:color="auto" w:sz="4" w:space="0"/>
              <w:right w:val="single" w:color="auto" w:sz="4" w:space="0"/>
            </w:tcBorders>
            <w:shd w:val="clear" w:color="auto" w:fill="auto"/>
            <w:vAlign w:val="center"/>
          </w:tcPr>
          <w:p w14:paraId="1D460CC9">
            <w:pPr>
              <w:ind w:firstLine="34"/>
              <w:rPr>
                <w:rFonts w:hint="default" w:ascii="Times New Roman" w:hAnsi="Times New Roman" w:cs="Times New Roman"/>
                <w:color w:val="000000"/>
                <w:szCs w:val="21"/>
              </w:rPr>
            </w:pPr>
          </w:p>
        </w:tc>
        <w:tc>
          <w:tcPr>
            <w:tcW w:w="3820" w:type="dxa"/>
            <w:tcBorders>
              <w:top w:val="single" w:color="auto" w:sz="4" w:space="0"/>
              <w:left w:val="nil"/>
              <w:bottom w:val="single" w:color="auto" w:sz="4" w:space="0"/>
              <w:right w:val="single" w:color="auto" w:sz="4" w:space="0"/>
            </w:tcBorders>
            <w:shd w:val="clear" w:color="auto" w:fill="auto"/>
            <w:vAlign w:val="center"/>
          </w:tcPr>
          <w:p w14:paraId="6E569C72">
            <w:pPr>
              <w:ind w:firstLine="34"/>
              <w:rPr>
                <w:rFonts w:hint="default" w:ascii="Times New Roman" w:hAnsi="Times New Roman" w:cs="Times New Roman"/>
                <w:color w:val="000000"/>
                <w:szCs w:val="21"/>
              </w:rPr>
            </w:pPr>
          </w:p>
        </w:tc>
        <w:tc>
          <w:tcPr>
            <w:tcW w:w="720" w:type="dxa"/>
            <w:tcBorders>
              <w:top w:val="single" w:color="auto" w:sz="4" w:space="0"/>
              <w:left w:val="nil"/>
              <w:bottom w:val="single" w:color="auto" w:sz="4" w:space="0"/>
              <w:right w:val="single" w:color="auto" w:sz="4" w:space="0"/>
            </w:tcBorders>
            <w:shd w:val="clear" w:color="auto" w:fill="auto"/>
            <w:vAlign w:val="center"/>
          </w:tcPr>
          <w:p w14:paraId="722D65D1">
            <w:pPr>
              <w:ind w:firstLine="34"/>
              <w:rPr>
                <w:rFonts w:hint="default" w:ascii="Times New Roman" w:hAnsi="Times New Roman" w:cs="Times New Roman"/>
                <w:color w:val="000000"/>
                <w:szCs w:val="21"/>
              </w:rPr>
            </w:pPr>
          </w:p>
        </w:tc>
      </w:tr>
      <w:tr w14:paraId="104C4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20C4F74A">
            <w:pPr>
              <w:ind w:firstLine="34"/>
              <w:rPr>
                <w:rFonts w:hint="default" w:ascii="Times New Roman" w:hAnsi="Times New Roman" w:cs="Times New Roman"/>
                <w:color w:val="000000"/>
                <w:szCs w:val="21"/>
              </w:rPr>
            </w:pPr>
            <w:r>
              <w:rPr>
                <w:rFonts w:hint="default" w:ascii="Times New Roman" w:hAnsi="Times New Roman" w:cs="Times New Roman"/>
                <w:color w:val="000000"/>
                <w:szCs w:val="21"/>
                <w:lang w:bidi="ar"/>
              </w:rPr>
              <w:t>2</w:t>
            </w:r>
          </w:p>
        </w:tc>
        <w:tc>
          <w:tcPr>
            <w:tcW w:w="2700" w:type="dxa"/>
            <w:tcBorders>
              <w:top w:val="single" w:color="auto" w:sz="4" w:space="0"/>
              <w:left w:val="nil"/>
              <w:bottom w:val="single" w:color="auto" w:sz="4" w:space="0"/>
              <w:right w:val="single" w:color="auto" w:sz="4" w:space="0"/>
            </w:tcBorders>
            <w:shd w:val="clear" w:color="auto" w:fill="auto"/>
            <w:vAlign w:val="center"/>
          </w:tcPr>
          <w:p w14:paraId="1C976574">
            <w:pPr>
              <w:ind w:firstLine="34"/>
              <w:rPr>
                <w:rFonts w:hint="default" w:ascii="Times New Roman" w:hAnsi="Times New Roman" w:cs="Times New Roman"/>
                <w:color w:val="000000"/>
                <w:szCs w:val="21"/>
              </w:rPr>
            </w:pPr>
          </w:p>
        </w:tc>
        <w:tc>
          <w:tcPr>
            <w:tcW w:w="3820" w:type="dxa"/>
            <w:tcBorders>
              <w:top w:val="single" w:color="auto" w:sz="4" w:space="0"/>
              <w:left w:val="nil"/>
              <w:bottom w:val="single" w:color="auto" w:sz="4" w:space="0"/>
              <w:right w:val="single" w:color="auto" w:sz="4" w:space="0"/>
            </w:tcBorders>
            <w:shd w:val="clear" w:color="auto" w:fill="auto"/>
            <w:vAlign w:val="center"/>
          </w:tcPr>
          <w:p w14:paraId="4873F74B">
            <w:pPr>
              <w:ind w:firstLine="34"/>
              <w:rPr>
                <w:rFonts w:hint="default" w:ascii="Times New Roman" w:hAnsi="Times New Roman" w:cs="Times New Roman"/>
                <w:color w:val="000000"/>
                <w:szCs w:val="21"/>
              </w:rPr>
            </w:pPr>
          </w:p>
        </w:tc>
        <w:tc>
          <w:tcPr>
            <w:tcW w:w="720" w:type="dxa"/>
            <w:tcBorders>
              <w:top w:val="single" w:color="auto" w:sz="4" w:space="0"/>
              <w:left w:val="nil"/>
              <w:bottom w:val="single" w:color="auto" w:sz="4" w:space="0"/>
              <w:right w:val="single" w:color="auto" w:sz="4" w:space="0"/>
            </w:tcBorders>
            <w:shd w:val="clear" w:color="auto" w:fill="auto"/>
            <w:vAlign w:val="center"/>
          </w:tcPr>
          <w:p w14:paraId="14021526">
            <w:pPr>
              <w:ind w:firstLine="34"/>
              <w:rPr>
                <w:rFonts w:hint="default" w:ascii="Times New Roman" w:hAnsi="Times New Roman" w:cs="Times New Roman"/>
                <w:color w:val="000000"/>
                <w:szCs w:val="21"/>
              </w:rPr>
            </w:pPr>
          </w:p>
        </w:tc>
      </w:tr>
      <w:tr w14:paraId="6BE9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3FF3FDFD">
            <w:pPr>
              <w:ind w:firstLine="34"/>
              <w:rPr>
                <w:rFonts w:hint="default" w:ascii="Times New Roman" w:hAnsi="Times New Roman" w:cs="Times New Roman"/>
                <w:color w:val="000000"/>
                <w:szCs w:val="21"/>
              </w:rPr>
            </w:pPr>
            <w:r>
              <w:rPr>
                <w:rFonts w:hint="default" w:ascii="Times New Roman" w:hAnsi="Times New Roman" w:cs="Times New Roman"/>
                <w:color w:val="000000"/>
                <w:szCs w:val="21"/>
                <w:lang w:bidi="ar"/>
              </w:rPr>
              <w:t>3</w:t>
            </w:r>
          </w:p>
        </w:tc>
        <w:tc>
          <w:tcPr>
            <w:tcW w:w="2700" w:type="dxa"/>
            <w:tcBorders>
              <w:top w:val="single" w:color="auto" w:sz="4" w:space="0"/>
              <w:left w:val="nil"/>
              <w:bottom w:val="single" w:color="auto" w:sz="4" w:space="0"/>
              <w:right w:val="single" w:color="auto" w:sz="4" w:space="0"/>
            </w:tcBorders>
            <w:shd w:val="clear" w:color="auto" w:fill="auto"/>
            <w:vAlign w:val="center"/>
          </w:tcPr>
          <w:p w14:paraId="49EE5D2C">
            <w:pPr>
              <w:ind w:firstLine="34"/>
              <w:rPr>
                <w:rFonts w:hint="default" w:ascii="Times New Roman" w:hAnsi="Times New Roman" w:cs="Times New Roman"/>
                <w:color w:val="000000"/>
                <w:szCs w:val="21"/>
              </w:rPr>
            </w:pPr>
          </w:p>
        </w:tc>
        <w:tc>
          <w:tcPr>
            <w:tcW w:w="3820" w:type="dxa"/>
            <w:tcBorders>
              <w:top w:val="single" w:color="auto" w:sz="4" w:space="0"/>
              <w:left w:val="nil"/>
              <w:bottom w:val="single" w:color="auto" w:sz="4" w:space="0"/>
              <w:right w:val="single" w:color="auto" w:sz="4" w:space="0"/>
            </w:tcBorders>
            <w:shd w:val="clear" w:color="auto" w:fill="auto"/>
            <w:vAlign w:val="center"/>
          </w:tcPr>
          <w:p w14:paraId="0AA595CA">
            <w:pPr>
              <w:ind w:firstLine="34"/>
              <w:rPr>
                <w:rFonts w:hint="default" w:ascii="Times New Roman" w:hAnsi="Times New Roman" w:cs="Times New Roman"/>
                <w:color w:val="000000"/>
                <w:szCs w:val="21"/>
              </w:rPr>
            </w:pPr>
          </w:p>
        </w:tc>
        <w:tc>
          <w:tcPr>
            <w:tcW w:w="720" w:type="dxa"/>
            <w:tcBorders>
              <w:top w:val="single" w:color="auto" w:sz="4" w:space="0"/>
              <w:left w:val="nil"/>
              <w:bottom w:val="single" w:color="auto" w:sz="4" w:space="0"/>
              <w:right w:val="single" w:color="auto" w:sz="4" w:space="0"/>
            </w:tcBorders>
            <w:shd w:val="clear" w:color="auto" w:fill="auto"/>
            <w:vAlign w:val="center"/>
          </w:tcPr>
          <w:p w14:paraId="656E0ADE">
            <w:pPr>
              <w:ind w:firstLine="34"/>
              <w:rPr>
                <w:rFonts w:hint="default" w:ascii="Times New Roman" w:hAnsi="Times New Roman" w:cs="Times New Roman"/>
                <w:color w:val="000000"/>
                <w:szCs w:val="21"/>
              </w:rPr>
            </w:pPr>
          </w:p>
        </w:tc>
      </w:tr>
      <w:tr w14:paraId="5F4A5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34FD529F">
            <w:pPr>
              <w:ind w:firstLine="34"/>
              <w:rPr>
                <w:rFonts w:hint="default" w:ascii="Times New Roman" w:hAnsi="Times New Roman" w:cs="Times New Roman"/>
                <w:color w:val="000000"/>
                <w:szCs w:val="21"/>
              </w:rPr>
            </w:pPr>
            <w:r>
              <w:rPr>
                <w:rFonts w:hint="default" w:ascii="Times New Roman" w:hAnsi="Times New Roman" w:cs="Times New Roman"/>
                <w:color w:val="000000"/>
                <w:szCs w:val="21"/>
                <w:lang w:bidi="ar"/>
              </w:rPr>
              <w:t>4</w:t>
            </w:r>
          </w:p>
        </w:tc>
        <w:tc>
          <w:tcPr>
            <w:tcW w:w="2700" w:type="dxa"/>
            <w:tcBorders>
              <w:top w:val="single" w:color="auto" w:sz="4" w:space="0"/>
              <w:left w:val="nil"/>
              <w:bottom w:val="single" w:color="auto" w:sz="4" w:space="0"/>
              <w:right w:val="single" w:color="auto" w:sz="4" w:space="0"/>
            </w:tcBorders>
            <w:shd w:val="clear" w:color="auto" w:fill="auto"/>
            <w:vAlign w:val="center"/>
          </w:tcPr>
          <w:p w14:paraId="215AF5AA">
            <w:pPr>
              <w:ind w:firstLine="34"/>
              <w:rPr>
                <w:rFonts w:hint="default" w:ascii="Times New Roman" w:hAnsi="Times New Roman" w:cs="Times New Roman"/>
                <w:color w:val="000000"/>
                <w:szCs w:val="21"/>
              </w:rPr>
            </w:pPr>
          </w:p>
        </w:tc>
        <w:tc>
          <w:tcPr>
            <w:tcW w:w="3820" w:type="dxa"/>
            <w:tcBorders>
              <w:top w:val="single" w:color="auto" w:sz="4" w:space="0"/>
              <w:left w:val="nil"/>
              <w:bottom w:val="single" w:color="auto" w:sz="4" w:space="0"/>
              <w:right w:val="single" w:color="auto" w:sz="4" w:space="0"/>
            </w:tcBorders>
            <w:shd w:val="clear" w:color="auto" w:fill="auto"/>
            <w:vAlign w:val="center"/>
          </w:tcPr>
          <w:p w14:paraId="2AEBE010">
            <w:pPr>
              <w:ind w:firstLine="34"/>
              <w:rPr>
                <w:rFonts w:hint="default" w:ascii="Times New Roman" w:hAnsi="Times New Roman" w:cs="Times New Roman"/>
                <w:color w:val="000000"/>
                <w:szCs w:val="21"/>
              </w:rPr>
            </w:pPr>
          </w:p>
        </w:tc>
        <w:tc>
          <w:tcPr>
            <w:tcW w:w="720" w:type="dxa"/>
            <w:tcBorders>
              <w:top w:val="single" w:color="auto" w:sz="4" w:space="0"/>
              <w:left w:val="nil"/>
              <w:bottom w:val="single" w:color="auto" w:sz="4" w:space="0"/>
              <w:right w:val="single" w:color="auto" w:sz="4" w:space="0"/>
            </w:tcBorders>
            <w:shd w:val="clear" w:color="auto" w:fill="auto"/>
            <w:vAlign w:val="center"/>
          </w:tcPr>
          <w:p w14:paraId="78BC0B24">
            <w:pPr>
              <w:ind w:firstLine="34"/>
              <w:rPr>
                <w:rFonts w:hint="default" w:ascii="Times New Roman" w:hAnsi="Times New Roman" w:cs="Times New Roman"/>
                <w:color w:val="000000"/>
                <w:szCs w:val="21"/>
              </w:rPr>
            </w:pPr>
          </w:p>
        </w:tc>
      </w:tr>
      <w:tr w14:paraId="7860A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313220A4">
            <w:pPr>
              <w:ind w:firstLine="34"/>
              <w:rPr>
                <w:rFonts w:hint="default" w:ascii="Times New Roman" w:hAnsi="Times New Roman" w:cs="Times New Roman"/>
                <w:color w:val="000000"/>
                <w:szCs w:val="21"/>
              </w:rPr>
            </w:pPr>
            <w:r>
              <w:rPr>
                <w:rFonts w:hint="default" w:ascii="Times New Roman" w:hAnsi="Times New Roman" w:cs="Times New Roman"/>
                <w:color w:val="000000"/>
                <w:szCs w:val="21"/>
                <w:lang w:bidi="ar"/>
              </w:rPr>
              <w:t>5</w:t>
            </w:r>
          </w:p>
        </w:tc>
        <w:tc>
          <w:tcPr>
            <w:tcW w:w="2700" w:type="dxa"/>
            <w:tcBorders>
              <w:top w:val="single" w:color="auto" w:sz="4" w:space="0"/>
              <w:left w:val="nil"/>
              <w:bottom w:val="single" w:color="auto" w:sz="4" w:space="0"/>
              <w:right w:val="single" w:color="auto" w:sz="4" w:space="0"/>
            </w:tcBorders>
            <w:shd w:val="clear" w:color="auto" w:fill="auto"/>
            <w:vAlign w:val="center"/>
          </w:tcPr>
          <w:p w14:paraId="4E22291F">
            <w:pPr>
              <w:ind w:firstLine="34"/>
              <w:rPr>
                <w:rFonts w:hint="default" w:ascii="Times New Roman" w:hAnsi="Times New Roman" w:cs="Times New Roman"/>
                <w:color w:val="000000"/>
                <w:szCs w:val="21"/>
              </w:rPr>
            </w:pPr>
          </w:p>
        </w:tc>
        <w:tc>
          <w:tcPr>
            <w:tcW w:w="3820" w:type="dxa"/>
            <w:tcBorders>
              <w:top w:val="single" w:color="auto" w:sz="4" w:space="0"/>
              <w:left w:val="nil"/>
              <w:bottom w:val="single" w:color="auto" w:sz="4" w:space="0"/>
              <w:right w:val="single" w:color="auto" w:sz="4" w:space="0"/>
            </w:tcBorders>
            <w:shd w:val="clear" w:color="auto" w:fill="auto"/>
            <w:vAlign w:val="center"/>
          </w:tcPr>
          <w:p w14:paraId="074A7A59">
            <w:pPr>
              <w:ind w:firstLine="34"/>
              <w:rPr>
                <w:rFonts w:hint="default" w:ascii="Times New Roman" w:hAnsi="Times New Roman" w:cs="Times New Roman"/>
                <w:color w:val="000000"/>
                <w:szCs w:val="21"/>
              </w:rPr>
            </w:pPr>
          </w:p>
        </w:tc>
        <w:tc>
          <w:tcPr>
            <w:tcW w:w="720" w:type="dxa"/>
            <w:tcBorders>
              <w:top w:val="single" w:color="auto" w:sz="4" w:space="0"/>
              <w:left w:val="nil"/>
              <w:bottom w:val="single" w:color="auto" w:sz="4" w:space="0"/>
              <w:right w:val="single" w:color="auto" w:sz="4" w:space="0"/>
            </w:tcBorders>
            <w:shd w:val="clear" w:color="auto" w:fill="auto"/>
            <w:vAlign w:val="center"/>
          </w:tcPr>
          <w:p w14:paraId="0DFA4C0C">
            <w:pPr>
              <w:ind w:firstLine="34"/>
              <w:rPr>
                <w:rFonts w:hint="default" w:ascii="Times New Roman" w:hAnsi="Times New Roman" w:cs="Times New Roman"/>
                <w:color w:val="000000"/>
                <w:szCs w:val="21"/>
              </w:rPr>
            </w:pPr>
          </w:p>
        </w:tc>
      </w:tr>
      <w:tr w14:paraId="1FF6F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7F562CF1">
            <w:pPr>
              <w:ind w:firstLine="34"/>
              <w:rPr>
                <w:rFonts w:hint="default" w:ascii="Times New Roman" w:hAnsi="Times New Roman" w:cs="Times New Roman"/>
                <w:color w:val="000000"/>
                <w:szCs w:val="21"/>
              </w:rPr>
            </w:pPr>
            <w:r>
              <w:rPr>
                <w:rFonts w:hint="default" w:ascii="Times New Roman" w:hAnsi="Times New Roman" w:cs="Times New Roman"/>
                <w:color w:val="000000"/>
                <w:szCs w:val="21"/>
                <w:lang w:bidi="ar"/>
              </w:rPr>
              <w:t>6</w:t>
            </w:r>
          </w:p>
        </w:tc>
        <w:tc>
          <w:tcPr>
            <w:tcW w:w="2700" w:type="dxa"/>
            <w:tcBorders>
              <w:top w:val="single" w:color="auto" w:sz="4" w:space="0"/>
              <w:left w:val="nil"/>
              <w:bottom w:val="single" w:color="auto" w:sz="4" w:space="0"/>
              <w:right w:val="single" w:color="auto" w:sz="4" w:space="0"/>
            </w:tcBorders>
            <w:shd w:val="clear" w:color="auto" w:fill="auto"/>
            <w:vAlign w:val="center"/>
          </w:tcPr>
          <w:p w14:paraId="6098464A">
            <w:pPr>
              <w:ind w:firstLine="34"/>
              <w:rPr>
                <w:rFonts w:hint="default" w:ascii="Times New Roman" w:hAnsi="Times New Roman" w:cs="Times New Roman"/>
                <w:color w:val="000000"/>
                <w:szCs w:val="21"/>
              </w:rPr>
            </w:pPr>
          </w:p>
        </w:tc>
        <w:tc>
          <w:tcPr>
            <w:tcW w:w="3820" w:type="dxa"/>
            <w:tcBorders>
              <w:top w:val="single" w:color="auto" w:sz="4" w:space="0"/>
              <w:left w:val="nil"/>
              <w:bottom w:val="single" w:color="auto" w:sz="4" w:space="0"/>
              <w:right w:val="single" w:color="auto" w:sz="4" w:space="0"/>
            </w:tcBorders>
            <w:shd w:val="clear" w:color="auto" w:fill="auto"/>
            <w:vAlign w:val="center"/>
          </w:tcPr>
          <w:p w14:paraId="5086F6BE">
            <w:pPr>
              <w:ind w:firstLine="34"/>
              <w:rPr>
                <w:rFonts w:hint="default" w:ascii="Times New Roman" w:hAnsi="Times New Roman" w:cs="Times New Roman"/>
                <w:color w:val="000000"/>
                <w:szCs w:val="21"/>
              </w:rPr>
            </w:pPr>
          </w:p>
        </w:tc>
        <w:tc>
          <w:tcPr>
            <w:tcW w:w="720" w:type="dxa"/>
            <w:tcBorders>
              <w:top w:val="single" w:color="auto" w:sz="4" w:space="0"/>
              <w:left w:val="nil"/>
              <w:bottom w:val="single" w:color="auto" w:sz="4" w:space="0"/>
              <w:right w:val="single" w:color="auto" w:sz="4" w:space="0"/>
            </w:tcBorders>
            <w:shd w:val="clear" w:color="auto" w:fill="auto"/>
            <w:vAlign w:val="center"/>
          </w:tcPr>
          <w:p w14:paraId="1552DA7A">
            <w:pPr>
              <w:ind w:firstLine="34"/>
              <w:rPr>
                <w:rFonts w:hint="default" w:ascii="Times New Roman" w:hAnsi="Times New Roman" w:cs="Times New Roman"/>
                <w:color w:val="000000"/>
                <w:szCs w:val="21"/>
              </w:rPr>
            </w:pPr>
          </w:p>
        </w:tc>
      </w:tr>
      <w:tr w14:paraId="57135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6D812492">
            <w:pPr>
              <w:ind w:firstLine="34"/>
              <w:rPr>
                <w:rFonts w:hint="default" w:ascii="Times New Roman" w:hAnsi="Times New Roman" w:cs="Times New Roman"/>
                <w:color w:val="000000"/>
                <w:szCs w:val="21"/>
              </w:rPr>
            </w:pPr>
            <w:r>
              <w:rPr>
                <w:rFonts w:hint="default" w:ascii="Times New Roman" w:hAnsi="Times New Roman" w:cs="Times New Roman"/>
                <w:color w:val="000000"/>
                <w:szCs w:val="21"/>
                <w:lang w:bidi="ar"/>
              </w:rPr>
              <w:t>7</w:t>
            </w:r>
          </w:p>
        </w:tc>
        <w:tc>
          <w:tcPr>
            <w:tcW w:w="2700" w:type="dxa"/>
            <w:tcBorders>
              <w:top w:val="single" w:color="auto" w:sz="4" w:space="0"/>
              <w:left w:val="nil"/>
              <w:bottom w:val="single" w:color="auto" w:sz="4" w:space="0"/>
              <w:right w:val="single" w:color="auto" w:sz="4" w:space="0"/>
            </w:tcBorders>
            <w:shd w:val="clear" w:color="auto" w:fill="auto"/>
            <w:vAlign w:val="center"/>
          </w:tcPr>
          <w:p w14:paraId="657EE41B">
            <w:pPr>
              <w:ind w:firstLine="34"/>
              <w:rPr>
                <w:rFonts w:hint="default" w:ascii="Times New Roman" w:hAnsi="Times New Roman" w:cs="Times New Roman"/>
                <w:color w:val="000000"/>
                <w:szCs w:val="21"/>
              </w:rPr>
            </w:pPr>
          </w:p>
        </w:tc>
        <w:tc>
          <w:tcPr>
            <w:tcW w:w="3820" w:type="dxa"/>
            <w:tcBorders>
              <w:top w:val="single" w:color="auto" w:sz="4" w:space="0"/>
              <w:left w:val="nil"/>
              <w:bottom w:val="single" w:color="auto" w:sz="4" w:space="0"/>
              <w:right w:val="single" w:color="auto" w:sz="4" w:space="0"/>
            </w:tcBorders>
            <w:shd w:val="clear" w:color="auto" w:fill="auto"/>
            <w:vAlign w:val="center"/>
          </w:tcPr>
          <w:p w14:paraId="1FF066F0">
            <w:pPr>
              <w:ind w:firstLine="34"/>
              <w:rPr>
                <w:rFonts w:hint="default" w:ascii="Times New Roman" w:hAnsi="Times New Roman" w:cs="Times New Roman"/>
                <w:color w:val="000000"/>
                <w:szCs w:val="21"/>
              </w:rPr>
            </w:pPr>
          </w:p>
        </w:tc>
        <w:tc>
          <w:tcPr>
            <w:tcW w:w="720" w:type="dxa"/>
            <w:tcBorders>
              <w:top w:val="single" w:color="auto" w:sz="4" w:space="0"/>
              <w:left w:val="nil"/>
              <w:bottom w:val="single" w:color="auto" w:sz="4" w:space="0"/>
              <w:right w:val="single" w:color="auto" w:sz="4" w:space="0"/>
            </w:tcBorders>
            <w:shd w:val="clear" w:color="auto" w:fill="auto"/>
            <w:vAlign w:val="center"/>
          </w:tcPr>
          <w:p w14:paraId="5BC2DDDF">
            <w:pPr>
              <w:ind w:firstLine="34"/>
              <w:rPr>
                <w:rFonts w:hint="default" w:ascii="Times New Roman" w:hAnsi="Times New Roman" w:cs="Times New Roman"/>
                <w:color w:val="000000"/>
                <w:szCs w:val="21"/>
              </w:rPr>
            </w:pPr>
          </w:p>
        </w:tc>
      </w:tr>
      <w:tr w14:paraId="26AE0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5225BB15">
            <w:pPr>
              <w:ind w:firstLine="34"/>
              <w:rPr>
                <w:rFonts w:hint="default" w:ascii="Times New Roman" w:hAnsi="Times New Roman" w:cs="Times New Roman"/>
                <w:color w:val="000000"/>
                <w:szCs w:val="21"/>
              </w:rPr>
            </w:pPr>
            <w:r>
              <w:rPr>
                <w:rFonts w:hint="default" w:ascii="Times New Roman" w:hAnsi="Times New Roman" w:cs="Times New Roman"/>
                <w:color w:val="000000"/>
                <w:szCs w:val="21"/>
                <w:lang w:bidi="ar"/>
              </w:rPr>
              <w:t>8</w:t>
            </w:r>
          </w:p>
        </w:tc>
        <w:tc>
          <w:tcPr>
            <w:tcW w:w="2700" w:type="dxa"/>
            <w:tcBorders>
              <w:top w:val="single" w:color="auto" w:sz="4" w:space="0"/>
              <w:left w:val="nil"/>
              <w:bottom w:val="single" w:color="auto" w:sz="4" w:space="0"/>
              <w:right w:val="single" w:color="auto" w:sz="4" w:space="0"/>
            </w:tcBorders>
            <w:shd w:val="clear" w:color="auto" w:fill="auto"/>
            <w:vAlign w:val="center"/>
          </w:tcPr>
          <w:p w14:paraId="4DABED29">
            <w:pPr>
              <w:ind w:firstLine="34"/>
              <w:rPr>
                <w:rFonts w:hint="default" w:ascii="Times New Roman" w:hAnsi="Times New Roman" w:cs="Times New Roman"/>
                <w:color w:val="000000"/>
                <w:szCs w:val="21"/>
              </w:rPr>
            </w:pPr>
          </w:p>
        </w:tc>
        <w:tc>
          <w:tcPr>
            <w:tcW w:w="3820" w:type="dxa"/>
            <w:tcBorders>
              <w:top w:val="single" w:color="auto" w:sz="4" w:space="0"/>
              <w:left w:val="nil"/>
              <w:bottom w:val="single" w:color="auto" w:sz="4" w:space="0"/>
              <w:right w:val="single" w:color="auto" w:sz="4" w:space="0"/>
            </w:tcBorders>
            <w:shd w:val="clear" w:color="auto" w:fill="auto"/>
            <w:vAlign w:val="center"/>
          </w:tcPr>
          <w:p w14:paraId="0F8ADE7D">
            <w:pPr>
              <w:ind w:firstLine="34"/>
              <w:rPr>
                <w:rFonts w:hint="default" w:ascii="Times New Roman" w:hAnsi="Times New Roman" w:cs="Times New Roman"/>
                <w:color w:val="000000"/>
                <w:szCs w:val="21"/>
              </w:rPr>
            </w:pPr>
          </w:p>
        </w:tc>
        <w:tc>
          <w:tcPr>
            <w:tcW w:w="720" w:type="dxa"/>
            <w:tcBorders>
              <w:top w:val="single" w:color="auto" w:sz="4" w:space="0"/>
              <w:left w:val="nil"/>
              <w:bottom w:val="single" w:color="auto" w:sz="4" w:space="0"/>
              <w:right w:val="single" w:color="auto" w:sz="4" w:space="0"/>
            </w:tcBorders>
            <w:shd w:val="clear" w:color="auto" w:fill="auto"/>
            <w:vAlign w:val="center"/>
          </w:tcPr>
          <w:p w14:paraId="0EAFCACD">
            <w:pPr>
              <w:ind w:firstLine="34"/>
              <w:rPr>
                <w:rFonts w:hint="default" w:ascii="Times New Roman" w:hAnsi="Times New Roman" w:cs="Times New Roman"/>
                <w:color w:val="000000"/>
                <w:szCs w:val="21"/>
              </w:rPr>
            </w:pPr>
          </w:p>
        </w:tc>
      </w:tr>
      <w:tr w14:paraId="7F168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5096696C">
            <w:pPr>
              <w:ind w:firstLine="34"/>
              <w:rPr>
                <w:rFonts w:hint="default" w:ascii="Times New Roman" w:hAnsi="Times New Roman" w:cs="Times New Roman"/>
                <w:color w:val="000000"/>
                <w:szCs w:val="21"/>
              </w:rPr>
            </w:pPr>
            <w:r>
              <w:rPr>
                <w:rFonts w:hint="default" w:ascii="Times New Roman" w:hAnsi="Times New Roman" w:cs="Times New Roman"/>
                <w:color w:val="000000"/>
                <w:szCs w:val="21"/>
                <w:lang w:bidi="ar"/>
              </w:rPr>
              <w:t>9</w:t>
            </w:r>
          </w:p>
        </w:tc>
        <w:tc>
          <w:tcPr>
            <w:tcW w:w="2700" w:type="dxa"/>
            <w:tcBorders>
              <w:top w:val="single" w:color="auto" w:sz="4" w:space="0"/>
              <w:left w:val="nil"/>
              <w:bottom w:val="single" w:color="auto" w:sz="4" w:space="0"/>
              <w:right w:val="single" w:color="auto" w:sz="4" w:space="0"/>
            </w:tcBorders>
            <w:shd w:val="clear" w:color="auto" w:fill="auto"/>
            <w:vAlign w:val="center"/>
          </w:tcPr>
          <w:p w14:paraId="55643555">
            <w:pPr>
              <w:ind w:firstLine="34"/>
              <w:rPr>
                <w:rFonts w:hint="default" w:ascii="Times New Roman" w:hAnsi="Times New Roman" w:cs="Times New Roman"/>
                <w:color w:val="000000"/>
                <w:szCs w:val="21"/>
              </w:rPr>
            </w:pPr>
          </w:p>
        </w:tc>
        <w:tc>
          <w:tcPr>
            <w:tcW w:w="3820" w:type="dxa"/>
            <w:tcBorders>
              <w:top w:val="single" w:color="auto" w:sz="4" w:space="0"/>
              <w:left w:val="nil"/>
              <w:bottom w:val="single" w:color="auto" w:sz="4" w:space="0"/>
              <w:right w:val="single" w:color="auto" w:sz="4" w:space="0"/>
            </w:tcBorders>
            <w:shd w:val="clear" w:color="auto" w:fill="auto"/>
            <w:vAlign w:val="center"/>
          </w:tcPr>
          <w:p w14:paraId="7F8A277C">
            <w:pPr>
              <w:ind w:firstLine="34"/>
              <w:rPr>
                <w:rFonts w:hint="default" w:ascii="Times New Roman" w:hAnsi="Times New Roman" w:cs="Times New Roman"/>
                <w:color w:val="000000"/>
                <w:szCs w:val="21"/>
              </w:rPr>
            </w:pPr>
          </w:p>
        </w:tc>
        <w:tc>
          <w:tcPr>
            <w:tcW w:w="720" w:type="dxa"/>
            <w:tcBorders>
              <w:top w:val="single" w:color="auto" w:sz="4" w:space="0"/>
              <w:left w:val="nil"/>
              <w:bottom w:val="single" w:color="auto" w:sz="4" w:space="0"/>
              <w:right w:val="single" w:color="auto" w:sz="4" w:space="0"/>
            </w:tcBorders>
            <w:shd w:val="clear" w:color="auto" w:fill="auto"/>
            <w:vAlign w:val="center"/>
          </w:tcPr>
          <w:p w14:paraId="5F7A0395">
            <w:pPr>
              <w:ind w:firstLine="34"/>
              <w:rPr>
                <w:rFonts w:hint="default" w:ascii="Times New Roman" w:hAnsi="Times New Roman" w:cs="Times New Roman"/>
                <w:color w:val="000000"/>
                <w:szCs w:val="21"/>
              </w:rPr>
            </w:pPr>
          </w:p>
        </w:tc>
      </w:tr>
      <w:tr w14:paraId="5DBC6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05DDA5DB">
            <w:pPr>
              <w:ind w:firstLine="34"/>
              <w:rPr>
                <w:rFonts w:hint="default" w:ascii="Times New Roman" w:hAnsi="Times New Roman" w:cs="Times New Roman"/>
                <w:color w:val="000000"/>
                <w:szCs w:val="21"/>
              </w:rPr>
            </w:pPr>
            <w:r>
              <w:rPr>
                <w:rFonts w:hint="default" w:ascii="Times New Roman" w:hAnsi="Times New Roman" w:cs="Times New Roman"/>
                <w:color w:val="000000"/>
                <w:szCs w:val="21"/>
                <w:lang w:bidi="ar"/>
              </w:rPr>
              <w:t>10</w:t>
            </w:r>
          </w:p>
        </w:tc>
        <w:tc>
          <w:tcPr>
            <w:tcW w:w="2700" w:type="dxa"/>
            <w:tcBorders>
              <w:top w:val="single" w:color="auto" w:sz="4" w:space="0"/>
              <w:left w:val="nil"/>
              <w:bottom w:val="single" w:color="auto" w:sz="4" w:space="0"/>
              <w:right w:val="single" w:color="auto" w:sz="4" w:space="0"/>
            </w:tcBorders>
            <w:shd w:val="clear" w:color="auto" w:fill="auto"/>
            <w:vAlign w:val="center"/>
          </w:tcPr>
          <w:p w14:paraId="37350CFC">
            <w:pPr>
              <w:ind w:firstLine="34"/>
              <w:rPr>
                <w:rFonts w:hint="default" w:ascii="Times New Roman" w:hAnsi="Times New Roman" w:cs="Times New Roman"/>
                <w:color w:val="000000"/>
                <w:szCs w:val="21"/>
              </w:rPr>
            </w:pPr>
          </w:p>
        </w:tc>
        <w:tc>
          <w:tcPr>
            <w:tcW w:w="3820" w:type="dxa"/>
            <w:tcBorders>
              <w:top w:val="single" w:color="auto" w:sz="4" w:space="0"/>
              <w:left w:val="nil"/>
              <w:bottom w:val="single" w:color="auto" w:sz="4" w:space="0"/>
              <w:right w:val="single" w:color="auto" w:sz="4" w:space="0"/>
            </w:tcBorders>
            <w:shd w:val="clear" w:color="auto" w:fill="auto"/>
            <w:vAlign w:val="center"/>
          </w:tcPr>
          <w:p w14:paraId="7611E268">
            <w:pPr>
              <w:ind w:firstLine="34"/>
              <w:rPr>
                <w:rFonts w:hint="default" w:ascii="Times New Roman" w:hAnsi="Times New Roman" w:cs="Times New Roman"/>
                <w:color w:val="000000"/>
                <w:szCs w:val="21"/>
              </w:rPr>
            </w:pPr>
          </w:p>
        </w:tc>
        <w:tc>
          <w:tcPr>
            <w:tcW w:w="720" w:type="dxa"/>
            <w:tcBorders>
              <w:top w:val="single" w:color="auto" w:sz="4" w:space="0"/>
              <w:left w:val="nil"/>
              <w:bottom w:val="single" w:color="auto" w:sz="4" w:space="0"/>
              <w:right w:val="single" w:color="auto" w:sz="4" w:space="0"/>
            </w:tcBorders>
            <w:shd w:val="clear" w:color="auto" w:fill="auto"/>
            <w:vAlign w:val="center"/>
          </w:tcPr>
          <w:p w14:paraId="6A74D31C">
            <w:pPr>
              <w:ind w:firstLine="34"/>
              <w:rPr>
                <w:rFonts w:hint="default" w:ascii="Times New Roman" w:hAnsi="Times New Roman" w:cs="Times New Roman"/>
                <w:color w:val="000000"/>
                <w:szCs w:val="21"/>
              </w:rPr>
            </w:pPr>
          </w:p>
        </w:tc>
      </w:tr>
      <w:tr w14:paraId="39D0B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2C70AA0F">
            <w:pPr>
              <w:ind w:firstLine="34"/>
              <w:rPr>
                <w:rFonts w:hint="default" w:ascii="Times New Roman" w:hAnsi="Times New Roman" w:cs="Times New Roman"/>
                <w:color w:val="000000"/>
                <w:szCs w:val="21"/>
              </w:rPr>
            </w:pPr>
            <w:r>
              <w:rPr>
                <w:rFonts w:hint="default" w:ascii="Times New Roman" w:hAnsi="Times New Roman" w:cs="Times New Roman"/>
                <w:color w:val="000000"/>
                <w:szCs w:val="21"/>
                <w:lang w:bidi="ar"/>
              </w:rPr>
              <w:t>……</w:t>
            </w:r>
          </w:p>
        </w:tc>
        <w:tc>
          <w:tcPr>
            <w:tcW w:w="2700" w:type="dxa"/>
            <w:tcBorders>
              <w:top w:val="single" w:color="auto" w:sz="4" w:space="0"/>
              <w:left w:val="nil"/>
              <w:bottom w:val="single" w:color="auto" w:sz="4" w:space="0"/>
              <w:right w:val="single" w:color="auto" w:sz="4" w:space="0"/>
            </w:tcBorders>
            <w:shd w:val="clear" w:color="auto" w:fill="auto"/>
            <w:vAlign w:val="center"/>
          </w:tcPr>
          <w:p w14:paraId="34582032">
            <w:pPr>
              <w:ind w:firstLine="34"/>
              <w:rPr>
                <w:rFonts w:hint="default" w:ascii="Times New Roman" w:hAnsi="Times New Roman" w:cs="Times New Roman"/>
                <w:color w:val="000000"/>
                <w:szCs w:val="21"/>
              </w:rPr>
            </w:pPr>
          </w:p>
        </w:tc>
        <w:tc>
          <w:tcPr>
            <w:tcW w:w="3820" w:type="dxa"/>
            <w:tcBorders>
              <w:top w:val="single" w:color="auto" w:sz="4" w:space="0"/>
              <w:left w:val="nil"/>
              <w:bottom w:val="single" w:color="auto" w:sz="4" w:space="0"/>
              <w:right w:val="single" w:color="auto" w:sz="4" w:space="0"/>
            </w:tcBorders>
            <w:shd w:val="clear" w:color="auto" w:fill="auto"/>
            <w:vAlign w:val="center"/>
          </w:tcPr>
          <w:p w14:paraId="10048726">
            <w:pPr>
              <w:ind w:firstLine="34"/>
              <w:rPr>
                <w:rFonts w:hint="default" w:ascii="Times New Roman" w:hAnsi="Times New Roman" w:cs="Times New Roman"/>
                <w:color w:val="000000"/>
                <w:szCs w:val="21"/>
              </w:rPr>
            </w:pPr>
          </w:p>
        </w:tc>
        <w:tc>
          <w:tcPr>
            <w:tcW w:w="720" w:type="dxa"/>
            <w:tcBorders>
              <w:top w:val="single" w:color="auto" w:sz="4" w:space="0"/>
              <w:left w:val="nil"/>
              <w:bottom w:val="single" w:color="auto" w:sz="4" w:space="0"/>
              <w:right w:val="single" w:color="auto" w:sz="4" w:space="0"/>
            </w:tcBorders>
            <w:shd w:val="clear" w:color="auto" w:fill="auto"/>
            <w:vAlign w:val="center"/>
          </w:tcPr>
          <w:p w14:paraId="2915F437">
            <w:pPr>
              <w:ind w:firstLine="34"/>
              <w:rPr>
                <w:rFonts w:hint="default" w:ascii="Times New Roman" w:hAnsi="Times New Roman" w:cs="Times New Roman"/>
                <w:color w:val="000000"/>
                <w:szCs w:val="21"/>
              </w:rPr>
            </w:pPr>
          </w:p>
        </w:tc>
      </w:tr>
      <w:tr w14:paraId="48334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2A7CCA81">
            <w:pPr>
              <w:ind w:firstLine="34"/>
              <w:rPr>
                <w:rFonts w:hint="default" w:ascii="Times New Roman" w:hAnsi="Times New Roman" w:cs="Times New Roman"/>
                <w:color w:val="000000"/>
                <w:szCs w:val="21"/>
              </w:rPr>
            </w:pPr>
          </w:p>
        </w:tc>
        <w:tc>
          <w:tcPr>
            <w:tcW w:w="2700" w:type="dxa"/>
            <w:tcBorders>
              <w:top w:val="single" w:color="auto" w:sz="4" w:space="0"/>
              <w:left w:val="nil"/>
              <w:bottom w:val="single" w:color="auto" w:sz="4" w:space="0"/>
              <w:right w:val="single" w:color="auto" w:sz="4" w:space="0"/>
            </w:tcBorders>
            <w:shd w:val="clear" w:color="auto" w:fill="auto"/>
            <w:vAlign w:val="center"/>
          </w:tcPr>
          <w:p w14:paraId="2D2CDBEE">
            <w:pPr>
              <w:ind w:firstLine="34"/>
              <w:rPr>
                <w:rFonts w:hint="default" w:ascii="Times New Roman" w:hAnsi="Times New Roman" w:cs="Times New Roman"/>
                <w:color w:val="000000"/>
                <w:szCs w:val="21"/>
              </w:rPr>
            </w:pPr>
          </w:p>
        </w:tc>
        <w:tc>
          <w:tcPr>
            <w:tcW w:w="3820" w:type="dxa"/>
            <w:tcBorders>
              <w:top w:val="single" w:color="auto" w:sz="4" w:space="0"/>
              <w:left w:val="nil"/>
              <w:bottom w:val="single" w:color="auto" w:sz="4" w:space="0"/>
              <w:right w:val="single" w:color="auto" w:sz="4" w:space="0"/>
            </w:tcBorders>
            <w:shd w:val="clear" w:color="auto" w:fill="auto"/>
            <w:vAlign w:val="center"/>
          </w:tcPr>
          <w:p w14:paraId="7E3C7AB0">
            <w:pPr>
              <w:ind w:firstLine="34"/>
              <w:rPr>
                <w:rFonts w:hint="default" w:ascii="Times New Roman" w:hAnsi="Times New Roman" w:cs="Times New Roman"/>
                <w:color w:val="000000"/>
                <w:szCs w:val="21"/>
              </w:rPr>
            </w:pPr>
          </w:p>
        </w:tc>
        <w:tc>
          <w:tcPr>
            <w:tcW w:w="720" w:type="dxa"/>
            <w:tcBorders>
              <w:top w:val="single" w:color="auto" w:sz="4" w:space="0"/>
              <w:left w:val="nil"/>
              <w:bottom w:val="single" w:color="auto" w:sz="4" w:space="0"/>
              <w:right w:val="single" w:color="auto" w:sz="4" w:space="0"/>
            </w:tcBorders>
            <w:shd w:val="clear" w:color="auto" w:fill="auto"/>
            <w:vAlign w:val="center"/>
          </w:tcPr>
          <w:p w14:paraId="3D91F5E1">
            <w:pPr>
              <w:ind w:firstLine="34"/>
              <w:rPr>
                <w:rFonts w:hint="default" w:ascii="Times New Roman" w:hAnsi="Times New Roman" w:cs="Times New Roman"/>
                <w:color w:val="000000"/>
                <w:szCs w:val="21"/>
              </w:rPr>
            </w:pPr>
          </w:p>
        </w:tc>
      </w:tr>
    </w:tbl>
    <w:p w14:paraId="187A2314">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332A0F5">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BC8B56C">
      <w:pPr>
        <w:spacing w:line="440" w:lineRule="exact"/>
        <w:ind w:firstLine="4305" w:firstLineChars="2050"/>
        <w:rPr>
          <w:rFonts w:hint="default" w:ascii="Times New Roman" w:hAnsi="Times New Roman" w:cs="Times New Roman"/>
          <w:color w:val="000000"/>
          <w:szCs w:val="21"/>
        </w:rPr>
      </w:pPr>
      <w:r>
        <w:rPr>
          <w:rFonts w:hint="default" w:ascii="Times New Roman" w:hAnsi="Times New Roman" w:cs="Times New Roman"/>
          <w:color w:val="000000"/>
          <w:szCs w:val="21"/>
          <w:lang w:bidi="ar"/>
        </w:rPr>
        <w:t>投 标 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（盖单位章）</w:t>
      </w:r>
    </w:p>
    <w:p w14:paraId="4997AE76">
      <w:pPr>
        <w:spacing w:line="440" w:lineRule="exact"/>
        <w:ind w:firstLine="4305" w:firstLineChars="2050"/>
        <w:rPr>
          <w:rFonts w:hint="default" w:ascii="Times New Roman" w:hAnsi="Times New Roman" w:cs="Times New Roman"/>
          <w:color w:val="000000"/>
          <w:szCs w:val="21"/>
        </w:rPr>
      </w:pPr>
      <w:r>
        <w:rPr>
          <w:rFonts w:hint="default" w:ascii="Times New Roman" w:hAnsi="Times New Roman" w:cs="Times New Roman"/>
          <w:color w:val="000000"/>
          <w:szCs w:val="21"/>
          <w:lang w:bidi="ar"/>
        </w:rPr>
        <w:t>法定代表人或其委托代理人：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（签字）</w:t>
      </w:r>
    </w:p>
    <w:p w14:paraId="4687E052">
      <w:pPr>
        <w:spacing w:line="440" w:lineRule="exact"/>
        <w:ind w:firstLine="5040" w:firstLineChars="2400"/>
        <w:rPr>
          <w:rFonts w:hint="default" w:ascii="Times New Roman" w:hAnsi="Times New Roman" w:cs="Times New Roman"/>
          <w:color w:val="000000"/>
          <w:szCs w:val="21"/>
        </w:rPr>
      </w:pP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年</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月</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日</w:t>
      </w:r>
    </w:p>
    <w:p w14:paraId="4406D1A0">
      <w:pPr>
        <w:spacing w:line="360" w:lineRule="auto"/>
        <w:ind w:firstLine="630" w:firstLineChars="300"/>
        <w:rPr>
          <w:rFonts w:hint="default" w:ascii="Times New Roman" w:hAnsi="Times New Roman" w:cs="Times New Roman"/>
          <w:color w:val="000000"/>
          <w:szCs w:val="21"/>
        </w:rPr>
      </w:pPr>
      <w:r>
        <w:rPr>
          <w:rFonts w:hint="default" w:ascii="Times New Roman" w:hAnsi="Times New Roman" w:cs="Times New Roman"/>
          <w:color w:val="000000"/>
          <w:szCs w:val="21"/>
          <w:lang w:bidi="ar"/>
        </w:rPr>
        <w:t>备注：1．上表各项条款内容由招标人根据项目标段（包）情况进行填写、编辑、扩充。</w:t>
      </w:r>
    </w:p>
    <w:p w14:paraId="3CD410E6">
      <w:pPr>
        <w:spacing w:line="360" w:lineRule="auto"/>
        <w:ind w:firstLine="1260" w:firstLineChars="600"/>
        <w:rPr>
          <w:rFonts w:hint="default" w:ascii="Times New Roman" w:hAnsi="Times New Roman" w:cs="Times New Roman"/>
          <w:color w:val="000000"/>
          <w:szCs w:val="21"/>
        </w:rPr>
      </w:pPr>
      <w:r>
        <w:rPr>
          <w:rFonts w:hint="default" w:ascii="Times New Roman" w:hAnsi="Times New Roman" w:cs="Times New Roman"/>
          <w:color w:val="000000"/>
          <w:szCs w:val="21"/>
          <w:lang w:bidi="ar"/>
        </w:rPr>
        <w:t>3．上表约定（承诺）内容由投标人填报并签署确认，随投标函一起报送；</w:t>
      </w:r>
    </w:p>
    <w:p w14:paraId="4BE14119">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B2DE6A3">
      <w:pPr>
        <w:pStyle w:val="43"/>
        <w:keepNext w:val="0"/>
        <w:keepLines w:val="0"/>
        <w:widowControl/>
        <w:spacing w:beforeAutospacing="1"/>
        <w:jc w:val="center"/>
        <w:rPr>
          <w:rFonts w:hint="default" w:ascii="Times New Roman" w:hAnsi="Times New Roman" w:cs="Times New Roman"/>
          <w:b w:val="0"/>
          <w:color w:val="000000"/>
        </w:rPr>
      </w:pPr>
      <w:r>
        <w:rPr>
          <w:rFonts w:hint="default" w:ascii="Times New Roman" w:hAnsi="Times New Roman" w:cs="Times New Roman"/>
          <w:color w:val="000000"/>
        </w:rPr>
        <w:br w:type="page"/>
      </w:r>
      <w:r>
        <w:rPr>
          <w:rFonts w:hint="default" w:ascii="Times New Roman" w:hAnsi="Times New Roman" w:cs="Times New Roman"/>
          <w:color w:val="000000"/>
        </w:rPr>
        <w:t>（四）法定代表人身份证明</w:t>
      </w:r>
    </w:p>
    <w:p w14:paraId="021FA798">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投 标 人：</w:t>
      </w:r>
      <w:r>
        <w:rPr>
          <w:rFonts w:hint="default" w:ascii="Times New Roman" w:hAnsi="Times New Roman" w:cs="Times New Roman"/>
          <w:color w:val="000000"/>
          <w:szCs w:val="21"/>
          <w:u w:val="single"/>
          <w:lang w:bidi="ar"/>
        </w:rPr>
        <w:t xml:space="preserve">                                                        </w:t>
      </w:r>
    </w:p>
    <w:p w14:paraId="4C870383">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单位性质：</w:t>
      </w:r>
      <w:r>
        <w:rPr>
          <w:rFonts w:hint="default" w:ascii="Times New Roman" w:hAnsi="Times New Roman" w:cs="Times New Roman"/>
          <w:color w:val="000000"/>
          <w:szCs w:val="21"/>
          <w:u w:val="single"/>
          <w:lang w:bidi="ar"/>
        </w:rPr>
        <w:t xml:space="preserve">                                                        </w:t>
      </w:r>
    </w:p>
    <w:p w14:paraId="7BEA7CAB">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地    址：</w:t>
      </w:r>
      <w:r>
        <w:rPr>
          <w:rFonts w:hint="default" w:ascii="Times New Roman" w:hAnsi="Times New Roman" w:cs="Times New Roman"/>
          <w:color w:val="000000"/>
          <w:szCs w:val="21"/>
          <w:u w:val="single"/>
          <w:lang w:bidi="ar"/>
        </w:rPr>
        <w:t xml:space="preserve">                                                        </w:t>
      </w:r>
    </w:p>
    <w:p w14:paraId="1003E8FC">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成立时间：</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年</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月</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日</w:t>
      </w:r>
    </w:p>
    <w:p w14:paraId="5C721BB5">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经营期限：</w:t>
      </w:r>
      <w:r>
        <w:rPr>
          <w:rFonts w:hint="default" w:ascii="Times New Roman" w:hAnsi="Times New Roman" w:cs="Times New Roman"/>
          <w:color w:val="000000"/>
          <w:szCs w:val="21"/>
          <w:u w:val="single"/>
          <w:lang w:bidi="ar"/>
        </w:rPr>
        <w:t xml:space="preserve">                                                        </w:t>
      </w:r>
    </w:p>
    <w:p w14:paraId="31CF368C">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姓    名：</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 xml:space="preserve"> 性        别：</w:t>
      </w:r>
      <w:r>
        <w:rPr>
          <w:rFonts w:hint="default" w:ascii="Times New Roman" w:hAnsi="Times New Roman" w:cs="Times New Roman"/>
          <w:color w:val="000000"/>
          <w:szCs w:val="21"/>
          <w:u w:val="single"/>
          <w:lang w:bidi="ar"/>
        </w:rPr>
        <w:t xml:space="preserve">                </w:t>
      </w:r>
    </w:p>
    <w:p w14:paraId="66DA5D4D">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年    龄：</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 xml:space="preserve"> 职        务：</w:t>
      </w:r>
      <w:r>
        <w:rPr>
          <w:rFonts w:hint="default" w:ascii="Times New Roman" w:hAnsi="Times New Roman" w:cs="Times New Roman"/>
          <w:color w:val="000000"/>
          <w:szCs w:val="21"/>
          <w:u w:val="single"/>
          <w:lang w:bidi="ar"/>
        </w:rPr>
        <w:t xml:space="preserve">                </w:t>
      </w:r>
    </w:p>
    <w:p w14:paraId="4FEB87C6">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系</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（投标人名称）的法定代表人。</w:t>
      </w:r>
    </w:p>
    <w:p w14:paraId="46606E78">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特此证明。</w:t>
      </w:r>
    </w:p>
    <w:p w14:paraId="09587EEF">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9952926">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F98C466">
      <w:pPr>
        <w:spacing w:line="271" w:lineRule="auto"/>
        <w:jc w:val="right"/>
        <w:rPr>
          <w:rFonts w:hint="default" w:ascii="Times New Roman" w:hAnsi="Times New Roman" w:cs="Times New Roman"/>
          <w:color w:val="000000"/>
          <w:szCs w:val="21"/>
        </w:rPr>
      </w:pPr>
      <w:r>
        <w:rPr>
          <w:rFonts w:hint="default" w:ascii="Times New Roman" w:hAnsi="Times New Roman" w:cs="Times New Roman"/>
          <w:color w:val="000000"/>
          <w:szCs w:val="21"/>
          <w:lang w:bidi="ar"/>
        </w:rPr>
        <w:t>投标人：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（盖单位章）</w:t>
      </w:r>
    </w:p>
    <w:p w14:paraId="0A9FD8E1">
      <w:pPr>
        <w:spacing w:line="271" w:lineRule="auto"/>
        <w:jc w:val="right"/>
        <w:rPr>
          <w:rFonts w:hint="default" w:ascii="Times New Roman" w:hAnsi="Times New Roman" w:cs="Times New Roman"/>
          <w:color w:val="000000"/>
          <w:szCs w:val="21"/>
        </w:rPr>
      </w:pP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年</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月</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 xml:space="preserve">日 </w:t>
      </w:r>
    </w:p>
    <w:p w14:paraId="36C7351F">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B2BF1B2">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334F1F2">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BFF7A84">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3617546">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EF87EF1">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A55975E">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备注:附法定代表人身份证复印件</w:t>
      </w:r>
    </w:p>
    <w:p w14:paraId="0CC83CEC">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B7B8F0D">
      <w:pPr>
        <w:rPr>
          <w:rFonts w:hint="default" w:ascii="Times New Roman" w:hAnsi="Times New Roman" w:cs="Times New Roman"/>
          <w:color w:val="000000"/>
          <w:szCs w:val="21"/>
        </w:rPr>
      </w:pPr>
      <w:r>
        <w:rPr>
          <w:rFonts w:hint="default" w:ascii="Times New Roman" w:hAnsi="Times New Roman" w:cs="Times New Roman"/>
          <w:b w:val="0"/>
          <w:color w:val="000000"/>
        </w:rPr>
        <w:br w:type="page"/>
      </w:r>
    </w:p>
    <w:p w14:paraId="7A472D77">
      <w:pPr>
        <w:pStyle w:val="43"/>
        <w:keepNext w:val="0"/>
        <w:keepLines w:val="0"/>
        <w:widowControl/>
        <w:spacing w:beforeAutospacing="1"/>
        <w:jc w:val="center"/>
        <w:rPr>
          <w:rFonts w:hint="default" w:ascii="Times New Roman" w:hAnsi="Times New Roman" w:cs="Times New Roman"/>
          <w:color w:val="000000"/>
        </w:rPr>
      </w:pPr>
      <w:r>
        <w:rPr>
          <w:rFonts w:hint="default" w:ascii="Times New Roman" w:hAnsi="Times New Roman" w:cs="Times New Roman"/>
          <w:color w:val="000000"/>
        </w:rPr>
        <w:t>（</w:t>
      </w:r>
      <w:r>
        <w:rPr>
          <w:rFonts w:hint="eastAsia" w:ascii="Times New Roman" w:hAnsi="Times New Roman" w:cs="Times New Roman"/>
          <w:color w:val="000000"/>
          <w:lang w:val="en-US" w:eastAsia="zh-CN"/>
        </w:rPr>
        <w:t>五</w:t>
      </w:r>
      <w:r>
        <w:rPr>
          <w:rFonts w:hint="default" w:ascii="Times New Roman" w:hAnsi="Times New Roman" w:cs="Times New Roman"/>
          <w:color w:val="000000"/>
        </w:rPr>
        <w:t>）联合体协议书</w:t>
      </w:r>
    </w:p>
    <w:p w14:paraId="393D0695">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牵头人名称：</w:t>
      </w:r>
      <w:r>
        <w:rPr>
          <w:rFonts w:hint="default" w:ascii="Times New Roman" w:hAnsi="Times New Roman" w:cs="Times New Roman"/>
          <w:color w:val="000000"/>
          <w:szCs w:val="21"/>
          <w:u w:val="single"/>
          <w:lang w:bidi="ar"/>
        </w:rPr>
        <w:t xml:space="preserve">                                                  </w:t>
      </w:r>
    </w:p>
    <w:p w14:paraId="533501AF">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法定代表人：</w:t>
      </w:r>
      <w:r>
        <w:rPr>
          <w:rFonts w:hint="default" w:ascii="Times New Roman" w:hAnsi="Times New Roman" w:cs="Times New Roman"/>
          <w:color w:val="000000"/>
          <w:szCs w:val="21"/>
          <w:u w:val="single"/>
          <w:lang w:bidi="ar"/>
        </w:rPr>
        <w:t xml:space="preserve">                                                  </w:t>
      </w:r>
    </w:p>
    <w:p w14:paraId="6A65A85D">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法定住所：</w:t>
      </w:r>
      <w:r>
        <w:rPr>
          <w:rFonts w:hint="default" w:ascii="Times New Roman" w:hAnsi="Times New Roman" w:cs="Times New Roman"/>
          <w:color w:val="000000"/>
          <w:szCs w:val="21"/>
          <w:u w:val="single"/>
          <w:lang w:bidi="ar"/>
        </w:rPr>
        <w:t xml:space="preserve">                                                    </w:t>
      </w:r>
    </w:p>
    <w:p w14:paraId="78A3235B">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4F78250">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成员二名称：</w:t>
      </w:r>
      <w:r>
        <w:rPr>
          <w:rFonts w:hint="default" w:ascii="Times New Roman" w:hAnsi="Times New Roman" w:cs="Times New Roman"/>
          <w:color w:val="000000"/>
          <w:szCs w:val="21"/>
          <w:u w:val="single"/>
          <w:lang w:bidi="ar"/>
        </w:rPr>
        <w:t xml:space="preserve">                                                  </w:t>
      </w:r>
    </w:p>
    <w:p w14:paraId="1381600E">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法定代表人：</w:t>
      </w:r>
      <w:r>
        <w:rPr>
          <w:rFonts w:hint="default" w:ascii="Times New Roman" w:hAnsi="Times New Roman" w:cs="Times New Roman"/>
          <w:color w:val="000000"/>
          <w:szCs w:val="21"/>
          <w:u w:val="single"/>
          <w:lang w:bidi="ar"/>
        </w:rPr>
        <w:t xml:space="preserve">                                                  </w:t>
      </w:r>
    </w:p>
    <w:p w14:paraId="5091081D">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法定住所：</w:t>
      </w:r>
      <w:r>
        <w:rPr>
          <w:rFonts w:hint="default" w:ascii="Times New Roman" w:hAnsi="Times New Roman" w:cs="Times New Roman"/>
          <w:color w:val="000000"/>
          <w:szCs w:val="21"/>
          <w:u w:val="single"/>
          <w:lang w:bidi="ar"/>
        </w:rPr>
        <w:t xml:space="preserve">                                                    </w:t>
      </w:r>
    </w:p>
    <w:p w14:paraId="4DEBF96D">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w:t>
      </w:r>
    </w:p>
    <w:p w14:paraId="362D5392">
      <w:pPr>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鉴于上述各成员单位经过友好协商，自愿组成</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（联合体名称）联合体，共同参加</w:t>
      </w:r>
    </w:p>
    <w:p w14:paraId="09C60844">
      <w:pPr>
        <w:rPr>
          <w:rFonts w:hint="default" w:ascii="Times New Roman" w:hAnsi="Times New Roman" w:cs="Times New Roman"/>
          <w:color w:val="000000"/>
          <w:szCs w:val="21"/>
        </w:rPr>
      </w:pP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（招标人名称）（以下简称招标人）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标段/包（以下简称本工程）的投标并争取赢得本工程承包合同（以下简称合同）。现就联合体投标事宜订立如下协议：</w:t>
      </w:r>
    </w:p>
    <w:p w14:paraId="62C7A275">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1．</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（某成员单位名称）为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（联合体名称）牵头人。</w:t>
      </w:r>
    </w:p>
    <w:p w14:paraId="2D83ECDE">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14:paraId="41A7C820">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14:paraId="4326A0E1">
      <w:pPr>
        <w:spacing w:line="394" w:lineRule="exact"/>
        <w:ind w:firstLine="420" w:firstLineChars="200"/>
        <w:rPr>
          <w:rFonts w:hint="default" w:ascii="Times New Roman" w:hAnsi="Times New Roman" w:cs="Times New Roman"/>
          <w:color w:val="000000"/>
          <w:szCs w:val="21"/>
          <w:u w:val="single"/>
        </w:rPr>
      </w:pPr>
      <w:r>
        <w:rPr>
          <w:rFonts w:hint="default" w:ascii="Times New Roman" w:hAnsi="Times New Roman" w:cs="Times New Roman"/>
          <w:color w:val="000000"/>
          <w:szCs w:val="21"/>
          <w:lang w:bidi="ar"/>
        </w:rPr>
        <w:t>4．联合体各成员单位内部的职责分工如下：</w:t>
      </w:r>
      <w:r>
        <w:rPr>
          <w:rFonts w:hint="default" w:ascii="Times New Roman" w:hAnsi="Times New Roman" w:cs="Times New Roman"/>
          <w:color w:val="000000"/>
          <w:szCs w:val="21"/>
          <w:u w:val="single"/>
          <w:lang w:bidi="ar"/>
        </w:rPr>
        <w:t xml:space="preserve">                                                                        </w:t>
      </w:r>
    </w:p>
    <w:p w14:paraId="3652E9B7">
      <w:pPr>
        <w:spacing w:line="394" w:lineRule="exact"/>
        <w:rPr>
          <w:rFonts w:hint="default" w:ascii="Times New Roman" w:hAnsi="Times New Roman" w:cs="Times New Roman"/>
          <w:color w:val="000000"/>
          <w:szCs w:val="21"/>
          <w:u w:val="single"/>
        </w:rPr>
      </w:pP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。按照本条上述分工，联合体成员单位各自所承担的合同工作量比例如下：</w:t>
      </w:r>
      <w:r>
        <w:rPr>
          <w:rFonts w:hint="default" w:ascii="Times New Roman" w:hAnsi="Times New Roman" w:cs="Times New Roman"/>
          <w:color w:val="000000"/>
          <w:szCs w:val="21"/>
          <w:u w:val="single"/>
          <w:lang w:bidi="ar"/>
        </w:rPr>
        <w:t xml:space="preserve">                                                              </w:t>
      </w:r>
    </w:p>
    <w:p w14:paraId="6CD99AE9">
      <w:pPr>
        <w:spacing w:line="394" w:lineRule="exact"/>
        <w:rPr>
          <w:rFonts w:hint="default" w:ascii="Times New Roman" w:hAnsi="Times New Roman" w:cs="Times New Roman"/>
          <w:color w:val="000000"/>
          <w:szCs w:val="21"/>
        </w:rPr>
      </w:pP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w:t>
      </w:r>
    </w:p>
    <w:p w14:paraId="1790CF9E">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5．投标工作和联合体在中标后工程实施过程中的有关费用按各自承担的工作量分摊。</w:t>
      </w:r>
    </w:p>
    <w:p w14:paraId="76551C46">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6．联合体中标后，本联合体协议是合同的附件，对联合体各成员单位有合同约束力。</w:t>
      </w:r>
    </w:p>
    <w:p w14:paraId="09AC0E10">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7．本协议书自签署之日起生效，联合体未中标或者中标合同履行完毕后自动失效。</w:t>
      </w:r>
    </w:p>
    <w:p w14:paraId="41432ED3">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8．本协议书一式</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份，联合体成员和招标人各执一份。</w:t>
      </w:r>
    </w:p>
    <w:p w14:paraId="4472C829">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E8390EE">
      <w:pPr>
        <w:spacing w:line="394" w:lineRule="exact"/>
        <w:ind w:firstLine="1785" w:firstLineChars="850"/>
        <w:rPr>
          <w:rFonts w:hint="default" w:ascii="Times New Roman" w:hAnsi="Times New Roman" w:cs="Times New Roman"/>
          <w:color w:val="000000"/>
          <w:szCs w:val="21"/>
        </w:rPr>
      </w:pPr>
      <w:r>
        <w:rPr>
          <w:rFonts w:hint="default" w:ascii="Times New Roman" w:hAnsi="Times New Roman" w:cs="Times New Roman"/>
          <w:color w:val="000000"/>
          <w:szCs w:val="21"/>
          <w:lang w:bidi="ar"/>
        </w:rPr>
        <w:t>牵头人名称：</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（盖单位章）</w:t>
      </w:r>
    </w:p>
    <w:p w14:paraId="0C8328CF">
      <w:pPr>
        <w:spacing w:line="394" w:lineRule="exact"/>
        <w:ind w:firstLine="1785" w:firstLineChars="850"/>
        <w:rPr>
          <w:rFonts w:hint="default" w:ascii="Times New Roman" w:hAnsi="Times New Roman" w:cs="Times New Roman"/>
          <w:color w:val="000000"/>
          <w:szCs w:val="21"/>
        </w:rPr>
      </w:pPr>
      <w:r>
        <w:rPr>
          <w:rFonts w:hint="default" w:ascii="Times New Roman" w:hAnsi="Times New Roman" w:cs="Times New Roman"/>
          <w:color w:val="000000"/>
          <w:szCs w:val="21"/>
          <w:lang w:bidi="ar"/>
        </w:rPr>
        <w:t>法定代表人或其委托代理人：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（签字）</w:t>
      </w:r>
    </w:p>
    <w:p w14:paraId="0D67CF0C">
      <w:pPr>
        <w:spacing w:line="394" w:lineRule="exact"/>
        <w:ind w:firstLine="1785" w:firstLineChars="85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603610D">
      <w:pPr>
        <w:spacing w:line="394" w:lineRule="exact"/>
        <w:ind w:firstLine="1785" w:firstLineChars="850"/>
        <w:rPr>
          <w:rFonts w:hint="default" w:ascii="Times New Roman" w:hAnsi="Times New Roman" w:cs="Times New Roman"/>
          <w:color w:val="000000"/>
          <w:szCs w:val="21"/>
        </w:rPr>
      </w:pPr>
      <w:r>
        <w:rPr>
          <w:rFonts w:hint="default" w:ascii="Times New Roman" w:hAnsi="Times New Roman" w:cs="Times New Roman"/>
          <w:color w:val="000000"/>
          <w:szCs w:val="21"/>
          <w:lang w:bidi="ar"/>
        </w:rPr>
        <w:t>成员二名称：</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（盖单位章）</w:t>
      </w:r>
    </w:p>
    <w:p w14:paraId="7BF366DD">
      <w:pPr>
        <w:spacing w:line="394" w:lineRule="exact"/>
        <w:ind w:firstLine="1785" w:firstLineChars="850"/>
        <w:rPr>
          <w:rFonts w:hint="default" w:ascii="Times New Roman" w:hAnsi="Times New Roman" w:cs="Times New Roman"/>
          <w:color w:val="000000"/>
          <w:szCs w:val="21"/>
        </w:rPr>
      </w:pPr>
      <w:r>
        <w:rPr>
          <w:rFonts w:hint="default" w:ascii="Times New Roman" w:hAnsi="Times New Roman" w:cs="Times New Roman"/>
          <w:color w:val="000000"/>
          <w:szCs w:val="21"/>
          <w:lang w:bidi="ar"/>
        </w:rPr>
        <w:t>法定代表人或其委托代理人：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（签字）</w:t>
      </w:r>
    </w:p>
    <w:p w14:paraId="288288F4">
      <w:pPr>
        <w:spacing w:line="394" w:lineRule="exact"/>
        <w:ind w:firstLine="2100" w:firstLineChars="1000"/>
        <w:rPr>
          <w:rFonts w:hint="default" w:ascii="Times New Roman" w:hAnsi="Times New Roman" w:cs="Times New Roman"/>
          <w:color w:val="000000"/>
          <w:szCs w:val="21"/>
        </w:rPr>
      </w:pPr>
      <w:r>
        <w:rPr>
          <w:rFonts w:hint="default" w:ascii="Times New Roman" w:hAnsi="Times New Roman" w:cs="Times New Roman"/>
          <w:color w:val="000000"/>
          <w:szCs w:val="21"/>
          <w:lang w:bidi="ar"/>
        </w:rPr>
        <w:t>……</w:t>
      </w:r>
    </w:p>
    <w:p w14:paraId="62F98389">
      <w:pPr>
        <w:ind w:firstLine="4935" w:firstLineChars="2350"/>
        <w:rPr>
          <w:rFonts w:hint="default" w:ascii="Times New Roman" w:hAnsi="Times New Roman" w:cs="Times New Roman"/>
          <w:color w:val="000000"/>
          <w:szCs w:val="21"/>
        </w:rPr>
      </w:pP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年</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月</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 xml:space="preserve">日    </w:t>
      </w:r>
    </w:p>
    <w:p w14:paraId="37F3BD78">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0488437">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备注：1.本协议书由委托代理人签章的，应附法定代表人签章的授权委托书。</w:t>
      </w:r>
    </w:p>
    <w:p w14:paraId="4F9646A7">
      <w:pPr>
        <w:spacing w:line="394" w:lineRule="exact"/>
        <w:ind w:left="840" w:leftChars="300" w:hanging="210" w:hangingChars="100"/>
        <w:rPr>
          <w:rFonts w:hint="default" w:ascii="Times New Roman" w:hAnsi="Times New Roman" w:cs="Times New Roman"/>
          <w:color w:val="000000"/>
          <w:szCs w:val="21"/>
        </w:rPr>
      </w:pPr>
      <w:r>
        <w:rPr>
          <w:rFonts w:hint="default" w:ascii="Times New Roman" w:hAnsi="Times New Roman" w:cs="Times New Roman"/>
          <w:color w:val="000000"/>
          <w:szCs w:val="21"/>
          <w:lang w:bidi="ar"/>
        </w:rPr>
        <w:t>2. 投标人未采用联合体投标的，</w:t>
      </w:r>
      <w:r>
        <w:rPr>
          <w:rFonts w:hint="default" w:ascii="Times New Roman" w:hAnsi="Times New Roman" w:cs="Times New Roman"/>
          <w:bCs/>
          <w:color w:val="000000"/>
          <w:szCs w:val="21"/>
          <w:lang w:bidi="ar"/>
        </w:rPr>
        <w:t>投标文件中不需联合体协议书。</w:t>
      </w:r>
    </w:p>
    <w:p w14:paraId="08B4E8B2">
      <w:pPr>
        <w:ind w:left="850" w:leftChars="300" w:hanging="220" w:hangingChars="105"/>
        <w:rPr>
          <w:rFonts w:hint="default" w:ascii="Times New Roman" w:hAnsi="Times New Roman" w:cs="Times New Roman"/>
          <w:color w:val="000000"/>
          <w:szCs w:val="21"/>
        </w:rPr>
      </w:pPr>
      <w:r>
        <w:rPr>
          <w:rFonts w:hint="default" w:ascii="Times New Roman" w:hAnsi="Times New Roman" w:cs="Times New Roman"/>
          <w:color w:val="000000"/>
          <w:szCs w:val="21"/>
          <w:lang w:bidi="ar"/>
        </w:rPr>
        <w:t>3.电子投标文件的联合体协议书不采用电子签章；需在完成填写之后，按照要求进行盖章、签字，然后上传该协议书的电子扫描件。</w:t>
      </w:r>
    </w:p>
    <w:p w14:paraId="5B7EC9E3">
      <w:pPr>
        <w:ind w:left="850" w:leftChars="300" w:hanging="220" w:hangingChars="105"/>
        <w:rPr>
          <w:rFonts w:hint="default" w:ascii="Times New Roman" w:hAnsi="Times New Roman" w:cs="Times New Roman"/>
          <w:color w:val="000000"/>
          <w:szCs w:val="21"/>
        </w:rPr>
      </w:pPr>
      <w:r>
        <w:rPr>
          <w:rFonts w:hint="default" w:ascii="Times New Roman" w:hAnsi="Times New Roman" w:cs="Times New Roman"/>
          <w:color w:val="000000"/>
          <w:szCs w:val="21"/>
          <w:lang w:bidi="ar"/>
        </w:rPr>
        <w:t>4.政府采购工程及工程货物或服务部分预留专门面向中小企业采购的项目，招标人要求大型企业与中小微企业组成联合体形式投标，且联合体中的中小企业承担的部分达到一定比例的，联合体协议书第4条中应当按照第二章投标人须知前附表“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2BB0E2B4">
      <w:pPr>
        <w:spacing w:line="400" w:lineRule="exact"/>
        <w:ind w:left="840" w:leftChars="300" w:hanging="210" w:hangingChars="100"/>
        <w:rPr>
          <w:rFonts w:hint="default" w:ascii="Times New Roman" w:hAnsi="Times New Roman" w:cs="Times New Roman"/>
          <w:color w:val="000000"/>
          <w:szCs w:val="21"/>
        </w:rPr>
      </w:pPr>
      <w:r>
        <w:rPr>
          <w:rFonts w:hint="default" w:ascii="Times New Roman" w:hAnsi="Times New Roman" w:cs="Times New Roman"/>
          <w:color w:val="000000"/>
          <w:szCs w:val="21"/>
          <w:lang w:bidi="ar"/>
        </w:rPr>
        <w:t>5.政府采购工程及工程货物或服务未预留份额专门面向中小企业采购的项目，招标人接受大中型企业与小微企业组成联合体形式投标，且联合体中的小微企业承担的部分达到一定比例可享受价格扣除或增加价格分优惠政策的，联合体协议书第4条中应当明确联合体各方承担的合同工作内容、合同金额及合同金额与项目合同金额的占比。同时，声明组成联合体的小微企业与联合体内其他企业是否存在直接控股、管理关系。</w:t>
      </w:r>
    </w:p>
    <w:p w14:paraId="18CBBAB9">
      <w:pPr>
        <w:ind w:left="850" w:leftChars="300" w:hanging="220" w:hangingChars="105"/>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1A319BA">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1829918">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EFCFD27">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E2BCA07">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5ED0D82">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A2DA78F">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839EBF0">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96886BC">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82D6FDA">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995B776">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A56C7C6">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2251A2A">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09B9D79">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66C7C4F">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134A09A">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8219CF7">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CEDDBE7">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AD49B60">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AD1F821">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9B27BB1">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F96335B">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E58A48D">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C449F39">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EB84F4C">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BD95AE0">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BF5F177">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6B43D52">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235F566">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BB34609">
      <w:pPr>
        <w:keepNext w:val="0"/>
        <w:keepLines w:val="0"/>
        <w:widowControl/>
        <w:spacing w:beforeAutospacing="1"/>
        <w:ind w:left="2100"/>
        <w:jc w:val="both"/>
        <w:rPr>
          <w:rFonts w:hint="eastAsia" w:ascii="Times New Roman" w:hAnsi="Times New Roman" w:cs="Times New Roman"/>
          <w:b/>
          <w:bCs/>
          <w:color w:val="000000"/>
          <w:sz w:val="24"/>
          <w:szCs w:val="24"/>
        </w:rPr>
      </w:pPr>
      <w:r>
        <w:rPr>
          <w:rFonts w:hint="eastAsia" w:ascii="Times New Roman" w:hAnsi="Times New Roman" w:cs="Times New Roman"/>
          <w:b/>
          <w:bCs/>
          <w:color w:val="000000"/>
          <w:sz w:val="24"/>
          <w:szCs w:val="24"/>
        </w:rPr>
        <w:t>（</w:t>
      </w:r>
      <w:r>
        <w:rPr>
          <w:rFonts w:hint="eastAsia" w:ascii="Times New Roman" w:hAnsi="Times New Roman" w:cs="Times New Roman"/>
          <w:b/>
          <w:bCs/>
          <w:color w:val="000000"/>
          <w:sz w:val="24"/>
          <w:szCs w:val="24"/>
          <w:lang w:val="en-US" w:eastAsia="zh-CN"/>
        </w:rPr>
        <w:t>六</w:t>
      </w:r>
      <w:r>
        <w:rPr>
          <w:rFonts w:hint="eastAsia" w:ascii="Times New Roman" w:hAnsi="Times New Roman" w:cs="Times New Roman"/>
          <w:b/>
          <w:bCs/>
          <w:color w:val="000000"/>
          <w:sz w:val="24"/>
          <w:szCs w:val="24"/>
        </w:rPr>
        <w:t>）投标保证金（本项目无需提供）</w:t>
      </w:r>
    </w:p>
    <w:p w14:paraId="3694355A">
      <w:pPr>
        <w:rPr>
          <w:rFonts w:hint="default" w:ascii="Times New Roman" w:hAnsi="Times New Roman" w:cs="Times New Roman"/>
          <w:color w:val="000000"/>
          <w:szCs w:val="21"/>
          <w:lang w:bidi="ar"/>
        </w:rPr>
        <w:sectPr>
          <w:footerReference r:id="rId16" w:type="default"/>
          <w:pgSz w:w="11907" w:h="16840"/>
          <w:pgMar w:top="1588" w:right="1474" w:bottom="1701" w:left="1531" w:header="851" w:footer="992" w:gutter="0"/>
          <w:cols w:space="720" w:num="1"/>
          <w:docGrid w:type="lines" w:linePitch="312" w:charSpace="0"/>
        </w:sectPr>
      </w:pPr>
    </w:p>
    <w:p w14:paraId="646AAA23">
      <w:pPr>
        <w:pStyle w:val="43"/>
        <w:keepNext w:val="0"/>
        <w:keepLines w:val="0"/>
        <w:widowControl/>
        <w:spacing w:beforeAutospacing="1"/>
        <w:jc w:val="center"/>
        <w:rPr>
          <w:rFonts w:hint="default" w:ascii="Times New Roman" w:hAnsi="Times New Roman" w:cs="Times New Roman"/>
          <w:color w:val="000000"/>
        </w:rPr>
      </w:pPr>
      <w:r>
        <w:rPr>
          <w:rFonts w:hint="default" w:ascii="Times New Roman" w:hAnsi="Times New Roman" w:cs="Times New Roman"/>
          <w:color w:val="000000"/>
        </w:rPr>
        <w:t>（</w:t>
      </w:r>
      <w:r>
        <w:rPr>
          <w:rFonts w:hint="default" w:ascii="Times New Roman" w:hAnsi="Times New Roman" w:cs="Times New Roman"/>
          <w:color w:val="000000"/>
          <w:lang w:eastAsia="zh-CN"/>
        </w:rPr>
        <w:t>七</w:t>
      </w:r>
      <w:r>
        <w:rPr>
          <w:rFonts w:hint="default" w:ascii="Times New Roman" w:hAnsi="Times New Roman" w:cs="Times New Roman"/>
          <w:color w:val="000000"/>
        </w:rPr>
        <w:t>）资格审查资料</w:t>
      </w:r>
    </w:p>
    <w:p w14:paraId="7D317B28">
      <w:pPr>
        <w:spacing w:line="400" w:lineRule="exact"/>
        <w:ind w:firstLine="3188" w:firstLineChars="1323"/>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lang w:bidi="ar"/>
        </w:rPr>
        <w:t xml:space="preserve"> </w:t>
      </w:r>
    </w:p>
    <w:p w14:paraId="28E72E8A">
      <w:pPr>
        <w:pStyle w:val="7"/>
        <w:widowControl/>
        <w:spacing w:before="0" w:after="240"/>
        <w:ind w:firstLine="0" w:firstLineChars="0"/>
        <w:jc w:val="center"/>
        <w:rPr>
          <w:rFonts w:hint="default" w:ascii="Times New Roman" w:hAnsi="Times New Roman" w:cs="Times New Roman"/>
          <w:b/>
          <w:color w:val="000000"/>
          <w:szCs w:val="24"/>
        </w:rPr>
      </w:pPr>
      <w:r>
        <w:rPr>
          <w:rFonts w:hint="default" w:ascii="Times New Roman" w:hAnsi="Times New Roman" w:cs="Times New Roman"/>
          <w:b/>
          <w:color w:val="000000"/>
          <w:szCs w:val="24"/>
        </w:rPr>
        <w:t>1、投标人基本情况</w:t>
      </w:r>
    </w:p>
    <w:p w14:paraId="08539CAB">
      <w:pPr>
        <w:keepNext/>
        <w:keepLines/>
        <w:spacing w:line="400" w:lineRule="exact"/>
        <w:jc w:val="center"/>
        <w:outlineLvl w:val="3"/>
        <w:rPr>
          <w:rFonts w:hint="default" w:ascii="Times New Roman" w:hAnsi="Times New Roman" w:eastAsia="黑体" w:cs="Times New Roman"/>
          <w:color w:val="000000"/>
          <w:sz w:val="24"/>
          <w:szCs w:val="24"/>
        </w:rPr>
      </w:pPr>
      <w:r>
        <w:rPr>
          <w:rFonts w:hint="default" w:ascii="Times New Roman" w:hAnsi="Times New Roman" w:eastAsia="黑体" w:cs="Times New Roman"/>
          <w:color w:val="000000"/>
          <w:sz w:val="24"/>
          <w:szCs w:val="24"/>
          <w:lang w:bidi="ar"/>
        </w:rPr>
        <w:t>1-1投标人基本情况表</w:t>
      </w:r>
    </w:p>
    <w:tbl>
      <w:tblPr>
        <w:tblStyle w:val="17"/>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8"/>
        <w:gridCol w:w="1299"/>
        <w:gridCol w:w="1302"/>
        <w:gridCol w:w="1304"/>
        <w:gridCol w:w="1301"/>
        <w:gridCol w:w="1301"/>
        <w:gridCol w:w="1313"/>
      </w:tblGrid>
      <w:tr w14:paraId="2CFA6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298" w:type="dxa"/>
            <w:tcBorders>
              <w:top w:val="single" w:color="auto" w:sz="4" w:space="0"/>
              <w:left w:val="single" w:color="auto" w:sz="4" w:space="0"/>
              <w:bottom w:val="single" w:color="auto" w:sz="4" w:space="0"/>
              <w:right w:val="single" w:color="auto" w:sz="4" w:space="0"/>
            </w:tcBorders>
            <w:shd w:val="clear" w:color="auto" w:fill="auto"/>
            <w:vAlign w:val="center"/>
          </w:tcPr>
          <w:p w14:paraId="298CAEB3">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投标人名称</w:t>
            </w:r>
          </w:p>
        </w:tc>
        <w:tc>
          <w:tcPr>
            <w:tcW w:w="7820" w:type="dxa"/>
            <w:gridSpan w:val="6"/>
            <w:tcBorders>
              <w:top w:val="single" w:color="auto" w:sz="4" w:space="0"/>
              <w:left w:val="nil"/>
              <w:bottom w:val="single" w:color="auto" w:sz="4" w:space="0"/>
              <w:right w:val="single" w:color="auto" w:sz="4" w:space="0"/>
            </w:tcBorders>
            <w:shd w:val="clear" w:color="auto" w:fill="auto"/>
            <w:vAlign w:val="center"/>
          </w:tcPr>
          <w:p w14:paraId="5FCB1906">
            <w:pPr>
              <w:pStyle w:val="16"/>
              <w:widowControl w:val="0"/>
              <w:spacing w:before="0" w:beforeAutospacing="0" w:after="0" w:afterAutospacing="0"/>
              <w:jc w:val="center"/>
              <w:rPr>
                <w:rFonts w:hint="default" w:ascii="Times New Roman" w:hAnsi="Times New Roman" w:cs="Times New Roman"/>
                <w:sz w:val="20"/>
                <w:szCs w:val="20"/>
              </w:rPr>
            </w:pPr>
          </w:p>
        </w:tc>
      </w:tr>
      <w:tr w14:paraId="4B311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298" w:type="dxa"/>
            <w:tcBorders>
              <w:top w:val="single" w:color="auto" w:sz="4" w:space="0"/>
              <w:left w:val="single" w:color="auto" w:sz="4" w:space="0"/>
              <w:bottom w:val="single" w:color="auto" w:sz="4" w:space="0"/>
              <w:right w:val="single" w:color="auto" w:sz="4" w:space="0"/>
            </w:tcBorders>
            <w:shd w:val="clear" w:color="auto" w:fill="auto"/>
            <w:vAlign w:val="center"/>
          </w:tcPr>
          <w:p w14:paraId="37EC0FE2">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注册地址</w:t>
            </w:r>
          </w:p>
        </w:tc>
        <w:tc>
          <w:tcPr>
            <w:tcW w:w="3905" w:type="dxa"/>
            <w:gridSpan w:val="3"/>
            <w:tcBorders>
              <w:top w:val="single" w:color="auto" w:sz="4" w:space="0"/>
              <w:left w:val="nil"/>
              <w:bottom w:val="single" w:color="auto" w:sz="4" w:space="0"/>
              <w:right w:val="single" w:color="auto" w:sz="4" w:space="0"/>
            </w:tcBorders>
            <w:shd w:val="clear" w:color="auto" w:fill="auto"/>
            <w:vAlign w:val="center"/>
          </w:tcPr>
          <w:p w14:paraId="789BA786">
            <w:pPr>
              <w:pStyle w:val="16"/>
              <w:widowControl w:val="0"/>
              <w:spacing w:before="0" w:beforeAutospacing="0" w:after="0" w:afterAutospacing="0"/>
              <w:jc w:val="center"/>
              <w:rPr>
                <w:rFonts w:hint="default" w:ascii="Times New Roman" w:hAnsi="Times New Roman" w:cs="Times New Roman"/>
                <w:sz w:val="20"/>
                <w:szCs w:val="20"/>
              </w:rPr>
            </w:pPr>
          </w:p>
        </w:tc>
        <w:tc>
          <w:tcPr>
            <w:tcW w:w="1301" w:type="dxa"/>
            <w:tcBorders>
              <w:top w:val="single" w:color="auto" w:sz="4" w:space="0"/>
              <w:left w:val="nil"/>
              <w:bottom w:val="single" w:color="auto" w:sz="4" w:space="0"/>
              <w:right w:val="single" w:color="auto" w:sz="4" w:space="0"/>
            </w:tcBorders>
            <w:shd w:val="clear" w:color="auto" w:fill="auto"/>
            <w:vAlign w:val="center"/>
          </w:tcPr>
          <w:p w14:paraId="087BCCB3">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邮政编码</w:t>
            </w:r>
          </w:p>
        </w:tc>
        <w:tc>
          <w:tcPr>
            <w:tcW w:w="2614" w:type="dxa"/>
            <w:gridSpan w:val="2"/>
            <w:tcBorders>
              <w:top w:val="single" w:color="auto" w:sz="4" w:space="0"/>
              <w:left w:val="nil"/>
              <w:bottom w:val="single" w:color="auto" w:sz="4" w:space="0"/>
              <w:right w:val="single" w:color="auto" w:sz="4" w:space="0"/>
            </w:tcBorders>
            <w:shd w:val="clear" w:color="auto" w:fill="auto"/>
            <w:vAlign w:val="center"/>
          </w:tcPr>
          <w:p w14:paraId="502E5134">
            <w:pPr>
              <w:pStyle w:val="16"/>
              <w:widowControl w:val="0"/>
              <w:spacing w:before="0" w:beforeAutospacing="0" w:after="0" w:afterAutospacing="0"/>
              <w:jc w:val="center"/>
              <w:rPr>
                <w:rFonts w:hint="default" w:ascii="Times New Roman" w:hAnsi="Times New Roman" w:cs="Times New Roman"/>
                <w:sz w:val="20"/>
                <w:szCs w:val="20"/>
              </w:rPr>
            </w:pPr>
          </w:p>
        </w:tc>
      </w:tr>
      <w:tr w14:paraId="5B49D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298" w:type="dxa"/>
            <w:vMerge w:val="restart"/>
            <w:tcBorders>
              <w:top w:val="nil"/>
              <w:left w:val="single" w:color="auto" w:sz="4" w:space="0"/>
              <w:bottom w:val="single" w:color="auto" w:sz="4" w:space="0"/>
              <w:right w:val="single" w:color="auto" w:sz="4" w:space="0"/>
            </w:tcBorders>
            <w:shd w:val="clear" w:color="auto" w:fill="auto"/>
            <w:vAlign w:val="center"/>
          </w:tcPr>
          <w:p w14:paraId="65264186">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联系方式</w:t>
            </w:r>
          </w:p>
        </w:tc>
        <w:tc>
          <w:tcPr>
            <w:tcW w:w="1299" w:type="dxa"/>
            <w:tcBorders>
              <w:top w:val="single" w:color="auto" w:sz="4" w:space="0"/>
              <w:left w:val="nil"/>
              <w:bottom w:val="single" w:color="auto" w:sz="4" w:space="0"/>
              <w:right w:val="single" w:color="auto" w:sz="4" w:space="0"/>
            </w:tcBorders>
            <w:shd w:val="clear" w:color="auto" w:fill="auto"/>
            <w:vAlign w:val="center"/>
          </w:tcPr>
          <w:p w14:paraId="6286BE5E">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联系人</w:t>
            </w:r>
          </w:p>
        </w:tc>
        <w:tc>
          <w:tcPr>
            <w:tcW w:w="2606" w:type="dxa"/>
            <w:gridSpan w:val="2"/>
            <w:tcBorders>
              <w:top w:val="single" w:color="auto" w:sz="4" w:space="0"/>
              <w:left w:val="nil"/>
              <w:bottom w:val="single" w:color="auto" w:sz="4" w:space="0"/>
              <w:right w:val="single" w:color="auto" w:sz="4" w:space="0"/>
            </w:tcBorders>
            <w:shd w:val="clear" w:color="auto" w:fill="auto"/>
            <w:vAlign w:val="center"/>
          </w:tcPr>
          <w:p w14:paraId="012FF437">
            <w:pPr>
              <w:pStyle w:val="16"/>
              <w:widowControl w:val="0"/>
              <w:spacing w:before="0" w:beforeAutospacing="0" w:after="0" w:afterAutospacing="0"/>
              <w:jc w:val="center"/>
              <w:rPr>
                <w:rFonts w:hint="default" w:ascii="Times New Roman" w:hAnsi="Times New Roman" w:cs="Times New Roman"/>
                <w:sz w:val="20"/>
                <w:szCs w:val="20"/>
              </w:rPr>
            </w:pPr>
          </w:p>
        </w:tc>
        <w:tc>
          <w:tcPr>
            <w:tcW w:w="1301" w:type="dxa"/>
            <w:tcBorders>
              <w:top w:val="single" w:color="auto" w:sz="4" w:space="0"/>
              <w:left w:val="nil"/>
              <w:bottom w:val="single" w:color="auto" w:sz="4" w:space="0"/>
              <w:right w:val="single" w:color="auto" w:sz="4" w:space="0"/>
            </w:tcBorders>
            <w:shd w:val="clear" w:color="auto" w:fill="auto"/>
            <w:vAlign w:val="center"/>
          </w:tcPr>
          <w:p w14:paraId="6794087F">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电话</w:t>
            </w:r>
          </w:p>
        </w:tc>
        <w:tc>
          <w:tcPr>
            <w:tcW w:w="2614" w:type="dxa"/>
            <w:gridSpan w:val="2"/>
            <w:tcBorders>
              <w:top w:val="single" w:color="auto" w:sz="4" w:space="0"/>
              <w:left w:val="nil"/>
              <w:bottom w:val="single" w:color="auto" w:sz="4" w:space="0"/>
              <w:right w:val="single" w:color="auto" w:sz="4" w:space="0"/>
            </w:tcBorders>
            <w:shd w:val="clear" w:color="auto" w:fill="auto"/>
            <w:vAlign w:val="center"/>
          </w:tcPr>
          <w:p w14:paraId="74CBB628">
            <w:pPr>
              <w:pStyle w:val="16"/>
              <w:widowControl w:val="0"/>
              <w:spacing w:before="0" w:beforeAutospacing="0" w:after="0" w:afterAutospacing="0"/>
              <w:jc w:val="center"/>
              <w:rPr>
                <w:rFonts w:hint="default" w:ascii="Times New Roman" w:hAnsi="Times New Roman" w:cs="Times New Roman"/>
                <w:sz w:val="20"/>
                <w:szCs w:val="20"/>
              </w:rPr>
            </w:pPr>
          </w:p>
        </w:tc>
      </w:tr>
      <w:tr w14:paraId="2554F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1298" w:type="dxa"/>
            <w:vMerge w:val="continue"/>
            <w:tcBorders>
              <w:top w:val="nil"/>
              <w:left w:val="single" w:color="auto" w:sz="4" w:space="0"/>
              <w:bottom w:val="single" w:color="auto" w:sz="4" w:space="0"/>
              <w:right w:val="single" w:color="auto" w:sz="4" w:space="0"/>
            </w:tcBorders>
            <w:shd w:val="clear" w:color="auto" w:fill="auto"/>
            <w:vAlign w:val="center"/>
          </w:tcPr>
          <w:p w14:paraId="70CE3CBC">
            <w:pPr>
              <w:rPr>
                <w:rFonts w:hint="default" w:ascii="Times New Roman" w:hAnsi="Times New Roman" w:cs="Times New Roman"/>
                <w:color w:val="000000"/>
                <w:sz w:val="20"/>
                <w:szCs w:val="20"/>
              </w:rPr>
            </w:pPr>
          </w:p>
        </w:tc>
        <w:tc>
          <w:tcPr>
            <w:tcW w:w="1299" w:type="dxa"/>
            <w:tcBorders>
              <w:top w:val="single" w:color="auto" w:sz="4" w:space="0"/>
              <w:left w:val="nil"/>
              <w:bottom w:val="single" w:color="auto" w:sz="4" w:space="0"/>
              <w:right w:val="single" w:color="auto" w:sz="4" w:space="0"/>
            </w:tcBorders>
            <w:shd w:val="clear" w:color="auto" w:fill="auto"/>
            <w:vAlign w:val="center"/>
          </w:tcPr>
          <w:p w14:paraId="14672B3D">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传真</w:t>
            </w:r>
          </w:p>
        </w:tc>
        <w:tc>
          <w:tcPr>
            <w:tcW w:w="2606" w:type="dxa"/>
            <w:gridSpan w:val="2"/>
            <w:tcBorders>
              <w:top w:val="single" w:color="auto" w:sz="4" w:space="0"/>
              <w:left w:val="nil"/>
              <w:bottom w:val="single" w:color="auto" w:sz="4" w:space="0"/>
              <w:right w:val="single" w:color="auto" w:sz="4" w:space="0"/>
            </w:tcBorders>
            <w:shd w:val="clear" w:color="auto" w:fill="auto"/>
            <w:vAlign w:val="center"/>
          </w:tcPr>
          <w:p w14:paraId="3753983C">
            <w:pPr>
              <w:pStyle w:val="16"/>
              <w:widowControl w:val="0"/>
              <w:spacing w:before="0" w:beforeAutospacing="0" w:after="0" w:afterAutospacing="0"/>
              <w:jc w:val="center"/>
              <w:rPr>
                <w:rFonts w:hint="default" w:ascii="Times New Roman" w:hAnsi="Times New Roman" w:cs="Times New Roman"/>
                <w:sz w:val="20"/>
                <w:szCs w:val="20"/>
              </w:rPr>
            </w:pPr>
          </w:p>
        </w:tc>
        <w:tc>
          <w:tcPr>
            <w:tcW w:w="1301" w:type="dxa"/>
            <w:tcBorders>
              <w:top w:val="single" w:color="auto" w:sz="4" w:space="0"/>
              <w:left w:val="nil"/>
              <w:bottom w:val="single" w:color="auto" w:sz="4" w:space="0"/>
              <w:right w:val="single" w:color="auto" w:sz="4" w:space="0"/>
            </w:tcBorders>
            <w:shd w:val="clear" w:color="auto" w:fill="auto"/>
            <w:vAlign w:val="center"/>
          </w:tcPr>
          <w:p w14:paraId="5E0CA68D">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网址</w:t>
            </w:r>
          </w:p>
        </w:tc>
        <w:tc>
          <w:tcPr>
            <w:tcW w:w="2614" w:type="dxa"/>
            <w:gridSpan w:val="2"/>
            <w:tcBorders>
              <w:top w:val="single" w:color="auto" w:sz="4" w:space="0"/>
              <w:left w:val="nil"/>
              <w:bottom w:val="single" w:color="auto" w:sz="4" w:space="0"/>
              <w:right w:val="single" w:color="auto" w:sz="4" w:space="0"/>
            </w:tcBorders>
            <w:shd w:val="clear" w:color="auto" w:fill="auto"/>
            <w:vAlign w:val="center"/>
          </w:tcPr>
          <w:p w14:paraId="750BBD3A">
            <w:pPr>
              <w:pStyle w:val="16"/>
              <w:widowControl w:val="0"/>
              <w:spacing w:before="0" w:beforeAutospacing="0" w:after="0" w:afterAutospacing="0"/>
              <w:jc w:val="center"/>
              <w:rPr>
                <w:rFonts w:hint="default" w:ascii="Times New Roman" w:hAnsi="Times New Roman" w:cs="Times New Roman"/>
                <w:sz w:val="20"/>
                <w:szCs w:val="20"/>
              </w:rPr>
            </w:pPr>
          </w:p>
        </w:tc>
      </w:tr>
      <w:tr w14:paraId="24C05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298" w:type="dxa"/>
            <w:tcBorders>
              <w:top w:val="single" w:color="auto" w:sz="4" w:space="0"/>
              <w:left w:val="single" w:color="auto" w:sz="4" w:space="0"/>
              <w:bottom w:val="single" w:color="auto" w:sz="4" w:space="0"/>
              <w:right w:val="single" w:color="auto" w:sz="4" w:space="0"/>
            </w:tcBorders>
            <w:shd w:val="clear" w:color="auto" w:fill="auto"/>
            <w:vAlign w:val="center"/>
          </w:tcPr>
          <w:p w14:paraId="48C22FEA">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法定代表人</w:t>
            </w:r>
          </w:p>
        </w:tc>
        <w:tc>
          <w:tcPr>
            <w:tcW w:w="1299" w:type="dxa"/>
            <w:tcBorders>
              <w:top w:val="single" w:color="auto" w:sz="4" w:space="0"/>
              <w:left w:val="nil"/>
              <w:bottom w:val="single" w:color="auto" w:sz="4" w:space="0"/>
              <w:right w:val="single" w:color="auto" w:sz="4" w:space="0"/>
            </w:tcBorders>
            <w:shd w:val="clear" w:color="auto" w:fill="auto"/>
            <w:vAlign w:val="center"/>
          </w:tcPr>
          <w:p w14:paraId="16A7D91F">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姓名</w:t>
            </w:r>
          </w:p>
        </w:tc>
        <w:tc>
          <w:tcPr>
            <w:tcW w:w="1302" w:type="dxa"/>
            <w:tcBorders>
              <w:top w:val="single" w:color="auto" w:sz="4" w:space="0"/>
              <w:left w:val="nil"/>
              <w:bottom w:val="single" w:color="auto" w:sz="4" w:space="0"/>
              <w:right w:val="single" w:color="auto" w:sz="4" w:space="0"/>
            </w:tcBorders>
            <w:shd w:val="clear" w:color="auto" w:fill="auto"/>
            <w:vAlign w:val="center"/>
          </w:tcPr>
          <w:p w14:paraId="2F40791A">
            <w:pPr>
              <w:pStyle w:val="16"/>
              <w:widowControl w:val="0"/>
              <w:spacing w:before="0" w:beforeAutospacing="0" w:after="0" w:afterAutospacing="0"/>
              <w:jc w:val="center"/>
              <w:rPr>
                <w:rFonts w:hint="default" w:ascii="Times New Roman" w:hAnsi="Times New Roman" w:cs="Times New Roman"/>
                <w:sz w:val="20"/>
                <w:szCs w:val="20"/>
              </w:rPr>
            </w:pPr>
          </w:p>
        </w:tc>
        <w:tc>
          <w:tcPr>
            <w:tcW w:w="1304" w:type="dxa"/>
            <w:tcBorders>
              <w:top w:val="single" w:color="auto" w:sz="4" w:space="0"/>
              <w:left w:val="nil"/>
              <w:bottom w:val="single" w:color="auto" w:sz="4" w:space="0"/>
              <w:right w:val="single" w:color="auto" w:sz="4" w:space="0"/>
            </w:tcBorders>
            <w:shd w:val="clear" w:color="auto" w:fill="auto"/>
            <w:vAlign w:val="center"/>
          </w:tcPr>
          <w:p w14:paraId="4801FB30">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技术职称</w:t>
            </w:r>
          </w:p>
        </w:tc>
        <w:tc>
          <w:tcPr>
            <w:tcW w:w="1301" w:type="dxa"/>
            <w:tcBorders>
              <w:top w:val="single" w:color="auto" w:sz="4" w:space="0"/>
              <w:left w:val="nil"/>
              <w:bottom w:val="single" w:color="auto" w:sz="4" w:space="0"/>
              <w:right w:val="single" w:color="auto" w:sz="4" w:space="0"/>
            </w:tcBorders>
            <w:shd w:val="clear" w:color="auto" w:fill="auto"/>
            <w:vAlign w:val="center"/>
          </w:tcPr>
          <w:p w14:paraId="785FE851">
            <w:pPr>
              <w:pStyle w:val="16"/>
              <w:widowControl w:val="0"/>
              <w:spacing w:before="0" w:beforeAutospacing="0" w:after="0" w:afterAutospacing="0"/>
              <w:jc w:val="center"/>
              <w:rPr>
                <w:rFonts w:hint="default" w:ascii="Times New Roman" w:hAnsi="Times New Roman" w:cs="Times New Roman"/>
                <w:sz w:val="20"/>
                <w:szCs w:val="20"/>
              </w:rPr>
            </w:pPr>
          </w:p>
        </w:tc>
        <w:tc>
          <w:tcPr>
            <w:tcW w:w="1301" w:type="dxa"/>
            <w:tcBorders>
              <w:top w:val="single" w:color="auto" w:sz="4" w:space="0"/>
              <w:left w:val="nil"/>
              <w:bottom w:val="single" w:color="auto" w:sz="4" w:space="0"/>
              <w:right w:val="single" w:color="auto" w:sz="4" w:space="0"/>
            </w:tcBorders>
            <w:shd w:val="clear" w:color="auto" w:fill="auto"/>
            <w:vAlign w:val="center"/>
          </w:tcPr>
          <w:p w14:paraId="17E92B4B">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电话</w:t>
            </w:r>
          </w:p>
        </w:tc>
        <w:tc>
          <w:tcPr>
            <w:tcW w:w="1313" w:type="dxa"/>
            <w:tcBorders>
              <w:top w:val="single" w:color="auto" w:sz="4" w:space="0"/>
              <w:left w:val="nil"/>
              <w:bottom w:val="single" w:color="auto" w:sz="4" w:space="0"/>
              <w:right w:val="single" w:color="auto" w:sz="4" w:space="0"/>
            </w:tcBorders>
            <w:shd w:val="clear" w:color="auto" w:fill="auto"/>
            <w:vAlign w:val="center"/>
          </w:tcPr>
          <w:p w14:paraId="681C5467">
            <w:pPr>
              <w:pStyle w:val="16"/>
              <w:widowControl w:val="0"/>
              <w:spacing w:before="0" w:beforeAutospacing="0" w:after="0" w:afterAutospacing="0"/>
              <w:jc w:val="center"/>
              <w:rPr>
                <w:rFonts w:hint="default" w:ascii="Times New Roman" w:hAnsi="Times New Roman" w:cs="Times New Roman"/>
                <w:sz w:val="20"/>
                <w:szCs w:val="20"/>
              </w:rPr>
            </w:pPr>
          </w:p>
        </w:tc>
      </w:tr>
      <w:tr w14:paraId="64826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298" w:type="dxa"/>
            <w:tcBorders>
              <w:top w:val="single" w:color="auto" w:sz="4" w:space="0"/>
              <w:left w:val="single" w:color="auto" w:sz="4" w:space="0"/>
              <w:bottom w:val="single" w:color="auto" w:sz="4" w:space="0"/>
              <w:right w:val="single" w:color="auto" w:sz="4" w:space="0"/>
            </w:tcBorders>
            <w:shd w:val="clear" w:color="auto" w:fill="auto"/>
            <w:vAlign w:val="center"/>
          </w:tcPr>
          <w:p w14:paraId="303BAD39">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技术负责人</w:t>
            </w:r>
          </w:p>
        </w:tc>
        <w:tc>
          <w:tcPr>
            <w:tcW w:w="1299" w:type="dxa"/>
            <w:tcBorders>
              <w:top w:val="single" w:color="auto" w:sz="4" w:space="0"/>
              <w:left w:val="nil"/>
              <w:bottom w:val="single" w:color="auto" w:sz="4" w:space="0"/>
              <w:right w:val="single" w:color="auto" w:sz="4" w:space="0"/>
            </w:tcBorders>
            <w:shd w:val="clear" w:color="auto" w:fill="auto"/>
            <w:vAlign w:val="center"/>
          </w:tcPr>
          <w:p w14:paraId="05DDE382">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姓名</w:t>
            </w:r>
          </w:p>
        </w:tc>
        <w:tc>
          <w:tcPr>
            <w:tcW w:w="1302" w:type="dxa"/>
            <w:tcBorders>
              <w:top w:val="single" w:color="auto" w:sz="4" w:space="0"/>
              <w:left w:val="nil"/>
              <w:bottom w:val="single" w:color="auto" w:sz="4" w:space="0"/>
              <w:right w:val="single" w:color="auto" w:sz="4" w:space="0"/>
            </w:tcBorders>
            <w:shd w:val="clear" w:color="auto" w:fill="auto"/>
            <w:vAlign w:val="center"/>
          </w:tcPr>
          <w:p w14:paraId="6325BBDC">
            <w:pPr>
              <w:pStyle w:val="16"/>
              <w:widowControl w:val="0"/>
              <w:spacing w:before="0" w:beforeAutospacing="0" w:after="0" w:afterAutospacing="0"/>
              <w:jc w:val="center"/>
              <w:rPr>
                <w:rFonts w:hint="default" w:ascii="Times New Roman" w:hAnsi="Times New Roman" w:cs="Times New Roman"/>
                <w:sz w:val="20"/>
                <w:szCs w:val="20"/>
              </w:rPr>
            </w:pPr>
          </w:p>
        </w:tc>
        <w:tc>
          <w:tcPr>
            <w:tcW w:w="1304" w:type="dxa"/>
            <w:tcBorders>
              <w:top w:val="single" w:color="auto" w:sz="4" w:space="0"/>
              <w:left w:val="nil"/>
              <w:bottom w:val="single" w:color="auto" w:sz="4" w:space="0"/>
              <w:right w:val="single" w:color="auto" w:sz="4" w:space="0"/>
            </w:tcBorders>
            <w:shd w:val="clear" w:color="auto" w:fill="auto"/>
            <w:vAlign w:val="center"/>
          </w:tcPr>
          <w:p w14:paraId="2AC1480D">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技术职称</w:t>
            </w:r>
          </w:p>
        </w:tc>
        <w:tc>
          <w:tcPr>
            <w:tcW w:w="1301" w:type="dxa"/>
            <w:tcBorders>
              <w:top w:val="single" w:color="auto" w:sz="4" w:space="0"/>
              <w:left w:val="nil"/>
              <w:bottom w:val="single" w:color="auto" w:sz="4" w:space="0"/>
              <w:right w:val="single" w:color="auto" w:sz="4" w:space="0"/>
            </w:tcBorders>
            <w:shd w:val="clear" w:color="auto" w:fill="auto"/>
            <w:vAlign w:val="center"/>
          </w:tcPr>
          <w:p w14:paraId="2B313EE4">
            <w:pPr>
              <w:pStyle w:val="16"/>
              <w:widowControl w:val="0"/>
              <w:spacing w:before="0" w:beforeAutospacing="0" w:after="0" w:afterAutospacing="0"/>
              <w:jc w:val="center"/>
              <w:rPr>
                <w:rFonts w:hint="default" w:ascii="Times New Roman" w:hAnsi="Times New Roman" w:cs="Times New Roman"/>
                <w:sz w:val="20"/>
                <w:szCs w:val="20"/>
              </w:rPr>
            </w:pPr>
          </w:p>
        </w:tc>
        <w:tc>
          <w:tcPr>
            <w:tcW w:w="1301" w:type="dxa"/>
            <w:tcBorders>
              <w:top w:val="single" w:color="auto" w:sz="4" w:space="0"/>
              <w:left w:val="nil"/>
              <w:bottom w:val="single" w:color="auto" w:sz="4" w:space="0"/>
              <w:right w:val="single" w:color="auto" w:sz="4" w:space="0"/>
            </w:tcBorders>
            <w:shd w:val="clear" w:color="auto" w:fill="auto"/>
            <w:vAlign w:val="center"/>
          </w:tcPr>
          <w:p w14:paraId="5948D3EB">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电话</w:t>
            </w:r>
          </w:p>
        </w:tc>
        <w:tc>
          <w:tcPr>
            <w:tcW w:w="1313" w:type="dxa"/>
            <w:tcBorders>
              <w:top w:val="single" w:color="auto" w:sz="4" w:space="0"/>
              <w:left w:val="nil"/>
              <w:bottom w:val="single" w:color="auto" w:sz="4" w:space="0"/>
              <w:right w:val="single" w:color="auto" w:sz="4" w:space="0"/>
            </w:tcBorders>
            <w:shd w:val="clear" w:color="auto" w:fill="auto"/>
            <w:vAlign w:val="center"/>
          </w:tcPr>
          <w:p w14:paraId="54EC6A98">
            <w:pPr>
              <w:pStyle w:val="16"/>
              <w:widowControl w:val="0"/>
              <w:spacing w:before="0" w:beforeAutospacing="0" w:after="0" w:afterAutospacing="0"/>
              <w:jc w:val="center"/>
              <w:rPr>
                <w:rFonts w:hint="default" w:ascii="Times New Roman" w:hAnsi="Times New Roman" w:cs="Times New Roman"/>
                <w:sz w:val="20"/>
                <w:szCs w:val="20"/>
              </w:rPr>
            </w:pPr>
          </w:p>
        </w:tc>
      </w:tr>
      <w:tr w14:paraId="3236C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298" w:type="dxa"/>
            <w:tcBorders>
              <w:top w:val="single" w:color="auto" w:sz="4" w:space="0"/>
              <w:left w:val="single" w:color="auto" w:sz="4" w:space="0"/>
              <w:bottom w:val="single" w:color="auto" w:sz="4" w:space="0"/>
              <w:right w:val="single" w:color="auto" w:sz="4" w:space="0"/>
            </w:tcBorders>
            <w:shd w:val="clear" w:color="auto" w:fill="auto"/>
            <w:vAlign w:val="center"/>
          </w:tcPr>
          <w:p w14:paraId="67D351D5">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成立时间</w:t>
            </w:r>
          </w:p>
        </w:tc>
        <w:tc>
          <w:tcPr>
            <w:tcW w:w="2601" w:type="dxa"/>
            <w:gridSpan w:val="2"/>
            <w:tcBorders>
              <w:top w:val="single" w:color="auto" w:sz="4" w:space="0"/>
              <w:left w:val="nil"/>
              <w:bottom w:val="single" w:color="auto" w:sz="4" w:space="0"/>
              <w:right w:val="single" w:color="auto" w:sz="4" w:space="0"/>
            </w:tcBorders>
            <w:shd w:val="clear" w:color="auto" w:fill="auto"/>
            <w:vAlign w:val="center"/>
          </w:tcPr>
          <w:p w14:paraId="5EC1F30B">
            <w:pPr>
              <w:pStyle w:val="16"/>
              <w:widowControl w:val="0"/>
              <w:spacing w:before="0" w:beforeAutospacing="0" w:after="0" w:afterAutospacing="0"/>
              <w:jc w:val="center"/>
              <w:rPr>
                <w:rFonts w:hint="default" w:ascii="Times New Roman" w:hAnsi="Times New Roman" w:cs="Times New Roman"/>
                <w:sz w:val="20"/>
                <w:szCs w:val="20"/>
              </w:rPr>
            </w:pPr>
          </w:p>
        </w:tc>
        <w:tc>
          <w:tcPr>
            <w:tcW w:w="5219" w:type="dxa"/>
            <w:gridSpan w:val="4"/>
            <w:tcBorders>
              <w:top w:val="single" w:color="auto" w:sz="4" w:space="0"/>
              <w:left w:val="nil"/>
              <w:bottom w:val="single" w:color="auto" w:sz="4" w:space="0"/>
              <w:right w:val="single" w:color="auto" w:sz="4" w:space="0"/>
            </w:tcBorders>
            <w:shd w:val="clear" w:color="auto" w:fill="auto"/>
            <w:vAlign w:val="center"/>
          </w:tcPr>
          <w:p w14:paraId="5C8F4CBD">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员工总人数：</w:t>
            </w:r>
          </w:p>
        </w:tc>
      </w:tr>
      <w:tr w14:paraId="121F7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tcBorders>
              <w:top w:val="single" w:color="auto" w:sz="4" w:space="0"/>
              <w:left w:val="single" w:color="auto" w:sz="4" w:space="0"/>
              <w:bottom w:val="single" w:color="auto" w:sz="4" w:space="0"/>
              <w:right w:val="single" w:color="auto" w:sz="4" w:space="0"/>
            </w:tcBorders>
            <w:shd w:val="clear" w:color="auto" w:fill="auto"/>
            <w:vAlign w:val="center"/>
          </w:tcPr>
          <w:p w14:paraId="60D7E233">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企业资质等级</w:t>
            </w:r>
          </w:p>
        </w:tc>
        <w:tc>
          <w:tcPr>
            <w:tcW w:w="2601" w:type="dxa"/>
            <w:gridSpan w:val="2"/>
            <w:tcBorders>
              <w:top w:val="single" w:color="auto" w:sz="4" w:space="0"/>
              <w:left w:val="nil"/>
              <w:bottom w:val="single" w:color="auto" w:sz="4" w:space="0"/>
              <w:right w:val="single" w:color="auto" w:sz="4" w:space="0"/>
            </w:tcBorders>
            <w:shd w:val="clear" w:color="auto" w:fill="auto"/>
            <w:vAlign w:val="center"/>
          </w:tcPr>
          <w:p w14:paraId="32BEB308">
            <w:pPr>
              <w:pStyle w:val="16"/>
              <w:widowControl w:val="0"/>
              <w:spacing w:before="0" w:beforeAutospacing="0" w:after="0" w:afterAutospacing="0"/>
              <w:jc w:val="center"/>
              <w:rPr>
                <w:rFonts w:hint="default" w:ascii="Times New Roman" w:hAnsi="Times New Roman" w:cs="Times New Roman"/>
                <w:sz w:val="20"/>
                <w:szCs w:val="20"/>
              </w:rPr>
            </w:pPr>
          </w:p>
        </w:tc>
        <w:tc>
          <w:tcPr>
            <w:tcW w:w="1304" w:type="dxa"/>
            <w:vMerge w:val="restart"/>
            <w:tcBorders>
              <w:top w:val="nil"/>
              <w:left w:val="nil"/>
              <w:bottom w:val="single" w:color="auto" w:sz="4" w:space="0"/>
              <w:right w:val="single" w:color="auto" w:sz="4" w:space="0"/>
            </w:tcBorders>
            <w:shd w:val="clear" w:color="auto" w:fill="auto"/>
            <w:vAlign w:val="center"/>
          </w:tcPr>
          <w:p w14:paraId="25E3B603">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其中</w:t>
            </w:r>
          </w:p>
        </w:tc>
        <w:tc>
          <w:tcPr>
            <w:tcW w:w="1301" w:type="dxa"/>
            <w:tcBorders>
              <w:top w:val="single" w:color="auto" w:sz="4" w:space="0"/>
              <w:left w:val="nil"/>
              <w:bottom w:val="single" w:color="auto" w:sz="4" w:space="0"/>
              <w:right w:val="single" w:color="auto" w:sz="4" w:space="0"/>
            </w:tcBorders>
            <w:shd w:val="clear" w:color="auto" w:fill="auto"/>
            <w:vAlign w:val="center"/>
          </w:tcPr>
          <w:p w14:paraId="4C1753E2">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各类注册人员</w:t>
            </w:r>
          </w:p>
        </w:tc>
        <w:tc>
          <w:tcPr>
            <w:tcW w:w="2614" w:type="dxa"/>
            <w:gridSpan w:val="2"/>
            <w:tcBorders>
              <w:top w:val="single" w:color="auto" w:sz="4" w:space="0"/>
              <w:left w:val="nil"/>
              <w:bottom w:val="single" w:color="auto" w:sz="4" w:space="0"/>
              <w:right w:val="single" w:color="auto" w:sz="4" w:space="0"/>
            </w:tcBorders>
            <w:shd w:val="clear" w:color="auto" w:fill="auto"/>
            <w:vAlign w:val="center"/>
          </w:tcPr>
          <w:p w14:paraId="1B1F3FAD">
            <w:pPr>
              <w:pStyle w:val="16"/>
              <w:widowControl w:val="0"/>
              <w:spacing w:before="0" w:beforeAutospacing="0" w:after="0" w:afterAutospacing="0"/>
              <w:jc w:val="center"/>
              <w:rPr>
                <w:rFonts w:hint="default" w:ascii="Times New Roman" w:hAnsi="Times New Roman" w:cs="Times New Roman"/>
                <w:sz w:val="20"/>
                <w:szCs w:val="20"/>
              </w:rPr>
            </w:pPr>
          </w:p>
        </w:tc>
      </w:tr>
      <w:tr w14:paraId="38770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tcBorders>
              <w:top w:val="single" w:color="auto" w:sz="4" w:space="0"/>
              <w:left w:val="single" w:color="auto" w:sz="4" w:space="0"/>
              <w:bottom w:val="single" w:color="auto" w:sz="4" w:space="0"/>
              <w:right w:val="single" w:color="auto" w:sz="4" w:space="0"/>
            </w:tcBorders>
            <w:shd w:val="clear" w:color="auto" w:fill="auto"/>
            <w:vAlign w:val="center"/>
          </w:tcPr>
          <w:p w14:paraId="36B69A79">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统一社会信用代码</w:t>
            </w:r>
          </w:p>
        </w:tc>
        <w:tc>
          <w:tcPr>
            <w:tcW w:w="2601" w:type="dxa"/>
            <w:gridSpan w:val="2"/>
            <w:tcBorders>
              <w:top w:val="single" w:color="auto" w:sz="4" w:space="0"/>
              <w:left w:val="nil"/>
              <w:bottom w:val="single" w:color="auto" w:sz="4" w:space="0"/>
              <w:right w:val="single" w:color="auto" w:sz="4" w:space="0"/>
            </w:tcBorders>
            <w:shd w:val="clear" w:color="auto" w:fill="auto"/>
            <w:vAlign w:val="center"/>
          </w:tcPr>
          <w:p w14:paraId="495DCD6F">
            <w:pPr>
              <w:pStyle w:val="16"/>
              <w:widowControl w:val="0"/>
              <w:spacing w:before="0" w:beforeAutospacing="0" w:after="0" w:afterAutospacing="0"/>
              <w:jc w:val="center"/>
              <w:rPr>
                <w:rFonts w:hint="default" w:ascii="Times New Roman" w:hAnsi="Times New Roman" w:cs="Times New Roman"/>
                <w:sz w:val="20"/>
                <w:szCs w:val="20"/>
              </w:rPr>
            </w:pPr>
          </w:p>
        </w:tc>
        <w:tc>
          <w:tcPr>
            <w:tcW w:w="1304" w:type="dxa"/>
            <w:vMerge w:val="continue"/>
            <w:tcBorders>
              <w:top w:val="nil"/>
              <w:left w:val="nil"/>
              <w:bottom w:val="single" w:color="auto" w:sz="4" w:space="0"/>
              <w:right w:val="single" w:color="auto" w:sz="4" w:space="0"/>
            </w:tcBorders>
            <w:shd w:val="clear" w:color="auto" w:fill="auto"/>
            <w:vAlign w:val="center"/>
          </w:tcPr>
          <w:p w14:paraId="1794E103">
            <w:pPr>
              <w:rPr>
                <w:rFonts w:hint="default" w:ascii="Times New Roman" w:hAnsi="Times New Roman" w:cs="Times New Roman"/>
                <w:color w:val="000000"/>
                <w:sz w:val="20"/>
                <w:szCs w:val="20"/>
              </w:rPr>
            </w:pPr>
          </w:p>
        </w:tc>
        <w:tc>
          <w:tcPr>
            <w:tcW w:w="1301" w:type="dxa"/>
            <w:tcBorders>
              <w:top w:val="single" w:color="auto" w:sz="4" w:space="0"/>
              <w:left w:val="nil"/>
              <w:bottom w:val="single" w:color="auto" w:sz="4" w:space="0"/>
              <w:right w:val="single" w:color="auto" w:sz="4" w:space="0"/>
            </w:tcBorders>
            <w:shd w:val="clear" w:color="auto" w:fill="auto"/>
            <w:vAlign w:val="center"/>
          </w:tcPr>
          <w:p w14:paraId="130467A1">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高级职称人员</w:t>
            </w:r>
          </w:p>
        </w:tc>
        <w:tc>
          <w:tcPr>
            <w:tcW w:w="2614" w:type="dxa"/>
            <w:gridSpan w:val="2"/>
            <w:tcBorders>
              <w:top w:val="single" w:color="auto" w:sz="4" w:space="0"/>
              <w:left w:val="nil"/>
              <w:bottom w:val="single" w:color="auto" w:sz="4" w:space="0"/>
              <w:right w:val="single" w:color="auto" w:sz="4" w:space="0"/>
            </w:tcBorders>
            <w:shd w:val="clear" w:color="auto" w:fill="auto"/>
            <w:vAlign w:val="center"/>
          </w:tcPr>
          <w:p w14:paraId="19BA25FB">
            <w:pPr>
              <w:pStyle w:val="16"/>
              <w:widowControl w:val="0"/>
              <w:spacing w:before="0" w:beforeAutospacing="0" w:after="0" w:afterAutospacing="0"/>
              <w:jc w:val="center"/>
              <w:rPr>
                <w:rFonts w:hint="default" w:ascii="Times New Roman" w:hAnsi="Times New Roman" w:cs="Times New Roman"/>
                <w:sz w:val="20"/>
                <w:szCs w:val="20"/>
              </w:rPr>
            </w:pPr>
          </w:p>
        </w:tc>
      </w:tr>
      <w:tr w14:paraId="3035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tcBorders>
              <w:top w:val="single" w:color="auto" w:sz="4" w:space="0"/>
              <w:left w:val="single" w:color="auto" w:sz="4" w:space="0"/>
              <w:bottom w:val="single" w:color="auto" w:sz="4" w:space="0"/>
              <w:right w:val="single" w:color="auto" w:sz="4" w:space="0"/>
            </w:tcBorders>
            <w:shd w:val="clear" w:color="auto" w:fill="auto"/>
            <w:vAlign w:val="center"/>
          </w:tcPr>
          <w:p w14:paraId="3ACE0747">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注册资金</w:t>
            </w:r>
          </w:p>
        </w:tc>
        <w:tc>
          <w:tcPr>
            <w:tcW w:w="2601" w:type="dxa"/>
            <w:gridSpan w:val="2"/>
            <w:tcBorders>
              <w:top w:val="single" w:color="auto" w:sz="4" w:space="0"/>
              <w:left w:val="nil"/>
              <w:bottom w:val="single" w:color="auto" w:sz="4" w:space="0"/>
              <w:right w:val="single" w:color="auto" w:sz="4" w:space="0"/>
            </w:tcBorders>
            <w:shd w:val="clear" w:color="auto" w:fill="auto"/>
            <w:vAlign w:val="center"/>
          </w:tcPr>
          <w:p w14:paraId="55801E16">
            <w:pPr>
              <w:pStyle w:val="16"/>
              <w:widowControl w:val="0"/>
              <w:spacing w:before="0" w:beforeAutospacing="0" w:after="0" w:afterAutospacing="0"/>
              <w:jc w:val="center"/>
              <w:rPr>
                <w:rFonts w:hint="default" w:ascii="Times New Roman" w:hAnsi="Times New Roman" w:cs="Times New Roman"/>
                <w:sz w:val="20"/>
                <w:szCs w:val="20"/>
              </w:rPr>
            </w:pPr>
          </w:p>
        </w:tc>
        <w:tc>
          <w:tcPr>
            <w:tcW w:w="1304" w:type="dxa"/>
            <w:vMerge w:val="continue"/>
            <w:tcBorders>
              <w:top w:val="nil"/>
              <w:left w:val="nil"/>
              <w:bottom w:val="single" w:color="auto" w:sz="4" w:space="0"/>
              <w:right w:val="single" w:color="auto" w:sz="4" w:space="0"/>
            </w:tcBorders>
            <w:shd w:val="clear" w:color="auto" w:fill="auto"/>
            <w:vAlign w:val="center"/>
          </w:tcPr>
          <w:p w14:paraId="381F0300">
            <w:pPr>
              <w:rPr>
                <w:rFonts w:hint="default" w:ascii="Times New Roman" w:hAnsi="Times New Roman" w:cs="Times New Roman"/>
                <w:color w:val="000000"/>
                <w:sz w:val="20"/>
                <w:szCs w:val="20"/>
              </w:rPr>
            </w:pPr>
          </w:p>
        </w:tc>
        <w:tc>
          <w:tcPr>
            <w:tcW w:w="1301" w:type="dxa"/>
            <w:tcBorders>
              <w:top w:val="single" w:color="auto" w:sz="4" w:space="0"/>
              <w:left w:val="nil"/>
              <w:bottom w:val="single" w:color="auto" w:sz="4" w:space="0"/>
              <w:right w:val="single" w:color="auto" w:sz="4" w:space="0"/>
            </w:tcBorders>
            <w:shd w:val="clear" w:color="auto" w:fill="auto"/>
            <w:vAlign w:val="center"/>
          </w:tcPr>
          <w:p w14:paraId="6A766DF1">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中级职称人员</w:t>
            </w:r>
          </w:p>
        </w:tc>
        <w:tc>
          <w:tcPr>
            <w:tcW w:w="2614" w:type="dxa"/>
            <w:gridSpan w:val="2"/>
            <w:tcBorders>
              <w:top w:val="single" w:color="auto" w:sz="4" w:space="0"/>
              <w:left w:val="nil"/>
              <w:bottom w:val="single" w:color="auto" w:sz="4" w:space="0"/>
              <w:right w:val="single" w:color="auto" w:sz="4" w:space="0"/>
            </w:tcBorders>
            <w:shd w:val="clear" w:color="auto" w:fill="auto"/>
            <w:vAlign w:val="center"/>
          </w:tcPr>
          <w:p w14:paraId="44C8170C">
            <w:pPr>
              <w:pStyle w:val="16"/>
              <w:widowControl w:val="0"/>
              <w:spacing w:before="0" w:beforeAutospacing="0" w:after="0" w:afterAutospacing="0"/>
              <w:jc w:val="center"/>
              <w:rPr>
                <w:rFonts w:hint="default" w:ascii="Times New Roman" w:hAnsi="Times New Roman" w:cs="Times New Roman"/>
                <w:sz w:val="20"/>
                <w:szCs w:val="20"/>
              </w:rPr>
            </w:pPr>
          </w:p>
        </w:tc>
      </w:tr>
      <w:tr w14:paraId="6C2C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tcBorders>
              <w:top w:val="single" w:color="auto" w:sz="4" w:space="0"/>
              <w:left w:val="single" w:color="auto" w:sz="4" w:space="0"/>
              <w:bottom w:val="single" w:color="auto" w:sz="4" w:space="0"/>
              <w:right w:val="single" w:color="auto" w:sz="4" w:space="0"/>
            </w:tcBorders>
            <w:shd w:val="clear" w:color="auto" w:fill="auto"/>
            <w:vAlign w:val="center"/>
          </w:tcPr>
          <w:p w14:paraId="79EFB2EF">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基本账户开户银行</w:t>
            </w:r>
          </w:p>
        </w:tc>
        <w:tc>
          <w:tcPr>
            <w:tcW w:w="2601" w:type="dxa"/>
            <w:gridSpan w:val="2"/>
            <w:tcBorders>
              <w:top w:val="single" w:color="auto" w:sz="4" w:space="0"/>
              <w:left w:val="nil"/>
              <w:bottom w:val="single" w:color="auto" w:sz="4" w:space="0"/>
              <w:right w:val="single" w:color="auto" w:sz="4" w:space="0"/>
            </w:tcBorders>
            <w:shd w:val="clear" w:color="auto" w:fill="auto"/>
            <w:vAlign w:val="center"/>
          </w:tcPr>
          <w:p w14:paraId="181E9384">
            <w:pPr>
              <w:pStyle w:val="16"/>
              <w:widowControl w:val="0"/>
              <w:spacing w:before="0" w:beforeAutospacing="0" w:after="0" w:afterAutospacing="0"/>
              <w:jc w:val="center"/>
              <w:rPr>
                <w:rFonts w:hint="default" w:ascii="Times New Roman" w:hAnsi="Times New Roman" w:cs="Times New Roman"/>
                <w:sz w:val="20"/>
                <w:szCs w:val="20"/>
              </w:rPr>
            </w:pPr>
          </w:p>
        </w:tc>
        <w:tc>
          <w:tcPr>
            <w:tcW w:w="1304" w:type="dxa"/>
            <w:vMerge w:val="continue"/>
            <w:tcBorders>
              <w:top w:val="nil"/>
              <w:left w:val="nil"/>
              <w:bottom w:val="single" w:color="auto" w:sz="4" w:space="0"/>
              <w:right w:val="single" w:color="auto" w:sz="4" w:space="0"/>
            </w:tcBorders>
            <w:shd w:val="clear" w:color="auto" w:fill="auto"/>
            <w:vAlign w:val="center"/>
          </w:tcPr>
          <w:p w14:paraId="3FEE56AF">
            <w:pPr>
              <w:rPr>
                <w:rFonts w:hint="default" w:ascii="Times New Roman" w:hAnsi="Times New Roman" w:cs="Times New Roman"/>
                <w:color w:val="000000"/>
                <w:sz w:val="20"/>
                <w:szCs w:val="20"/>
              </w:rPr>
            </w:pPr>
          </w:p>
        </w:tc>
        <w:tc>
          <w:tcPr>
            <w:tcW w:w="1301" w:type="dxa"/>
            <w:tcBorders>
              <w:top w:val="single" w:color="auto" w:sz="4" w:space="0"/>
              <w:left w:val="nil"/>
              <w:bottom w:val="single" w:color="auto" w:sz="4" w:space="0"/>
              <w:right w:val="single" w:color="auto" w:sz="4" w:space="0"/>
            </w:tcBorders>
            <w:shd w:val="clear" w:color="auto" w:fill="auto"/>
            <w:vAlign w:val="center"/>
          </w:tcPr>
          <w:p w14:paraId="2FD7DE1D">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初级职称人员</w:t>
            </w:r>
          </w:p>
        </w:tc>
        <w:tc>
          <w:tcPr>
            <w:tcW w:w="2614" w:type="dxa"/>
            <w:gridSpan w:val="2"/>
            <w:tcBorders>
              <w:top w:val="single" w:color="auto" w:sz="4" w:space="0"/>
              <w:left w:val="nil"/>
              <w:bottom w:val="single" w:color="auto" w:sz="4" w:space="0"/>
              <w:right w:val="single" w:color="auto" w:sz="4" w:space="0"/>
            </w:tcBorders>
            <w:shd w:val="clear" w:color="auto" w:fill="auto"/>
            <w:vAlign w:val="center"/>
          </w:tcPr>
          <w:p w14:paraId="2548EFDD">
            <w:pPr>
              <w:pStyle w:val="16"/>
              <w:widowControl w:val="0"/>
              <w:spacing w:before="0" w:beforeAutospacing="0" w:after="0" w:afterAutospacing="0"/>
              <w:jc w:val="center"/>
              <w:rPr>
                <w:rFonts w:hint="default" w:ascii="Times New Roman" w:hAnsi="Times New Roman" w:cs="Times New Roman"/>
                <w:sz w:val="20"/>
                <w:szCs w:val="20"/>
              </w:rPr>
            </w:pPr>
          </w:p>
        </w:tc>
      </w:tr>
      <w:tr w14:paraId="2DAA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tcBorders>
              <w:top w:val="single" w:color="auto" w:sz="4" w:space="0"/>
              <w:left w:val="single" w:color="auto" w:sz="4" w:space="0"/>
              <w:bottom w:val="single" w:color="auto" w:sz="4" w:space="0"/>
              <w:right w:val="single" w:color="auto" w:sz="4" w:space="0"/>
            </w:tcBorders>
            <w:shd w:val="clear" w:color="auto" w:fill="auto"/>
            <w:vAlign w:val="center"/>
          </w:tcPr>
          <w:p w14:paraId="39C87412">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基本账户账号</w:t>
            </w:r>
          </w:p>
        </w:tc>
        <w:tc>
          <w:tcPr>
            <w:tcW w:w="2601" w:type="dxa"/>
            <w:gridSpan w:val="2"/>
            <w:tcBorders>
              <w:top w:val="single" w:color="auto" w:sz="4" w:space="0"/>
              <w:left w:val="nil"/>
              <w:bottom w:val="single" w:color="auto" w:sz="4" w:space="0"/>
              <w:right w:val="single" w:color="auto" w:sz="4" w:space="0"/>
            </w:tcBorders>
            <w:shd w:val="clear" w:color="auto" w:fill="auto"/>
            <w:vAlign w:val="center"/>
          </w:tcPr>
          <w:p w14:paraId="6E573023">
            <w:pPr>
              <w:pStyle w:val="16"/>
              <w:widowControl w:val="0"/>
              <w:spacing w:before="0" w:beforeAutospacing="0" w:after="0" w:afterAutospacing="0"/>
              <w:jc w:val="center"/>
              <w:rPr>
                <w:rFonts w:hint="default" w:ascii="Times New Roman" w:hAnsi="Times New Roman" w:cs="Times New Roman"/>
                <w:sz w:val="20"/>
                <w:szCs w:val="20"/>
              </w:rPr>
            </w:pPr>
          </w:p>
        </w:tc>
        <w:tc>
          <w:tcPr>
            <w:tcW w:w="1304" w:type="dxa"/>
            <w:vMerge w:val="continue"/>
            <w:tcBorders>
              <w:top w:val="nil"/>
              <w:left w:val="nil"/>
              <w:bottom w:val="single" w:color="auto" w:sz="4" w:space="0"/>
              <w:right w:val="single" w:color="auto" w:sz="4" w:space="0"/>
            </w:tcBorders>
            <w:shd w:val="clear" w:color="auto" w:fill="auto"/>
            <w:vAlign w:val="center"/>
          </w:tcPr>
          <w:p w14:paraId="52D53226">
            <w:pPr>
              <w:rPr>
                <w:rFonts w:hint="default" w:ascii="Times New Roman" w:hAnsi="Times New Roman" w:cs="Times New Roman"/>
                <w:color w:val="000000"/>
                <w:sz w:val="20"/>
                <w:szCs w:val="20"/>
              </w:rPr>
            </w:pPr>
          </w:p>
        </w:tc>
        <w:tc>
          <w:tcPr>
            <w:tcW w:w="1301" w:type="dxa"/>
            <w:tcBorders>
              <w:top w:val="single" w:color="auto" w:sz="4" w:space="0"/>
              <w:left w:val="nil"/>
              <w:bottom w:val="single" w:color="auto" w:sz="4" w:space="0"/>
              <w:right w:val="single" w:color="auto" w:sz="4" w:space="0"/>
            </w:tcBorders>
            <w:shd w:val="clear" w:color="auto" w:fill="auto"/>
            <w:vAlign w:val="center"/>
          </w:tcPr>
          <w:p w14:paraId="29D009D3">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技工</w:t>
            </w:r>
          </w:p>
        </w:tc>
        <w:tc>
          <w:tcPr>
            <w:tcW w:w="2614" w:type="dxa"/>
            <w:gridSpan w:val="2"/>
            <w:tcBorders>
              <w:top w:val="single" w:color="auto" w:sz="4" w:space="0"/>
              <w:left w:val="nil"/>
              <w:bottom w:val="single" w:color="auto" w:sz="4" w:space="0"/>
              <w:right w:val="single" w:color="auto" w:sz="4" w:space="0"/>
            </w:tcBorders>
            <w:shd w:val="clear" w:color="auto" w:fill="auto"/>
            <w:vAlign w:val="center"/>
          </w:tcPr>
          <w:p w14:paraId="7995B098">
            <w:pPr>
              <w:pStyle w:val="16"/>
              <w:widowControl w:val="0"/>
              <w:spacing w:before="0" w:beforeAutospacing="0" w:after="0" w:afterAutospacing="0"/>
              <w:jc w:val="center"/>
              <w:rPr>
                <w:rFonts w:hint="default" w:ascii="Times New Roman" w:hAnsi="Times New Roman" w:cs="Times New Roman"/>
                <w:sz w:val="20"/>
                <w:szCs w:val="20"/>
              </w:rPr>
            </w:pPr>
          </w:p>
        </w:tc>
      </w:tr>
      <w:tr w14:paraId="36A62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0" w:hRule="atLeast"/>
        </w:trPr>
        <w:tc>
          <w:tcPr>
            <w:tcW w:w="1298" w:type="dxa"/>
            <w:tcBorders>
              <w:top w:val="single" w:color="auto" w:sz="4" w:space="0"/>
              <w:left w:val="single" w:color="auto" w:sz="4" w:space="0"/>
              <w:bottom w:val="single" w:color="auto" w:sz="4" w:space="0"/>
              <w:right w:val="single" w:color="auto" w:sz="4" w:space="0"/>
            </w:tcBorders>
            <w:shd w:val="clear" w:color="auto" w:fill="auto"/>
            <w:vAlign w:val="center"/>
          </w:tcPr>
          <w:p w14:paraId="3BE8BED7">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经营范围</w:t>
            </w:r>
          </w:p>
        </w:tc>
        <w:tc>
          <w:tcPr>
            <w:tcW w:w="7820" w:type="dxa"/>
            <w:gridSpan w:val="6"/>
            <w:tcBorders>
              <w:top w:val="single" w:color="auto" w:sz="4" w:space="0"/>
              <w:left w:val="nil"/>
              <w:bottom w:val="single" w:color="auto" w:sz="4" w:space="0"/>
              <w:right w:val="single" w:color="auto" w:sz="4" w:space="0"/>
            </w:tcBorders>
            <w:shd w:val="clear" w:color="auto" w:fill="auto"/>
            <w:vAlign w:val="center"/>
          </w:tcPr>
          <w:p w14:paraId="3BF857D6">
            <w:pPr>
              <w:pStyle w:val="16"/>
              <w:widowControl w:val="0"/>
              <w:spacing w:before="0" w:beforeAutospacing="0" w:after="0" w:afterAutospacing="0"/>
              <w:jc w:val="center"/>
              <w:rPr>
                <w:rFonts w:hint="default" w:ascii="Times New Roman" w:hAnsi="Times New Roman" w:cs="Times New Roman"/>
                <w:sz w:val="20"/>
                <w:szCs w:val="20"/>
              </w:rPr>
            </w:pPr>
          </w:p>
        </w:tc>
      </w:tr>
      <w:tr w14:paraId="40FEF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298" w:type="dxa"/>
            <w:tcBorders>
              <w:top w:val="single" w:color="auto" w:sz="4" w:space="0"/>
              <w:left w:val="single" w:color="auto" w:sz="4" w:space="0"/>
              <w:bottom w:val="single" w:color="auto" w:sz="4" w:space="0"/>
              <w:right w:val="single" w:color="auto" w:sz="4" w:space="0"/>
            </w:tcBorders>
            <w:shd w:val="clear" w:color="auto" w:fill="auto"/>
            <w:vAlign w:val="center"/>
          </w:tcPr>
          <w:p w14:paraId="4DCA4587">
            <w:pPr>
              <w:pStyle w:val="16"/>
              <w:widowControl w:val="0"/>
              <w:spacing w:before="0" w:beforeAutospacing="0" w:after="0" w:afterAutospacing="0"/>
              <w:jc w:val="center"/>
              <w:rPr>
                <w:rFonts w:hint="default" w:ascii="Times New Roman" w:hAnsi="Times New Roman" w:cs="Times New Roman"/>
                <w:sz w:val="20"/>
                <w:szCs w:val="20"/>
              </w:rPr>
            </w:pPr>
            <w:r>
              <w:rPr>
                <w:rFonts w:hint="default" w:ascii="Times New Roman" w:hAnsi="Times New Roman" w:cs="Times New Roman"/>
                <w:sz w:val="20"/>
                <w:szCs w:val="20"/>
                <w:lang w:bidi="ar"/>
              </w:rPr>
              <w:t>备注</w:t>
            </w:r>
          </w:p>
        </w:tc>
        <w:tc>
          <w:tcPr>
            <w:tcW w:w="7820" w:type="dxa"/>
            <w:gridSpan w:val="6"/>
            <w:tcBorders>
              <w:top w:val="single" w:color="auto" w:sz="4" w:space="0"/>
              <w:left w:val="nil"/>
              <w:bottom w:val="single" w:color="auto" w:sz="4" w:space="0"/>
              <w:right w:val="single" w:color="auto" w:sz="4" w:space="0"/>
            </w:tcBorders>
            <w:shd w:val="clear" w:color="auto" w:fill="auto"/>
            <w:vAlign w:val="center"/>
          </w:tcPr>
          <w:p w14:paraId="56EF4B31">
            <w:pPr>
              <w:pStyle w:val="16"/>
              <w:widowControl w:val="0"/>
              <w:spacing w:before="0" w:beforeAutospacing="0" w:after="0" w:afterAutospacing="0"/>
              <w:jc w:val="center"/>
              <w:rPr>
                <w:rFonts w:hint="default" w:ascii="Times New Roman" w:hAnsi="Times New Roman" w:cs="Times New Roman"/>
                <w:sz w:val="20"/>
                <w:szCs w:val="20"/>
              </w:rPr>
            </w:pPr>
          </w:p>
        </w:tc>
      </w:tr>
    </w:tbl>
    <w:p w14:paraId="31BAB6BF">
      <w:pPr>
        <w:spacing w:line="400" w:lineRule="atLeast"/>
        <w:ind w:left="945" w:hanging="945" w:hangingChars="450"/>
        <w:rPr>
          <w:rFonts w:hint="default" w:ascii="Times New Roman" w:hAnsi="Times New Roman" w:cs="Times New Roman"/>
          <w:color w:val="000000"/>
          <w:szCs w:val="21"/>
        </w:rPr>
      </w:pPr>
      <w:r>
        <w:rPr>
          <w:rFonts w:hint="default" w:ascii="Times New Roman" w:hAnsi="Times New Roman" w:cs="Times New Roman"/>
          <w:color w:val="000000"/>
          <w:szCs w:val="21"/>
          <w:lang w:bidi="ar"/>
        </w:rPr>
        <w:t>备注：1. 本表由招标人根据项目标段（包）实际情况编辑，投标人按照提供的表格内容填报。本表后应附企业法人营业执照、企业资质（格）证书（如有）、安全生产许可证（如有）、质量、环境、职业健康安全管理体系认证证书（如有）等材料的复印件。</w:t>
      </w:r>
    </w:p>
    <w:p w14:paraId="4DE4965E">
      <w:pPr>
        <w:spacing w:line="400" w:lineRule="atLeast"/>
        <w:ind w:firstLine="630" w:firstLineChars="300"/>
        <w:rPr>
          <w:rFonts w:hint="default" w:ascii="Times New Roman" w:hAnsi="Times New Roman" w:cs="Times New Roman"/>
          <w:color w:val="000000"/>
          <w:szCs w:val="21"/>
        </w:rPr>
      </w:pPr>
      <w:r>
        <w:rPr>
          <w:rFonts w:hint="default" w:ascii="Times New Roman" w:hAnsi="Times New Roman" w:cs="Times New Roman"/>
          <w:color w:val="000000"/>
          <w:szCs w:val="21"/>
          <w:lang w:bidi="ar"/>
        </w:rPr>
        <w:t>2．联合体投标的，联合体各成员应分别填写。</w:t>
      </w:r>
    </w:p>
    <w:p w14:paraId="7E57DD52">
      <w:pPr>
        <w:rPr>
          <w:rFonts w:hint="default" w:ascii="Times New Roman" w:hAnsi="Times New Roman" w:cs="Times New Roman"/>
          <w:color w:val="000000"/>
          <w:szCs w:val="21"/>
        </w:rPr>
      </w:pPr>
      <w:r>
        <w:rPr>
          <w:rFonts w:hint="default" w:ascii="Times New Roman" w:hAnsi="Times New Roman" w:cs="Times New Roman"/>
          <w:color w:val="000000"/>
          <w:szCs w:val="21"/>
          <w:lang w:bidi="ar"/>
        </w:rPr>
        <w:br w:type="page"/>
      </w:r>
    </w:p>
    <w:p w14:paraId="6168EF14">
      <w:pPr>
        <w:keepNext/>
        <w:keepLines/>
        <w:spacing w:line="400" w:lineRule="exact"/>
        <w:jc w:val="center"/>
        <w:outlineLvl w:val="3"/>
        <w:rPr>
          <w:rFonts w:hint="default" w:ascii="Times New Roman" w:hAnsi="Times New Roman" w:eastAsia="黑体" w:cs="Times New Roman"/>
          <w:color w:val="000000"/>
          <w:sz w:val="24"/>
          <w:szCs w:val="24"/>
        </w:rPr>
      </w:pPr>
      <w:r>
        <w:rPr>
          <w:rFonts w:hint="default" w:ascii="Times New Roman" w:hAnsi="Times New Roman" w:eastAsia="黑体" w:cs="Times New Roman"/>
          <w:color w:val="000000"/>
          <w:sz w:val="24"/>
          <w:szCs w:val="24"/>
          <w:lang w:bidi="ar"/>
        </w:rPr>
        <w:t>1-2关联单位情况说明</w:t>
      </w:r>
    </w:p>
    <w:p w14:paraId="3B7A00E1">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14395FF">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tbl>
      <w:tblPr>
        <w:tblStyle w:val="17"/>
        <w:tblW w:w="8912" w:type="dxa"/>
        <w:jc w:val="center"/>
        <w:tblBorders>
          <w:top w:val="single" w:color="auto" w:sz="4" w:space="0"/>
          <w:left w:val="single" w:color="auto" w:sz="4" w:space="0"/>
          <w:bottom w:val="single" w:color="auto" w:sz="4" w:space="0"/>
          <w:right w:val="single" w:color="auto" w:sz="4" w:space="0"/>
          <w:insideH w:val="single" w:color="auto" w:sz="4" w:space="0"/>
          <w:insideV w:val="outset" w:color="auto" w:sz="6" w:space="0"/>
        </w:tblBorders>
        <w:tblLayout w:type="fixed"/>
        <w:tblCellMar>
          <w:top w:w="0" w:type="dxa"/>
          <w:left w:w="0" w:type="dxa"/>
          <w:bottom w:w="0" w:type="dxa"/>
          <w:right w:w="0" w:type="dxa"/>
        </w:tblCellMar>
      </w:tblPr>
      <w:tblGrid>
        <w:gridCol w:w="8912"/>
      </w:tblGrid>
      <w:tr w14:paraId="68681D39">
        <w:tblPrEx>
          <w:tblBorders>
            <w:top w:val="single" w:color="auto" w:sz="4" w:space="0"/>
            <w:left w:val="single" w:color="auto" w:sz="4" w:space="0"/>
            <w:bottom w:val="single" w:color="auto" w:sz="4" w:space="0"/>
            <w:right w:val="single" w:color="auto" w:sz="4" w:space="0"/>
            <w:insideH w:val="single" w:color="auto" w:sz="4" w:space="0"/>
            <w:insideV w:val="outset" w:color="auto" w:sz="6" w:space="0"/>
          </w:tblBorders>
          <w:tblCellMar>
            <w:top w:w="0" w:type="dxa"/>
            <w:left w:w="0" w:type="dxa"/>
            <w:bottom w:w="0" w:type="dxa"/>
            <w:right w:w="0" w:type="dxa"/>
          </w:tblCellMar>
        </w:tblPrEx>
        <w:trPr>
          <w:trHeight w:val="8400" w:hRule="atLeast"/>
          <w:jc w:val="center"/>
        </w:trPr>
        <w:tc>
          <w:tcPr>
            <w:tcW w:w="8912" w:type="dxa"/>
            <w:tcBorders>
              <w:top w:val="single" w:color="auto" w:sz="4" w:space="0"/>
              <w:left w:val="single" w:color="auto" w:sz="4" w:space="0"/>
              <w:bottom w:val="single" w:color="auto" w:sz="4" w:space="0"/>
              <w:right w:val="single" w:color="auto" w:sz="4" w:space="0"/>
            </w:tcBorders>
            <w:shd w:val="clear" w:color="auto" w:fill="auto"/>
          </w:tcPr>
          <w:p w14:paraId="37728318">
            <w:pPr>
              <w:snapToGrid w:val="0"/>
              <w:spacing w:line="360" w:lineRule="exact"/>
              <w:rPr>
                <w:rFonts w:hint="default" w:ascii="Times New Roman" w:hAnsi="Times New Roman" w:cs="Times New Roman"/>
                <w:color w:val="000000"/>
                <w:szCs w:val="21"/>
              </w:rPr>
            </w:pPr>
          </w:p>
          <w:p w14:paraId="23F05247">
            <w:pPr>
              <w:ind w:left="945" w:hanging="945" w:hangingChars="450"/>
              <w:rPr>
                <w:rFonts w:hint="default" w:ascii="Times New Roman" w:hAnsi="Times New Roman" w:cs="Times New Roman"/>
                <w:color w:val="000000"/>
                <w:szCs w:val="21"/>
              </w:rPr>
            </w:pPr>
            <w:r>
              <w:rPr>
                <w:rFonts w:hint="default" w:ascii="Times New Roman" w:hAnsi="Times New Roman" w:cs="Times New Roman"/>
                <w:color w:val="000000"/>
                <w:szCs w:val="21"/>
                <w:lang w:bidi="ar"/>
              </w:rPr>
              <w:t>单位负责人与本单位负责人为同一人的单位：</w:t>
            </w:r>
          </w:p>
          <w:p w14:paraId="401D3A87">
            <w:pPr>
              <w:ind w:left="945" w:hanging="945" w:hangingChars="450"/>
              <w:rPr>
                <w:rFonts w:hint="default" w:ascii="Times New Roman" w:hAnsi="Times New Roman" w:cs="Times New Roman"/>
                <w:color w:val="000000"/>
                <w:szCs w:val="21"/>
              </w:rPr>
            </w:pPr>
          </w:p>
          <w:p w14:paraId="64162BD9">
            <w:pPr>
              <w:ind w:left="945" w:hanging="945" w:hangingChars="450"/>
              <w:rPr>
                <w:rFonts w:hint="default" w:ascii="Times New Roman" w:hAnsi="Times New Roman" w:cs="Times New Roman"/>
                <w:color w:val="000000"/>
                <w:szCs w:val="21"/>
              </w:rPr>
            </w:pPr>
          </w:p>
          <w:p w14:paraId="44E43EAC">
            <w:pPr>
              <w:ind w:left="945" w:hanging="945" w:hangingChars="450"/>
              <w:rPr>
                <w:rFonts w:hint="default" w:ascii="Times New Roman" w:hAnsi="Times New Roman" w:cs="Times New Roman"/>
                <w:color w:val="000000"/>
                <w:szCs w:val="21"/>
              </w:rPr>
            </w:pPr>
          </w:p>
          <w:p w14:paraId="1792F24F">
            <w:pPr>
              <w:ind w:left="945" w:hanging="945" w:hangingChars="450"/>
              <w:rPr>
                <w:rFonts w:hint="default" w:ascii="Times New Roman" w:hAnsi="Times New Roman" w:cs="Times New Roman"/>
                <w:color w:val="000000"/>
                <w:szCs w:val="21"/>
              </w:rPr>
            </w:pPr>
          </w:p>
          <w:p w14:paraId="4901430F">
            <w:pPr>
              <w:ind w:left="945" w:hanging="945" w:hangingChars="450"/>
              <w:rPr>
                <w:rFonts w:hint="default" w:ascii="Times New Roman" w:hAnsi="Times New Roman" w:cs="Times New Roman"/>
                <w:color w:val="000000"/>
                <w:szCs w:val="21"/>
              </w:rPr>
            </w:pPr>
          </w:p>
          <w:p w14:paraId="618D8AE5">
            <w:pPr>
              <w:ind w:left="945" w:hanging="945" w:hangingChars="450"/>
              <w:rPr>
                <w:rFonts w:hint="default" w:ascii="Times New Roman" w:hAnsi="Times New Roman" w:cs="Times New Roman"/>
                <w:color w:val="000000"/>
                <w:szCs w:val="21"/>
              </w:rPr>
            </w:pPr>
          </w:p>
          <w:p w14:paraId="204CBC96">
            <w:pPr>
              <w:ind w:left="945" w:hanging="945" w:hangingChars="450"/>
              <w:rPr>
                <w:rFonts w:hint="default" w:ascii="Times New Roman" w:hAnsi="Times New Roman" w:cs="Times New Roman"/>
                <w:color w:val="000000"/>
                <w:szCs w:val="21"/>
              </w:rPr>
            </w:pPr>
            <w:r>
              <w:rPr>
                <w:rFonts w:hint="default" w:ascii="Times New Roman" w:hAnsi="Times New Roman" w:cs="Times New Roman"/>
                <w:color w:val="000000"/>
                <w:szCs w:val="21"/>
                <w:lang w:bidi="ar"/>
              </w:rPr>
              <w:t>与本单位存在控股与被控股关系的单位：</w:t>
            </w:r>
          </w:p>
          <w:p w14:paraId="28655D2B">
            <w:pPr>
              <w:ind w:left="945" w:hanging="945" w:hangingChars="450"/>
              <w:rPr>
                <w:rFonts w:hint="default" w:ascii="Times New Roman" w:hAnsi="Times New Roman" w:cs="Times New Roman"/>
                <w:color w:val="000000"/>
                <w:szCs w:val="21"/>
              </w:rPr>
            </w:pPr>
          </w:p>
          <w:p w14:paraId="56DF4607">
            <w:pPr>
              <w:ind w:left="945" w:hanging="945" w:hangingChars="450"/>
              <w:rPr>
                <w:rFonts w:hint="default" w:ascii="Times New Roman" w:hAnsi="Times New Roman" w:cs="Times New Roman"/>
                <w:color w:val="000000"/>
                <w:szCs w:val="21"/>
              </w:rPr>
            </w:pPr>
          </w:p>
          <w:p w14:paraId="48C8D6ED">
            <w:pPr>
              <w:ind w:left="945" w:hanging="945" w:hangingChars="450"/>
              <w:rPr>
                <w:rFonts w:hint="default" w:ascii="Times New Roman" w:hAnsi="Times New Roman" w:cs="Times New Roman"/>
                <w:color w:val="000000"/>
                <w:szCs w:val="21"/>
              </w:rPr>
            </w:pPr>
          </w:p>
          <w:p w14:paraId="7F554E72">
            <w:pPr>
              <w:ind w:left="945" w:hanging="945" w:hangingChars="450"/>
              <w:rPr>
                <w:rFonts w:hint="default" w:ascii="Times New Roman" w:hAnsi="Times New Roman" w:cs="Times New Roman"/>
                <w:color w:val="000000"/>
                <w:szCs w:val="21"/>
              </w:rPr>
            </w:pPr>
          </w:p>
          <w:p w14:paraId="34BA2DD0">
            <w:pPr>
              <w:ind w:left="945" w:hanging="945" w:hangingChars="450"/>
              <w:rPr>
                <w:rFonts w:hint="default" w:ascii="Times New Roman" w:hAnsi="Times New Roman" w:cs="Times New Roman"/>
                <w:color w:val="000000"/>
                <w:szCs w:val="21"/>
              </w:rPr>
            </w:pPr>
          </w:p>
          <w:p w14:paraId="7F78DB30">
            <w:pPr>
              <w:ind w:left="945" w:hanging="945" w:hangingChars="450"/>
              <w:rPr>
                <w:rFonts w:hint="default" w:ascii="Times New Roman" w:hAnsi="Times New Roman" w:cs="Times New Roman"/>
                <w:color w:val="000000"/>
                <w:szCs w:val="21"/>
              </w:rPr>
            </w:pPr>
          </w:p>
          <w:p w14:paraId="1FDB7977">
            <w:pPr>
              <w:ind w:left="945" w:hanging="945" w:hangingChars="450"/>
              <w:rPr>
                <w:rFonts w:hint="default" w:ascii="Times New Roman" w:hAnsi="Times New Roman" w:cs="Times New Roman"/>
                <w:color w:val="000000"/>
                <w:szCs w:val="21"/>
              </w:rPr>
            </w:pPr>
          </w:p>
          <w:p w14:paraId="512BFE7F">
            <w:pPr>
              <w:ind w:left="945" w:hanging="945" w:hangingChars="450"/>
              <w:rPr>
                <w:rFonts w:hint="default" w:ascii="Times New Roman" w:hAnsi="Times New Roman" w:cs="Times New Roman"/>
                <w:color w:val="000000"/>
                <w:szCs w:val="21"/>
              </w:rPr>
            </w:pPr>
          </w:p>
          <w:p w14:paraId="445C6A66">
            <w:pPr>
              <w:ind w:left="945" w:hanging="945" w:hangingChars="450"/>
              <w:rPr>
                <w:rFonts w:hint="default" w:ascii="Times New Roman" w:hAnsi="Times New Roman" w:cs="Times New Roman"/>
                <w:color w:val="000000"/>
                <w:szCs w:val="21"/>
              </w:rPr>
            </w:pPr>
          </w:p>
          <w:p w14:paraId="0CB104DD">
            <w:pPr>
              <w:ind w:left="945" w:hanging="945" w:hangingChars="450"/>
              <w:rPr>
                <w:rFonts w:hint="default" w:ascii="Times New Roman" w:hAnsi="Times New Roman" w:cs="Times New Roman"/>
                <w:color w:val="000000"/>
                <w:szCs w:val="21"/>
              </w:rPr>
            </w:pPr>
            <w:r>
              <w:rPr>
                <w:rFonts w:hint="default" w:ascii="Times New Roman" w:hAnsi="Times New Roman" w:cs="Times New Roman"/>
                <w:color w:val="000000"/>
                <w:szCs w:val="21"/>
                <w:lang w:bidi="ar"/>
              </w:rPr>
              <w:t>与本单位存在管理与被管理关系的单位：</w:t>
            </w:r>
          </w:p>
          <w:p w14:paraId="213403DC">
            <w:pPr>
              <w:snapToGrid w:val="0"/>
              <w:spacing w:line="360" w:lineRule="exact"/>
              <w:rPr>
                <w:rFonts w:hint="default" w:ascii="Times New Roman" w:hAnsi="Times New Roman" w:cs="Times New Roman"/>
                <w:color w:val="000000"/>
                <w:szCs w:val="21"/>
              </w:rPr>
            </w:pPr>
          </w:p>
          <w:p w14:paraId="05DF759B">
            <w:pPr>
              <w:snapToGrid w:val="0"/>
              <w:spacing w:line="360" w:lineRule="exact"/>
              <w:rPr>
                <w:rFonts w:hint="default" w:ascii="Times New Roman" w:hAnsi="Times New Roman" w:cs="Times New Roman"/>
                <w:color w:val="000000"/>
                <w:szCs w:val="21"/>
              </w:rPr>
            </w:pPr>
          </w:p>
          <w:p w14:paraId="54DB12D3">
            <w:pPr>
              <w:snapToGrid w:val="0"/>
              <w:spacing w:line="360" w:lineRule="exact"/>
              <w:rPr>
                <w:rFonts w:hint="default" w:ascii="Times New Roman" w:hAnsi="Times New Roman" w:cs="Times New Roman"/>
                <w:color w:val="000000"/>
                <w:szCs w:val="21"/>
              </w:rPr>
            </w:pPr>
          </w:p>
        </w:tc>
      </w:tr>
    </w:tbl>
    <w:p w14:paraId="546C5F99">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8A6686C">
      <w:pPr>
        <w:ind w:left="945" w:hanging="945" w:hangingChars="45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6503003">
      <w:pPr>
        <w:ind w:left="945" w:hanging="945" w:hangingChars="45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137C48C">
      <w:pPr>
        <w:ind w:left="945" w:hanging="945" w:hangingChars="45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EEE7F0D">
      <w:pPr>
        <w:ind w:left="945" w:leftChars="300" w:hanging="315" w:hangingChars="150"/>
        <w:rPr>
          <w:rFonts w:hint="default" w:ascii="Times New Roman" w:hAnsi="Times New Roman" w:cs="Times New Roman"/>
          <w:color w:val="000000"/>
          <w:szCs w:val="21"/>
        </w:rPr>
      </w:pPr>
      <w:r>
        <w:rPr>
          <w:rFonts w:hint="default" w:ascii="Times New Roman" w:hAnsi="Times New Roman" w:cs="Times New Roman"/>
          <w:color w:val="000000"/>
          <w:szCs w:val="21"/>
          <w:lang w:bidi="ar"/>
        </w:rPr>
        <w:t>备注：联合体投标的，联合体各成员应分别填写。</w:t>
      </w:r>
    </w:p>
    <w:p w14:paraId="56148320">
      <w:pPr>
        <w:rPr>
          <w:rFonts w:hint="default" w:ascii="Times New Roman" w:hAnsi="Times New Roman" w:cs="Times New Roman"/>
          <w:color w:val="000000"/>
          <w:szCs w:val="21"/>
        </w:rPr>
      </w:pPr>
      <w:r>
        <w:rPr>
          <w:rFonts w:hint="default" w:ascii="Times New Roman" w:hAnsi="Times New Roman" w:cs="Times New Roman"/>
          <w:color w:val="000000"/>
          <w:szCs w:val="21"/>
          <w:lang w:bidi="ar"/>
        </w:rPr>
        <w:br w:type="page"/>
      </w:r>
    </w:p>
    <w:p w14:paraId="02F8B8DD">
      <w:pPr>
        <w:keepNext/>
        <w:keepLines/>
        <w:spacing w:line="400" w:lineRule="exact"/>
        <w:jc w:val="center"/>
        <w:outlineLvl w:val="3"/>
        <w:rPr>
          <w:rFonts w:hint="default" w:ascii="Times New Roman" w:hAnsi="Times New Roman" w:eastAsia="黑体" w:cs="Times New Roman"/>
          <w:color w:val="000000"/>
          <w:sz w:val="24"/>
          <w:szCs w:val="24"/>
        </w:rPr>
      </w:pPr>
      <w:r>
        <w:rPr>
          <w:rFonts w:hint="default" w:ascii="Times New Roman" w:hAnsi="Times New Roman" w:eastAsia="黑体" w:cs="Times New Roman"/>
          <w:color w:val="000000"/>
          <w:sz w:val="24"/>
          <w:szCs w:val="24"/>
          <w:lang w:bidi="ar"/>
        </w:rPr>
        <w:t>1-3投标人基本情况其它材料</w:t>
      </w:r>
    </w:p>
    <w:p w14:paraId="6918685E">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6AAC07C">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5B8FAE9">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887FC16">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729BAE7">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EE431E4">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AFFBDA7">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D1A29DA">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842E664">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01522A5">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A454B9A">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BA0DB9F">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81CA2CD">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8E6F270">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319E04F">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EEAE86B">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4AB014E">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95AE059">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9809EB0">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2068459">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7FCE25D">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51D3C82">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FACD2C0">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262E3FE">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7D46A2E">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43C1DCE">
      <w:pPr>
        <w:rPr>
          <w:rFonts w:hint="default" w:ascii="Times New Roman" w:hAnsi="Times New Roman" w:cs="Times New Roman"/>
          <w:color w:val="000000"/>
          <w:szCs w:val="21"/>
        </w:rPr>
        <w:sectPr>
          <w:pgSz w:w="11907" w:h="16840"/>
          <w:pgMar w:top="1588" w:right="1474" w:bottom="1701" w:left="1531" w:header="851" w:footer="992" w:gutter="0"/>
          <w:cols w:space="720" w:num="1"/>
          <w:docGrid w:type="lines" w:linePitch="312" w:charSpace="0"/>
        </w:sectPr>
      </w:pPr>
    </w:p>
    <w:p w14:paraId="719DC32E">
      <w:pPr>
        <w:spacing w:after="240"/>
        <w:ind w:firstLine="3070" w:firstLineChars="1274"/>
        <w:jc w:val="left"/>
        <w:outlineLvl w:val="3"/>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lang w:bidi="ar"/>
        </w:rPr>
        <w:t>2、近</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b/>
          <w:color w:val="000000"/>
          <w:sz w:val="24"/>
          <w:szCs w:val="24"/>
          <w:lang w:bidi="ar"/>
        </w:rPr>
        <w:t>年财务状况</w:t>
      </w:r>
    </w:p>
    <w:p w14:paraId="7FCE9E9D">
      <w:pPr>
        <w:ind w:left="0" w:firstLine="0" w:firstLineChars="0"/>
        <w:rPr>
          <w:rFonts w:hint="default" w:ascii="Times New Roman" w:hAnsi="Times New Roman" w:cs="Times New Roman"/>
          <w:b/>
          <w:color w:val="000000"/>
          <w:szCs w:val="21"/>
        </w:rPr>
      </w:pPr>
    </w:p>
    <w:p w14:paraId="1B99F28E">
      <w:pPr>
        <w:ind w:left="968" w:hanging="968" w:hangingChars="459"/>
        <w:rPr>
          <w:rFonts w:hint="default" w:ascii="Times New Roman" w:hAnsi="Times New Roman" w:cs="Times New Roman"/>
          <w:b/>
          <w:bCs/>
          <w:color w:val="000000"/>
          <w:szCs w:val="21"/>
          <w:lang w:bidi="ar"/>
        </w:rPr>
      </w:pPr>
      <w:r>
        <w:rPr>
          <w:rFonts w:hint="default" w:ascii="Times New Roman" w:hAnsi="Times New Roman" w:cs="Times New Roman"/>
          <w:b/>
          <w:bCs/>
          <w:color w:val="000000"/>
          <w:szCs w:val="21"/>
          <w:lang w:bidi="ar"/>
        </w:rPr>
        <w:t>无需提供</w:t>
      </w:r>
    </w:p>
    <w:p w14:paraId="6A6C0A14">
      <w:pPr>
        <w:rPr>
          <w:rFonts w:hint="default" w:ascii="Times New Roman" w:hAnsi="Times New Roman" w:cs="Times New Roman"/>
          <w:b/>
          <w:bCs/>
          <w:color w:val="000000"/>
          <w:szCs w:val="21"/>
          <w:lang w:bidi="ar"/>
        </w:rPr>
      </w:pPr>
      <w:r>
        <w:rPr>
          <w:rFonts w:hint="default" w:ascii="Times New Roman" w:hAnsi="Times New Roman" w:cs="Times New Roman"/>
          <w:b/>
          <w:bCs/>
          <w:color w:val="000000"/>
          <w:szCs w:val="21"/>
          <w:lang w:bidi="ar"/>
        </w:rPr>
        <w:br w:type="page"/>
      </w:r>
    </w:p>
    <w:p w14:paraId="5FCAF044">
      <w:pPr>
        <w:pStyle w:val="7"/>
        <w:widowControl/>
        <w:spacing w:before="0" w:after="240"/>
        <w:ind w:firstLine="0" w:firstLineChars="0"/>
        <w:jc w:val="center"/>
        <w:rPr>
          <w:rFonts w:hint="eastAsia" w:ascii="黑体"/>
          <w:color w:val="000000"/>
          <w:szCs w:val="24"/>
        </w:rPr>
      </w:pPr>
      <w:r>
        <w:rPr>
          <w:rFonts w:hint="eastAsia" w:cs="宋体"/>
          <w:b/>
          <w:color w:val="000000"/>
          <w:szCs w:val="24"/>
        </w:rPr>
        <w:t>3、近年完成的类似业绩情况</w:t>
      </w:r>
    </w:p>
    <w:p w14:paraId="14611AFC">
      <w:pPr>
        <w:spacing w:before="240" w:beforeLines="100" w:after="240" w:afterLines="100" w:line="400" w:lineRule="atLeast"/>
        <w:jc w:val="center"/>
        <w:rPr>
          <w:rFonts w:hint="default" w:ascii="Times New Roman" w:hAnsi="Times New Roman" w:cs="Times New Roman"/>
          <w:color w:val="auto"/>
          <w:szCs w:val="24"/>
          <w:highlight w:val="none"/>
        </w:rPr>
      </w:pPr>
      <w:r>
        <w:rPr>
          <w:rFonts w:hint="eastAsia"/>
          <w:color w:val="000000"/>
          <w:szCs w:val="21"/>
          <w:lang w:bidi="ar"/>
        </w:rPr>
        <w:t xml:space="preserve"> </w:t>
      </w:r>
      <w:r>
        <w:rPr>
          <w:rFonts w:hint="default" w:ascii="Times New Roman" w:hAnsi="Times New Roman" w:cs="Times New Roman"/>
          <w:b/>
          <w:color w:val="auto"/>
          <w:sz w:val="24"/>
          <w:szCs w:val="24"/>
          <w:highlight w:val="none"/>
        </w:rPr>
        <w:t>近年完成的类似项目情况表</w:t>
      </w:r>
    </w:p>
    <w:tbl>
      <w:tblPr>
        <w:tblStyle w:val="1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12"/>
        <w:gridCol w:w="5201"/>
      </w:tblGrid>
      <w:tr w14:paraId="27D3C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146" w:type="pct"/>
            <w:tcBorders>
              <w:top w:val="single" w:color="auto" w:sz="6" w:space="0"/>
              <w:left w:val="single" w:color="auto" w:sz="6" w:space="0"/>
              <w:bottom w:val="single" w:color="auto" w:sz="6" w:space="0"/>
              <w:right w:val="single" w:color="auto" w:sz="6" w:space="0"/>
            </w:tcBorders>
            <w:vAlign w:val="center"/>
          </w:tcPr>
          <w:p w14:paraId="1E604E21">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项目或指标</w:t>
            </w:r>
          </w:p>
        </w:tc>
        <w:tc>
          <w:tcPr>
            <w:tcW w:w="2853" w:type="pct"/>
            <w:tcBorders>
              <w:top w:val="single" w:color="auto" w:sz="6" w:space="0"/>
              <w:left w:val="single" w:color="auto" w:sz="6" w:space="0"/>
              <w:bottom w:val="single" w:color="auto" w:sz="6" w:space="0"/>
              <w:right w:val="single" w:color="auto" w:sz="6" w:space="0"/>
            </w:tcBorders>
            <w:vAlign w:val="center"/>
          </w:tcPr>
          <w:p w14:paraId="70F03201">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p>
        </w:tc>
      </w:tr>
      <w:tr w14:paraId="2A94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146" w:type="pct"/>
            <w:tcBorders>
              <w:top w:val="single" w:color="auto" w:sz="6" w:space="0"/>
              <w:left w:val="single" w:color="auto" w:sz="6" w:space="0"/>
              <w:bottom w:val="single" w:color="auto" w:sz="6" w:space="0"/>
              <w:right w:val="single" w:color="auto" w:sz="6" w:space="0"/>
            </w:tcBorders>
            <w:vAlign w:val="center"/>
          </w:tcPr>
          <w:p w14:paraId="656B1704">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项目名称</w:t>
            </w:r>
          </w:p>
        </w:tc>
        <w:tc>
          <w:tcPr>
            <w:tcW w:w="2853" w:type="pct"/>
            <w:tcBorders>
              <w:top w:val="single" w:color="auto" w:sz="6" w:space="0"/>
              <w:left w:val="single" w:color="auto" w:sz="6" w:space="0"/>
              <w:bottom w:val="single" w:color="auto" w:sz="6" w:space="0"/>
              <w:right w:val="single" w:color="auto" w:sz="6" w:space="0"/>
            </w:tcBorders>
            <w:vAlign w:val="center"/>
          </w:tcPr>
          <w:p w14:paraId="07DC8EE8">
            <w:pPr>
              <w:jc w:val="center"/>
              <w:rPr>
                <w:rFonts w:hint="default" w:ascii="Times New Roman" w:hAnsi="Times New Roman" w:cs="Times New Roman"/>
                <w:color w:val="auto"/>
                <w:szCs w:val="21"/>
                <w:highlight w:val="none"/>
              </w:rPr>
            </w:pPr>
          </w:p>
        </w:tc>
      </w:tr>
      <w:tr w14:paraId="7D11C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exact"/>
          <w:jc w:val="center"/>
        </w:trPr>
        <w:tc>
          <w:tcPr>
            <w:tcW w:w="2146" w:type="pct"/>
            <w:tcBorders>
              <w:top w:val="single" w:color="auto" w:sz="6" w:space="0"/>
              <w:left w:val="single" w:color="auto" w:sz="6" w:space="0"/>
              <w:bottom w:val="single" w:color="auto" w:sz="6" w:space="0"/>
              <w:right w:val="single" w:color="auto" w:sz="6" w:space="0"/>
            </w:tcBorders>
            <w:vAlign w:val="center"/>
          </w:tcPr>
          <w:p w14:paraId="12C0862B">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主要工作内容</w:t>
            </w:r>
          </w:p>
        </w:tc>
        <w:tc>
          <w:tcPr>
            <w:tcW w:w="2853" w:type="pct"/>
            <w:tcBorders>
              <w:top w:val="single" w:color="auto" w:sz="6" w:space="0"/>
              <w:left w:val="single" w:color="auto" w:sz="6" w:space="0"/>
              <w:bottom w:val="single" w:color="auto" w:sz="6" w:space="0"/>
              <w:right w:val="single" w:color="auto" w:sz="6" w:space="0"/>
            </w:tcBorders>
            <w:vAlign w:val="center"/>
          </w:tcPr>
          <w:p w14:paraId="3EA89B0F">
            <w:pPr>
              <w:jc w:val="center"/>
              <w:rPr>
                <w:rFonts w:hint="default" w:ascii="Times New Roman" w:hAnsi="Times New Roman" w:cs="Times New Roman"/>
                <w:color w:val="auto"/>
                <w:szCs w:val="21"/>
                <w:highlight w:val="none"/>
              </w:rPr>
            </w:pPr>
          </w:p>
        </w:tc>
      </w:tr>
      <w:tr w14:paraId="73604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146" w:type="pct"/>
            <w:tcBorders>
              <w:top w:val="single" w:color="auto" w:sz="6" w:space="0"/>
              <w:left w:val="single" w:color="auto" w:sz="6" w:space="0"/>
              <w:bottom w:val="single" w:color="auto" w:sz="6" w:space="0"/>
              <w:right w:val="single" w:color="auto" w:sz="6" w:space="0"/>
            </w:tcBorders>
            <w:vAlign w:val="center"/>
          </w:tcPr>
          <w:p w14:paraId="2B69E1B6">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承担人及在本工程中承担的任务</w:t>
            </w:r>
          </w:p>
          <w:p w14:paraId="6824D30E">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中承担的任务</w:t>
            </w:r>
          </w:p>
        </w:tc>
        <w:tc>
          <w:tcPr>
            <w:tcW w:w="2853" w:type="pct"/>
            <w:tcBorders>
              <w:top w:val="single" w:color="auto" w:sz="6" w:space="0"/>
              <w:left w:val="single" w:color="auto" w:sz="6" w:space="0"/>
              <w:bottom w:val="single" w:color="auto" w:sz="6" w:space="0"/>
              <w:right w:val="single" w:color="auto" w:sz="6" w:space="0"/>
            </w:tcBorders>
            <w:vAlign w:val="center"/>
          </w:tcPr>
          <w:p w14:paraId="485E105A">
            <w:pPr>
              <w:jc w:val="center"/>
              <w:rPr>
                <w:rFonts w:hint="default" w:ascii="Times New Roman" w:hAnsi="Times New Roman" w:cs="Times New Roman"/>
                <w:color w:val="auto"/>
                <w:szCs w:val="21"/>
                <w:highlight w:val="none"/>
              </w:rPr>
            </w:pPr>
          </w:p>
        </w:tc>
      </w:tr>
      <w:tr w14:paraId="014F6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146" w:type="pct"/>
            <w:tcBorders>
              <w:top w:val="single" w:color="auto" w:sz="6" w:space="0"/>
              <w:left w:val="single" w:color="auto" w:sz="6" w:space="0"/>
              <w:bottom w:val="single" w:color="auto" w:sz="6" w:space="0"/>
              <w:right w:val="single" w:color="auto" w:sz="6" w:space="0"/>
            </w:tcBorders>
            <w:vAlign w:val="center"/>
          </w:tcPr>
          <w:p w14:paraId="7878760A">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合同总价</w:t>
            </w:r>
          </w:p>
        </w:tc>
        <w:tc>
          <w:tcPr>
            <w:tcW w:w="2853" w:type="pct"/>
            <w:tcBorders>
              <w:top w:val="single" w:color="auto" w:sz="6" w:space="0"/>
              <w:left w:val="single" w:color="auto" w:sz="6" w:space="0"/>
              <w:bottom w:val="single" w:color="auto" w:sz="6" w:space="0"/>
              <w:right w:val="single" w:color="auto" w:sz="6" w:space="0"/>
            </w:tcBorders>
            <w:vAlign w:val="center"/>
          </w:tcPr>
          <w:p w14:paraId="120FAAF6">
            <w:pPr>
              <w:jc w:val="center"/>
              <w:rPr>
                <w:rFonts w:hint="default" w:ascii="Times New Roman" w:hAnsi="Times New Roman" w:cs="Times New Roman"/>
                <w:color w:val="auto"/>
                <w:szCs w:val="21"/>
                <w:highlight w:val="none"/>
              </w:rPr>
            </w:pPr>
          </w:p>
        </w:tc>
      </w:tr>
      <w:tr w14:paraId="0811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146" w:type="pct"/>
            <w:tcBorders>
              <w:top w:val="single" w:color="auto" w:sz="6" w:space="0"/>
              <w:left w:val="single" w:color="auto" w:sz="6" w:space="0"/>
              <w:bottom w:val="single" w:color="auto" w:sz="6" w:space="0"/>
              <w:right w:val="single" w:color="auto" w:sz="6" w:space="0"/>
            </w:tcBorders>
            <w:vAlign w:val="center"/>
          </w:tcPr>
          <w:p w14:paraId="01B30609">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完成日期</w:t>
            </w:r>
          </w:p>
        </w:tc>
        <w:tc>
          <w:tcPr>
            <w:tcW w:w="2853" w:type="pct"/>
            <w:tcBorders>
              <w:top w:val="single" w:color="auto" w:sz="6" w:space="0"/>
              <w:left w:val="single" w:color="auto" w:sz="6" w:space="0"/>
              <w:bottom w:val="single" w:color="auto" w:sz="6" w:space="0"/>
              <w:right w:val="single" w:color="auto" w:sz="6" w:space="0"/>
            </w:tcBorders>
            <w:vAlign w:val="center"/>
          </w:tcPr>
          <w:p w14:paraId="34212FAC">
            <w:pPr>
              <w:jc w:val="center"/>
              <w:rPr>
                <w:rFonts w:hint="default" w:ascii="Times New Roman" w:hAnsi="Times New Roman" w:cs="Times New Roman"/>
                <w:color w:val="auto"/>
                <w:szCs w:val="21"/>
                <w:highlight w:val="none"/>
              </w:rPr>
            </w:pPr>
          </w:p>
        </w:tc>
      </w:tr>
      <w:tr w14:paraId="175C2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146" w:type="pct"/>
            <w:tcBorders>
              <w:top w:val="single" w:color="auto" w:sz="6" w:space="0"/>
              <w:left w:val="single" w:color="auto" w:sz="6" w:space="0"/>
              <w:bottom w:val="single" w:color="auto" w:sz="6" w:space="0"/>
              <w:right w:val="single" w:color="auto" w:sz="6" w:space="0"/>
            </w:tcBorders>
            <w:vAlign w:val="center"/>
          </w:tcPr>
          <w:p w14:paraId="49523246">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合同期限/实际期限</w:t>
            </w:r>
          </w:p>
        </w:tc>
        <w:tc>
          <w:tcPr>
            <w:tcW w:w="2853" w:type="pct"/>
            <w:tcBorders>
              <w:top w:val="single" w:color="auto" w:sz="6" w:space="0"/>
              <w:left w:val="single" w:color="auto" w:sz="6" w:space="0"/>
              <w:bottom w:val="single" w:color="auto" w:sz="6" w:space="0"/>
              <w:right w:val="single" w:color="auto" w:sz="6" w:space="0"/>
            </w:tcBorders>
            <w:vAlign w:val="center"/>
          </w:tcPr>
          <w:p w14:paraId="4ED2E672">
            <w:pPr>
              <w:jc w:val="center"/>
              <w:rPr>
                <w:rFonts w:hint="default" w:ascii="Times New Roman" w:hAnsi="Times New Roman" w:cs="Times New Roman"/>
                <w:color w:val="auto"/>
                <w:szCs w:val="21"/>
                <w:highlight w:val="none"/>
              </w:rPr>
            </w:pPr>
          </w:p>
        </w:tc>
      </w:tr>
      <w:tr w14:paraId="755A1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146" w:type="pct"/>
            <w:tcBorders>
              <w:top w:val="single" w:color="auto" w:sz="6" w:space="0"/>
              <w:left w:val="single" w:color="auto" w:sz="6" w:space="0"/>
              <w:bottom w:val="single" w:color="auto" w:sz="6" w:space="0"/>
              <w:right w:val="single" w:color="auto" w:sz="6" w:space="0"/>
            </w:tcBorders>
            <w:vAlign w:val="center"/>
          </w:tcPr>
          <w:p w14:paraId="1A956492">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项目验收监测结果</w:t>
            </w:r>
          </w:p>
        </w:tc>
        <w:tc>
          <w:tcPr>
            <w:tcW w:w="2853" w:type="pct"/>
            <w:tcBorders>
              <w:top w:val="single" w:color="auto" w:sz="6" w:space="0"/>
              <w:left w:val="single" w:color="auto" w:sz="6" w:space="0"/>
              <w:bottom w:val="single" w:color="auto" w:sz="6" w:space="0"/>
              <w:right w:val="single" w:color="auto" w:sz="6" w:space="0"/>
            </w:tcBorders>
            <w:vAlign w:val="center"/>
          </w:tcPr>
          <w:p w14:paraId="017B8313">
            <w:pPr>
              <w:jc w:val="center"/>
              <w:rPr>
                <w:rFonts w:hint="default" w:ascii="Times New Roman" w:hAnsi="Times New Roman" w:cs="Times New Roman"/>
                <w:color w:val="auto"/>
                <w:szCs w:val="21"/>
                <w:highlight w:val="none"/>
              </w:rPr>
            </w:pPr>
          </w:p>
        </w:tc>
      </w:tr>
      <w:tr w14:paraId="0FD5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146" w:type="pct"/>
            <w:tcBorders>
              <w:top w:val="single" w:color="auto" w:sz="6" w:space="0"/>
              <w:left w:val="single" w:color="auto" w:sz="6" w:space="0"/>
              <w:bottom w:val="single" w:color="auto" w:sz="6" w:space="0"/>
              <w:right w:val="single" w:color="auto" w:sz="6" w:space="0"/>
            </w:tcBorders>
            <w:vAlign w:val="center"/>
          </w:tcPr>
          <w:p w14:paraId="0ABD517C">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项目委托人</w:t>
            </w:r>
          </w:p>
        </w:tc>
        <w:tc>
          <w:tcPr>
            <w:tcW w:w="2853" w:type="pct"/>
            <w:tcBorders>
              <w:top w:val="single" w:color="auto" w:sz="6" w:space="0"/>
              <w:left w:val="single" w:color="auto" w:sz="6" w:space="0"/>
              <w:bottom w:val="single" w:color="auto" w:sz="6" w:space="0"/>
              <w:right w:val="single" w:color="auto" w:sz="6" w:space="0"/>
            </w:tcBorders>
            <w:vAlign w:val="center"/>
          </w:tcPr>
          <w:p w14:paraId="242C06CC">
            <w:pPr>
              <w:jc w:val="center"/>
              <w:rPr>
                <w:rFonts w:hint="default" w:ascii="Times New Roman" w:hAnsi="Times New Roman" w:cs="Times New Roman"/>
                <w:color w:val="auto"/>
                <w:szCs w:val="21"/>
                <w:highlight w:val="none"/>
              </w:rPr>
            </w:pPr>
          </w:p>
        </w:tc>
      </w:tr>
      <w:tr w14:paraId="376DC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146" w:type="pct"/>
            <w:tcBorders>
              <w:top w:val="single" w:color="auto" w:sz="6" w:space="0"/>
              <w:left w:val="single" w:color="auto" w:sz="6" w:space="0"/>
              <w:bottom w:val="single" w:color="auto" w:sz="6" w:space="0"/>
              <w:right w:val="single" w:color="auto" w:sz="6" w:space="0"/>
            </w:tcBorders>
            <w:vAlign w:val="center"/>
          </w:tcPr>
          <w:p w14:paraId="7E7FAFF1">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项目委托人联系方式</w:t>
            </w:r>
          </w:p>
        </w:tc>
        <w:tc>
          <w:tcPr>
            <w:tcW w:w="2853" w:type="pct"/>
            <w:tcBorders>
              <w:top w:val="single" w:color="auto" w:sz="6" w:space="0"/>
              <w:left w:val="single" w:color="auto" w:sz="6" w:space="0"/>
              <w:bottom w:val="single" w:color="auto" w:sz="6" w:space="0"/>
              <w:right w:val="single" w:color="auto" w:sz="6" w:space="0"/>
            </w:tcBorders>
            <w:vAlign w:val="center"/>
          </w:tcPr>
          <w:p w14:paraId="7C171D48">
            <w:pPr>
              <w:jc w:val="center"/>
              <w:rPr>
                <w:rFonts w:hint="default" w:ascii="Times New Roman" w:hAnsi="Times New Roman" w:cs="Times New Roman"/>
                <w:color w:val="auto"/>
                <w:szCs w:val="21"/>
                <w:highlight w:val="none"/>
              </w:rPr>
            </w:pPr>
          </w:p>
        </w:tc>
      </w:tr>
      <w:tr w14:paraId="0EDD5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146" w:type="pct"/>
            <w:tcBorders>
              <w:top w:val="single" w:color="auto" w:sz="6" w:space="0"/>
              <w:left w:val="single" w:color="auto" w:sz="6" w:space="0"/>
              <w:bottom w:val="single" w:color="auto" w:sz="6" w:space="0"/>
              <w:right w:val="single" w:color="auto" w:sz="6" w:space="0"/>
            </w:tcBorders>
            <w:vAlign w:val="center"/>
          </w:tcPr>
          <w:p w14:paraId="786B0D21">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备注</w:t>
            </w:r>
          </w:p>
        </w:tc>
        <w:tc>
          <w:tcPr>
            <w:tcW w:w="2853" w:type="pct"/>
            <w:tcBorders>
              <w:top w:val="single" w:color="auto" w:sz="6" w:space="0"/>
              <w:left w:val="single" w:color="auto" w:sz="6" w:space="0"/>
              <w:bottom w:val="single" w:color="auto" w:sz="6" w:space="0"/>
              <w:right w:val="single" w:color="auto" w:sz="6" w:space="0"/>
            </w:tcBorders>
            <w:vAlign w:val="center"/>
          </w:tcPr>
          <w:p w14:paraId="25BA96FD">
            <w:pPr>
              <w:jc w:val="center"/>
              <w:rPr>
                <w:rFonts w:hint="default" w:ascii="Times New Roman" w:hAnsi="Times New Roman" w:cs="Times New Roman"/>
                <w:color w:val="auto"/>
                <w:szCs w:val="21"/>
                <w:highlight w:val="none"/>
              </w:rPr>
            </w:pPr>
          </w:p>
        </w:tc>
      </w:tr>
    </w:tbl>
    <w:p w14:paraId="20E22B7B">
      <w:pPr>
        <w:spacing w:line="400" w:lineRule="exact"/>
        <w:rPr>
          <w:rFonts w:hint="default" w:ascii="Times New Roman" w:hAnsi="Times New Roman" w:cs="Times New Roman"/>
          <w:color w:val="auto"/>
          <w:szCs w:val="24"/>
          <w:highlight w:val="none"/>
        </w:rPr>
      </w:pPr>
    </w:p>
    <w:p w14:paraId="5915C703">
      <w:pPr>
        <w:spacing w:line="400" w:lineRule="exact"/>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注：1、本表应按招标公告附录</w:t>
      </w:r>
      <w:r>
        <w:rPr>
          <w:rFonts w:hint="default" w:ascii="Times New Roman" w:hAnsi="Times New Roman" w:cs="Times New Roman"/>
          <w:color w:val="auto"/>
          <w:szCs w:val="24"/>
          <w:highlight w:val="none"/>
          <w:lang w:val="en-US" w:eastAsia="zh-CN"/>
        </w:rPr>
        <w:t>3</w:t>
      </w:r>
      <w:r>
        <w:rPr>
          <w:rFonts w:hint="default" w:ascii="Times New Roman" w:hAnsi="Times New Roman" w:cs="Times New Roman"/>
          <w:color w:val="auto"/>
          <w:szCs w:val="24"/>
          <w:highlight w:val="none"/>
        </w:rPr>
        <w:t>资格审查条件(业绩最低要求)要求填写</w:t>
      </w:r>
      <w:r>
        <w:rPr>
          <w:rFonts w:hint="default" w:ascii="Times New Roman" w:hAnsi="Times New Roman" w:cs="Times New Roman"/>
          <w:color w:val="auto"/>
          <w:highlight w:val="none"/>
        </w:rPr>
        <w:t>，并在表后附相关证明材料</w:t>
      </w:r>
      <w:r>
        <w:rPr>
          <w:rFonts w:hint="default" w:ascii="Times New Roman" w:hAnsi="Times New Roman" w:cs="Times New Roman"/>
          <w:color w:val="auto"/>
          <w:szCs w:val="24"/>
          <w:highlight w:val="none"/>
        </w:rPr>
        <w:t>。</w:t>
      </w:r>
    </w:p>
    <w:p w14:paraId="135CA462">
      <w:pPr>
        <w:widowControl/>
        <w:spacing w:line="400" w:lineRule="exact"/>
        <w:ind w:firstLine="420" w:firstLineChars="200"/>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2、投标人在填报上表时，每张表格只填写一个项目，并标明序号。</w:t>
      </w:r>
    </w:p>
    <w:p w14:paraId="1FB9237E">
      <w:pPr>
        <w:spacing w:line="600" w:lineRule="exact"/>
        <w:rPr>
          <w:rFonts w:hint="eastAsia" w:eastAsia="宋体"/>
          <w:color w:val="000000"/>
          <w:szCs w:val="21"/>
          <w:lang w:eastAsia="zh-CN"/>
        </w:rPr>
      </w:pPr>
    </w:p>
    <w:p w14:paraId="02912E64">
      <w:pPr>
        <w:spacing w:line="600" w:lineRule="exact"/>
        <w:rPr>
          <w:color w:val="000000"/>
          <w:szCs w:val="21"/>
        </w:rPr>
      </w:pPr>
      <w:r>
        <w:rPr>
          <w:rFonts w:hint="eastAsia"/>
          <w:color w:val="000000"/>
          <w:szCs w:val="21"/>
          <w:lang w:bidi="ar"/>
        </w:rPr>
        <w:t xml:space="preserve"> </w:t>
      </w:r>
    </w:p>
    <w:p w14:paraId="1D8DAB74">
      <w:pPr>
        <w:spacing w:line="600" w:lineRule="exact"/>
        <w:rPr>
          <w:color w:val="000000"/>
          <w:szCs w:val="21"/>
        </w:rPr>
      </w:pPr>
      <w:r>
        <w:rPr>
          <w:rFonts w:hint="eastAsia"/>
          <w:color w:val="000000"/>
          <w:szCs w:val="21"/>
          <w:lang w:bidi="ar"/>
        </w:rPr>
        <w:t xml:space="preserve"> </w:t>
      </w:r>
    </w:p>
    <w:p w14:paraId="4025BD15">
      <w:pPr>
        <w:spacing w:line="600" w:lineRule="exact"/>
        <w:rPr>
          <w:color w:val="000000"/>
          <w:szCs w:val="21"/>
        </w:rPr>
      </w:pPr>
      <w:r>
        <w:rPr>
          <w:rFonts w:hint="eastAsia"/>
          <w:color w:val="000000"/>
          <w:szCs w:val="21"/>
          <w:lang w:bidi="ar"/>
        </w:rPr>
        <w:t xml:space="preserve"> </w:t>
      </w:r>
    </w:p>
    <w:p w14:paraId="496DAD60">
      <w:pPr>
        <w:spacing w:line="600" w:lineRule="exact"/>
        <w:rPr>
          <w:rFonts w:hint="eastAsia"/>
          <w:color w:val="000000"/>
          <w:szCs w:val="21"/>
          <w:lang w:bidi="ar"/>
        </w:rPr>
      </w:pPr>
    </w:p>
    <w:p w14:paraId="511DEDB2">
      <w:pPr>
        <w:spacing w:line="600" w:lineRule="exact"/>
        <w:rPr>
          <w:rFonts w:hint="eastAsia"/>
          <w:color w:val="000000"/>
          <w:szCs w:val="21"/>
          <w:lang w:bidi="ar"/>
        </w:rPr>
      </w:pPr>
    </w:p>
    <w:p w14:paraId="09E6C371">
      <w:pPr>
        <w:ind w:left="968" w:hanging="968" w:hangingChars="459"/>
        <w:rPr>
          <w:rFonts w:hint="default" w:ascii="Times New Roman" w:hAnsi="Times New Roman" w:cs="Times New Roman"/>
          <w:b/>
          <w:color w:val="000000"/>
          <w:szCs w:val="21"/>
        </w:rPr>
      </w:pPr>
    </w:p>
    <w:p w14:paraId="4C580659">
      <w:pPr>
        <w:ind w:left="968" w:hanging="968" w:hangingChars="459"/>
        <w:rPr>
          <w:rFonts w:hint="default" w:ascii="Times New Roman" w:hAnsi="Times New Roman" w:cs="Times New Roman"/>
          <w:b/>
          <w:color w:val="000000"/>
          <w:szCs w:val="21"/>
        </w:rPr>
      </w:pPr>
      <w:r>
        <w:rPr>
          <w:rFonts w:hint="default" w:ascii="Times New Roman" w:hAnsi="Times New Roman" w:cs="Times New Roman"/>
          <w:b/>
          <w:color w:val="000000"/>
          <w:szCs w:val="21"/>
          <w:lang w:bidi="ar"/>
        </w:rPr>
        <w:t xml:space="preserve"> </w:t>
      </w:r>
    </w:p>
    <w:p w14:paraId="31405C56">
      <w:pPr>
        <w:ind w:left="968" w:hanging="968" w:hangingChars="459"/>
        <w:rPr>
          <w:rFonts w:hint="default" w:ascii="Times New Roman" w:hAnsi="Times New Roman" w:cs="Times New Roman"/>
          <w:b/>
          <w:color w:val="000000"/>
          <w:szCs w:val="21"/>
        </w:rPr>
      </w:pPr>
      <w:r>
        <w:rPr>
          <w:rFonts w:hint="default" w:ascii="Times New Roman" w:hAnsi="Times New Roman" w:cs="Times New Roman"/>
          <w:b/>
          <w:color w:val="000000"/>
          <w:szCs w:val="21"/>
          <w:lang w:bidi="ar"/>
        </w:rPr>
        <w:t xml:space="preserve"> </w:t>
      </w:r>
    </w:p>
    <w:p w14:paraId="6E405908">
      <w:pPr>
        <w:ind w:left="968" w:hanging="968" w:hangingChars="459"/>
        <w:rPr>
          <w:rFonts w:hint="default" w:ascii="Times New Roman" w:hAnsi="Times New Roman" w:cs="Times New Roman"/>
          <w:b/>
          <w:color w:val="000000"/>
          <w:szCs w:val="21"/>
        </w:rPr>
      </w:pPr>
      <w:r>
        <w:rPr>
          <w:rFonts w:hint="default" w:ascii="Times New Roman" w:hAnsi="Times New Roman" w:cs="Times New Roman"/>
          <w:b/>
          <w:color w:val="000000"/>
          <w:szCs w:val="21"/>
          <w:lang w:bidi="ar"/>
        </w:rPr>
        <w:t xml:space="preserve"> </w:t>
      </w:r>
    </w:p>
    <w:p w14:paraId="3703A0CE">
      <w:pPr>
        <w:rPr>
          <w:rFonts w:hint="default" w:ascii="Times New Roman" w:hAnsi="Times New Roman" w:cs="Times New Roman"/>
          <w:color w:val="000000"/>
          <w:szCs w:val="21"/>
        </w:rPr>
      </w:pPr>
      <w:r>
        <w:rPr>
          <w:rFonts w:hint="default" w:ascii="Times New Roman" w:hAnsi="Times New Roman" w:cs="Times New Roman"/>
          <w:b/>
          <w:color w:val="000000"/>
          <w:szCs w:val="21"/>
          <w:lang w:bidi="ar"/>
        </w:rPr>
        <w:t xml:space="preserve"> </w:t>
      </w:r>
    </w:p>
    <w:p w14:paraId="78DF2FDC">
      <w:pPr>
        <w:pStyle w:val="7"/>
        <w:widowControl/>
        <w:spacing w:before="0" w:after="240"/>
        <w:ind w:firstLine="0" w:firstLineChars="0"/>
        <w:jc w:val="center"/>
        <w:rPr>
          <w:rFonts w:hint="default" w:ascii="Times New Roman" w:hAnsi="Times New Roman" w:cs="Times New Roman"/>
          <w:color w:val="000000"/>
          <w:szCs w:val="24"/>
          <w:highlight w:val="yellow"/>
        </w:rPr>
      </w:pPr>
      <w:r>
        <w:rPr>
          <w:rFonts w:hint="eastAsia" w:ascii="Times New Roman" w:hAnsi="Times New Roman" w:cs="Times New Roman"/>
          <w:b/>
          <w:color w:val="000000"/>
          <w:szCs w:val="24"/>
          <w:highlight w:val="yellow"/>
          <w:lang w:val="en-US" w:eastAsia="zh-CN"/>
        </w:rPr>
        <w:t>4</w:t>
      </w:r>
      <w:r>
        <w:rPr>
          <w:rFonts w:hint="default" w:ascii="Times New Roman" w:hAnsi="Times New Roman" w:cs="Times New Roman"/>
          <w:b/>
          <w:color w:val="000000"/>
          <w:szCs w:val="24"/>
          <w:highlight w:val="yellow"/>
        </w:rPr>
        <w:t>、企业信誉情况</w:t>
      </w:r>
    </w:p>
    <w:p w14:paraId="1F349130">
      <w:pPr>
        <w:keepNext/>
        <w:keepLines/>
        <w:spacing w:line="400" w:lineRule="exact"/>
        <w:jc w:val="center"/>
        <w:outlineLvl w:val="3"/>
        <w:rPr>
          <w:rFonts w:hint="default" w:ascii="Times New Roman" w:hAnsi="Times New Roman" w:eastAsia="黑体" w:cs="Times New Roman"/>
          <w:color w:val="000000"/>
          <w:sz w:val="24"/>
          <w:szCs w:val="24"/>
          <w:lang w:bidi="ar"/>
        </w:rPr>
      </w:pPr>
      <w:r>
        <w:rPr>
          <w:rFonts w:hint="eastAsia" w:ascii="Times New Roman" w:hAnsi="Times New Roman" w:eastAsia="黑体" w:cs="Times New Roman"/>
          <w:color w:val="000000"/>
          <w:sz w:val="24"/>
          <w:szCs w:val="24"/>
          <w:lang w:val="en-US" w:eastAsia="zh-CN" w:bidi="ar"/>
        </w:rPr>
        <w:t>4</w:t>
      </w:r>
      <w:r>
        <w:rPr>
          <w:rFonts w:hint="default" w:ascii="Times New Roman" w:hAnsi="Times New Roman" w:eastAsia="黑体" w:cs="Times New Roman"/>
          <w:color w:val="000000"/>
          <w:sz w:val="24"/>
          <w:szCs w:val="24"/>
          <w:lang w:bidi="ar"/>
        </w:rPr>
        <w:t>-1投标人信誉声明</w:t>
      </w:r>
    </w:p>
    <w:p w14:paraId="75D0489F">
      <w:pPr>
        <w:keepNext/>
        <w:keepLines/>
        <w:spacing w:line="400" w:lineRule="exact"/>
        <w:jc w:val="center"/>
        <w:outlineLvl w:val="3"/>
        <w:rPr>
          <w:rFonts w:hint="default" w:ascii="Times New Roman" w:hAnsi="Times New Roman" w:eastAsia="黑体" w:cs="Times New Roman"/>
          <w:color w:val="000000"/>
          <w:sz w:val="24"/>
          <w:szCs w:val="24"/>
          <w:lang w:val="en-US" w:eastAsia="zh-CN" w:bidi="ar"/>
        </w:rPr>
      </w:pPr>
      <w:r>
        <w:rPr>
          <w:rFonts w:hint="default" w:ascii="Times New Roman" w:hAnsi="Times New Roman" w:eastAsia="黑体" w:cs="Times New Roman"/>
          <w:color w:val="000000"/>
          <w:sz w:val="24"/>
          <w:szCs w:val="24"/>
          <w:lang w:val="en-US" w:eastAsia="zh-CN" w:bidi="ar"/>
        </w:rPr>
        <w:t>a.</w:t>
      </w:r>
      <w:r>
        <w:rPr>
          <w:rFonts w:hint="default" w:ascii="Times New Roman" w:hAnsi="Times New Roman" w:eastAsia="黑体" w:cs="Times New Roman"/>
          <w:color w:val="000000"/>
          <w:sz w:val="24"/>
          <w:szCs w:val="24"/>
          <w:lang w:bidi="ar"/>
        </w:rPr>
        <w:t>信誉声明</w:t>
      </w:r>
      <w:r>
        <w:rPr>
          <w:rFonts w:hint="default" w:ascii="Times New Roman" w:hAnsi="Times New Roman" w:eastAsia="黑体" w:cs="Times New Roman"/>
          <w:color w:val="000000"/>
          <w:sz w:val="24"/>
          <w:szCs w:val="24"/>
          <w:lang w:val="en-US" w:eastAsia="zh-CN" w:bidi="ar"/>
        </w:rPr>
        <w:t>承诺函</w:t>
      </w:r>
    </w:p>
    <w:p w14:paraId="53DDC1E8">
      <w:pPr>
        <w:spacing w:line="400" w:lineRule="atLeast"/>
        <w:ind w:firstLine="420" w:firstLineChars="200"/>
        <w:rPr>
          <w:rFonts w:hint="default" w:ascii="Times New Roman" w:hAnsi="Times New Roman" w:cs="Times New Roman"/>
          <w:color w:val="000000"/>
          <w:szCs w:val="21"/>
        </w:rPr>
      </w:pPr>
    </w:p>
    <w:p w14:paraId="5DE14D77">
      <w:pPr>
        <w:rPr>
          <w:rFonts w:hint="default" w:ascii="Times New Roman" w:hAnsi="Times New Roman"/>
          <w:color w:val="000000"/>
          <w:szCs w:val="21"/>
          <w:u w:val="single"/>
          <w:lang w:bidi="ar"/>
        </w:rPr>
      </w:pPr>
      <w:r>
        <w:rPr>
          <w:rFonts w:hint="default" w:ascii="Times New Roman" w:hAnsi="Times New Roman"/>
          <w:color w:val="000000"/>
          <w:szCs w:val="21"/>
          <w:u w:val="single"/>
          <w:lang w:bidi="ar"/>
        </w:rPr>
        <w:t xml:space="preserve">    （投标人名称）    郑重承诺如下：</w:t>
      </w:r>
    </w:p>
    <w:p w14:paraId="32B3851E">
      <w:pPr>
        <w:ind w:firstLine="420" w:firstLineChars="200"/>
        <w:rPr>
          <w:rFonts w:hint="default" w:ascii="Times New Roman" w:hAnsi="Times New Roman"/>
          <w:color w:val="000000"/>
          <w:szCs w:val="21"/>
          <w:u w:val="single"/>
          <w:lang w:bidi="ar"/>
        </w:rPr>
      </w:pPr>
      <w:r>
        <w:rPr>
          <w:rFonts w:hint="default" w:ascii="Times New Roman" w:hAnsi="Times New Roman"/>
          <w:color w:val="000000"/>
          <w:szCs w:val="21"/>
          <w:u w:val="single"/>
          <w:lang w:bidi="ar"/>
        </w:rPr>
        <w:t>1、我公司没有处于被责令停业状态，暂扣或吊销营业执照，或吊销资质证书，或吊销安全生产许可证。</w:t>
      </w:r>
    </w:p>
    <w:p w14:paraId="5AE04CDA">
      <w:pPr>
        <w:ind w:firstLine="420" w:firstLineChars="200"/>
        <w:rPr>
          <w:rFonts w:hint="default" w:ascii="Times New Roman" w:hAnsi="Times New Roman"/>
          <w:color w:val="000000"/>
          <w:szCs w:val="21"/>
          <w:u w:val="single"/>
          <w:lang w:bidi="ar"/>
        </w:rPr>
      </w:pPr>
      <w:r>
        <w:rPr>
          <w:rFonts w:hint="default" w:ascii="Times New Roman" w:hAnsi="Times New Roman"/>
          <w:color w:val="000000"/>
          <w:szCs w:val="21"/>
          <w:u w:val="single"/>
          <w:lang w:bidi="ar"/>
        </w:rPr>
        <w:t>2、我公司没有处于财产被接管或进入清算程序，或被宣告破产，或其他丧失履约能力的情形。</w:t>
      </w:r>
    </w:p>
    <w:p w14:paraId="0AD6E624">
      <w:pPr>
        <w:ind w:firstLine="420" w:firstLineChars="200"/>
        <w:rPr>
          <w:rFonts w:hint="default" w:ascii="Times New Roman" w:hAnsi="Times New Roman"/>
          <w:color w:val="000000"/>
          <w:szCs w:val="21"/>
          <w:u w:val="single"/>
          <w:lang w:bidi="ar"/>
        </w:rPr>
      </w:pPr>
      <w:r>
        <w:rPr>
          <w:rFonts w:hint="default" w:ascii="Times New Roman" w:hAnsi="Times New Roman"/>
          <w:color w:val="000000"/>
          <w:szCs w:val="21"/>
          <w:u w:val="single"/>
          <w:lang w:bidi="ar"/>
        </w:rPr>
        <w:t>3、我公司没有被交通运输主管部门或其他有权作出处罚的部门作出取消在湖北省交通建设市场投标资格或禁止进入湖北公路建设市场的处罚且处于有效期内。</w:t>
      </w:r>
    </w:p>
    <w:p w14:paraId="4C29FB2F">
      <w:pPr>
        <w:ind w:firstLine="420" w:firstLineChars="200"/>
        <w:rPr>
          <w:rFonts w:hint="default" w:ascii="Times New Roman" w:hAnsi="Times New Roman"/>
          <w:color w:val="000000"/>
          <w:szCs w:val="21"/>
          <w:u w:val="single"/>
          <w:lang w:bidi="ar"/>
        </w:rPr>
      </w:pPr>
      <w:r>
        <w:rPr>
          <w:rFonts w:hint="default" w:ascii="Times New Roman" w:hAnsi="Times New Roman"/>
          <w:color w:val="000000"/>
          <w:szCs w:val="21"/>
          <w:u w:val="single"/>
          <w:lang w:bidi="ar"/>
        </w:rPr>
        <w:t>4、我公司在交通运输部《2024年度公路设计企业全国综合信用评价结果》或湖北省交通运输厅《2025年度湖北省公路建设市场设计企业信用评价结果》中，信用等级未被评定为D。</w:t>
      </w:r>
    </w:p>
    <w:p w14:paraId="57F38298">
      <w:pPr>
        <w:ind w:firstLine="420" w:firstLineChars="200"/>
        <w:rPr>
          <w:rFonts w:hint="default" w:ascii="Times New Roman" w:hAnsi="Times New Roman"/>
          <w:color w:val="000000"/>
          <w:szCs w:val="21"/>
          <w:u w:val="single"/>
          <w:lang w:bidi="ar"/>
        </w:rPr>
      </w:pPr>
      <w:r>
        <w:rPr>
          <w:rFonts w:hint="default" w:ascii="Times New Roman" w:hAnsi="Times New Roman"/>
          <w:color w:val="000000"/>
          <w:szCs w:val="21"/>
          <w:u w:val="single"/>
          <w:lang w:bidi="ar"/>
        </w:rPr>
        <w:t>5、我公司在交通运输部《2024年度公路施工企业全国综合信用评价结果》或在湖北省交通运输厅《湖北省2024年度普通公路施工企业信用等级表》中，信用等级未被评定为D；</w:t>
      </w:r>
    </w:p>
    <w:p w14:paraId="17B1FAE6">
      <w:pPr>
        <w:ind w:firstLine="420" w:firstLineChars="200"/>
        <w:rPr>
          <w:rFonts w:hint="default" w:ascii="Times New Roman" w:hAnsi="Times New Roman"/>
          <w:color w:val="000000"/>
          <w:szCs w:val="21"/>
          <w:u w:val="single"/>
          <w:lang w:bidi="ar"/>
        </w:rPr>
      </w:pPr>
      <w:r>
        <w:rPr>
          <w:rFonts w:hint="default" w:ascii="Times New Roman" w:hAnsi="Times New Roman"/>
          <w:color w:val="000000"/>
          <w:szCs w:val="21"/>
          <w:u w:val="single"/>
          <w:lang w:bidi="ar"/>
        </w:rPr>
        <w:t>6、我公司不存在下列不良状况或不良信用记录：</w:t>
      </w:r>
    </w:p>
    <w:p w14:paraId="180B540C">
      <w:pPr>
        <w:ind w:firstLine="420" w:firstLineChars="200"/>
        <w:rPr>
          <w:rFonts w:hint="default" w:ascii="Times New Roman" w:hAnsi="Times New Roman"/>
          <w:color w:val="000000"/>
          <w:szCs w:val="21"/>
          <w:u w:val="single"/>
          <w:lang w:bidi="ar"/>
        </w:rPr>
      </w:pPr>
      <w:r>
        <w:rPr>
          <w:rFonts w:hint="default" w:ascii="Times New Roman" w:hAnsi="Times New Roman"/>
          <w:color w:val="000000"/>
          <w:szCs w:val="21"/>
          <w:u w:val="single"/>
          <w:lang w:bidi="ar"/>
        </w:rPr>
        <w:t>①在国家企业信用信息公示系统(http://www.gsxt.gov.cn/)中被列入严重违法失信企业名单的；</w:t>
      </w:r>
    </w:p>
    <w:p w14:paraId="036ED5D2">
      <w:pPr>
        <w:ind w:firstLine="420" w:firstLineChars="200"/>
        <w:rPr>
          <w:rFonts w:hint="default" w:ascii="Times New Roman" w:hAnsi="Times New Roman"/>
          <w:color w:val="000000"/>
          <w:szCs w:val="21"/>
          <w:u w:val="single"/>
          <w:lang w:bidi="ar"/>
        </w:rPr>
      </w:pPr>
      <w:r>
        <w:rPr>
          <w:rFonts w:hint="default" w:ascii="Times New Roman" w:hAnsi="Times New Roman"/>
          <w:color w:val="000000"/>
          <w:szCs w:val="21"/>
          <w:u w:val="single"/>
          <w:lang w:bidi="ar"/>
        </w:rPr>
        <w:t>②在“中国执行信息公开网”（http://zxgk.court.gov.cn/）中被列入失信被执行人名单；</w:t>
      </w:r>
    </w:p>
    <w:p w14:paraId="2F8562D3">
      <w:pPr>
        <w:ind w:firstLine="420" w:firstLineChars="200"/>
        <w:rPr>
          <w:rFonts w:hint="default" w:ascii="Times New Roman" w:hAnsi="Times New Roman"/>
          <w:color w:val="000000"/>
          <w:szCs w:val="21"/>
          <w:u w:val="single"/>
          <w:lang w:bidi="ar"/>
        </w:rPr>
      </w:pPr>
      <w:r>
        <w:rPr>
          <w:rFonts w:hint="default" w:ascii="Times New Roman" w:hAnsi="Times New Roman"/>
          <w:color w:val="000000"/>
          <w:szCs w:val="21"/>
          <w:u w:val="single"/>
          <w:lang w:bidi="ar"/>
        </w:rPr>
        <w:t>③在近三年内投标人或其法定代表人、拟委任的项目经理被人民法院判决为行贿罪的；</w:t>
      </w:r>
    </w:p>
    <w:p w14:paraId="453F4276">
      <w:pPr>
        <w:ind w:firstLine="420" w:firstLineChars="200"/>
        <w:rPr>
          <w:rFonts w:hint="default" w:ascii="Times New Roman" w:hAnsi="Times New Roman"/>
          <w:color w:val="000000"/>
          <w:szCs w:val="21"/>
          <w:u w:val="single"/>
          <w:lang w:bidi="ar"/>
        </w:rPr>
      </w:pPr>
      <w:r>
        <w:rPr>
          <w:rFonts w:hint="default" w:ascii="Times New Roman" w:hAnsi="Times New Roman"/>
          <w:color w:val="000000"/>
          <w:szCs w:val="21"/>
          <w:u w:val="single"/>
          <w:lang w:bidi="ar"/>
        </w:rPr>
        <w:t>④被列入湖北省公路水路工程建设市场黑名单且处于有效期内；</w:t>
      </w:r>
    </w:p>
    <w:p w14:paraId="42C6E371">
      <w:pPr>
        <w:spacing w:line="440" w:lineRule="exact"/>
        <w:ind w:firstLine="420" w:firstLineChars="200"/>
        <w:rPr>
          <w:rFonts w:hint="default" w:ascii="Times New Roman" w:hAnsi="Times New Roman" w:cs="Times New Roman"/>
          <w:color w:val="000000"/>
          <w:szCs w:val="21"/>
        </w:rPr>
      </w:pPr>
      <w:r>
        <w:rPr>
          <w:rFonts w:hint="default" w:ascii="Times New Roman" w:hAnsi="Times New Roman"/>
          <w:color w:val="000000"/>
          <w:szCs w:val="21"/>
          <w:u w:val="single"/>
          <w:lang w:bidi="ar"/>
        </w:rPr>
        <w:t>⑤其他在“信用中国”网站(http://www.creditchina.gov.cn/)中被列为严重失信主体名单，且按联合惩戒要求禁止参与招投标的。</w:t>
      </w:r>
      <w:r>
        <w:rPr>
          <w:rFonts w:hint="default" w:ascii="Times New Roman" w:hAnsi="Times New Roman" w:cs="Times New Roman"/>
          <w:color w:val="000000"/>
          <w:szCs w:val="21"/>
          <w:lang w:bidi="ar"/>
        </w:rPr>
        <w:t xml:space="preserve"> </w:t>
      </w:r>
    </w:p>
    <w:p w14:paraId="0F70B837">
      <w:pPr>
        <w:spacing w:line="44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我方保证上述信息的真实和准确，并愿意承担因我方就此弄虚作假所引起的一切法律后果。</w:t>
      </w:r>
    </w:p>
    <w:p w14:paraId="3ACFD24D">
      <w:pPr>
        <w:spacing w:line="44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0EB2FDB">
      <w:pPr>
        <w:spacing w:line="440" w:lineRule="exact"/>
        <w:ind w:firstLine="3990" w:firstLineChars="1900"/>
        <w:rPr>
          <w:rFonts w:hint="default" w:ascii="Times New Roman" w:hAnsi="Times New Roman" w:cs="Times New Roman"/>
          <w:color w:val="000000"/>
          <w:szCs w:val="21"/>
        </w:rPr>
      </w:pPr>
      <w:r>
        <w:rPr>
          <w:rFonts w:hint="default" w:ascii="Times New Roman" w:hAnsi="Times New Roman" w:cs="Times New Roman"/>
          <w:color w:val="000000"/>
          <w:szCs w:val="21"/>
          <w:lang w:bidi="ar"/>
        </w:rPr>
        <w:t>投标人：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（盖单位章）</w:t>
      </w:r>
    </w:p>
    <w:p w14:paraId="6C51B52B">
      <w:pPr>
        <w:spacing w:line="440" w:lineRule="exact"/>
        <w:ind w:firstLine="3990" w:firstLineChars="1900"/>
        <w:rPr>
          <w:rFonts w:hint="default" w:ascii="Times New Roman" w:hAnsi="Times New Roman" w:cs="Times New Roman"/>
          <w:color w:val="000000"/>
          <w:szCs w:val="21"/>
        </w:rPr>
      </w:pPr>
      <w:r>
        <w:rPr>
          <w:rFonts w:hint="default" w:ascii="Times New Roman" w:hAnsi="Times New Roman" w:cs="Times New Roman"/>
          <w:color w:val="000000"/>
          <w:szCs w:val="21"/>
          <w:lang w:bidi="ar"/>
        </w:rPr>
        <w:t>法定代表人或其委托代理人：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（签字）</w:t>
      </w:r>
    </w:p>
    <w:p w14:paraId="33C482EB">
      <w:pPr>
        <w:spacing w:line="44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B8FEECA">
      <w:pPr>
        <w:spacing w:line="440"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 xml:space="preserve"> 年 </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 xml:space="preserve"> 月 </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 xml:space="preserve"> 日</w:t>
      </w:r>
    </w:p>
    <w:p w14:paraId="231F9960">
      <w:pPr>
        <w:spacing w:line="400" w:lineRule="atLeast"/>
        <w:ind w:firstLine="420" w:firstLineChars="200"/>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03CF568">
      <w:pPr>
        <w:spacing w:line="400" w:lineRule="atLeast"/>
        <w:ind w:firstLine="420" w:firstLineChars="200"/>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EDEE1B3">
      <w:pPr>
        <w:spacing w:line="400" w:lineRule="atLeast"/>
        <w:ind w:firstLine="420" w:firstLineChars="200"/>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BFA220F">
      <w:pPr>
        <w:spacing w:line="400" w:lineRule="atLeast"/>
        <w:ind w:firstLine="420" w:firstLineChars="200"/>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EAF5E92">
      <w:pPr>
        <w:spacing w:line="400" w:lineRule="atLeast"/>
        <w:ind w:firstLine="420" w:firstLineChars="200"/>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660446A">
      <w:pPr>
        <w:spacing w:line="400" w:lineRule="atLeast"/>
        <w:ind w:firstLine="420" w:firstLineChars="200"/>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AE38112">
      <w:pPr>
        <w:spacing w:line="400" w:lineRule="atLeast"/>
        <w:ind w:left="630" w:hanging="630" w:hangingChars="300"/>
        <w:rPr>
          <w:rFonts w:hint="default" w:ascii="Times New Roman" w:hAnsi="Times New Roman" w:cs="Times New Roman"/>
          <w:color w:val="000000"/>
          <w:szCs w:val="21"/>
        </w:rPr>
      </w:pPr>
      <w:r>
        <w:rPr>
          <w:rFonts w:hint="default" w:ascii="Times New Roman" w:hAnsi="Times New Roman" w:cs="Times New Roman"/>
          <w:color w:val="000000"/>
          <w:szCs w:val="21"/>
          <w:lang w:bidi="ar"/>
        </w:rPr>
        <w:t>备注：投标人应针对第二章“投标人须知”第1.4.1项的要求，在此对其信誉情况做出说明。如上格式文件所示。联合体投标的，联合体各成员单位均应按要求做出说明。</w:t>
      </w:r>
    </w:p>
    <w:p w14:paraId="32BE7083">
      <w:pPr>
        <w:rPr>
          <w:rFonts w:hint="default" w:ascii="Times New Roman" w:hAnsi="Times New Roman" w:cs="Times New Roman"/>
          <w:color w:val="000000"/>
          <w:szCs w:val="21"/>
        </w:rPr>
      </w:pPr>
      <w:r>
        <w:rPr>
          <w:rFonts w:hint="default" w:ascii="Times New Roman" w:hAnsi="Times New Roman" w:cs="Times New Roman"/>
          <w:color w:val="000000"/>
          <w:szCs w:val="21"/>
          <w:lang w:bidi="ar"/>
        </w:rPr>
        <w:br w:type="page"/>
      </w:r>
    </w:p>
    <w:p w14:paraId="08D14C36">
      <w:pPr>
        <w:spacing w:line="400" w:lineRule="atLeast"/>
        <w:ind w:firstLine="420" w:firstLineChars="200"/>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9CE0CB9">
      <w:pPr>
        <w:keepNext/>
        <w:keepLines/>
        <w:spacing w:line="240" w:lineRule="exact"/>
        <w:jc w:val="center"/>
        <w:outlineLvl w:val="3"/>
        <w:rPr>
          <w:rFonts w:hint="default" w:ascii="Times New Roman" w:hAnsi="Times New Roman" w:eastAsia="黑体" w:cs="Times New Roman"/>
          <w:color w:val="000000"/>
          <w:sz w:val="24"/>
          <w:szCs w:val="24"/>
          <w:lang w:val="en-US" w:eastAsia="zh-CN"/>
        </w:rPr>
      </w:pPr>
      <w:r>
        <w:rPr>
          <w:rFonts w:hint="default" w:ascii="Times New Roman" w:hAnsi="Times New Roman" w:eastAsia="黑体" w:cs="Times New Roman"/>
          <w:color w:val="000000"/>
          <w:sz w:val="24"/>
          <w:szCs w:val="24"/>
          <w:lang w:val="en-US" w:eastAsia="zh-CN" w:bidi="ar"/>
        </w:rPr>
        <w:t>b.</w:t>
      </w:r>
      <w:r>
        <w:rPr>
          <w:rFonts w:hint="default" w:ascii="Times New Roman" w:hAnsi="Times New Roman" w:eastAsia="黑体" w:cs="Times New Roman"/>
          <w:color w:val="000000"/>
          <w:sz w:val="24"/>
          <w:szCs w:val="24"/>
          <w:lang w:bidi="ar"/>
        </w:rPr>
        <w:t xml:space="preserve"> 行贿犯罪行为声明函</w:t>
      </w:r>
      <w:r>
        <w:rPr>
          <w:rFonts w:hint="eastAsia" w:ascii="Times New Roman" w:hAnsi="Times New Roman" w:eastAsia="黑体" w:cs="Times New Roman"/>
          <w:color w:val="000000"/>
          <w:sz w:val="24"/>
          <w:szCs w:val="24"/>
          <w:lang w:eastAsia="zh-CN" w:bidi="ar"/>
        </w:rPr>
        <w:t>（</w:t>
      </w:r>
      <w:r>
        <w:rPr>
          <w:rFonts w:hint="eastAsia" w:ascii="Times New Roman" w:hAnsi="Times New Roman" w:eastAsia="黑体" w:cs="Times New Roman"/>
          <w:color w:val="000000"/>
          <w:sz w:val="24"/>
          <w:szCs w:val="24"/>
          <w:lang w:val="en-US" w:eastAsia="zh-CN" w:bidi="ar"/>
        </w:rPr>
        <w:t>无需提供）</w:t>
      </w:r>
    </w:p>
    <w:p w14:paraId="50C17F0F">
      <w:pPr>
        <w:spacing w:line="400" w:lineRule="exact"/>
        <w:rPr>
          <w:rFonts w:hint="default" w:ascii="Times New Roman" w:hAnsi="Times New Roman" w:eastAsia="黑体" w:cs="Times New Roman"/>
          <w:color w:val="000000"/>
          <w:szCs w:val="21"/>
        </w:rPr>
      </w:pPr>
      <w:r>
        <w:rPr>
          <w:rFonts w:hint="default" w:ascii="Times New Roman" w:hAnsi="Times New Roman" w:eastAsia="黑体" w:cs="Times New Roman"/>
          <w:color w:val="000000"/>
          <w:szCs w:val="21"/>
          <w:lang w:bidi="ar"/>
        </w:rPr>
        <w:t xml:space="preserve"> </w:t>
      </w:r>
    </w:p>
    <w:p w14:paraId="1CF65C13">
      <w:pPr>
        <w:spacing w:line="400" w:lineRule="atLeast"/>
        <w:ind w:left="630" w:hanging="630" w:hangingChars="3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tbl>
      <w:tblPr>
        <w:tblStyle w:val="17"/>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8"/>
      </w:tblGrid>
      <w:tr w14:paraId="7470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0" w:hRule="atLeast"/>
        </w:trPr>
        <w:tc>
          <w:tcPr>
            <w:tcW w:w="9118" w:type="dxa"/>
            <w:tcBorders>
              <w:top w:val="single" w:color="auto" w:sz="4" w:space="0"/>
              <w:left w:val="single" w:color="auto" w:sz="4" w:space="0"/>
              <w:bottom w:val="single" w:color="auto" w:sz="4" w:space="0"/>
              <w:right w:val="single" w:color="auto" w:sz="4" w:space="0"/>
            </w:tcBorders>
            <w:shd w:val="clear" w:color="auto" w:fill="auto"/>
          </w:tcPr>
          <w:p w14:paraId="0726DB73">
            <w:pPr>
              <w:pStyle w:val="16"/>
              <w:spacing w:before="0" w:beforeAutospacing="0" w:after="0" w:afterAutospacing="0" w:line="400" w:lineRule="exact"/>
              <w:jc w:val="both"/>
              <w:rPr>
                <w:rFonts w:hint="default" w:ascii="Times New Roman" w:hAnsi="Times New Roman" w:cs="Times New Roman"/>
                <w:kern w:val="2"/>
                <w:sz w:val="21"/>
                <w:szCs w:val="21"/>
              </w:rPr>
            </w:pPr>
            <w:r>
              <w:rPr>
                <w:rFonts w:hint="default" w:ascii="Times New Roman" w:hAnsi="Times New Roman" w:cs="Times New Roman"/>
                <w:kern w:val="2"/>
                <w:sz w:val="21"/>
                <w:szCs w:val="21"/>
                <w:u w:val="single"/>
                <w:lang w:bidi="ar"/>
              </w:rPr>
              <w:t xml:space="preserve">                </w:t>
            </w:r>
            <w:r>
              <w:rPr>
                <w:rFonts w:hint="default" w:ascii="Times New Roman" w:hAnsi="Times New Roman" w:cs="Times New Roman"/>
                <w:kern w:val="2"/>
                <w:sz w:val="21"/>
                <w:szCs w:val="21"/>
                <w:lang w:bidi="ar"/>
              </w:rPr>
              <w:t>（招标人名称）：</w:t>
            </w:r>
          </w:p>
          <w:p w14:paraId="4A9F1BF5">
            <w:pPr>
              <w:pStyle w:val="16"/>
              <w:spacing w:before="0" w:beforeAutospacing="0" w:after="0" w:afterAutospacing="0" w:line="400" w:lineRule="exact"/>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6E94B3D7">
            <w:pPr>
              <w:pStyle w:val="16"/>
              <w:spacing w:before="0" w:beforeAutospacing="0" w:after="0" w:afterAutospacing="0" w:line="440" w:lineRule="exact"/>
              <w:ind w:firstLine="420" w:firstLineChars="20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我方在此声明，截止本招标项目投标截止时间，我单位、法定代表人</w:t>
            </w:r>
            <w:r>
              <w:rPr>
                <w:rFonts w:hint="default" w:ascii="Times New Roman" w:hAnsi="Times New Roman" w:cs="Times New Roman"/>
                <w:kern w:val="2"/>
                <w:sz w:val="21"/>
                <w:szCs w:val="21"/>
                <w:u w:val="single"/>
                <w:lang w:bidi="ar"/>
              </w:rPr>
              <w:t xml:space="preserve">         </w:t>
            </w:r>
            <w:r>
              <w:rPr>
                <w:rFonts w:hint="default" w:ascii="Times New Roman" w:hAnsi="Times New Roman" w:cs="Times New Roman"/>
                <w:kern w:val="2"/>
                <w:sz w:val="21"/>
                <w:szCs w:val="21"/>
                <w:lang w:bidi="ar"/>
              </w:rPr>
              <w:t>（姓名） 、拟委任的项目负责人</w:t>
            </w:r>
            <w:r>
              <w:rPr>
                <w:rFonts w:hint="default" w:ascii="Times New Roman" w:hAnsi="Times New Roman" w:cs="Times New Roman"/>
                <w:kern w:val="2"/>
                <w:sz w:val="21"/>
                <w:szCs w:val="21"/>
                <w:u w:val="single"/>
                <w:lang w:bidi="ar"/>
              </w:rPr>
              <w:t xml:space="preserve">        </w:t>
            </w:r>
            <w:r>
              <w:rPr>
                <w:rFonts w:hint="default" w:ascii="Times New Roman" w:hAnsi="Times New Roman" w:cs="Times New Roman"/>
                <w:kern w:val="2"/>
                <w:sz w:val="21"/>
                <w:szCs w:val="21"/>
                <w:lang w:bidi="ar"/>
              </w:rPr>
              <w:t>（姓名）在近三年内（</w:t>
            </w:r>
            <w:r>
              <w:rPr>
                <w:rFonts w:hint="default" w:ascii="Times New Roman" w:hAnsi="Times New Roman" w:cs="Times New Roman"/>
                <w:kern w:val="2"/>
                <w:sz w:val="21"/>
                <w:szCs w:val="21"/>
                <w:u w:val="single"/>
                <w:lang w:bidi="ar"/>
              </w:rPr>
              <w:t xml:space="preserve">     </w:t>
            </w:r>
            <w:r>
              <w:rPr>
                <w:rFonts w:hint="default" w:ascii="Times New Roman" w:hAnsi="Times New Roman" w:cs="Times New Roman"/>
                <w:kern w:val="2"/>
                <w:sz w:val="21"/>
                <w:szCs w:val="21"/>
                <w:lang w:bidi="ar"/>
              </w:rPr>
              <w:t>年</w:t>
            </w:r>
            <w:r>
              <w:rPr>
                <w:rFonts w:hint="default" w:ascii="Times New Roman" w:hAnsi="Times New Roman" w:cs="Times New Roman"/>
                <w:kern w:val="2"/>
                <w:sz w:val="21"/>
                <w:szCs w:val="21"/>
                <w:u w:val="single"/>
                <w:lang w:bidi="ar"/>
              </w:rPr>
              <w:t xml:space="preserve">    </w:t>
            </w:r>
            <w:r>
              <w:rPr>
                <w:rFonts w:hint="default" w:ascii="Times New Roman" w:hAnsi="Times New Roman" w:cs="Times New Roman"/>
                <w:kern w:val="2"/>
                <w:sz w:val="21"/>
                <w:szCs w:val="21"/>
                <w:lang w:bidi="ar"/>
              </w:rPr>
              <w:t>月</w:t>
            </w:r>
            <w:r>
              <w:rPr>
                <w:rFonts w:hint="default" w:ascii="Times New Roman" w:hAnsi="Times New Roman" w:cs="Times New Roman"/>
                <w:kern w:val="2"/>
                <w:sz w:val="21"/>
                <w:szCs w:val="21"/>
                <w:u w:val="single"/>
                <w:lang w:bidi="ar"/>
              </w:rPr>
              <w:t xml:space="preserve">    </w:t>
            </w:r>
            <w:r>
              <w:rPr>
                <w:rFonts w:hint="default" w:ascii="Times New Roman" w:hAnsi="Times New Roman" w:cs="Times New Roman"/>
                <w:kern w:val="2"/>
                <w:sz w:val="21"/>
                <w:szCs w:val="21"/>
                <w:lang w:bidi="ar"/>
              </w:rPr>
              <w:t>日至</w:t>
            </w:r>
            <w:r>
              <w:rPr>
                <w:rFonts w:hint="default" w:ascii="Times New Roman" w:hAnsi="Times New Roman" w:cs="Times New Roman"/>
                <w:kern w:val="2"/>
                <w:sz w:val="21"/>
                <w:szCs w:val="21"/>
                <w:u w:val="single"/>
                <w:lang w:bidi="ar"/>
              </w:rPr>
              <w:t xml:space="preserve">     </w:t>
            </w:r>
            <w:r>
              <w:rPr>
                <w:rFonts w:hint="default" w:ascii="Times New Roman" w:hAnsi="Times New Roman" w:cs="Times New Roman"/>
                <w:kern w:val="2"/>
                <w:sz w:val="21"/>
                <w:szCs w:val="21"/>
                <w:lang w:bidi="ar"/>
              </w:rPr>
              <w:t>年</w:t>
            </w:r>
            <w:r>
              <w:rPr>
                <w:rFonts w:hint="default" w:ascii="Times New Roman" w:hAnsi="Times New Roman" w:cs="Times New Roman"/>
                <w:kern w:val="2"/>
                <w:sz w:val="21"/>
                <w:szCs w:val="21"/>
                <w:u w:val="single"/>
                <w:lang w:bidi="ar"/>
              </w:rPr>
              <w:t xml:space="preserve">    </w:t>
            </w:r>
            <w:r>
              <w:rPr>
                <w:rFonts w:hint="default" w:ascii="Times New Roman" w:hAnsi="Times New Roman" w:cs="Times New Roman"/>
                <w:kern w:val="2"/>
                <w:sz w:val="21"/>
                <w:szCs w:val="21"/>
                <w:lang w:bidi="ar"/>
              </w:rPr>
              <w:t>月</w:t>
            </w:r>
            <w:r>
              <w:rPr>
                <w:rFonts w:hint="default" w:ascii="Times New Roman" w:hAnsi="Times New Roman" w:cs="Times New Roman"/>
                <w:kern w:val="2"/>
                <w:sz w:val="21"/>
                <w:szCs w:val="21"/>
                <w:u w:val="single"/>
                <w:lang w:bidi="ar"/>
              </w:rPr>
              <w:t xml:space="preserve">    </w:t>
            </w:r>
            <w:r>
              <w:rPr>
                <w:rFonts w:hint="default" w:ascii="Times New Roman" w:hAnsi="Times New Roman" w:cs="Times New Roman"/>
                <w:kern w:val="2"/>
                <w:sz w:val="21"/>
                <w:szCs w:val="21"/>
                <w:lang w:bidi="ar"/>
              </w:rPr>
              <w:t>日）不曾有人民法院生效判决、裁定认定的行贿犯罪行为。</w:t>
            </w:r>
          </w:p>
          <w:p w14:paraId="0B60ABE3">
            <w:pPr>
              <w:pStyle w:val="16"/>
              <w:spacing w:before="0" w:beforeAutospacing="0" w:after="0" w:afterAutospacing="0" w:line="440" w:lineRule="exact"/>
              <w:ind w:firstLine="420" w:firstLineChars="20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我方对上述声明的真实性负责。如有虚假，将依法承担相应责任。</w:t>
            </w:r>
          </w:p>
          <w:p w14:paraId="131B4CA6">
            <w:pPr>
              <w:pStyle w:val="16"/>
              <w:spacing w:before="0" w:beforeAutospacing="0" w:after="0" w:afterAutospacing="0" w:line="400" w:lineRule="exact"/>
              <w:ind w:firstLine="420" w:firstLineChars="20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25481C94">
            <w:pPr>
              <w:pStyle w:val="16"/>
              <w:snapToGrid w:val="0"/>
              <w:spacing w:before="0" w:beforeAutospacing="0" w:after="0" w:afterAutospacing="0" w:line="520" w:lineRule="exact"/>
              <w:ind w:firstLine="2775" w:firstLineChars="771"/>
              <w:jc w:val="both"/>
              <w:rPr>
                <w:rFonts w:hint="default" w:ascii="Times New Roman" w:hAnsi="Times New Roman" w:eastAsia="仿宋_GB2312" w:cs="Times New Roman"/>
                <w:kern w:val="2"/>
                <w:sz w:val="36"/>
                <w:szCs w:val="36"/>
              </w:rPr>
            </w:pPr>
            <w:r>
              <w:rPr>
                <w:rFonts w:hint="default" w:ascii="Times New Roman" w:hAnsi="Times New Roman" w:cs="Times New Roman"/>
                <w:kern w:val="2"/>
                <w:sz w:val="36"/>
                <w:szCs w:val="36"/>
                <w:lang w:bidi="ar"/>
              </w:rPr>
              <w:t xml:space="preserve"> </w:t>
            </w:r>
          </w:p>
          <w:p w14:paraId="7F236CBA">
            <w:pPr>
              <w:pStyle w:val="16"/>
              <w:spacing w:before="0" w:beforeAutospacing="0" w:after="0" w:afterAutospacing="0" w:line="400" w:lineRule="exact"/>
              <w:ind w:firstLine="480" w:firstLineChars="200"/>
              <w:jc w:val="right"/>
              <w:rPr>
                <w:rFonts w:hint="default" w:ascii="Times New Roman" w:hAnsi="Times New Roman" w:cs="Times New Roman"/>
                <w:kern w:val="2"/>
                <w:sz w:val="21"/>
                <w:szCs w:val="21"/>
              </w:rPr>
            </w:pPr>
            <w:r>
              <w:rPr>
                <w:rFonts w:hint="default" w:ascii="Times New Roman" w:hAnsi="Times New Roman" w:cs="Times New Roman"/>
                <w:kern w:val="2"/>
                <w:szCs w:val="24"/>
                <w:lang w:bidi="ar"/>
              </w:rPr>
              <w:t xml:space="preserve">     </w:t>
            </w:r>
            <w:r>
              <w:rPr>
                <w:rFonts w:hint="default" w:ascii="Times New Roman" w:hAnsi="Times New Roman" w:cs="Times New Roman"/>
                <w:kern w:val="2"/>
                <w:sz w:val="21"/>
                <w:szCs w:val="21"/>
                <w:lang w:bidi="ar"/>
              </w:rPr>
              <w:t xml:space="preserve">  投标人：________________（盖单位章）</w:t>
            </w:r>
          </w:p>
          <w:p w14:paraId="31D1966A">
            <w:pPr>
              <w:pStyle w:val="16"/>
              <w:wordWrap w:val="0"/>
              <w:spacing w:before="0" w:beforeAutospacing="0" w:after="0" w:afterAutospacing="0" w:line="400" w:lineRule="exact"/>
              <w:ind w:firstLine="420" w:firstLineChars="200"/>
              <w:jc w:val="right"/>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1F2A393E">
            <w:pPr>
              <w:pStyle w:val="16"/>
              <w:spacing w:before="0" w:beforeAutospacing="0" w:after="0" w:afterAutospacing="0" w:line="400" w:lineRule="exact"/>
              <w:ind w:firstLine="420" w:firstLineChars="200"/>
              <w:jc w:val="right"/>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法定代表人：</w:t>
            </w:r>
            <w:r>
              <w:rPr>
                <w:rFonts w:hint="default" w:ascii="Times New Roman" w:hAnsi="Times New Roman" w:cs="Times New Roman"/>
                <w:kern w:val="2"/>
                <w:sz w:val="21"/>
                <w:szCs w:val="21"/>
                <w:u w:val="single"/>
                <w:lang w:bidi="ar"/>
              </w:rPr>
              <w:t xml:space="preserve">                </w:t>
            </w:r>
            <w:r>
              <w:rPr>
                <w:rFonts w:hint="default" w:ascii="Times New Roman" w:hAnsi="Times New Roman" w:cs="Times New Roman"/>
                <w:kern w:val="2"/>
                <w:sz w:val="21"/>
                <w:szCs w:val="21"/>
                <w:lang w:bidi="ar"/>
              </w:rPr>
              <w:t>（签字）</w:t>
            </w:r>
          </w:p>
          <w:p w14:paraId="350EEAFC">
            <w:pPr>
              <w:pStyle w:val="16"/>
              <w:spacing w:before="0" w:beforeAutospacing="0" w:after="0" w:afterAutospacing="0" w:line="400" w:lineRule="exact"/>
              <w:ind w:firstLine="420" w:firstLineChars="200"/>
              <w:jc w:val="right"/>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3DDEE5B6">
            <w:pPr>
              <w:pStyle w:val="16"/>
              <w:spacing w:before="0" w:beforeAutospacing="0" w:after="0" w:afterAutospacing="0" w:line="400" w:lineRule="exact"/>
              <w:ind w:firstLine="420" w:firstLineChars="200"/>
              <w:jc w:val="right"/>
              <w:rPr>
                <w:rFonts w:hint="default" w:ascii="Times New Roman" w:hAnsi="Times New Roman" w:cs="Times New Roman"/>
                <w:kern w:val="2"/>
                <w:sz w:val="21"/>
                <w:szCs w:val="21"/>
              </w:rPr>
            </w:pPr>
            <w:r>
              <w:rPr>
                <w:rFonts w:hint="default" w:ascii="Times New Roman" w:hAnsi="Times New Roman" w:cs="Times New Roman"/>
                <w:kern w:val="2"/>
                <w:sz w:val="21"/>
                <w:szCs w:val="21"/>
                <w:u w:val="single"/>
                <w:lang w:bidi="ar"/>
              </w:rPr>
              <w:t xml:space="preserve">       </w:t>
            </w:r>
            <w:r>
              <w:rPr>
                <w:rFonts w:hint="default" w:ascii="Times New Roman" w:hAnsi="Times New Roman" w:cs="Times New Roman"/>
                <w:kern w:val="2"/>
                <w:sz w:val="21"/>
                <w:szCs w:val="21"/>
                <w:lang w:bidi="ar"/>
              </w:rPr>
              <w:t>年</w:t>
            </w:r>
            <w:r>
              <w:rPr>
                <w:rFonts w:hint="default" w:ascii="Times New Roman" w:hAnsi="Times New Roman" w:cs="Times New Roman"/>
                <w:kern w:val="2"/>
                <w:sz w:val="21"/>
                <w:szCs w:val="21"/>
                <w:u w:val="single"/>
                <w:lang w:bidi="ar"/>
              </w:rPr>
              <w:t xml:space="preserve">     </w:t>
            </w:r>
            <w:r>
              <w:rPr>
                <w:rFonts w:hint="default" w:ascii="Times New Roman" w:hAnsi="Times New Roman" w:cs="Times New Roman"/>
                <w:kern w:val="2"/>
                <w:sz w:val="21"/>
                <w:szCs w:val="21"/>
                <w:lang w:bidi="ar"/>
              </w:rPr>
              <w:t>月</w:t>
            </w:r>
            <w:r>
              <w:rPr>
                <w:rFonts w:hint="default" w:ascii="Times New Roman" w:hAnsi="Times New Roman" w:cs="Times New Roman"/>
                <w:kern w:val="2"/>
                <w:sz w:val="21"/>
                <w:szCs w:val="21"/>
                <w:u w:val="single"/>
                <w:lang w:bidi="ar"/>
              </w:rPr>
              <w:t xml:space="preserve">    </w:t>
            </w:r>
            <w:r>
              <w:rPr>
                <w:rFonts w:hint="default" w:ascii="Times New Roman" w:hAnsi="Times New Roman" w:cs="Times New Roman"/>
                <w:kern w:val="2"/>
                <w:sz w:val="21"/>
                <w:szCs w:val="21"/>
                <w:lang w:bidi="ar"/>
              </w:rPr>
              <w:t>日</w:t>
            </w:r>
          </w:p>
          <w:p w14:paraId="12BAD677">
            <w:pPr>
              <w:spacing w:line="400" w:lineRule="atLeast"/>
              <w:ind w:left="630" w:hanging="630" w:hangingChars="300"/>
              <w:rPr>
                <w:rFonts w:hint="default" w:ascii="Times New Roman" w:hAnsi="Times New Roman" w:cs="Times New Roman"/>
                <w:color w:val="000000"/>
                <w:szCs w:val="21"/>
              </w:rPr>
            </w:pPr>
          </w:p>
        </w:tc>
      </w:tr>
    </w:tbl>
    <w:p w14:paraId="0AB4E9BC">
      <w:pPr>
        <w:spacing w:line="400" w:lineRule="atLeast"/>
        <w:ind w:left="630" w:hanging="630" w:hangingChars="3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730A4E2">
      <w:pPr>
        <w:spacing w:line="400" w:lineRule="atLeast"/>
        <w:ind w:left="630" w:hanging="630" w:hangingChars="3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E9F5072">
      <w:pPr>
        <w:spacing w:line="400" w:lineRule="atLeast"/>
        <w:ind w:left="840" w:hanging="840" w:hangingChars="400"/>
        <w:rPr>
          <w:rFonts w:hint="default" w:ascii="Times New Roman" w:hAnsi="Times New Roman" w:cs="Times New Roman"/>
          <w:color w:val="000000"/>
          <w:szCs w:val="21"/>
        </w:rPr>
      </w:pPr>
      <w:r>
        <w:rPr>
          <w:rFonts w:hint="default" w:ascii="Times New Roman" w:hAnsi="Times New Roman" w:cs="Times New Roman"/>
          <w:color w:val="000000"/>
          <w:szCs w:val="21"/>
          <w:lang w:bidi="ar"/>
        </w:rPr>
        <w:t>备注：1. 投标人自行对</w:t>
      </w:r>
      <w:r>
        <w:rPr>
          <w:rFonts w:hint="default" w:ascii="Times New Roman" w:hAnsi="Times New Roman" w:cs="Times New Roman"/>
          <w:b/>
          <w:color w:val="000000"/>
          <w:szCs w:val="21"/>
          <w:lang w:bidi="ar"/>
        </w:rPr>
        <w:t>本单位</w:t>
      </w:r>
      <w:r>
        <w:rPr>
          <w:rFonts w:hint="default" w:ascii="Times New Roman" w:hAnsi="Times New Roman" w:cs="Times New Roman"/>
          <w:color w:val="000000"/>
          <w:szCs w:val="21"/>
          <w:lang w:bidi="ar"/>
        </w:rPr>
        <w:t>以及</w:t>
      </w:r>
      <w:r>
        <w:rPr>
          <w:rFonts w:hint="default" w:ascii="Times New Roman" w:hAnsi="Times New Roman" w:cs="Times New Roman"/>
          <w:b/>
          <w:color w:val="000000"/>
          <w:szCs w:val="21"/>
          <w:lang w:bidi="ar"/>
        </w:rPr>
        <w:t>法定代表人</w:t>
      </w:r>
      <w:r>
        <w:rPr>
          <w:rFonts w:hint="default" w:ascii="Times New Roman" w:hAnsi="Times New Roman" w:cs="Times New Roman"/>
          <w:color w:val="000000"/>
          <w:szCs w:val="21"/>
          <w:lang w:bidi="ar"/>
        </w:rPr>
        <w:t>近三年有无行贿犯罪记录进行书面声明，格式自拟，并将盖章复印件附在本表中。</w:t>
      </w:r>
    </w:p>
    <w:p w14:paraId="2B4F0553">
      <w:pPr>
        <w:spacing w:line="400" w:lineRule="atLeast"/>
        <w:ind w:firstLine="630" w:firstLineChars="300"/>
        <w:rPr>
          <w:rFonts w:hint="default" w:ascii="Times New Roman" w:hAnsi="Times New Roman" w:cs="Times New Roman"/>
          <w:color w:val="000000"/>
          <w:szCs w:val="21"/>
        </w:rPr>
      </w:pPr>
      <w:r>
        <w:rPr>
          <w:rFonts w:hint="default" w:ascii="Times New Roman" w:hAnsi="Times New Roman" w:cs="Times New Roman"/>
          <w:color w:val="000000"/>
          <w:szCs w:val="21"/>
          <w:lang w:bidi="ar"/>
        </w:rPr>
        <w:t>2. 联合体投标的，应当对所有联合体成员及相关人员进行声明。</w:t>
      </w:r>
    </w:p>
    <w:p w14:paraId="64D130E9">
      <w:pPr>
        <w:rPr>
          <w:rFonts w:hint="default" w:ascii="Times New Roman" w:hAnsi="Times New Roman" w:cs="Times New Roman"/>
          <w:color w:val="000000"/>
          <w:szCs w:val="21"/>
        </w:rPr>
      </w:pPr>
      <w:r>
        <w:rPr>
          <w:rFonts w:hint="default" w:ascii="Times New Roman" w:hAnsi="Times New Roman" w:cs="Times New Roman"/>
          <w:color w:val="000000"/>
          <w:szCs w:val="21"/>
          <w:lang w:bidi="ar"/>
        </w:rPr>
        <w:br w:type="page"/>
      </w:r>
    </w:p>
    <w:p w14:paraId="3A2A20DE">
      <w:pPr>
        <w:keepNext/>
        <w:keepLines/>
        <w:spacing w:line="400" w:lineRule="exact"/>
        <w:ind w:firstLine="0" w:firstLineChars="0"/>
        <w:jc w:val="center"/>
        <w:outlineLvl w:val="3"/>
        <w:rPr>
          <w:rFonts w:hint="default" w:ascii="Times New Roman" w:hAnsi="Times New Roman" w:eastAsia="黑体" w:cs="Times New Roman"/>
          <w:color w:val="000000"/>
          <w:sz w:val="24"/>
          <w:szCs w:val="24"/>
          <w:lang w:bidi="ar"/>
        </w:rPr>
      </w:pPr>
      <w:r>
        <w:rPr>
          <w:rFonts w:hint="eastAsia" w:ascii="Times New Roman" w:hAnsi="Times New Roman" w:eastAsia="黑体" w:cs="Times New Roman"/>
          <w:color w:val="000000"/>
          <w:sz w:val="24"/>
          <w:szCs w:val="24"/>
          <w:lang w:val="en-US" w:eastAsia="zh-CN" w:bidi="ar"/>
        </w:rPr>
        <w:t>4</w:t>
      </w:r>
      <w:r>
        <w:rPr>
          <w:rFonts w:hint="default" w:ascii="Times New Roman" w:hAnsi="Times New Roman" w:eastAsia="黑体" w:cs="Times New Roman"/>
          <w:color w:val="000000"/>
          <w:sz w:val="24"/>
          <w:szCs w:val="24"/>
          <w:lang w:bidi="ar"/>
        </w:rPr>
        <w:t>-2失信被执行人查询结果</w:t>
      </w:r>
    </w:p>
    <w:p w14:paraId="2760EE35">
      <w:pPr>
        <w:keepNext/>
        <w:keepLines/>
        <w:spacing w:line="400" w:lineRule="exact"/>
        <w:jc w:val="center"/>
        <w:outlineLvl w:val="3"/>
        <w:rPr>
          <w:rFonts w:hint="default" w:ascii="Times New Roman" w:hAnsi="Times New Roman" w:cs="Times New Roman"/>
          <w:color w:val="000000"/>
          <w:sz w:val="24"/>
          <w:szCs w:val="24"/>
        </w:rPr>
      </w:pPr>
      <w:r>
        <w:rPr>
          <w:rFonts w:hint="eastAsia" w:ascii="Times New Roman" w:hAnsi="Times New Roman" w:eastAsia="黑体" w:cs="Times New Roman"/>
          <w:color w:val="000000"/>
          <w:sz w:val="24"/>
          <w:szCs w:val="24"/>
          <w:lang w:val="en-US" w:eastAsia="zh-CN" w:bidi="ar"/>
        </w:rPr>
        <w:t>a</w:t>
      </w:r>
      <w:r>
        <w:rPr>
          <w:rFonts w:hint="default" w:ascii="Times New Roman" w:hAnsi="Times New Roman" w:eastAsia="黑体" w:cs="Times New Roman"/>
          <w:color w:val="000000"/>
          <w:sz w:val="24"/>
          <w:szCs w:val="24"/>
          <w:lang w:val="en-US" w:eastAsia="zh-CN" w:bidi="ar"/>
        </w:rPr>
        <w:t>.</w:t>
      </w:r>
      <w:r>
        <w:rPr>
          <w:rFonts w:hint="default" w:ascii="Times New Roman" w:hAnsi="Times New Roman" w:eastAsia="黑体" w:cs="Times New Roman"/>
          <w:color w:val="000000"/>
          <w:sz w:val="24"/>
          <w:szCs w:val="24"/>
          <w:lang w:bidi="ar"/>
        </w:rPr>
        <w:t xml:space="preserve"> </w:t>
      </w:r>
      <w:r>
        <w:rPr>
          <w:rFonts w:hint="default" w:ascii="Times New Roman" w:hAnsi="Times New Roman" w:cs="Times New Roman"/>
          <w:color w:val="000000"/>
          <w:szCs w:val="21"/>
          <w:lang w:bidi="ar"/>
        </w:rPr>
        <w:t>失信惩戒信息声明函</w:t>
      </w:r>
    </w:p>
    <w:p w14:paraId="6B8A7CCD">
      <w:pPr>
        <w:spacing w:line="400" w:lineRule="atLeast"/>
        <w:ind w:left="840" w:hanging="840" w:hangingChars="4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C6DD11A">
      <w:pPr>
        <w:spacing w:line="400" w:lineRule="atLeast"/>
        <w:ind w:left="840" w:hanging="840" w:hangingChars="4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tbl>
      <w:tblPr>
        <w:tblStyle w:val="17"/>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8"/>
      </w:tblGrid>
      <w:tr w14:paraId="330C7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0" w:hRule="atLeast"/>
        </w:trPr>
        <w:tc>
          <w:tcPr>
            <w:tcW w:w="9118" w:type="dxa"/>
            <w:tcBorders>
              <w:top w:val="single" w:color="auto" w:sz="4" w:space="0"/>
              <w:left w:val="single" w:color="auto" w:sz="4" w:space="0"/>
              <w:bottom w:val="single" w:color="auto" w:sz="4" w:space="0"/>
              <w:right w:val="single" w:color="auto" w:sz="4" w:space="0"/>
            </w:tcBorders>
            <w:shd w:val="clear" w:color="auto" w:fill="auto"/>
          </w:tcPr>
          <w:p w14:paraId="38092D2A">
            <w:pPr>
              <w:spacing w:line="400" w:lineRule="atLeast"/>
              <w:ind w:left="630" w:hanging="630" w:hangingChars="300"/>
              <w:rPr>
                <w:rFonts w:hint="default" w:ascii="Times New Roman" w:hAnsi="Times New Roman" w:cs="Times New Roman"/>
                <w:color w:val="000000"/>
                <w:szCs w:val="21"/>
              </w:rPr>
            </w:pPr>
          </w:p>
        </w:tc>
      </w:tr>
    </w:tbl>
    <w:p w14:paraId="44C115B8">
      <w:pPr>
        <w:spacing w:line="400" w:lineRule="atLeast"/>
        <w:ind w:left="630" w:hanging="630" w:hangingChars="3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D9799D5">
      <w:pPr>
        <w:pStyle w:val="16"/>
        <w:spacing w:before="0" w:beforeAutospacing="0" w:after="0" w:afterAutospacing="0" w:line="400" w:lineRule="atLeast"/>
        <w:ind w:left="840" w:hanging="840" w:hangingChars="40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备注：1. 申请人自行通过“信用中国”网站（www.creditchina.gov.cn）下载信用信息报告，查询申请人的失信惩戒信息，并将信用信息报告作为附件附在本表中。信用信息报告生成时间应不早于招标文件发出之日且不晚于投标截止之日。</w:t>
      </w:r>
    </w:p>
    <w:p w14:paraId="79E6FEAA">
      <w:pPr>
        <w:pStyle w:val="16"/>
        <w:spacing w:before="0" w:beforeAutospacing="0" w:after="0" w:afterAutospacing="0" w:line="400" w:lineRule="atLeast"/>
        <w:ind w:left="840" w:leftChars="300" w:hanging="210" w:hangingChars="10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2. 联合体投标的，应当对所有联合体成员进行查询。</w:t>
      </w:r>
    </w:p>
    <w:p w14:paraId="6CB4C07D">
      <w:pPr>
        <w:rPr>
          <w:rFonts w:hint="default" w:ascii="Times New Roman" w:hAnsi="Times New Roman" w:cs="Times New Roman"/>
          <w:color w:val="000000"/>
          <w:szCs w:val="21"/>
        </w:rPr>
      </w:pPr>
      <w:r>
        <w:rPr>
          <w:rFonts w:hint="default" w:ascii="Times New Roman" w:hAnsi="Times New Roman" w:cs="Times New Roman"/>
          <w:color w:val="000000"/>
          <w:szCs w:val="21"/>
          <w:lang w:bidi="ar"/>
        </w:rPr>
        <w:br w:type="page"/>
      </w:r>
    </w:p>
    <w:p w14:paraId="1AB950F9">
      <w:pPr>
        <w:jc w:val="center"/>
        <w:rPr>
          <w:rFonts w:hint="default" w:ascii="Times New Roman" w:hAnsi="Times New Roman" w:cs="Times New Roman"/>
          <w:color w:val="000000"/>
          <w:sz w:val="24"/>
          <w:szCs w:val="24"/>
        </w:rPr>
      </w:pPr>
      <w:r>
        <w:rPr>
          <w:rFonts w:hint="eastAsia" w:ascii="Times New Roman" w:hAnsi="Times New Roman" w:eastAsia="黑体" w:cs="Times New Roman"/>
          <w:color w:val="000000"/>
          <w:sz w:val="24"/>
          <w:szCs w:val="24"/>
          <w:lang w:val="en-US" w:eastAsia="zh-CN" w:bidi="ar"/>
        </w:rPr>
        <w:t>b.</w:t>
      </w:r>
      <w:r>
        <w:rPr>
          <w:rFonts w:hint="default" w:ascii="Times New Roman" w:hAnsi="Times New Roman" w:cs="Times New Roman"/>
          <w:color w:val="000000"/>
          <w:szCs w:val="21"/>
          <w:lang w:bidi="ar"/>
        </w:rPr>
        <w:t>“湖北公共资源交易电子服务系统-信用信息”重点监管对象声明函（</w:t>
      </w:r>
      <w:r>
        <w:rPr>
          <w:rFonts w:hint="default" w:ascii="Times New Roman" w:hAnsi="Times New Roman" w:cs="Times New Roman"/>
          <w:b/>
          <w:bCs/>
          <w:color w:val="000000"/>
          <w:szCs w:val="21"/>
          <w:lang w:bidi="ar"/>
        </w:rPr>
        <w:t>无需提供</w:t>
      </w:r>
      <w:r>
        <w:rPr>
          <w:rFonts w:hint="default" w:ascii="Times New Roman" w:hAnsi="Times New Roman" w:cs="Times New Roman"/>
          <w:color w:val="000000"/>
          <w:szCs w:val="21"/>
          <w:lang w:bidi="ar"/>
        </w:rPr>
        <w:t>）</w:t>
      </w:r>
    </w:p>
    <w:p w14:paraId="573AC434">
      <w:pPr>
        <w:pStyle w:val="16"/>
        <w:keepNext/>
        <w:keepLines/>
        <w:widowControl w:val="0"/>
        <w:spacing w:before="0" w:after="0" w:afterAutospacing="0" w:line="400" w:lineRule="exact"/>
        <w:jc w:val="center"/>
        <w:outlineLvl w:val="3"/>
        <w:rPr>
          <w:rFonts w:hint="default" w:ascii="Times New Roman" w:hAnsi="Times New Roman" w:eastAsia="黑体" w:cs="Times New Roman"/>
          <w:kern w:val="2"/>
          <w:szCs w:val="24"/>
        </w:rPr>
      </w:pPr>
      <w:r>
        <w:rPr>
          <w:rFonts w:hint="default" w:ascii="Times New Roman" w:hAnsi="Times New Roman" w:eastAsia="黑体" w:cs="Times New Roman"/>
          <w:kern w:val="2"/>
          <w:szCs w:val="24"/>
          <w:lang w:bidi="ar"/>
        </w:rPr>
        <w:t xml:space="preserve"> </w:t>
      </w:r>
    </w:p>
    <w:tbl>
      <w:tblPr>
        <w:tblStyle w:val="1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2F19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3" w:hRule="atLeast"/>
        </w:trPr>
        <w:tc>
          <w:tcPr>
            <w:tcW w:w="8522" w:type="dxa"/>
            <w:tcBorders>
              <w:top w:val="single" w:color="auto" w:sz="4" w:space="0"/>
              <w:left w:val="single" w:color="auto" w:sz="4" w:space="0"/>
              <w:bottom w:val="single" w:color="auto" w:sz="4" w:space="0"/>
              <w:right w:val="single" w:color="auto" w:sz="4" w:space="0"/>
            </w:tcBorders>
            <w:shd w:val="clear" w:color="auto" w:fill="auto"/>
          </w:tcPr>
          <w:p w14:paraId="23A44D55">
            <w:pPr>
              <w:pStyle w:val="16"/>
              <w:widowControl w:val="0"/>
              <w:spacing w:before="0" w:after="156" w:afterLines="50" w:afterAutospacing="0" w:line="400" w:lineRule="exact"/>
              <w:outlineLvl w:val="2"/>
              <w:rPr>
                <w:rFonts w:hint="default" w:ascii="Times New Roman" w:hAnsi="Times New Roman" w:cs="Times New Roman"/>
                <w:kern w:val="2"/>
                <w:sz w:val="21"/>
                <w:szCs w:val="21"/>
              </w:rPr>
            </w:pPr>
          </w:p>
        </w:tc>
      </w:tr>
    </w:tbl>
    <w:p w14:paraId="18D7E0C8">
      <w:pPr>
        <w:widowControl/>
        <w:jc w:val="lef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13A9E3F">
      <w:pPr>
        <w:widowControl/>
        <w:spacing w:line="400" w:lineRule="atLeast"/>
        <w:jc w:val="left"/>
        <w:rPr>
          <w:rFonts w:hint="default" w:ascii="Times New Roman" w:hAnsi="Times New Roman" w:cs="Times New Roman"/>
          <w:color w:val="000000"/>
          <w:szCs w:val="21"/>
        </w:rPr>
      </w:pPr>
      <w:r>
        <w:rPr>
          <w:rFonts w:hint="default" w:ascii="Times New Roman" w:hAnsi="Times New Roman" w:cs="Times New Roman"/>
          <w:color w:val="000000"/>
          <w:szCs w:val="21"/>
          <w:lang w:bidi="ar"/>
        </w:rPr>
        <w:t>备注：1. 申请人自行对本单位及法定代表人在“湖北公共资源交易电子服务系统-信用信息”网站是否被列入重点监管对象进行书面声明，格式自拟，并将盖章声明函附在本表中。</w:t>
      </w:r>
    </w:p>
    <w:p w14:paraId="0FBE0E84">
      <w:pPr>
        <w:widowControl/>
        <w:spacing w:line="400" w:lineRule="atLeast"/>
        <w:jc w:val="lef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2. 联合体投标的，应当对所有联合体成员进行声明。 </w:t>
      </w:r>
    </w:p>
    <w:p w14:paraId="2F9A91FD">
      <w:pPr>
        <w:rPr>
          <w:rFonts w:hint="default" w:ascii="Times New Roman" w:hAnsi="Times New Roman" w:cs="Times New Roman"/>
          <w:color w:val="000000"/>
          <w:szCs w:val="21"/>
        </w:rPr>
      </w:pPr>
      <w:r>
        <w:rPr>
          <w:rFonts w:hint="default" w:ascii="Times New Roman" w:hAnsi="Times New Roman" w:cs="Times New Roman"/>
          <w:color w:val="000000"/>
          <w:szCs w:val="21"/>
          <w:lang w:bidi="ar"/>
        </w:rPr>
        <w:br w:type="page"/>
      </w:r>
    </w:p>
    <w:p w14:paraId="2A9C6860">
      <w:pPr>
        <w:widowControl/>
        <w:spacing w:line="400" w:lineRule="atLeast"/>
        <w:jc w:val="center"/>
        <w:rPr>
          <w:rFonts w:hint="default" w:ascii="Times New Roman" w:hAnsi="Times New Roman" w:eastAsia="黑体" w:cs="Times New Roman"/>
          <w:color w:val="000000"/>
          <w:sz w:val="24"/>
          <w:szCs w:val="24"/>
        </w:rPr>
      </w:pPr>
      <w:r>
        <w:rPr>
          <w:rFonts w:hint="eastAsia" w:ascii="Times New Roman" w:hAnsi="Times New Roman" w:eastAsia="黑体" w:cs="Times New Roman"/>
          <w:color w:val="000000"/>
          <w:sz w:val="24"/>
          <w:szCs w:val="24"/>
          <w:lang w:val="en-US" w:eastAsia="zh-CN" w:bidi="ar"/>
        </w:rPr>
        <w:t>4</w:t>
      </w:r>
      <w:r>
        <w:rPr>
          <w:rFonts w:hint="default" w:ascii="Times New Roman" w:hAnsi="Times New Roman" w:eastAsia="黑体" w:cs="Times New Roman"/>
          <w:color w:val="000000"/>
          <w:sz w:val="24"/>
          <w:szCs w:val="24"/>
          <w:lang w:bidi="ar"/>
        </w:rPr>
        <w:t>-</w:t>
      </w:r>
      <w:r>
        <w:rPr>
          <w:rFonts w:hint="default" w:ascii="Times New Roman" w:hAnsi="Times New Roman" w:eastAsia="黑体" w:cs="Times New Roman"/>
          <w:color w:val="000000"/>
          <w:sz w:val="24"/>
          <w:szCs w:val="24"/>
          <w:lang w:val="en-US" w:eastAsia="zh-CN" w:bidi="ar"/>
        </w:rPr>
        <w:t>3</w:t>
      </w:r>
      <w:r>
        <w:rPr>
          <w:rFonts w:hint="default" w:ascii="Times New Roman" w:hAnsi="Times New Roman" w:eastAsia="黑体" w:cs="Times New Roman"/>
          <w:color w:val="000000"/>
          <w:sz w:val="24"/>
          <w:szCs w:val="24"/>
          <w:lang w:bidi="ar"/>
        </w:rPr>
        <w:t xml:space="preserve"> 近年发生的诉讼和仲裁情况（</w:t>
      </w:r>
      <w:r>
        <w:rPr>
          <w:rFonts w:hint="default" w:ascii="Times New Roman" w:hAnsi="Times New Roman" w:cs="Times New Roman"/>
          <w:b/>
          <w:bCs/>
          <w:color w:val="000000"/>
          <w:szCs w:val="21"/>
          <w:lang w:bidi="ar"/>
        </w:rPr>
        <w:t xml:space="preserve">无需提供 </w:t>
      </w:r>
      <w:r>
        <w:rPr>
          <w:rFonts w:hint="default" w:ascii="Times New Roman" w:hAnsi="Times New Roman" w:eastAsia="黑体" w:cs="Times New Roman"/>
          <w:color w:val="000000"/>
          <w:sz w:val="24"/>
          <w:szCs w:val="24"/>
          <w:lang w:bidi="ar"/>
        </w:rPr>
        <w:t>）</w:t>
      </w:r>
    </w:p>
    <w:p w14:paraId="3D636610">
      <w:pPr>
        <w:spacing w:before="156" w:beforeLines="50" w:after="312" w:afterLines="100" w:line="440" w:lineRule="exact"/>
        <w:rPr>
          <w:rFonts w:hint="default" w:ascii="Times New Roman" w:hAnsi="Times New Roman" w:eastAsia="黑体" w:cs="Times New Roman"/>
          <w:color w:val="000000"/>
          <w:sz w:val="24"/>
          <w:szCs w:val="24"/>
        </w:rPr>
      </w:pPr>
      <w:r>
        <w:rPr>
          <w:rFonts w:hint="default" w:ascii="Times New Roman" w:hAnsi="Times New Roman" w:eastAsia="黑体" w:cs="Times New Roman"/>
          <w:color w:val="000000"/>
          <w:sz w:val="24"/>
          <w:szCs w:val="24"/>
          <w:lang w:bidi="ar"/>
        </w:rPr>
        <w:t xml:space="preserve"> </w:t>
      </w:r>
    </w:p>
    <w:p w14:paraId="5ED7F7F6">
      <w:pPr>
        <w:rPr>
          <w:rFonts w:hint="default" w:ascii="Times New Roman" w:hAnsi="Times New Roman" w:cs="Times New Roman"/>
          <w:color w:val="000000"/>
          <w:szCs w:val="21"/>
        </w:rPr>
      </w:pPr>
      <w:r>
        <w:rPr>
          <w:rFonts w:hint="default" w:ascii="Times New Roman" w:hAnsi="Times New Roman" w:cs="Times New Roman"/>
          <w:color w:val="000000"/>
          <w:szCs w:val="21"/>
          <w:lang w:bidi="ar"/>
        </w:rPr>
        <w:br w:type="page"/>
      </w:r>
    </w:p>
    <w:p w14:paraId="3ED8B67B">
      <w:pPr>
        <w:keepNext/>
        <w:keepLines/>
        <w:spacing w:line="240" w:lineRule="exact"/>
        <w:jc w:val="center"/>
        <w:outlineLvl w:val="3"/>
        <w:rPr>
          <w:rFonts w:hint="default" w:ascii="Times New Roman" w:hAnsi="Times New Roman" w:eastAsia="黑体" w:cs="Times New Roman"/>
          <w:color w:val="000000"/>
          <w:sz w:val="24"/>
          <w:szCs w:val="24"/>
          <w:lang w:val="en-US" w:eastAsia="zh-CN"/>
        </w:rPr>
      </w:pPr>
      <w:r>
        <w:rPr>
          <w:rFonts w:hint="eastAsia" w:ascii="Times New Roman" w:hAnsi="Times New Roman" w:eastAsia="黑体" w:cs="Times New Roman"/>
          <w:color w:val="000000"/>
          <w:sz w:val="24"/>
          <w:szCs w:val="24"/>
          <w:lang w:val="en-US" w:eastAsia="zh-CN" w:bidi="ar"/>
        </w:rPr>
        <w:t>4</w:t>
      </w:r>
      <w:r>
        <w:rPr>
          <w:rFonts w:hint="default" w:ascii="Times New Roman" w:hAnsi="Times New Roman" w:eastAsia="黑体" w:cs="Times New Roman"/>
          <w:color w:val="000000"/>
          <w:sz w:val="24"/>
          <w:szCs w:val="24"/>
          <w:lang w:bidi="ar"/>
        </w:rPr>
        <w:t>-</w:t>
      </w:r>
      <w:r>
        <w:rPr>
          <w:rFonts w:hint="default" w:ascii="Times New Roman" w:hAnsi="Times New Roman" w:eastAsia="黑体" w:cs="Times New Roman"/>
          <w:color w:val="000000"/>
          <w:sz w:val="24"/>
          <w:szCs w:val="24"/>
          <w:lang w:val="en-US" w:eastAsia="zh-CN" w:bidi="ar"/>
        </w:rPr>
        <w:t>4</w:t>
      </w:r>
      <w:r>
        <w:rPr>
          <w:rFonts w:hint="default" w:ascii="Times New Roman" w:hAnsi="Times New Roman" w:eastAsia="黑体" w:cs="Times New Roman"/>
          <w:color w:val="000000"/>
          <w:sz w:val="24"/>
          <w:szCs w:val="24"/>
          <w:lang w:bidi="ar"/>
        </w:rPr>
        <w:t xml:space="preserve"> 近年投标人获得奖项情况表</w:t>
      </w:r>
      <w:r>
        <w:rPr>
          <w:rFonts w:hint="eastAsia" w:ascii="Times New Roman" w:hAnsi="Times New Roman" w:eastAsia="黑体" w:cs="Times New Roman"/>
          <w:color w:val="000000"/>
          <w:sz w:val="24"/>
          <w:szCs w:val="24"/>
          <w:lang w:eastAsia="zh-CN" w:bidi="ar"/>
        </w:rPr>
        <w:t>（</w:t>
      </w:r>
      <w:r>
        <w:rPr>
          <w:rFonts w:hint="eastAsia" w:ascii="Times New Roman" w:hAnsi="Times New Roman" w:eastAsia="黑体" w:cs="Times New Roman"/>
          <w:color w:val="000000"/>
          <w:sz w:val="24"/>
          <w:szCs w:val="24"/>
          <w:lang w:val="en-US" w:eastAsia="zh-CN" w:bidi="ar"/>
        </w:rPr>
        <w:t>无需提供）</w:t>
      </w:r>
    </w:p>
    <w:p w14:paraId="2CA71B16">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tbl>
      <w:tblPr>
        <w:tblStyle w:val="17"/>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2402"/>
        <w:gridCol w:w="1800"/>
        <w:gridCol w:w="1440"/>
        <w:gridCol w:w="2160"/>
      </w:tblGrid>
      <w:tr w14:paraId="2C70E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tcBorders>
              <w:top w:val="single" w:color="auto" w:sz="4" w:space="0"/>
              <w:left w:val="single" w:color="auto" w:sz="4" w:space="0"/>
              <w:bottom w:val="single" w:color="auto" w:sz="4" w:space="0"/>
              <w:right w:val="single" w:color="auto" w:sz="4" w:space="0"/>
            </w:tcBorders>
            <w:shd w:val="clear" w:color="auto" w:fill="auto"/>
            <w:vAlign w:val="center"/>
          </w:tcPr>
          <w:p w14:paraId="0CF8B7B5">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序号</w:t>
            </w:r>
          </w:p>
        </w:tc>
        <w:tc>
          <w:tcPr>
            <w:tcW w:w="2402" w:type="dxa"/>
            <w:tcBorders>
              <w:top w:val="single" w:color="auto" w:sz="4" w:space="0"/>
              <w:left w:val="nil"/>
              <w:bottom w:val="single" w:color="auto" w:sz="4" w:space="0"/>
              <w:right w:val="single" w:color="auto" w:sz="4" w:space="0"/>
            </w:tcBorders>
            <w:shd w:val="clear" w:color="auto" w:fill="auto"/>
            <w:vAlign w:val="center"/>
          </w:tcPr>
          <w:p w14:paraId="5DE1B996">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项目名称</w:t>
            </w:r>
          </w:p>
        </w:tc>
        <w:tc>
          <w:tcPr>
            <w:tcW w:w="1800" w:type="dxa"/>
            <w:tcBorders>
              <w:top w:val="single" w:color="auto" w:sz="4" w:space="0"/>
              <w:left w:val="nil"/>
              <w:bottom w:val="single" w:color="auto" w:sz="4" w:space="0"/>
              <w:right w:val="single" w:color="auto" w:sz="4" w:space="0"/>
            </w:tcBorders>
            <w:shd w:val="clear" w:color="auto" w:fill="auto"/>
            <w:vAlign w:val="center"/>
          </w:tcPr>
          <w:p w14:paraId="4F90CCC0">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获奖名称</w:t>
            </w:r>
          </w:p>
        </w:tc>
        <w:tc>
          <w:tcPr>
            <w:tcW w:w="1440" w:type="dxa"/>
            <w:tcBorders>
              <w:top w:val="single" w:color="auto" w:sz="4" w:space="0"/>
              <w:left w:val="nil"/>
              <w:bottom w:val="single" w:color="auto" w:sz="4" w:space="0"/>
              <w:right w:val="single" w:color="auto" w:sz="4" w:space="0"/>
            </w:tcBorders>
            <w:shd w:val="clear" w:color="auto" w:fill="auto"/>
            <w:vAlign w:val="center"/>
          </w:tcPr>
          <w:p w14:paraId="175C9E73">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获奖日期</w:t>
            </w:r>
          </w:p>
        </w:tc>
        <w:tc>
          <w:tcPr>
            <w:tcW w:w="2160" w:type="dxa"/>
            <w:tcBorders>
              <w:top w:val="single" w:color="auto" w:sz="4" w:space="0"/>
              <w:left w:val="nil"/>
              <w:bottom w:val="single" w:color="auto" w:sz="4" w:space="0"/>
              <w:right w:val="single" w:color="auto" w:sz="4" w:space="0"/>
            </w:tcBorders>
            <w:shd w:val="clear" w:color="auto" w:fill="auto"/>
            <w:vAlign w:val="center"/>
          </w:tcPr>
          <w:p w14:paraId="01A8D5DC">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颁奖单位</w:t>
            </w:r>
          </w:p>
        </w:tc>
      </w:tr>
      <w:tr w14:paraId="4F229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shd w:val="clear" w:color="auto" w:fill="auto"/>
          </w:tcPr>
          <w:p w14:paraId="73849623">
            <w:pPr>
              <w:jc w:val="center"/>
              <w:rPr>
                <w:rFonts w:hint="default" w:ascii="Times New Roman" w:hAnsi="Times New Roman" w:cs="Times New Roman"/>
                <w:color w:val="000000"/>
                <w:szCs w:val="21"/>
              </w:rPr>
            </w:pPr>
          </w:p>
        </w:tc>
        <w:tc>
          <w:tcPr>
            <w:tcW w:w="2402" w:type="dxa"/>
            <w:tcBorders>
              <w:top w:val="single" w:color="auto" w:sz="4" w:space="0"/>
              <w:left w:val="nil"/>
              <w:bottom w:val="single" w:color="auto" w:sz="4" w:space="0"/>
              <w:right w:val="single" w:color="auto" w:sz="4" w:space="0"/>
            </w:tcBorders>
            <w:shd w:val="clear" w:color="auto" w:fill="auto"/>
          </w:tcPr>
          <w:p w14:paraId="66080FF7">
            <w:pPr>
              <w:jc w:val="center"/>
              <w:rPr>
                <w:rFonts w:hint="default" w:ascii="Times New Roman" w:hAnsi="Times New Roman" w:cs="Times New Roman"/>
                <w:color w:val="000000"/>
                <w:szCs w:val="21"/>
              </w:rPr>
            </w:pPr>
          </w:p>
        </w:tc>
        <w:tc>
          <w:tcPr>
            <w:tcW w:w="1800" w:type="dxa"/>
            <w:tcBorders>
              <w:top w:val="single" w:color="auto" w:sz="4" w:space="0"/>
              <w:left w:val="nil"/>
              <w:bottom w:val="single" w:color="auto" w:sz="4" w:space="0"/>
              <w:right w:val="single" w:color="auto" w:sz="4" w:space="0"/>
            </w:tcBorders>
            <w:shd w:val="clear" w:color="auto" w:fill="auto"/>
          </w:tcPr>
          <w:p w14:paraId="7AEB6A51">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tcPr>
          <w:p w14:paraId="08A251C1">
            <w:pPr>
              <w:jc w:val="center"/>
              <w:rPr>
                <w:rFonts w:hint="default" w:ascii="Times New Roman" w:hAnsi="Times New Roman" w:cs="Times New Roman"/>
                <w:color w:val="000000"/>
                <w:szCs w:val="21"/>
              </w:rPr>
            </w:pPr>
          </w:p>
        </w:tc>
        <w:tc>
          <w:tcPr>
            <w:tcW w:w="2160" w:type="dxa"/>
            <w:tcBorders>
              <w:top w:val="single" w:color="auto" w:sz="4" w:space="0"/>
              <w:left w:val="nil"/>
              <w:bottom w:val="single" w:color="auto" w:sz="4" w:space="0"/>
              <w:right w:val="single" w:color="auto" w:sz="4" w:space="0"/>
            </w:tcBorders>
            <w:shd w:val="clear" w:color="auto" w:fill="auto"/>
          </w:tcPr>
          <w:p w14:paraId="68B3A093">
            <w:pPr>
              <w:jc w:val="center"/>
              <w:rPr>
                <w:rFonts w:hint="default" w:ascii="Times New Roman" w:hAnsi="Times New Roman" w:cs="Times New Roman"/>
                <w:color w:val="000000"/>
                <w:szCs w:val="21"/>
              </w:rPr>
            </w:pPr>
          </w:p>
        </w:tc>
      </w:tr>
      <w:tr w14:paraId="6A1F8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shd w:val="clear" w:color="auto" w:fill="auto"/>
          </w:tcPr>
          <w:p w14:paraId="4B909BC5">
            <w:pPr>
              <w:jc w:val="center"/>
              <w:rPr>
                <w:rFonts w:hint="default" w:ascii="Times New Roman" w:hAnsi="Times New Roman" w:cs="Times New Roman"/>
                <w:color w:val="000000"/>
                <w:szCs w:val="21"/>
              </w:rPr>
            </w:pPr>
          </w:p>
        </w:tc>
        <w:tc>
          <w:tcPr>
            <w:tcW w:w="2402" w:type="dxa"/>
            <w:tcBorders>
              <w:top w:val="single" w:color="auto" w:sz="4" w:space="0"/>
              <w:left w:val="nil"/>
              <w:bottom w:val="single" w:color="auto" w:sz="4" w:space="0"/>
              <w:right w:val="single" w:color="auto" w:sz="4" w:space="0"/>
            </w:tcBorders>
            <w:shd w:val="clear" w:color="auto" w:fill="auto"/>
          </w:tcPr>
          <w:p w14:paraId="478E4067">
            <w:pPr>
              <w:jc w:val="center"/>
              <w:rPr>
                <w:rFonts w:hint="default" w:ascii="Times New Roman" w:hAnsi="Times New Roman" w:cs="Times New Roman"/>
                <w:color w:val="000000"/>
                <w:szCs w:val="21"/>
              </w:rPr>
            </w:pPr>
          </w:p>
        </w:tc>
        <w:tc>
          <w:tcPr>
            <w:tcW w:w="1800" w:type="dxa"/>
            <w:tcBorders>
              <w:top w:val="single" w:color="auto" w:sz="4" w:space="0"/>
              <w:left w:val="nil"/>
              <w:bottom w:val="single" w:color="auto" w:sz="4" w:space="0"/>
              <w:right w:val="single" w:color="auto" w:sz="4" w:space="0"/>
            </w:tcBorders>
            <w:shd w:val="clear" w:color="auto" w:fill="auto"/>
          </w:tcPr>
          <w:p w14:paraId="4BC1AE0B">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tcPr>
          <w:p w14:paraId="6C88B28D">
            <w:pPr>
              <w:jc w:val="center"/>
              <w:rPr>
                <w:rFonts w:hint="default" w:ascii="Times New Roman" w:hAnsi="Times New Roman" w:cs="Times New Roman"/>
                <w:color w:val="000000"/>
                <w:szCs w:val="21"/>
              </w:rPr>
            </w:pPr>
          </w:p>
        </w:tc>
        <w:tc>
          <w:tcPr>
            <w:tcW w:w="2160" w:type="dxa"/>
            <w:tcBorders>
              <w:top w:val="single" w:color="auto" w:sz="4" w:space="0"/>
              <w:left w:val="nil"/>
              <w:bottom w:val="single" w:color="auto" w:sz="4" w:space="0"/>
              <w:right w:val="single" w:color="auto" w:sz="4" w:space="0"/>
            </w:tcBorders>
            <w:shd w:val="clear" w:color="auto" w:fill="auto"/>
          </w:tcPr>
          <w:p w14:paraId="6C6C30EF">
            <w:pPr>
              <w:jc w:val="center"/>
              <w:rPr>
                <w:rFonts w:hint="default" w:ascii="Times New Roman" w:hAnsi="Times New Roman" w:cs="Times New Roman"/>
                <w:color w:val="000000"/>
                <w:szCs w:val="21"/>
              </w:rPr>
            </w:pPr>
          </w:p>
        </w:tc>
      </w:tr>
      <w:tr w14:paraId="5FE11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shd w:val="clear" w:color="auto" w:fill="auto"/>
          </w:tcPr>
          <w:p w14:paraId="1151D9A7">
            <w:pPr>
              <w:jc w:val="center"/>
              <w:rPr>
                <w:rFonts w:hint="default" w:ascii="Times New Roman" w:hAnsi="Times New Roman" w:cs="Times New Roman"/>
                <w:color w:val="000000"/>
                <w:szCs w:val="21"/>
              </w:rPr>
            </w:pPr>
          </w:p>
        </w:tc>
        <w:tc>
          <w:tcPr>
            <w:tcW w:w="2402" w:type="dxa"/>
            <w:tcBorders>
              <w:top w:val="single" w:color="auto" w:sz="4" w:space="0"/>
              <w:left w:val="nil"/>
              <w:bottom w:val="single" w:color="auto" w:sz="4" w:space="0"/>
              <w:right w:val="single" w:color="auto" w:sz="4" w:space="0"/>
            </w:tcBorders>
            <w:shd w:val="clear" w:color="auto" w:fill="auto"/>
          </w:tcPr>
          <w:p w14:paraId="10A7BF4C">
            <w:pPr>
              <w:jc w:val="center"/>
              <w:rPr>
                <w:rFonts w:hint="default" w:ascii="Times New Roman" w:hAnsi="Times New Roman" w:cs="Times New Roman"/>
                <w:color w:val="000000"/>
                <w:szCs w:val="21"/>
              </w:rPr>
            </w:pPr>
          </w:p>
        </w:tc>
        <w:tc>
          <w:tcPr>
            <w:tcW w:w="1800" w:type="dxa"/>
            <w:tcBorders>
              <w:top w:val="single" w:color="auto" w:sz="4" w:space="0"/>
              <w:left w:val="nil"/>
              <w:bottom w:val="single" w:color="auto" w:sz="4" w:space="0"/>
              <w:right w:val="single" w:color="auto" w:sz="4" w:space="0"/>
            </w:tcBorders>
            <w:shd w:val="clear" w:color="auto" w:fill="auto"/>
          </w:tcPr>
          <w:p w14:paraId="5431BEC8">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tcPr>
          <w:p w14:paraId="67867D4A">
            <w:pPr>
              <w:jc w:val="center"/>
              <w:rPr>
                <w:rFonts w:hint="default" w:ascii="Times New Roman" w:hAnsi="Times New Roman" w:cs="Times New Roman"/>
                <w:color w:val="000000"/>
                <w:szCs w:val="21"/>
              </w:rPr>
            </w:pPr>
          </w:p>
        </w:tc>
        <w:tc>
          <w:tcPr>
            <w:tcW w:w="2160" w:type="dxa"/>
            <w:tcBorders>
              <w:top w:val="single" w:color="auto" w:sz="4" w:space="0"/>
              <w:left w:val="nil"/>
              <w:bottom w:val="single" w:color="auto" w:sz="4" w:space="0"/>
              <w:right w:val="single" w:color="auto" w:sz="4" w:space="0"/>
            </w:tcBorders>
            <w:shd w:val="clear" w:color="auto" w:fill="auto"/>
          </w:tcPr>
          <w:p w14:paraId="16AA3CC2">
            <w:pPr>
              <w:jc w:val="center"/>
              <w:rPr>
                <w:rFonts w:hint="default" w:ascii="Times New Roman" w:hAnsi="Times New Roman" w:cs="Times New Roman"/>
                <w:color w:val="000000"/>
                <w:szCs w:val="21"/>
              </w:rPr>
            </w:pPr>
          </w:p>
        </w:tc>
      </w:tr>
      <w:tr w14:paraId="4A5EE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shd w:val="clear" w:color="auto" w:fill="auto"/>
          </w:tcPr>
          <w:p w14:paraId="5CC09625">
            <w:pPr>
              <w:jc w:val="center"/>
              <w:rPr>
                <w:rFonts w:hint="default" w:ascii="Times New Roman" w:hAnsi="Times New Roman" w:cs="Times New Roman"/>
                <w:color w:val="000000"/>
                <w:szCs w:val="21"/>
              </w:rPr>
            </w:pPr>
          </w:p>
        </w:tc>
        <w:tc>
          <w:tcPr>
            <w:tcW w:w="2402" w:type="dxa"/>
            <w:tcBorders>
              <w:top w:val="single" w:color="auto" w:sz="4" w:space="0"/>
              <w:left w:val="nil"/>
              <w:bottom w:val="single" w:color="auto" w:sz="4" w:space="0"/>
              <w:right w:val="single" w:color="auto" w:sz="4" w:space="0"/>
            </w:tcBorders>
            <w:shd w:val="clear" w:color="auto" w:fill="auto"/>
          </w:tcPr>
          <w:p w14:paraId="4A4D7E6A">
            <w:pPr>
              <w:jc w:val="center"/>
              <w:rPr>
                <w:rFonts w:hint="default" w:ascii="Times New Roman" w:hAnsi="Times New Roman" w:cs="Times New Roman"/>
                <w:color w:val="000000"/>
                <w:szCs w:val="21"/>
              </w:rPr>
            </w:pPr>
          </w:p>
        </w:tc>
        <w:tc>
          <w:tcPr>
            <w:tcW w:w="1800" w:type="dxa"/>
            <w:tcBorders>
              <w:top w:val="single" w:color="auto" w:sz="4" w:space="0"/>
              <w:left w:val="nil"/>
              <w:bottom w:val="single" w:color="auto" w:sz="4" w:space="0"/>
              <w:right w:val="single" w:color="auto" w:sz="4" w:space="0"/>
            </w:tcBorders>
            <w:shd w:val="clear" w:color="auto" w:fill="auto"/>
          </w:tcPr>
          <w:p w14:paraId="3DF8BF96">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tcPr>
          <w:p w14:paraId="1152F6A3">
            <w:pPr>
              <w:jc w:val="center"/>
              <w:rPr>
                <w:rFonts w:hint="default" w:ascii="Times New Roman" w:hAnsi="Times New Roman" w:cs="Times New Roman"/>
                <w:color w:val="000000"/>
                <w:szCs w:val="21"/>
              </w:rPr>
            </w:pPr>
          </w:p>
        </w:tc>
        <w:tc>
          <w:tcPr>
            <w:tcW w:w="2160" w:type="dxa"/>
            <w:tcBorders>
              <w:top w:val="single" w:color="auto" w:sz="4" w:space="0"/>
              <w:left w:val="nil"/>
              <w:bottom w:val="single" w:color="auto" w:sz="4" w:space="0"/>
              <w:right w:val="single" w:color="auto" w:sz="4" w:space="0"/>
            </w:tcBorders>
            <w:shd w:val="clear" w:color="auto" w:fill="auto"/>
          </w:tcPr>
          <w:p w14:paraId="33B5F7A1">
            <w:pPr>
              <w:jc w:val="center"/>
              <w:rPr>
                <w:rFonts w:hint="default" w:ascii="Times New Roman" w:hAnsi="Times New Roman" w:cs="Times New Roman"/>
                <w:color w:val="000000"/>
                <w:szCs w:val="21"/>
              </w:rPr>
            </w:pPr>
          </w:p>
        </w:tc>
      </w:tr>
      <w:tr w14:paraId="4A80C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shd w:val="clear" w:color="auto" w:fill="auto"/>
          </w:tcPr>
          <w:p w14:paraId="1E20B050">
            <w:pPr>
              <w:jc w:val="center"/>
              <w:rPr>
                <w:rFonts w:hint="default" w:ascii="Times New Roman" w:hAnsi="Times New Roman" w:cs="Times New Roman"/>
                <w:color w:val="000000"/>
                <w:szCs w:val="21"/>
              </w:rPr>
            </w:pPr>
          </w:p>
        </w:tc>
        <w:tc>
          <w:tcPr>
            <w:tcW w:w="2402" w:type="dxa"/>
            <w:tcBorders>
              <w:top w:val="single" w:color="auto" w:sz="4" w:space="0"/>
              <w:left w:val="nil"/>
              <w:bottom w:val="single" w:color="auto" w:sz="4" w:space="0"/>
              <w:right w:val="single" w:color="auto" w:sz="4" w:space="0"/>
            </w:tcBorders>
            <w:shd w:val="clear" w:color="auto" w:fill="auto"/>
          </w:tcPr>
          <w:p w14:paraId="6B12D261">
            <w:pPr>
              <w:jc w:val="center"/>
              <w:rPr>
                <w:rFonts w:hint="default" w:ascii="Times New Roman" w:hAnsi="Times New Roman" w:cs="Times New Roman"/>
                <w:color w:val="000000"/>
                <w:szCs w:val="21"/>
              </w:rPr>
            </w:pPr>
          </w:p>
        </w:tc>
        <w:tc>
          <w:tcPr>
            <w:tcW w:w="1800" w:type="dxa"/>
            <w:tcBorders>
              <w:top w:val="single" w:color="auto" w:sz="4" w:space="0"/>
              <w:left w:val="nil"/>
              <w:bottom w:val="single" w:color="auto" w:sz="4" w:space="0"/>
              <w:right w:val="single" w:color="auto" w:sz="4" w:space="0"/>
            </w:tcBorders>
            <w:shd w:val="clear" w:color="auto" w:fill="auto"/>
          </w:tcPr>
          <w:p w14:paraId="4D409125">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tcPr>
          <w:p w14:paraId="60BF84F2">
            <w:pPr>
              <w:jc w:val="center"/>
              <w:rPr>
                <w:rFonts w:hint="default" w:ascii="Times New Roman" w:hAnsi="Times New Roman" w:cs="Times New Roman"/>
                <w:color w:val="000000"/>
                <w:szCs w:val="21"/>
              </w:rPr>
            </w:pPr>
          </w:p>
        </w:tc>
        <w:tc>
          <w:tcPr>
            <w:tcW w:w="2160" w:type="dxa"/>
            <w:tcBorders>
              <w:top w:val="single" w:color="auto" w:sz="4" w:space="0"/>
              <w:left w:val="nil"/>
              <w:bottom w:val="single" w:color="auto" w:sz="4" w:space="0"/>
              <w:right w:val="single" w:color="auto" w:sz="4" w:space="0"/>
            </w:tcBorders>
            <w:shd w:val="clear" w:color="auto" w:fill="auto"/>
          </w:tcPr>
          <w:p w14:paraId="3844B351">
            <w:pPr>
              <w:jc w:val="center"/>
              <w:rPr>
                <w:rFonts w:hint="default" w:ascii="Times New Roman" w:hAnsi="Times New Roman" w:cs="Times New Roman"/>
                <w:color w:val="000000"/>
                <w:szCs w:val="21"/>
              </w:rPr>
            </w:pPr>
          </w:p>
        </w:tc>
      </w:tr>
      <w:tr w14:paraId="7A0A2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shd w:val="clear" w:color="auto" w:fill="auto"/>
          </w:tcPr>
          <w:p w14:paraId="2F0B83E9">
            <w:pPr>
              <w:jc w:val="center"/>
              <w:rPr>
                <w:rFonts w:hint="default" w:ascii="Times New Roman" w:hAnsi="Times New Roman" w:cs="Times New Roman"/>
                <w:color w:val="000000"/>
                <w:szCs w:val="21"/>
              </w:rPr>
            </w:pPr>
          </w:p>
        </w:tc>
        <w:tc>
          <w:tcPr>
            <w:tcW w:w="2402" w:type="dxa"/>
            <w:tcBorders>
              <w:top w:val="single" w:color="auto" w:sz="4" w:space="0"/>
              <w:left w:val="nil"/>
              <w:bottom w:val="single" w:color="auto" w:sz="4" w:space="0"/>
              <w:right w:val="single" w:color="auto" w:sz="4" w:space="0"/>
            </w:tcBorders>
            <w:shd w:val="clear" w:color="auto" w:fill="auto"/>
          </w:tcPr>
          <w:p w14:paraId="11977D34">
            <w:pPr>
              <w:jc w:val="center"/>
              <w:rPr>
                <w:rFonts w:hint="default" w:ascii="Times New Roman" w:hAnsi="Times New Roman" w:cs="Times New Roman"/>
                <w:color w:val="000000"/>
                <w:szCs w:val="21"/>
              </w:rPr>
            </w:pPr>
          </w:p>
        </w:tc>
        <w:tc>
          <w:tcPr>
            <w:tcW w:w="1800" w:type="dxa"/>
            <w:tcBorders>
              <w:top w:val="single" w:color="auto" w:sz="4" w:space="0"/>
              <w:left w:val="nil"/>
              <w:bottom w:val="single" w:color="auto" w:sz="4" w:space="0"/>
              <w:right w:val="single" w:color="auto" w:sz="4" w:space="0"/>
            </w:tcBorders>
            <w:shd w:val="clear" w:color="auto" w:fill="auto"/>
          </w:tcPr>
          <w:p w14:paraId="6FFFB43F">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tcPr>
          <w:p w14:paraId="6D253C89">
            <w:pPr>
              <w:jc w:val="center"/>
              <w:rPr>
                <w:rFonts w:hint="default" w:ascii="Times New Roman" w:hAnsi="Times New Roman" w:cs="Times New Roman"/>
                <w:color w:val="000000"/>
                <w:szCs w:val="21"/>
              </w:rPr>
            </w:pPr>
          </w:p>
        </w:tc>
        <w:tc>
          <w:tcPr>
            <w:tcW w:w="2160" w:type="dxa"/>
            <w:tcBorders>
              <w:top w:val="single" w:color="auto" w:sz="4" w:space="0"/>
              <w:left w:val="nil"/>
              <w:bottom w:val="single" w:color="auto" w:sz="4" w:space="0"/>
              <w:right w:val="single" w:color="auto" w:sz="4" w:space="0"/>
            </w:tcBorders>
            <w:shd w:val="clear" w:color="auto" w:fill="auto"/>
          </w:tcPr>
          <w:p w14:paraId="7C0CA09E">
            <w:pPr>
              <w:jc w:val="center"/>
              <w:rPr>
                <w:rFonts w:hint="default" w:ascii="Times New Roman" w:hAnsi="Times New Roman" w:cs="Times New Roman"/>
                <w:color w:val="000000"/>
                <w:szCs w:val="21"/>
              </w:rPr>
            </w:pPr>
          </w:p>
        </w:tc>
      </w:tr>
      <w:tr w14:paraId="4098F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shd w:val="clear" w:color="auto" w:fill="auto"/>
          </w:tcPr>
          <w:p w14:paraId="4F8F533F">
            <w:pPr>
              <w:jc w:val="center"/>
              <w:rPr>
                <w:rFonts w:hint="default" w:ascii="Times New Roman" w:hAnsi="Times New Roman" w:cs="Times New Roman"/>
                <w:color w:val="000000"/>
                <w:szCs w:val="21"/>
              </w:rPr>
            </w:pPr>
          </w:p>
        </w:tc>
        <w:tc>
          <w:tcPr>
            <w:tcW w:w="2402" w:type="dxa"/>
            <w:tcBorders>
              <w:top w:val="single" w:color="auto" w:sz="4" w:space="0"/>
              <w:left w:val="nil"/>
              <w:bottom w:val="single" w:color="auto" w:sz="4" w:space="0"/>
              <w:right w:val="single" w:color="auto" w:sz="4" w:space="0"/>
            </w:tcBorders>
            <w:shd w:val="clear" w:color="auto" w:fill="auto"/>
          </w:tcPr>
          <w:p w14:paraId="79E7D5DC">
            <w:pPr>
              <w:jc w:val="center"/>
              <w:rPr>
                <w:rFonts w:hint="default" w:ascii="Times New Roman" w:hAnsi="Times New Roman" w:cs="Times New Roman"/>
                <w:color w:val="000000"/>
                <w:szCs w:val="21"/>
              </w:rPr>
            </w:pPr>
          </w:p>
        </w:tc>
        <w:tc>
          <w:tcPr>
            <w:tcW w:w="1800" w:type="dxa"/>
            <w:tcBorders>
              <w:top w:val="single" w:color="auto" w:sz="4" w:space="0"/>
              <w:left w:val="nil"/>
              <w:bottom w:val="single" w:color="auto" w:sz="4" w:space="0"/>
              <w:right w:val="single" w:color="auto" w:sz="4" w:space="0"/>
            </w:tcBorders>
            <w:shd w:val="clear" w:color="auto" w:fill="auto"/>
          </w:tcPr>
          <w:p w14:paraId="15A54602">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tcPr>
          <w:p w14:paraId="27268CF0">
            <w:pPr>
              <w:jc w:val="center"/>
              <w:rPr>
                <w:rFonts w:hint="default" w:ascii="Times New Roman" w:hAnsi="Times New Roman" w:cs="Times New Roman"/>
                <w:color w:val="000000"/>
                <w:szCs w:val="21"/>
              </w:rPr>
            </w:pPr>
          </w:p>
        </w:tc>
        <w:tc>
          <w:tcPr>
            <w:tcW w:w="2160" w:type="dxa"/>
            <w:tcBorders>
              <w:top w:val="single" w:color="auto" w:sz="4" w:space="0"/>
              <w:left w:val="nil"/>
              <w:bottom w:val="single" w:color="auto" w:sz="4" w:space="0"/>
              <w:right w:val="single" w:color="auto" w:sz="4" w:space="0"/>
            </w:tcBorders>
            <w:shd w:val="clear" w:color="auto" w:fill="auto"/>
          </w:tcPr>
          <w:p w14:paraId="7D2256F8">
            <w:pPr>
              <w:jc w:val="center"/>
              <w:rPr>
                <w:rFonts w:hint="default" w:ascii="Times New Roman" w:hAnsi="Times New Roman" w:cs="Times New Roman"/>
                <w:color w:val="000000"/>
                <w:szCs w:val="21"/>
              </w:rPr>
            </w:pPr>
          </w:p>
        </w:tc>
      </w:tr>
      <w:tr w14:paraId="23269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shd w:val="clear" w:color="auto" w:fill="auto"/>
          </w:tcPr>
          <w:p w14:paraId="04513C07">
            <w:pPr>
              <w:jc w:val="center"/>
              <w:rPr>
                <w:rFonts w:hint="default" w:ascii="Times New Roman" w:hAnsi="Times New Roman" w:cs="Times New Roman"/>
                <w:color w:val="000000"/>
                <w:szCs w:val="21"/>
              </w:rPr>
            </w:pPr>
          </w:p>
        </w:tc>
        <w:tc>
          <w:tcPr>
            <w:tcW w:w="2402" w:type="dxa"/>
            <w:tcBorders>
              <w:top w:val="single" w:color="auto" w:sz="4" w:space="0"/>
              <w:left w:val="nil"/>
              <w:bottom w:val="single" w:color="auto" w:sz="4" w:space="0"/>
              <w:right w:val="single" w:color="auto" w:sz="4" w:space="0"/>
            </w:tcBorders>
            <w:shd w:val="clear" w:color="auto" w:fill="auto"/>
          </w:tcPr>
          <w:p w14:paraId="4041A573">
            <w:pPr>
              <w:jc w:val="center"/>
              <w:rPr>
                <w:rFonts w:hint="default" w:ascii="Times New Roman" w:hAnsi="Times New Roman" w:cs="Times New Roman"/>
                <w:color w:val="000000"/>
                <w:szCs w:val="21"/>
              </w:rPr>
            </w:pPr>
          </w:p>
        </w:tc>
        <w:tc>
          <w:tcPr>
            <w:tcW w:w="1800" w:type="dxa"/>
            <w:tcBorders>
              <w:top w:val="single" w:color="auto" w:sz="4" w:space="0"/>
              <w:left w:val="nil"/>
              <w:bottom w:val="single" w:color="auto" w:sz="4" w:space="0"/>
              <w:right w:val="single" w:color="auto" w:sz="4" w:space="0"/>
            </w:tcBorders>
            <w:shd w:val="clear" w:color="auto" w:fill="auto"/>
          </w:tcPr>
          <w:p w14:paraId="66598558">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tcPr>
          <w:p w14:paraId="397A2FB8">
            <w:pPr>
              <w:jc w:val="center"/>
              <w:rPr>
                <w:rFonts w:hint="default" w:ascii="Times New Roman" w:hAnsi="Times New Roman" w:cs="Times New Roman"/>
                <w:color w:val="000000"/>
                <w:szCs w:val="21"/>
              </w:rPr>
            </w:pPr>
          </w:p>
        </w:tc>
        <w:tc>
          <w:tcPr>
            <w:tcW w:w="2160" w:type="dxa"/>
            <w:tcBorders>
              <w:top w:val="single" w:color="auto" w:sz="4" w:space="0"/>
              <w:left w:val="nil"/>
              <w:bottom w:val="single" w:color="auto" w:sz="4" w:space="0"/>
              <w:right w:val="single" w:color="auto" w:sz="4" w:space="0"/>
            </w:tcBorders>
            <w:shd w:val="clear" w:color="auto" w:fill="auto"/>
          </w:tcPr>
          <w:p w14:paraId="32D8A011">
            <w:pPr>
              <w:jc w:val="center"/>
              <w:rPr>
                <w:rFonts w:hint="default" w:ascii="Times New Roman" w:hAnsi="Times New Roman" w:cs="Times New Roman"/>
                <w:color w:val="000000"/>
                <w:szCs w:val="21"/>
              </w:rPr>
            </w:pPr>
          </w:p>
        </w:tc>
      </w:tr>
      <w:tr w14:paraId="6A99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trPr>
        <w:tc>
          <w:tcPr>
            <w:tcW w:w="766" w:type="dxa"/>
            <w:tcBorders>
              <w:top w:val="single" w:color="auto" w:sz="4" w:space="0"/>
              <w:left w:val="single" w:color="auto" w:sz="4" w:space="0"/>
              <w:bottom w:val="single" w:color="auto" w:sz="4" w:space="0"/>
              <w:right w:val="single" w:color="auto" w:sz="4" w:space="0"/>
            </w:tcBorders>
            <w:shd w:val="clear" w:color="auto" w:fill="auto"/>
          </w:tcPr>
          <w:p w14:paraId="4B8B3176">
            <w:pPr>
              <w:jc w:val="center"/>
              <w:rPr>
                <w:rFonts w:hint="default" w:ascii="Times New Roman" w:hAnsi="Times New Roman" w:cs="Times New Roman"/>
                <w:color w:val="000000"/>
                <w:szCs w:val="21"/>
              </w:rPr>
            </w:pPr>
          </w:p>
        </w:tc>
        <w:tc>
          <w:tcPr>
            <w:tcW w:w="2402" w:type="dxa"/>
            <w:tcBorders>
              <w:top w:val="single" w:color="auto" w:sz="4" w:space="0"/>
              <w:left w:val="nil"/>
              <w:bottom w:val="single" w:color="auto" w:sz="4" w:space="0"/>
              <w:right w:val="single" w:color="auto" w:sz="4" w:space="0"/>
            </w:tcBorders>
            <w:shd w:val="clear" w:color="auto" w:fill="auto"/>
          </w:tcPr>
          <w:p w14:paraId="35C86626">
            <w:pPr>
              <w:jc w:val="center"/>
              <w:rPr>
                <w:rFonts w:hint="default" w:ascii="Times New Roman" w:hAnsi="Times New Roman" w:cs="Times New Roman"/>
                <w:color w:val="000000"/>
                <w:szCs w:val="21"/>
              </w:rPr>
            </w:pPr>
          </w:p>
        </w:tc>
        <w:tc>
          <w:tcPr>
            <w:tcW w:w="1800" w:type="dxa"/>
            <w:tcBorders>
              <w:top w:val="single" w:color="auto" w:sz="4" w:space="0"/>
              <w:left w:val="nil"/>
              <w:bottom w:val="single" w:color="auto" w:sz="4" w:space="0"/>
              <w:right w:val="single" w:color="auto" w:sz="4" w:space="0"/>
            </w:tcBorders>
            <w:shd w:val="clear" w:color="auto" w:fill="auto"/>
          </w:tcPr>
          <w:p w14:paraId="1EC4341D">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tcPr>
          <w:p w14:paraId="5BA8EA94">
            <w:pPr>
              <w:jc w:val="center"/>
              <w:rPr>
                <w:rFonts w:hint="default" w:ascii="Times New Roman" w:hAnsi="Times New Roman" w:cs="Times New Roman"/>
                <w:color w:val="000000"/>
                <w:szCs w:val="21"/>
              </w:rPr>
            </w:pPr>
          </w:p>
        </w:tc>
        <w:tc>
          <w:tcPr>
            <w:tcW w:w="2160" w:type="dxa"/>
            <w:tcBorders>
              <w:top w:val="single" w:color="auto" w:sz="4" w:space="0"/>
              <w:left w:val="nil"/>
              <w:bottom w:val="single" w:color="auto" w:sz="4" w:space="0"/>
              <w:right w:val="single" w:color="auto" w:sz="4" w:space="0"/>
            </w:tcBorders>
            <w:shd w:val="clear" w:color="auto" w:fill="auto"/>
          </w:tcPr>
          <w:p w14:paraId="7BD783CF">
            <w:pPr>
              <w:jc w:val="center"/>
              <w:rPr>
                <w:rFonts w:hint="default" w:ascii="Times New Roman" w:hAnsi="Times New Roman" w:cs="Times New Roman"/>
                <w:color w:val="000000"/>
                <w:szCs w:val="21"/>
              </w:rPr>
            </w:pPr>
          </w:p>
        </w:tc>
      </w:tr>
      <w:tr w14:paraId="74D46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3" w:hRule="atLeast"/>
        </w:trPr>
        <w:tc>
          <w:tcPr>
            <w:tcW w:w="766" w:type="dxa"/>
            <w:tcBorders>
              <w:top w:val="single" w:color="auto" w:sz="4" w:space="0"/>
              <w:left w:val="single" w:color="auto" w:sz="4" w:space="0"/>
              <w:bottom w:val="single" w:color="auto" w:sz="4" w:space="0"/>
              <w:right w:val="single" w:color="auto" w:sz="4" w:space="0"/>
            </w:tcBorders>
            <w:shd w:val="clear" w:color="auto" w:fill="auto"/>
          </w:tcPr>
          <w:p w14:paraId="2CE21C5E">
            <w:pPr>
              <w:jc w:val="center"/>
              <w:rPr>
                <w:rFonts w:hint="default" w:ascii="Times New Roman" w:hAnsi="Times New Roman" w:cs="Times New Roman"/>
                <w:color w:val="000000"/>
                <w:szCs w:val="21"/>
              </w:rPr>
            </w:pPr>
          </w:p>
        </w:tc>
        <w:tc>
          <w:tcPr>
            <w:tcW w:w="2402" w:type="dxa"/>
            <w:tcBorders>
              <w:top w:val="single" w:color="auto" w:sz="4" w:space="0"/>
              <w:left w:val="nil"/>
              <w:bottom w:val="single" w:color="auto" w:sz="4" w:space="0"/>
              <w:right w:val="single" w:color="auto" w:sz="4" w:space="0"/>
            </w:tcBorders>
            <w:shd w:val="clear" w:color="auto" w:fill="auto"/>
          </w:tcPr>
          <w:p w14:paraId="41DFAF93">
            <w:pPr>
              <w:jc w:val="center"/>
              <w:rPr>
                <w:rFonts w:hint="default" w:ascii="Times New Roman" w:hAnsi="Times New Roman" w:cs="Times New Roman"/>
                <w:color w:val="000000"/>
                <w:szCs w:val="21"/>
              </w:rPr>
            </w:pPr>
          </w:p>
        </w:tc>
        <w:tc>
          <w:tcPr>
            <w:tcW w:w="1800" w:type="dxa"/>
            <w:tcBorders>
              <w:top w:val="single" w:color="auto" w:sz="4" w:space="0"/>
              <w:left w:val="nil"/>
              <w:bottom w:val="single" w:color="auto" w:sz="4" w:space="0"/>
              <w:right w:val="single" w:color="auto" w:sz="4" w:space="0"/>
            </w:tcBorders>
            <w:shd w:val="clear" w:color="auto" w:fill="auto"/>
          </w:tcPr>
          <w:p w14:paraId="2BC1A801">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tcPr>
          <w:p w14:paraId="3A4FD5F3">
            <w:pPr>
              <w:jc w:val="center"/>
              <w:rPr>
                <w:rFonts w:hint="default" w:ascii="Times New Roman" w:hAnsi="Times New Roman" w:cs="Times New Roman"/>
                <w:color w:val="000000"/>
                <w:szCs w:val="21"/>
              </w:rPr>
            </w:pPr>
          </w:p>
        </w:tc>
        <w:tc>
          <w:tcPr>
            <w:tcW w:w="2160" w:type="dxa"/>
            <w:tcBorders>
              <w:top w:val="single" w:color="auto" w:sz="4" w:space="0"/>
              <w:left w:val="nil"/>
              <w:bottom w:val="single" w:color="auto" w:sz="4" w:space="0"/>
              <w:right w:val="single" w:color="auto" w:sz="4" w:space="0"/>
            </w:tcBorders>
            <w:shd w:val="clear" w:color="auto" w:fill="auto"/>
          </w:tcPr>
          <w:p w14:paraId="7A635A78">
            <w:pPr>
              <w:jc w:val="center"/>
              <w:rPr>
                <w:rFonts w:hint="default" w:ascii="Times New Roman" w:hAnsi="Times New Roman" w:cs="Times New Roman"/>
                <w:color w:val="000000"/>
                <w:szCs w:val="21"/>
              </w:rPr>
            </w:pPr>
          </w:p>
        </w:tc>
      </w:tr>
      <w:tr w14:paraId="3EA9D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3" w:hRule="atLeast"/>
        </w:trPr>
        <w:tc>
          <w:tcPr>
            <w:tcW w:w="766" w:type="dxa"/>
            <w:tcBorders>
              <w:top w:val="single" w:color="auto" w:sz="4" w:space="0"/>
              <w:left w:val="single" w:color="auto" w:sz="4" w:space="0"/>
              <w:bottom w:val="single" w:color="auto" w:sz="4" w:space="0"/>
              <w:right w:val="single" w:color="auto" w:sz="4" w:space="0"/>
            </w:tcBorders>
            <w:shd w:val="clear" w:color="auto" w:fill="auto"/>
          </w:tcPr>
          <w:p w14:paraId="3FAD1CD1">
            <w:pPr>
              <w:jc w:val="center"/>
              <w:rPr>
                <w:rFonts w:hint="default" w:ascii="Times New Roman" w:hAnsi="Times New Roman" w:cs="Times New Roman"/>
                <w:color w:val="000000"/>
                <w:szCs w:val="21"/>
              </w:rPr>
            </w:pPr>
          </w:p>
        </w:tc>
        <w:tc>
          <w:tcPr>
            <w:tcW w:w="2402" w:type="dxa"/>
            <w:tcBorders>
              <w:top w:val="single" w:color="auto" w:sz="4" w:space="0"/>
              <w:left w:val="nil"/>
              <w:bottom w:val="single" w:color="auto" w:sz="4" w:space="0"/>
              <w:right w:val="single" w:color="auto" w:sz="4" w:space="0"/>
            </w:tcBorders>
            <w:shd w:val="clear" w:color="auto" w:fill="auto"/>
          </w:tcPr>
          <w:p w14:paraId="157A5A00">
            <w:pPr>
              <w:jc w:val="center"/>
              <w:rPr>
                <w:rFonts w:hint="default" w:ascii="Times New Roman" w:hAnsi="Times New Roman" w:cs="Times New Roman"/>
                <w:color w:val="000000"/>
                <w:szCs w:val="21"/>
              </w:rPr>
            </w:pPr>
          </w:p>
        </w:tc>
        <w:tc>
          <w:tcPr>
            <w:tcW w:w="1800" w:type="dxa"/>
            <w:tcBorders>
              <w:top w:val="single" w:color="auto" w:sz="4" w:space="0"/>
              <w:left w:val="nil"/>
              <w:bottom w:val="single" w:color="auto" w:sz="4" w:space="0"/>
              <w:right w:val="single" w:color="auto" w:sz="4" w:space="0"/>
            </w:tcBorders>
            <w:shd w:val="clear" w:color="auto" w:fill="auto"/>
          </w:tcPr>
          <w:p w14:paraId="7B83BD80">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tcPr>
          <w:p w14:paraId="0EAA78E8">
            <w:pPr>
              <w:jc w:val="center"/>
              <w:rPr>
                <w:rFonts w:hint="default" w:ascii="Times New Roman" w:hAnsi="Times New Roman" w:cs="Times New Roman"/>
                <w:color w:val="000000"/>
                <w:szCs w:val="21"/>
              </w:rPr>
            </w:pPr>
          </w:p>
        </w:tc>
        <w:tc>
          <w:tcPr>
            <w:tcW w:w="2160" w:type="dxa"/>
            <w:tcBorders>
              <w:top w:val="single" w:color="auto" w:sz="4" w:space="0"/>
              <w:left w:val="nil"/>
              <w:bottom w:val="single" w:color="auto" w:sz="4" w:space="0"/>
              <w:right w:val="single" w:color="auto" w:sz="4" w:space="0"/>
            </w:tcBorders>
            <w:shd w:val="clear" w:color="auto" w:fill="auto"/>
          </w:tcPr>
          <w:p w14:paraId="2156BC1A">
            <w:pPr>
              <w:jc w:val="center"/>
              <w:rPr>
                <w:rFonts w:hint="default" w:ascii="Times New Roman" w:hAnsi="Times New Roman" w:cs="Times New Roman"/>
                <w:color w:val="000000"/>
                <w:szCs w:val="21"/>
              </w:rPr>
            </w:pPr>
          </w:p>
        </w:tc>
      </w:tr>
      <w:tr w14:paraId="153B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shd w:val="clear" w:color="auto" w:fill="auto"/>
          </w:tcPr>
          <w:p w14:paraId="3045B13F">
            <w:pPr>
              <w:jc w:val="center"/>
              <w:rPr>
                <w:rFonts w:hint="default" w:ascii="Times New Roman" w:hAnsi="Times New Roman" w:cs="Times New Roman"/>
                <w:color w:val="000000"/>
                <w:szCs w:val="21"/>
              </w:rPr>
            </w:pPr>
          </w:p>
        </w:tc>
        <w:tc>
          <w:tcPr>
            <w:tcW w:w="2402" w:type="dxa"/>
            <w:tcBorders>
              <w:top w:val="single" w:color="auto" w:sz="4" w:space="0"/>
              <w:left w:val="nil"/>
              <w:bottom w:val="single" w:color="auto" w:sz="4" w:space="0"/>
              <w:right w:val="single" w:color="auto" w:sz="4" w:space="0"/>
            </w:tcBorders>
            <w:shd w:val="clear" w:color="auto" w:fill="auto"/>
          </w:tcPr>
          <w:p w14:paraId="0DE66B4A">
            <w:pPr>
              <w:jc w:val="center"/>
              <w:rPr>
                <w:rFonts w:hint="default" w:ascii="Times New Roman" w:hAnsi="Times New Roman" w:cs="Times New Roman"/>
                <w:color w:val="000000"/>
                <w:szCs w:val="21"/>
              </w:rPr>
            </w:pPr>
          </w:p>
        </w:tc>
        <w:tc>
          <w:tcPr>
            <w:tcW w:w="1800" w:type="dxa"/>
            <w:tcBorders>
              <w:top w:val="single" w:color="auto" w:sz="4" w:space="0"/>
              <w:left w:val="nil"/>
              <w:bottom w:val="single" w:color="auto" w:sz="4" w:space="0"/>
              <w:right w:val="single" w:color="auto" w:sz="4" w:space="0"/>
            </w:tcBorders>
            <w:shd w:val="clear" w:color="auto" w:fill="auto"/>
          </w:tcPr>
          <w:p w14:paraId="20F10439">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tcPr>
          <w:p w14:paraId="5861BFC9">
            <w:pPr>
              <w:jc w:val="center"/>
              <w:rPr>
                <w:rFonts w:hint="default" w:ascii="Times New Roman" w:hAnsi="Times New Roman" w:cs="Times New Roman"/>
                <w:color w:val="000000"/>
                <w:szCs w:val="21"/>
              </w:rPr>
            </w:pPr>
          </w:p>
        </w:tc>
        <w:tc>
          <w:tcPr>
            <w:tcW w:w="2160" w:type="dxa"/>
            <w:tcBorders>
              <w:top w:val="single" w:color="auto" w:sz="4" w:space="0"/>
              <w:left w:val="nil"/>
              <w:bottom w:val="single" w:color="auto" w:sz="4" w:space="0"/>
              <w:right w:val="single" w:color="auto" w:sz="4" w:space="0"/>
            </w:tcBorders>
            <w:shd w:val="clear" w:color="auto" w:fill="auto"/>
          </w:tcPr>
          <w:p w14:paraId="5C5AA57D">
            <w:pPr>
              <w:jc w:val="center"/>
              <w:rPr>
                <w:rFonts w:hint="default" w:ascii="Times New Roman" w:hAnsi="Times New Roman" w:cs="Times New Roman"/>
                <w:color w:val="000000"/>
                <w:szCs w:val="21"/>
              </w:rPr>
            </w:pPr>
          </w:p>
        </w:tc>
      </w:tr>
      <w:tr w14:paraId="33111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Borders>
              <w:top w:val="single" w:color="auto" w:sz="4" w:space="0"/>
              <w:left w:val="single" w:color="auto" w:sz="4" w:space="0"/>
              <w:bottom w:val="single" w:color="auto" w:sz="4" w:space="0"/>
              <w:right w:val="single" w:color="auto" w:sz="4" w:space="0"/>
            </w:tcBorders>
            <w:shd w:val="clear" w:color="auto" w:fill="auto"/>
          </w:tcPr>
          <w:p w14:paraId="192D261D">
            <w:pPr>
              <w:jc w:val="center"/>
              <w:rPr>
                <w:rFonts w:hint="default" w:ascii="Times New Roman" w:hAnsi="Times New Roman" w:cs="Times New Roman"/>
                <w:color w:val="000000"/>
                <w:szCs w:val="21"/>
              </w:rPr>
            </w:pPr>
          </w:p>
        </w:tc>
        <w:tc>
          <w:tcPr>
            <w:tcW w:w="2402" w:type="dxa"/>
            <w:tcBorders>
              <w:top w:val="single" w:color="auto" w:sz="4" w:space="0"/>
              <w:left w:val="nil"/>
              <w:bottom w:val="single" w:color="auto" w:sz="4" w:space="0"/>
              <w:right w:val="single" w:color="auto" w:sz="4" w:space="0"/>
            </w:tcBorders>
            <w:shd w:val="clear" w:color="auto" w:fill="auto"/>
          </w:tcPr>
          <w:p w14:paraId="457339B7">
            <w:pPr>
              <w:jc w:val="center"/>
              <w:rPr>
                <w:rFonts w:hint="default" w:ascii="Times New Roman" w:hAnsi="Times New Roman" w:cs="Times New Roman"/>
                <w:color w:val="000000"/>
                <w:szCs w:val="21"/>
              </w:rPr>
            </w:pPr>
          </w:p>
        </w:tc>
        <w:tc>
          <w:tcPr>
            <w:tcW w:w="1800" w:type="dxa"/>
            <w:tcBorders>
              <w:top w:val="single" w:color="auto" w:sz="4" w:space="0"/>
              <w:left w:val="nil"/>
              <w:bottom w:val="single" w:color="auto" w:sz="4" w:space="0"/>
              <w:right w:val="single" w:color="auto" w:sz="4" w:space="0"/>
            </w:tcBorders>
            <w:shd w:val="clear" w:color="auto" w:fill="auto"/>
          </w:tcPr>
          <w:p w14:paraId="409CF059">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tcPr>
          <w:p w14:paraId="42F38803">
            <w:pPr>
              <w:jc w:val="center"/>
              <w:rPr>
                <w:rFonts w:hint="default" w:ascii="Times New Roman" w:hAnsi="Times New Roman" w:cs="Times New Roman"/>
                <w:color w:val="000000"/>
                <w:szCs w:val="21"/>
              </w:rPr>
            </w:pPr>
          </w:p>
        </w:tc>
        <w:tc>
          <w:tcPr>
            <w:tcW w:w="2160" w:type="dxa"/>
            <w:tcBorders>
              <w:top w:val="single" w:color="auto" w:sz="4" w:space="0"/>
              <w:left w:val="nil"/>
              <w:bottom w:val="single" w:color="auto" w:sz="4" w:space="0"/>
              <w:right w:val="single" w:color="auto" w:sz="4" w:space="0"/>
            </w:tcBorders>
            <w:shd w:val="clear" w:color="auto" w:fill="auto"/>
          </w:tcPr>
          <w:p w14:paraId="0370BDE2">
            <w:pPr>
              <w:jc w:val="center"/>
              <w:rPr>
                <w:rFonts w:hint="default" w:ascii="Times New Roman" w:hAnsi="Times New Roman" w:cs="Times New Roman"/>
                <w:color w:val="000000"/>
                <w:szCs w:val="21"/>
              </w:rPr>
            </w:pPr>
          </w:p>
        </w:tc>
      </w:tr>
    </w:tbl>
    <w:p w14:paraId="1853E292">
      <w:pPr>
        <w:pStyle w:val="16"/>
        <w:widowControl w:val="0"/>
        <w:spacing w:before="0" w:beforeAutospacing="0" w:after="0" w:afterAutospacing="0" w:line="302" w:lineRule="auto"/>
        <w:ind w:firstLine="42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149C0C8F">
      <w:pPr>
        <w:pStyle w:val="16"/>
        <w:widowControl w:val="0"/>
        <w:spacing w:before="0" w:beforeAutospacing="0" w:after="0" w:afterAutospacing="0" w:line="302" w:lineRule="auto"/>
        <w:ind w:firstLine="42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 xml:space="preserve"> </w:t>
      </w:r>
    </w:p>
    <w:p w14:paraId="55BD5B42">
      <w:pPr>
        <w:widowControl/>
        <w:jc w:val="left"/>
        <w:rPr>
          <w:rFonts w:hint="default" w:ascii="Times New Roman" w:hAnsi="Times New Roman" w:cs="Times New Roman"/>
          <w:color w:val="000000"/>
          <w:szCs w:val="21"/>
        </w:rPr>
      </w:pPr>
      <w:r>
        <w:rPr>
          <w:rFonts w:hint="default" w:ascii="Times New Roman" w:hAnsi="Times New Roman" w:cs="Times New Roman"/>
          <w:color w:val="000000"/>
          <w:kern w:val="0"/>
          <w:szCs w:val="21"/>
          <w:lang w:bidi="ar"/>
        </w:rPr>
        <w:t xml:space="preserve">备注：1. 以表彰文件或获奖证书的时间为准，应附表彰文件或获奖证书等相关资料扫描件。 </w:t>
      </w:r>
    </w:p>
    <w:p w14:paraId="3739B896">
      <w:pPr>
        <w:widowControl/>
        <w:jc w:val="left"/>
        <w:rPr>
          <w:rFonts w:hint="default" w:ascii="Times New Roman" w:hAnsi="Times New Roman" w:cs="Times New Roman"/>
          <w:color w:val="000000"/>
          <w:szCs w:val="21"/>
        </w:rPr>
      </w:pPr>
      <w:r>
        <w:rPr>
          <w:rFonts w:hint="default" w:ascii="Times New Roman" w:hAnsi="Times New Roman" w:cs="Times New Roman"/>
          <w:color w:val="000000"/>
          <w:kern w:val="0"/>
          <w:szCs w:val="21"/>
          <w:lang w:bidi="ar"/>
        </w:rPr>
        <w:t>2. 本表后应附表彰文件或颁奖机构颁发的获奖证书等扫描件。</w:t>
      </w:r>
    </w:p>
    <w:p w14:paraId="68DDFDFB">
      <w:pPr>
        <w:rPr>
          <w:rFonts w:hint="default" w:ascii="Times New Roman" w:hAnsi="Times New Roman" w:cs="Times New Roman"/>
          <w:color w:val="000000"/>
          <w:szCs w:val="21"/>
        </w:rPr>
      </w:pPr>
      <w:r>
        <w:rPr>
          <w:rFonts w:hint="default" w:ascii="Times New Roman" w:hAnsi="Times New Roman" w:cs="Times New Roman"/>
          <w:color w:val="000000"/>
          <w:szCs w:val="21"/>
          <w:lang w:bidi="ar"/>
        </w:rPr>
        <w:br w:type="page"/>
      </w:r>
    </w:p>
    <w:p w14:paraId="5510C8EC">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2CF8958">
      <w:pPr>
        <w:pStyle w:val="7"/>
        <w:widowControl/>
        <w:spacing w:before="0" w:after="240"/>
        <w:ind w:firstLine="0" w:firstLineChars="0"/>
        <w:jc w:val="center"/>
        <w:rPr>
          <w:rFonts w:hint="default" w:ascii="Times New Roman" w:hAnsi="Times New Roman" w:cs="Times New Roman"/>
          <w:b/>
          <w:color w:val="000000"/>
          <w:szCs w:val="24"/>
        </w:rPr>
      </w:pPr>
      <w:r>
        <w:rPr>
          <w:rFonts w:hint="eastAsia" w:ascii="Times New Roman" w:hAnsi="Times New Roman" w:cs="Times New Roman"/>
          <w:b/>
          <w:color w:val="000000"/>
          <w:szCs w:val="24"/>
          <w:lang w:val="en-US" w:eastAsia="zh-CN"/>
        </w:rPr>
        <w:t>5</w:t>
      </w:r>
      <w:r>
        <w:rPr>
          <w:rFonts w:hint="default" w:ascii="Times New Roman" w:hAnsi="Times New Roman" w:cs="Times New Roman"/>
          <w:b/>
          <w:color w:val="000000"/>
          <w:szCs w:val="24"/>
        </w:rPr>
        <w:t>、其它资格审查材料</w:t>
      </w:r>
    </w:p>
    <w:p w14:paraId="2C154821">
      <w:pPr>
        <w:pStyle w:val="16"/>
        <w:spacing w:before="0" w:beforeAutospacing="0" w:after="156" w:afterLines="50" w:afterAutospacing="0" w:line="400" w:lineRule="atLeast"/>
        <w:jc w:val="center"/>
        <w:rPr>
          <w:rFonts w:hint="default" w:ascii="Times New Roman" w:hAnsi="Times New Roman" w:eastAsia="黑体" w:cs="Times New Roman"/>
          <w:kern w:val="2"/>
          <w:sz w:val="30"/>
          <w:szCs w:val="30"/>
          <w:lang w:val="en-US" w:eastAsia="zh-CN"/>
        </w:rPr>
      </w:pPr>
      <w:r>
        <w:rPr>
          <w:rFonts w:hint="default" w:ascii="Times New Roman" w:hAnsi="Times New Roman" w:cs="Times New Roman"/>
          <w:color w:val="000000"/>
          <w:szCs w:val="21"/>
          <w:lang w:bidi="ar"/>
        </w:rPr>
        <w:t xml:space="preserve"> </w:t>
      </w:r>
      <w:r>
        <w:rPr>
          <w:rFonts w:hint="default" w:ascii="Times New Roman" w:hAnsi="Times New Roman" w:eastAsia="黑体" w:cs="Times New Roman"/>
          <w:kern w:val="2"/>
          <w:sz w:val="28"/>
          <w:szCs w:val="28"/>
          <w:lang w:bidi="ar"/>
        </w:rPr>
        <w:t>A.派驻本项目的主要人员</w:t>
      </w:r>
      <w:r>
        <w:rPr>
          <w:rFonts w:hint="eastAsia" w:ascii="Times New Roman" w:hAnsi="Times New Roman" w:eastAsia="黑体" w:cs="Times New Roman"/>
          <w:kern w:val="2"/>
          <w:sz w:val="28"/>
          <w:szCs w:val="28"/>
          <w:lang w:val="en-US" w:eastAsia="zh-CN" w:bidi="ar"/>
        </w:rPr>
        <w:t>(无需提供）</w:t>
      </w:r>
    </w:p>
    <w:tbl>
      <w:tblPr>
        <w:tblStyle w:val="17"/>
        <w:tblW w:w="911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48"/>
        <w:gridCol w:w="939"/>
        <w:gridCol w:w="1731"/>
        <w:gridCol w:w="1802"/>
        <w:gridCol w:w="1591"/>
        <w:gridCol w:w="1802"/>
      </w:tblGrid>
      <w:tr w14:paraId="030264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0" w:hRule="atLeast"/>
          <w:jc w:val="center"/>
        </w:trPr>
        <w:tc>
          <w:tcPr>
            <w:tcW w:w="1248" w:type="dxa"/>
            <w:tcBorders>
              <w:top w:val="single" w:color="auto" w:sz="6" w:space="0"/>
              <w:left w:val="single" w:color="auto" w:sz="6" w:space="0"/>
              <w:bottom w:val="single" w:color="auto" w:sz="6" w:space="0"/>
              <w:right w:val="single" w:color="auto" w:sz="6" w:space="0"/>
            </w:tcBorders>
            <w:shd w:val="clear" w:color="auto" w:fill="auto"/>
            <w:vAlign w:val="center"/>
          </w:tcPr>
          <w:p w14:paraId="5B85B038">
            <w:pPr>
              <w:pStyle w:val="16"/>
              <w:spacing w:before="0" w:beforeAutospacing="0" w:after="0" w:afterAutospacing="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姓名</w:t>
            </w:r>
          </w:p>
        </w:tc>
        <w:tc>
          <w:tcPr>
            <w:tcW w:w="939" w:type="dxa"/>
            <w:tcBorders>
              <w:top w:val="single" w:color="auto" w:sz="6" w:space="0"/>
              <w:left w:val="nil"/>
              <w:bottom w:val="single" w:color="auto" w:sz="6" w:space="0"/>
              <w:right w:val="single" w:color="auto" w:sz="6" w:space="0"/>
            </w:tcBorders>
            <w:shd w:val="clear" w:color="auto" w:fill="auto"/>
            <w:vAlign w:val="center"/>
          </w:tcPr>
          <w:p w14:paraId="30B1CDAA">
            <w:pPr>
              <w:pStyle w:val="16"/>
              <w:spacing w:before="0" w:beforeAutospacing="0" w:after="0" w:afterAutospacing="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年龄</w:t>
            </w:r>
          </w:p>
        </w:tc>
        <w:tc>
          <w:tcPr>
            <w:tcW w:w="1731" w:type="dxa"/>
            <w:tcBorders>
              <w:top w:val="single" w:color="auto" w:sz="6" w:space="0"/>
              <w:left w:val="nil"/>
              <w:bottom w:val="single" w:color="auto" w:sz="6" w:space="0"/>
              <w:right w:val="single" w:color="auto" w:sz="6" w:space="0"/>
            </w:tcBorders>
            <w:shd w:val="clear" w:color="auto" w:fill="auto"/>
            <w:vAlign w:val="center"/>
          </w:tcPr>
          <w:p w14:paraId="030B5EA6">
            <w:pPr>
              <w:pStyle w:val="16"/>
              <w:spacing w:before="0" w:beforeAutospacing="0" w:after="0" w:afterAutospacing="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类似工作年限</w:t>
            </w:r>
          </w:p>
        </w:tc>
        <w:tc>
          <w:tcPr>
            <w:tcW w:w="1802" w:type="dxa"/>
            <w:tcBorders>
              <w:top w:val="single" w:color="auto" w:sz="6" w:space="0"/>
              <w:left w:val="nil"/>
              <w:bottom w:val="single" w:color="auto" w:sz="6" w:space="0"/>
              <w:right w:val="single" w:color="auto" w:sz="6" w:space="0"/>
            </w:tcBorders>
            <w:shd w:val="clear" w:color="auto" w:fill="auto"/>
            <w:vAlign w:val="center"/>
          </w:tcPr>
          <w:p w14:paraId="62C02F7D">
            <w:pPr>
              <w:pStyle w:val="16"/>
              <w:spacing w:before="0" w:beforeAutospacing="0" w:after="0" w:afterAutospacing="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拟在本项目担任的职务</w:t>
            </w:r>
          </w:p>
        </w:tc>
        <w:tc>
          <w:tcPr>
            <w:tcW w:w="1591" w:type="dxa"/>
            <w:tcBorders>
              <w:top w:val="single" w:color="auto" w:sz="6" w:space="0"/>
              <w:left w:val="nil"/>
              <w:bottom w:val="single" w:color="auto" w:sz="6" w:space="0"/>
              <w:right w:val="single" w:color="auto" w:sz="6" w:space="0"/>
            </w:tcBorders>
            <w:shd w:val="clear" w:color="auto" w:fill="auto"/>
            <w:vAlign w:val="center"/>
          </w:tcPr>
          <w:p w14:paraId="568C7046">
            <w:pPr>
              <w:pStyle w:val="16"/>
              <w:spacing w:before="0" w:beforeAutospacing="0" w:after="0" w:afterAutospacing="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技术职称</w:t>
            </w:r>
          </w:p>
        </w:tc>
        <w:tc>
          <w:tcPr>
            <w:tcW w:w="1802" w:type="dxa"/>
            <w:tcBorders>
              <w:top w:val="single" w:color="auto" w:sz="6" w:space="0"/>
              <w:left w:val="nil"/>
              <w:bottom w:val="single" w:color="auto" w:sz="6" w:space="0"/>
              <w:right w:val="single" w:color="auto" w:sz="6" w:space="0"/>
            </w:tcBorders>
            <w:shd w:val="clear" w:color="auto" w:fill="auto"/>
            <w:vAlign w:val="center"/>
          </w:tcPr>
          <w:p w14:paraId="6A63A8A3">
            <w:pPr>
              <w:pStyle w:val="16"/>
              <w:spacing w:before="0" w:beforeAutospacing="0" w:after="0" w:afterAutospacing="0"/>
              <w:jc w:val="center"/>
              <w:rPr>
                <w:rFonts w:hint="default" w:ascii="Times New Roman" w:hAnsi="Times New Roman" w:cs="Times New Roman"/>
                <w:kern w:val="2"/>
                <w:sz w:val="21"/>
                <w:szCs w:val="21"/>
                <w:vertAlign w:val="superscript"/>
              </w:rPr>
            </w:pPr>
            <w:r>
              <w:rPr>
                <w:rFonts w:hint="default" w:ascii="Times New Roman" w:hAnsi="Times New Roman" w:cs="Times New Roman"/>
                <w:kern w:val="2"/>
                <w:sz w:val="21"/>
                <w:szCs w:val="21"/>
                <w:lang w:bidi="ar"/>
              </w:rPr>
              <w:t>持证号</w:t>
            </w:r>
          </w:p>
        </w:tc>
      </w:tr>
      <w:tr w14:paraId="02681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4" w:hRule="atLeast"/>
          <w:jc w:val="center"/>
        </w:trPr>
        <w:tc>
          <w:tcPr>
            <w:tcW w:w="1248" w:type="dxa"/>
            <w:tcBorders>
              <w:top w:val="single" w:color="auto" w:sz="6" w:space="0"/>
              <w:left w:val="single" w:color="auto" w:sz="6" w:space="0"/>
              <w:bottom w:val="single" w:color="auto" w:sz="6" w:space="0"/>
              <w:right w:val="single" w:color="auto" w:sz="6" w:space="0"/>
            </w:tcBorders>
            <w:shd w:val="clear" w:color="auto" w:fill="auto"/>
            <w:vAlign w:val="center"/>
          </w:tcPr>
          <w:p w14:paraId="60E34D50">
            <w:pPr>
              <w:pStyle w:val="16"/>
              <w:spacing w:before="0" w:beforeAutospacing="0" w:after="0" w:afterAutospacing="0"/>
              <w:jc w:val="center"/>
              <w:rPr>
                <w:rFonts w:hint="default" w:ascii="Times New Roman" w:hAnsi="Times New Roman" w:cs="Times New Roman"/>
                <w:kern w:val="2"/>
                <w:sz w:val="21"/>
                <w:szCs w:val="21"/>
              </w:rPr>
            </w:pPr>
          </w:p>
          <w:p w14:paraId="05B9E076">
            <w:pPr>
              <w:pStyle w:val="16"/>
              <w:spacing w:before="0" w:beforeAutospacing="0" w:after="0" w:afterAutospacing="0"/>
              <w:jc w:val="center"/>
              <w:rPr>
                <w:rFonts w:hint="default" w:ascii="Times New Roman" w:hAnsi="Times New Roman" w:cs="Times New Roman"/>
                <w:kern w:val="2"/>
                <w:sz w:val="21"/>
                <w:szCs w:val="21"/>
              </w:rPr>
            </w:pPr>
          </w:p>
        </w:tc>
        <w:tc>
          <w:tcPr>
            <w:tcW w:w="939" w:type="dxa"/>
            <w:tcBorders>
              <w:top w:val="single" w:color="auto" w:sz="6" w:space="0"/>
              <w:left w:val="nil"/>
              <w:bottom w:val="single" w:color="auto" w:sz="6" w:space="0"/>
              <w:right w:val="single" w:color="auto" w:sz="6" w:space="0"/>
            </w:tcBorders>
            <w:shd w:val="clear" w:color="auto" w:fill="auto"/>
            <w:vAlign w:val="center"/>
          </w:tcPr>
          <w:p w14:paraId="3FC9EB25">
            <w:pPr>
              <w:pStyle w:val="16"/>
              <w:spacing w:before="0" w:beforeAutospacing="0" w:after="0" w:afterAutospacing="0"/>
              <w:jc w:val="center"/>
              <w:rPr>
                <w:rFonts w:hint="default" w:ascii="Times New Roman" w:hAnsi="Times New Roman" w:cs="Times New Roman"/>
                <w:kern w:val="2"/>
                <w:sz w:val="21"/>
                <w:szCs w:val="21"/>
              </w:rPr>
            </w:pPr>
          </w:p>
        </w:tc>
        <w:tc>
          <w:tcPr>
            <w:tcW w:w="1731" w:type="dxa"/>
            <w:tcBorders>
              <w:top w:val="single" w:color="auto" w:sz="6" w:space="0"/>
              <w:left w:val="nil"/>
              <w:bottom w:val="single" w:color="auto" w:sz="6" w:space="0"/>
              <w:right w:val="single" w:color="auto" w:sz="6" w:space="0"/>
            </w:tcBorders>
            <w:shd w:val="clear" w:color="auto" w:fill="auto"/>
            <w:vAlign w:val="center"/>
          </w:tcPr>
          <w:p w14:paraId="177D11C9">
            <w:pPr>
              <w:pStyle w:val="16"/>
              <w:spacing w:before="0" w:beforeAutospacing="0" w:after="0" w:afterAutospacing="0"/>
              <w:jc w:val="center"/>
              <w:rPr>
                <w:rFonts w:hint="default" w:ascii="Times New Roman" w:hAnsi="Times New Roman" w:cs="Times New Roman"/>
                <w:kern w:val="2"/>
                <w:sz w:val="21"/>
                <w:szCs w:val="21"/>
              </w:rPr>
            </w:pPr>
          </w:p>
        </w:tc>
        <w:tc>
          <w:tcPr>
            <w:tcW w:w="1802" w:type="dxa"/>
            <w:tcBorders>
              <w:top w:val="single" w:color="auto" w:sz="6" w:space="0"/>
              <w:left w:val="nil"/>
              <w:bottom w:val="single" w:color="auto" w:sz="6" w:space="0"/>
              <w:right w:val="single" w:color="auto" w:sz="6" w:space="0"/>
            </w:tcBorders>
            <w:shd w:val="clear" w:color="auto" w:fill="auto"/>
            <w:vAlign w:val="center"/>
          </w:tcPr>
          <w:p w14:paraId="20BD0B53">
            <w:pPr>
              <w:pStyle w:val="16"/>
              <w:spacing w:before="0" w:beforeAutospacing="0" w:after="0" w:afterAutospacing="0"/>
              <w:jc w:val="center"/>
              <w:rPr>
                <w:rFonts w:hint="default" w:ascii="Times New Roman" w:hAnsi="Times New Roman" w:cs="Times New Roman"/>
                <w:kern w:val="2"/>
                <w:sz w:val="21"/>
                <w:szCs w:val="21"/>
              </w:rPr>
            </w:pPr>
          </w:p>
        </w:tc>
        <w:tc>
          <w:tcPr>
            <w:tcW w:w="1591" w:type="dxa"/>
            <w:tcBorders>
              <w:top w:val="single" w:color="auto" w:sz="6" w:space="0"/>
              <w:left w:val="nil"/>
              <w:bottom w:val="single" w:color="auto" w:sz="6" w:space="0"/>
              <w:right w:val="single" w:color="auto" w:sz="6" w:space="0"/>
            </w:tcBorders>
            <w:shd w:val="clear" w:color="auto" w:fill="auto"/>
            <w:vAlign w:val="center"/>
          </w:tcPr>
          <w:p w14:paraId="33C4EC44">
            <w:pPr>
              <w:pStyle w:val="16"/>
              <w:spacing w:before="0" w:beforeAutospacing="0" w:after="0" w:afterAutospacing="0"/>
              <w:jc w:val="center"/>
              <w:rPr>
                <w:rFonts w:hint="default" w:ascii="Times New Roman" w:hAnsi="Times New Roman" w:cs="Times New Roman"/>
                <w:kern w:val="2"/>
                <w:sz w:val="21"/>
                <w:szCs w:val="21"/>
              </w:rPr>
            </w:pPr>
          </w:p>
        </w:tc>
        <w:tc>
          <w:tcPr>
            <w:tcW w:w="1802" w:type="dxa"/>
            <w:tcBorders>
              <w:top w:val="single" w:color="auto" w:sz="6" w:space="0"/>
              <w:left w:val="nil"/>
              <w:bottom w:val="single" w:color="auto" w:sz="6" w:space="0"/>
              <w:right w:val="single" w:color="auto" w:sz="6" w:space="0"/>
            </w:tcBorders>
            <w:shd w:val="clear" w:color="auto" w:fill="auto"/>
            <w:vAlign w:val="center"/>
          </w:tcPr>
          <w:p w14:paraId="07DE5E88">
            <w:pPr>
              <w:pStyle w:val="16"/>
              <w:spacing w:before="0" w:beforeAutospacing="0" w:after="0" w:afterAutospacing="0"/>
              <w:jc w:val="center"/>
              <w:rPr>
                <w:rFonts w:hint="default" w:ascii="Times New Roman" w:hAnsi="Times New Roman" w:cs="Times New Roman"/>
                <w:kern w:val="2"/>
                <w:sz w:val="21"/>
                <w:szCs w:val="21"/>
              </w:rPr>
            </w:pPr>
          </w:p>
        </w:tc>
      </w:tr>
      <w:tr w14:paraId="38C38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4" w:hRule="atLeast"/>
          <w:jc w:val="center"/>
        </w:trPr>
        <w:tc>
          <w:tcPr>
            <w:tcW w:w="1248" w:type="dxa"/>
            <w:tcBorders>
              <w:top w:val="single" w:color="auto" w:sz="6" w:space="0"/>
              <w:left w:val="single" w:color="auto" w:sz="6" w:space="0"/>
              <w:bottom w:val="single" w:color="auto" w:sz="6" w:space="0"/>
              <w:right w:val="single" w:color="auto" w:sz="6" w:space="0"/>
            </w:tcBorders>
            <w:shd w:val="clear" w:color="auto" w:fill="auto"/>
            <w:vAlign w:val="center"/>
          </w:tcPr>
          <w:p w14:paraId="3AA05110">
            <w:pPr>
              <w:pStyle w:val="16"/>
              <w:spacing w:before="0" w:beforeAutospacing="0" w:after="0" w:afterAutospacing="0"/>
              <w:jc w:val="center"/>
              <w:rPr>
                <w:rFonts w:hint="default" w:ascii="Times New Roman" w:hAnsi="Times New Roman" w:cs="Times New Roman"/>
                <w:kern w:val="2"/>
                <w:sz w:val="21"/>
                <w:szCs w:val="21"/>
              </w:rPr>
            </w:pPr>
          </w:p>
          <w:p w14:paraId="305FB5BD">
            <w:pPr>
              <w:pStyle w:val="16"/>
              <w:spacing w:before="0" w:beforeAutospacing="0" w:after="0" w:afterAutospacing="0"/>
              <w:jc w:val="center"/>
              <w:rPr>
                <w:rFonts w:hint="default" w:ascii="Times New Roman" w:hAnsi="Times New Roman" w:cs="Times New Roman"/>
                <w:kern w:val="2"/>
                <w:sz w:val="21"/>
                <w:szCs w:val="21"/>
              </w:rPr>
            </w:pPr>
          </w:p>
        </w:tc>
        <w:tc>
          <w:tcPr>
            <w:tcW w:w="939" w:type="dxa"/>
            <w:tcBorders>
              <w:top w:val="single" w:color="auto" w:sz="6" w:space="0"/>
              <w:left w:val="nil"/>
              <w:bottom w:val="single" w:color="auto" w:sz="6" w:space="0"/>
              <w:right w:val="single" w:color="auto" w:sz="6" w:space="0"/>
            </w:tcBorders>
            <w:shd w:val="clear" w:color="auto" w:fill="auto"/>
            <w:vAlign w:val="center"/>
          </w:tcPr>
          <w:p w14:paraId="36398F25">
            <w:pPr>
              <w:pStyle w:val="16"/>
              <w:spacing w:before="0" w:beforeAutospacing="0" w:after="0" w:afterAutospacing="0"/>
              <w:jc w:val="center"/>
              <w:rPr>
                <w:rFonts w:hint="default" w:ascii="Times New Roman" w:hAnsi="Times New Roman" w:cs="Times New Roman"/>
                <w:kern w:val="2"/>
                <w:sz w:val="21"/>
                <w:szCs w:val="21"/>
              </w:rPr>
            </w:pPr>
          </w:p>
        </w:tc>
        <w:tc>
          <w:tcPr>
            <w:tcW w:w="1731" w:type="dxa"/>
            <w:tcBorders>
              <w:top w:val="single" w:color="auto" w:sz="6" w:space="0"/>
              <w:left w:val="nil"/>
              <w:bottom w:val="single" w:color="auto" w:sz="6" w:space="0"/>
              <w:right w:val="single" w:color="auto" w:sz="6" w:space="0"/>
            </w:tcBorders>
            <w:shd w:val="clear" w:color="auto" w:fill="auto"/>
            <w:vAlign w:val="center"/>
          </w:tcPr>
          <w:p w14:paraId="0455A7A6">
            <w:pPr>
              <w:pStyle w:val="16"/>
              <w:spacing w:before="0" w:beforeAutospacing="0" w:after="0" w:afterAutospacing="0"/>
              <w:jc w:val="center"/>
              <w:rPr>
                <w:rFonts w:hint="default" w:ascii="Times New Roman" w:hAnsi="Times New Roman" w:cs="Times New Roman"/>
                <w:kern w:val="2"/>
                <w:sz w:val="21"/>
                <w:szCs w:val="21"/>
              </w:rPr>
            </w:pPr>
          </w:p>
        </w:tc>
        <w:tc>
          <w:tcPr>
            <w:tcW w:w="1802" w:type="dxa"/>
            <w:tcBorders>
              <w:top w:val="single" w:color="auto" w:sz="6" w:space="0"/>
              <w:left w:val="nil"/>
              <w:bottom w:val="single" w:color="auto" w:sz="6" w:space="0"/>
              <w:right w:val="single" w:color="auto" w:sz="6" w:space="0"/>
            </w:tcBorders>
            <w:shd w:val="clear" w:color="auto" w:fill="auto"/>
            <w:vAlign w:val="center"/>
          </w:tcPr>
          <w:p w14:paraId="3EF55F3D">
            <w:pPr>
              <w:pStyle w:val="16"/>
              <w:spacing w:before="0" w:beforeAutospacing="0" w:after="0" w:afterAutospacing="0"/>
              <w:jc w:val="center"/>
              <w:rPr>
                <w:rFonts w:hint="default" w:ascii="Times New Roman" w:hAnsi="Times New Roman" w:cs="Times New Roman"/>
                <w:kern w:val="2"/>
                <w:sz w:val="21"/>
                <w:szCs w:val="21"/>
              </w:rPr>
            </w:pPr>
          </w:p>
        </w:tc>
        <w:tc>
          <w:tcPr>
            <w:tcW w:w="1591" w:type="dxa"/>
            <w:tcBorders>
              <w:top w:val="single" w:color="auto" w:sz="6" w:space="0"/>
              <w:left w:val="nil"/>
              <w:bottom w:val="single" w:color="auto" w:sz="6" w:space="0"/>
              <w:right w:val="single" w:color="auto" w:sz="6" w:space="0"/>
            </w:tcBorders>
            <w:shd w:val="clear" w:color="auto" w:fill="auto"/>
            <w:vAlign w:val="center"/>
          </w:tcPr>
          <w:p w14:paraId="6DED8E29">
            <w:pPr>
              <w:pStyle w:val="16"/>
              <w:spacing w:before="0" w:beforeAutospacing="0" w:after="0" w:afterAutospacing="0"/>
              <w:jc w:val="center"/>
              <w:rPr>
                <w:rFonts w:hint="default" w:ascii="Times New Roman" w:hAnsi="Times New Roman" w:cs="Times New Roman"/>
                <w:kern w:val="2"/>
                <w:sz w:val="21"/>
                <w:szCs w:val="21"/>
              </w:rPr>
            </w:pPr>
          </w:p>
        </w:tc>
        <w:tc>
          <w:tcPr>
            <w:tcW w:w="1802" w:type="dxa"/>
            <w:tcBorders>
              <w:top w:val="single" w:color="auto" w:sz="6" w:space="0"/>
              <w:left w:val="nil"/>
              <w:bottom w:val="single" w:color="auto" w:sz="6" w:space="0"/>
              <w:right w:val="single" w:color="auto" w:sz="6" w:space="0"/>
            </w:tcBorders>
            <w:shd w:val="clear" w:color="auto" w:fill="auto"/>
            <w:vAlign w:val="center"/>
          </w:tcPr>
          <w:p w14:paraId="55BD774D">
            <w:pPr>
              <w:pStyle w:val="16"/>
              <w:spacing w:before="0" w:beforeAutospacing="0" w:after="0" w:afterAutospacing="0"/>
              <w:jc w:val="center"/>
              <w:rPr>
                <w:rFonts w:hint="default" w:ascii="Times New Roman" w:hAnsi="Times New Roman" w:cs="Times New Roman"/>
                <w:kern w:val="2"/>
                <w:sz w:val="21"/>
                <w:szCs w:val="21"/>
              </w:rPr>
            </w:pPr>
          </w:p>
        </w:tc>
      </w:tr>
      <w:tr w14:paraId="23399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4" w:hRule="atLeast"/>
          <w:jc w:val="center"/>
        </w:trPr>
        <w:tc>
          <w:tcPr>
            <w:tcW w:w="1248" w:type="dxa"/>
            <w:tcBorders>
              <w:top w:val="single" w:color="auto" w:sz="6" w:space="0"/>
              <w:left w:val="single" w:color="auto" w:sz="6" w:space="0"/>
              <w:bottom w:val="single" w:color="auto" w:sz="6" w:space="0"/>
              <w:right w:val="single" w:color="auto" w:sz="6" w:space="0"/>
            </w:tcBorders>
            <w:shd w:val="clear" w:color="auto" w:fill="auto"/>
            <w:vAlign w:val="center"/>
          </w:tcPr>
          <w:p w14:paraId="322CA45F">
            <w:pPr>
              <w:pStyle w:val="16"/>
              <w:spacing w:before="0" w:beforeAutospacing="0" w:after="0" w:afterAutospacing="0"/>
              <w:jc w:val="center"/>
              <w:rPr>
                <w:rFonts w:hint="default" w:ascii="Times New Roman" w:hAnsi="Times New Roman" w:cs="Times New Roman"/>
                <w:kern w:val="2"/>
                <w:sz w:val="21"/>
                <w:szCs w:val="21"/>
              </w:rPr>
            </w:pPr>
          </w:p>
        </w:tc>
        <w:tc>
          <w:tcPr>
            <w:tcW w:w="939" w:type="dxa"/>
            <w:tcBorders>
              <w:top w:val="single" w:color="auto" w:sz="6" w:space="0"/>
              <w:left w:val="nil"/>
              <w:bottom w:val="single" w:color="auto" w:sz="6" w:space="0"/>
              <w:right w:val="single" w:color="auto" w:sz="6" w:space="0"/>
            </w:tcBorders>
            <w:shd w:val="clear" w:color="auto" w:fill="auto"/>
            <w:vAlign w:val="center"/>
          </w:tcPr>
          <w:p w14:paraId="4EC23BE1">
            <w:pPr>
              <w:pStyle w:val="16"/>
              <w:spacing w:before="0" w:beforeAutospacing="0" w:after="0" w:afterAutospacing="0"/>
              <w:jc w:val="center"/>
              <w:rPr>
                <w:rFonts w:hint="default" w:ascii="Times New Roman" w:hAnsi="Times New Roman" w:cs="Times New Roman"/>
                <w:kern w:val="2"/>
                <w:sz w:val="21"/>
                <w:szCs w:val="21"/>
              </w:rPr>
            </w:pPr>
          </w:p>
        </w:tc>
        <w:tc>
          <w:tcPr>
            <w:tcW w:w="1731" w:type="dxa"/>
            <w:tcBorders>
              <w:top w:val="single" w:color="auto" w:sz="6" w:space="0"/>
              <w:left w:val="nil"/>
              <w:bottom w:val="single" w:color="auto" w:sz="6" w:space="0"/>
              <w:right w:val="single" w:color="auto" w:sz="6" w:space="0"/>
            </w:tcBorders>
            <w:shd w:val="clear" w:color="auto" w:fill="auto"/>
            <w:vAlign w:val="center"/>
          </w:tcPr>
          <w:p w14:paraId="3875DEE2">
            <w:pPr>
              <w:pStyle w:val="16"/>
              <w:spacing w:before="0" w:beforeAutospacing="0" w:after="0" w:afterAutospacing="0"/>
              <w:jc w:val="center"/>
              <w:rPr>
                <w:rFonts w:hint="default" w:ascii="Times New Roman" w:hAnsi="Times New Roman" w:cs="Times New Roman"/>
                <w:kern w:val="2"/>
                <w:sz w:val="21"/>
                <w:szCs w:val="21"/>
              </w:rPr>
            </w:pPr>
          </w:p>
        </w:tc>
        <w:tc>
          <w:tcPr>
            <w:tcW w:w="1802" w:type="dxa"/>
            <w:tcBorders>
              <w:top w:val="single" w:color="auto" w:sz="6" w:space="0"/>
              <w:left w:val="nil"/>
              <w:bottom w:val="single" w:color="auto" w:sz="6" w:space="0"/>
              <w:right w:val="single" w:color="auto" w:sz="6" w:space="0"/>
            </w:tcBorders>
            <w:shd w:val="clear" w:color="auto" w:fill="auto"/>
            <w:vAlign w:val="center"/>
          </w:tcPr>
          <w:p w14:paraId="0FAA9245">
            <w:pPr>
              <w:pStyle w:val="16"/>
              <w:spacing w:before="0" w:beforeAutospacing="0" w:after="0" w:afterAutospacing="0"/>
              <w:jc w:val="center"/>
              <w:rPr>
                <w:rFonts w:hint="default" w:ascii="Times New Roman" w:hAnsi="Times New Roman" w:cs="Times New Roman"/>
                <w:kern w:val="2"/>
                <w:sz w:val="21"/>
                <w:szCs w:val="21"/>
              </w:rPr>
            </w:pPr>
          </w:p>
        </w:tc>
        <w:tc>
          <w:tcPr>
            <w:tcW w:w="1591" w:type="dxa"/>
            <w:tcBorders>
              <w:top w:val="single" w:color="auto" w:sz="6" w:space="0"/>
              <w:left w:val="nil"/>
              <w:bottom w:val="single" w:color="auto" w:sz="6" w:space="0"/>
              <w:right w:val="single" w:color="auto" w:sz="6" w:space="0"/>
            </w:tcBorders>
            <w:shd w:val="clear" w:color="auto" w:fill="auto"/>
            <w:vAlign w:val="center"/>
          </w:tcPr>
          <w:p w14:paraId="2F291F95">
            <w:pPr>
              <w:pStyle w:val="16"/>
              <w:spacing w:before="0" w:beforeAutospacing="0" w:after="0" w:afterAutospacing="0"/>
              <w:jc w:val="center"/>
              <w:rPr>
                <w:rFonts w:hint="default" w:ascii="Times New Roman" w:hAnsi="Times New Roman" w:cs="Times New Roman"/>
                <w:kern w:val="2"/>
                <w:sz w:val="21"/>
                <w:szCs w:val="21"/>
              </w:rPr>
            </w:pPr>
          </w:p>
        </w:tc>
        <w:tc>
          <w:tcPr>
            <w:tcW w:w="1802" w:type="dxa"/>
            <w:tcBorders>
              <w:top w:val="single" w:color="auto" w:sz="6" w:space="0"/>
              <w:left w:val="nil"/>
              <w:bottom w:val="single" w:color="auto" w:sz="6" w:space="0"/>
              <w:right w:val="single" w:color="auto" w:sz="6" w:space="0"/>
            </w:tcBorders>
            <w:shd w:val="clear" w:color="auto" w:fill="auto"/>
            <w:vAlign w:val="center"/>
          </w:tcPr>
          <w:p w14:paraId="5E6C0B20">
            <w:pPr>
              <w:pStyle w:val="16"/>
              <w:spacing w:before="0" w:beforeAutospacing="0" w:after="0" w:afterAutospacing="0"/>
              <w:jc w:val="center"/>
              <w:rPr>
                <w:rFonts w:hint="default" w:ascii="Times New Roman" w:hAnsi="Times New Roman" w:cs="Times New Roman"/>
                <w:kern w:val="2"/>
                <w:sz w:val="21"/>
                <w:szCs w:val="21"/>
              </w:rPr>
            </w:pPr>
          </w:p>
        </w:tc>
      </w:tr>
    </w:tbl>
    <w:p w14:paraId="33BEFBC5">
      <w:pPr>
        <w:pStyle w:val="16"/>
        <w:autoSpaceDE w:val="0"/>
        <w:autoSpaceDN w:val="0"/>
        <w:spacing w:before="0" w:beforeAutospacing="0" w:after="0" w:afterAutospacing="0"/>
        <w:ind w:firstLine="420" w:firstLineChars="200"/>
        <w:jc w:val="both"/>
        <w:textAlignment w:val="bottom"/>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bidi="ar"/>
        </w:rPr>
        <w:t xml:space="preserve"> </w:t>
      </w:r>
    </w:p>
    <w:p w14:paraId="2227F155">
      <w:pPr>
        <w:pStyle w:val="16"/>
        <w:autoSpaceDE w:val="0"/>
        <w:autoSpaceDN w:val="0"/>
        <w:spacing w:before="0" w:beforeAutospacing="0" w:after="0" w:afterAutospacing="0" w:line="360" w:lineRule="auto"/>
        <w:ind w:firstLine="420" w:firstLineChars="200"/>
        <w:jc w:val="both"/>
        <w:textAlignment w:val="bottom"/>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bidi="ar"/>
        </w:rPr>
        <w:t>注：1. 投标人应根据招标文件要求和招标项目的实际需要，列出拟投入本项目的项目负责人</w:t>
      </w:r>
      <w:r>
        <w:rPr>
          <w:rFonts w:hint="default" w:ascii="Times New Roman" w:hAnsi="Times New Roman" w:eastAsia="黑体" w:cs="Times New Roman"/>
          <w:kern w:val="2"/>
          <w:sz w:val="21"/>
          <w:szCs w:val="21"/>
          <w:lang w:eastAsia="zh-CN" w:bidi="ar"/>
        </w:rPr>
        <w:t>。</w:t>
      </w:r>
    </w:p>
    <w:p w14:paraId="5D2CF56D">
      <w:pPr>
        <w:pStyle w:val="16"/>
        <w:spacing w:before="0" w:beforeAutospacing="0" w:after="120" w:afterAutospacing="0" w:line="360" w:lineRule="auto"/>
        <w:ind w:firstLine="420" w:firstLineChars="200"/>
        <w:jc w:val="both"/>
        <w:rPr>
          <w:rFonts w:hint="default" w:ascii="Times New Roman" w:hAnsi="Times New Roman" w:eastAsia="黑体" w:cs="Times New Roman"/>
          <w:kern w:val="2"/>
          <w:sz w:val="21"/>
          <w:szCs w:val="21"/>
        </w:rPr>
      </w:pPr>
      <w:r>
        <w:rPr>
          <w:rFonts w:hint="default" w:ascii="Times New Roman" w:hAnsi="Times New Roman" w:cs="Times New Roman"/>
          <w:kern w:val="2"/>
          <w:sz w:val="21"/>
          <w:szCs w:val="21"/>
          <w:lang w:bidi="ar"/>
        </w:rPr>
        <w:t>2</w:t>
      </w:r>
      <w:r>
        <w:rPr>
          <w:rFonts w:hint="default" w:ascii="Times New Roman" w:hAnsi="Times New Roman" w:eastAsia="黑体" w:cs="Times New Roman"/>
          <w:kern w:val="2"/>
          <w:sz w:val="21"/>
          <w:szCs w:val="21"/>
          <w:lang w:bidi="ar"/>
        </w:rPr>
        <w:t>、本表后应附投标人拟委任的项目负责人的社保缴费证明。若社保机构所出具的社保证明材料中人员较多，需将拟在本项目中任职的项目负责人的人选做明显标识。</w:t>
      </w:r>
    </w:p>
    <w:p w14:paraId="2BF13832">
      <w:pPr>
        <w:jc w:val="center"/>
        <w:rPr>
          <w:rFonts w:hint="default" w:ascii="Times New Roman" w:hAnsi="Times New Roman" w:cs="Times New Roman"/>
          <w:b/>
          <w:bCs/>
          <w:color w:val="000000"/>
          <w:sz w:val="24"/>
          <w:szCs w:val="24"/>
        </w:rPr>
      </w:pPr>
      <w:r>
        <w:rPr>
          <w:rFonts w:hint="default" w:ascii="Times New Roman" w:hAnsi="Times New Roman" w:cs="Times New Roman"/>
          <w:color w:val="000000"/>
          <w:szCs w:val="21"/>
          <w:lang w:bidi="ar"/>
        </w:rPr>
        <w:br w:type="page"/>
      </w:r>
      <w:r>
        <w:rPr>
          <w:rFonts w:hint="default" w:ascii="Times New Roman" w:hAnsi="Times New Roman" w:eastAsia="黑体" w:cs="Times New Roman"/>
          <w:color w:val="000000"/>
          <w:sz w:val="28"/>
          <w:szCs w:val="28"/>
          <w:lang w:bidi="ar"/>
        </w:rPr>
        <w:t>B</w:t>
      </w:r>
      <w:r>
        <w:rPr>
          <w:rFonts w:hint="default" w:ascii="Times New Roman" w:hAnsi="Times New Roman" w:eastAsia="黑体" w:cs="Times New Roman"/>
          <w:b w:val="0"/>
          <w:bCs w:val="0"/>
          <w:color w:val="000000"/>
          <w:sz w:val="28"/>
          <w:szCs w:val="28"/>
          <w:lang w:bidi="ar"/>
        </w:rPr>
        <w:t>主要</w:t>
      </w:r>
      <w:r>
        <w:rPr>
          <w:rFonts w:hint="eastAsia" w:ascii="Times New Roman" w:hAnsi="Times New Roman" w:eastAsia="黑体" w:cs="Times New Roman"/>
          <w:b w:val="0"/>
          <w:bCs w:val="0"/>
          <w:color w:val="000000"/>
          <w:sz w:val="28"/>
          <w:szCs w:val="28"/>
          <w:lang w:val="en-US" w:eastAsia="zh-CN" w:bidi="ar"/>
        </w:rPr>
        <w:t>人员</w:t>
      </w:r>
      <w:r>
        <w:rPr>
          <w:rFonts w:hint="default" w:ascii="Times New Roman" w:hAnsi="Times New Roman" w:eastAsia="黑体" w:cs="Times New Roman"/>
          <w:b w:val="0"/>
          <w:bCs w:val="0"/>
          <w:color w:val="000000"/>
          <w:sz w:val="28"/>
          <w:szCs w:val="28"/>
          <w:lang w:bidi="ar"/>
        </w:rPr>
        <w:t>简历表</w:t>
      </w:r>
    </w:p>
    <w:p w14:paraId="2B8C3D7B">
      <w:pPr>
        <w:overflowPunct w:val="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tbl>
      <w:tblPr>
        <w:tblStyle w:val="17"/>
        <w:tblW w:w="90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85" w:type="dxa"/>
          <w:bottom w:w="0" w:type="dxa"/>
          <w:right w:w="85" w:type="dxa"/>
        </w:tblCellMar>
      </w:tblPr>
      <w:tblGrid>
        <w:gridCol w:w="1120"/>
        <w:gridCol w:w="1063"/>
        <w:gridCol w:w="1164"/>
        <w:gridCol w:w="1306"/>
        <w:gridCol w:w="2184"/>
        <w:gridCol w:w="2231"/>
      </w:tblGrid>
      <w:tr w14:paraId="454EF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E16B4">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姓  名</w:t>
            </w:r>
          </w:p>
        </w:tc>
        <w:tc>
          <w:tcPr>
            <w:tcW w:w="1063" w:type="dxa"/>
            <w:tcBorders>
              <w:top w:val="single" w:color="000000" w:sz="4" w:space="0"/>
              <w:left w:val="nil"/>
              <w:bottom w:val="single" w:color="000000" w:sz="4" w:space="0"/>
              <w:right w:val="single" w:color="000000" w:sz="4" w:space="0"/>
            </w:tcBorders>
            <w:shd w:val="clear" w:color="auto" w:fill="auto"/>
            <w:vAlign w:val="center"/>
          </w:tcPr>
          <w:p w14:paraId="4E38CCBF">
            <w:pPr>
              <w:jc w:val="center"/>
              <w:rPr>
                <w:rFonts w:hint="default" w:ascii="Times New Roman" w:hAnsi="Times New Roman" w:cs="Times New Roman"/>
                <w:color w:val="000000"/>
                <w:szCs w:val="21"/>
              </w:rPr>
            </w:pPr>
          </w:p>
        </w:tc>
        <w:tc>
          <w:tcPr>
            <w:tcW w:w="1164" w:type="dxa"/>
            <w:tcBorders>
              <w:top w:val="single" w:color="000000" w:sz="4" w:space="0"/>
              <w:left w:val="nil"/>
              <w:bottom w:val="single" w:color="000000" w:sz="4" w:space="0"/>
              <w:right w:val="single" w:color="000000" w:sz="4" w:space="0"/>
            </w:tcBorders>
            <w:shd w:val="clear" w:color="auto" w:fill="auto"/>
            <w:vAlign w:val="center"/>
          </w:tcPr>
          <w:p w14:paraId="1D1295DF">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年  龄</w:t>
            </w:r>
          </w:p>
        </w:tc>
        <w:tc>
          <w:tcPr>
            <w:tcW w:w="1306" w:type="dxa"/>
            <w:tcBorders>
              <w:top w:val="single" w:color="000000" w:sz="4" w:space="0"/>
              <w:left w:val="nil"/>
              <w:bottom w:val="single" w:color="000000" w:sz="4" w:space="0"/>
              <w:right w:val="single" w:color="000000" w:sz="4" w:space="0"/>
            </w:tcBorders>
            <w:shd w:val="clear" w:color="auto" w:fill="auto"/>
            <w:vAlign w:val="center"/>
          </w:tcPr>
          <w:p w14:paraId="718CBAE2">
            <w:pPr>
              <w:overflowPunct w:val="0"/>
              <w:spacing w:line="300" w:lineRule="auto"/>
              <w:jc w:val="center"/>
              <w:rPr>
                <w:rFonts w:hint="default" w:ascii="Times New Roman" w:hAnsi="Times New Roman" w:cs="Times New Roman"/>
                <w:color w:val="000000"/>
                <w:szCs w:val="21"/>
              </w:rPr>
            </w:pPr>
          </w:p>
        </w:tc>
        <w:tc>
          <w:tcPr>
            <w:tcW w:w="2184" w:type="dxa"/>
            <w:tcBorders>
              <w:top w:val="single" w:color="000000" w:sz="4" w:space="0"/>
              <w:left w:val="nil"/>
              <w:bottom w:val="single" w:color="000000" w:sz="4" w:space="0"/>
              <w:right w:val="single" w:color="000000" w:sz="4" w:space="0"/>
            </w:tcBorders>
            <w:shd w:val="clear" w:color="auto" w:fill="auto"/>
            <w:vAlign w:val="center"/>
          </w:tcPr>
          <w:p w14:paraId="65220EF1">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拟在本工程任职</w:t>
            </w:r>
          </w:p>
        </w:tc>
        <w:tc>
          <w:tcPr>
            <w:tcW w:w="2231" w:type="dxa"/>
            <w:tcBorders>
              <w:top w:val="single" w:color="000000" w:sz="4" w:space="0"/>
              <w:left w:val="nil"/>
              <w:bottom w:val="single" w:color="000000" w:sz="4" w:space="0"/>
              <w:right w:val="single" w:color="000000" w:sz="4" w:space="0"/>
            </w:tcBorders>
            <w:shd w:val="clear" w:color="auto" w:fill="auto"/>
            <w:vAlign w:val="center"/>
          </w:tcPr>
          <w:p w14:paraId="132C12FC">
            <w:pPr>
              <w:overflowPunct w:val="0"/>
              <w:spacing w:line="300" w:lineRule="auto"/>
              <w:jc w:val="center"/>
              <w:rPr>
                <w:rFonts w:hint="default" w:ascii="Times New Roman" w:hAnsi="Times New Roman" w:cs="Times New Roman"/>
                <w:color w:val="000000"/>
                <w:szCs w:val="21"/>
              </w:rPr>
            </w:pPr>
          </w:p>
        </w:tc>
      </w:tr>
      <w:tr w14:paraId="551CF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BBEC5">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职  称</w:t>
            </w:r>
          </w:p>
        </w:tc>
        <w:tc>
          <w:tcPr>
            <w:tcW w:w="1063" w:type="dxa"/>
            <w:tcBorders>
              <w:top w:val="single" w:color="000000" w:sz="4" w:space="0"/>
              <w:left w:val="nil"/>
              <w:bottom w:val="single" w:color="000000" w:sz="4" w:space="0"/>
              <w:right w:val="single" w:color="000000" w:sz="4" w:space="0"/>
            </w:tcBorders>
            <w:shd w:val="clear" w:color="auto" w:fill="auto"/>
            <w:vAlign w:val="center"/>
          </w:tcPr>
          <w:p w14:paraId="3589F448">
            <w:pPr>
              <w:overflowPunct w:val="0"/>
              <w:spacing w:line="300" w:lineRule="auto"/>
              <w:jc w:val="center"/>
              <w:rPr>
                <w:rFonts w:hint="default" w:ascii="Times New Roman" w:hAnsi="Times New Roman" w:cs="Times New Roman"/>
                <w:color w:val="000000"/>
                <w:szCs w:val="21"/>
              </w:rPr>
            </w:pPr>
          </w:p>
        </w:tc>
        <w:tc>
          <w:tcPr>
            <w:tcW w:w="1164" w:type="dxa"/>
            <w:tcBorders>
              <w:top w:val="single" w:color="000000" w:sz="4" w:space="0"/>
              <w:left w:val="nil"/>
              <w:bottom w:val="single" w:color="000000" w:sz="4" w:space="0"/>
              <w:right w:val="single" w:color="000000" w:sz="4" w:space="0"/>
            </w:tcBorders>
            <w:shd w:val="clear" w:color="auto" w:fill="auto"/>
            <w:vAlign w:val="center"/>
          </w:tcPr>
          <w:p w14:paraId="0F1082BB">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学  历</w:t>
            </w:r>
          </w:p>
        </w:tc>
        <w:tc>
          <w:tcPr>
            <w:tcW w:w="1306" w:type="dxa"/>
            <w:tcBorders>
              <w:top w:val="single" w:color="000000" w:sz="4" w:space="0"/>
              <w:left w:val="nil"/>
              <w:bottom w:val="single" w:color="000000" w:sz="4" w:space="0"/>
              <w:right w:val="single" w:color="000000" w:sz="4" w:space="0"/>
            </w:tcBorders>
            <w:shd w:val="clear" w:color="auto" w:fill="auto"/>
            <w:vAlign w:val="center"/>
          </w:tcPr>
          <w:p w14:paraId="0A262F90">
            <w:pPr>
              <w:overflowPunct w:val="0"/>
              <w:spacing w:line="300" w:lineRule="auto"/>
              <w:jc w:val="center"/>
              <w:rPr>
                <w:rFonts w:hint="default" w:ascii="Times New Roman" w:hAnsi="Times New Roman" w:cs="Times New Roman"/>
                <w:color w:val="000000"/>
                <w:szCs w:val="21"/>
              </w:rPr>
            </w:pPr>
          </w:p>
        </w:tc>
        <w:tc>
          <w:tcPr>
            <w:tcW w:w="2184" w:type="dxa"/>
            <w:tcBorders>
              <w:top w:val="single" w:color="000000" w:sz="4" w:space="0"/>
              <w:left w:val="nil"/>
              <w:bottom w:val="single" w:color="000000" w:sz="4" w:space="0"/>
              <w:right w:val="single" w:color="000000" w:sz="4" w:space="0"/>
            </w:tcBorders>
            <w:shd w:val="clear" w:color="auto" w:fill="auto"/>
            <w:vAlign w:val="center"/>
          </w:tcPr>
          <w:p w14:paraId="729E0A30">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专业工作年限</w:t>
            </w:r>
          </w:p>
        </w:tc>
        <w:tc>
          <w:tcPr>
            <w:tcW w:w="2231" w:type="dxa"/>
            <w:tcBorders>
              <w:top w:val="single" w:color="000000" w:sz="4" w:space="0"/>
              <w:left w:val="nil"/>
              <w:bottom w:val="single" w:color="000000" w:sz="4" w:space="0"/>
              <w:right w:val="single" w:color="000000" w:sz="4" w:space="0"/>
            </w:tcBorders>
            <w:shd w:val="clear" w:color="auto" w:fill="auto"/>
            <w:vAlign w:val="center"/>
          </w:tcPr>
          <w:p w14:paraId="38516494">
            <w:pPr>
              <w:overflowPunct w:val="0"/>
              <w:spacing w:line="300" w:lineRule="auto"/>
              <w:jc w:val="center"/>
              <w:rPr>
                <w:rFonts w:hint="default" w:ascii="Times New Roman" w:hAnsi="Times New Roman" w:cs="Times New Roman"/>
                <w:color w:val="000000"/>
                <w:szCs w:val="21"/>
              </w:rPr>
            </w:pPr>
          </w:p>
        </w:tc>
      </w:tr>
      <w:tr w14:paraId="27B5C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334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652BAF">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注册执业资格证书、等级</w:t>
            </w:r>
          </w:p>
        </w:tc>
        <w:tc>
          <w:tcPr>
            <w:tcW w:w="1306" w:type="dxa"/>
            <w:tcBorders>
              <w:top w:val="single" w:color="000000" w:sz="4" w:space="0"/>
              <w:left w:val="nil"/>
              <w:bottom w:val="single" w:color="000000" w:sz="4" w:space="0"/>
              <w:right w:val="single" w:color="000000" w:sz="4" w:space="0"/>
            </w:tcBorders>
            <w:shd w:val="clear" w:color="auto" w:fill="auto"/>
            <w:vAlign w:val="center"/>
          </w:tcPr>
          <w:p w14:paraId="3DC9C347">
            <w:pPr>
              <w:overflowPunct w:val="0"/>
              <w:spacing w:line="300" w:lineRule="auto"/>
              <w:jc w:val="center"/>
              <w:rPr>
                <w:rFonts w:hint="default" w:ascii="Times New Roman" w:hAnsi="Times New Roman" w:cs="Times New Roman"/>
                <w:color w:val="000000"/>
                <w:szCs w:val="21"/>
              </w:rPr>
            </w:pPr>
          </w:p>
        </w:tc>
        <w:tc>
          <w:tcPr>
            <w:tcW w:w="2184" w:type="dxa"/>
            <w:tcBorders>
              <w:top w:val="single" w:color="000000" w:sz="4" w:space="0"/>
              <w:left w:val="nil"/>
              <w:bottom w:val="single" w:color="000000" w:sz="4" w:space="0"/>
              <w:right w:val="single" w:color="000000" w:sz="4" w:space="0"/>
            </w:tcBorders>
            <w:shd w:val="clear" w:color="auto" w:fill="auto"/>
            <w:vAlign w:val="center"/>
          </w:tcPr>
          <w:p w14:paraId="48856919">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注册专业</w:t>
            </w:r>
          </w:p>
        </w:tc>
        <w:tc>
          <w:tcPr>
            <w:tcW w:w="2231" w:type="dxa"/>
            <w:tcBorders>
              <w:top w:val="single" w:color="000000" w:sz="4" w:space="0"/>
              <w:left w:val="nil"/>
              <w:bottom w:val="single" w:color="000000" w:sz="4" w:space="0"/>
              <w:right w:val="single" w:color="000000" w:sz="4" w:space="0"/>
            </w:tcBorders>
            <w:shd w:val="clear" w:color="auto" w:fill="auto"/>
            <w:vAlign w:val="center"/>
          </w:tcPr>
          <w:p w14:paraId="6C1E3297">
            <w:pPr>
              <w:overflowPunct w:val="0"/>
              <w:spacing w:line="300" w:lineRule="auto"/>
              <w:rPr>
                <w:rFonts w:hint="default" w:ascii="Times New Roman" w:hAnsi="Times New Roman" w:cs="Times New Roman"/>
                <w:color w:val="000000"/>
                <w:szCs w:val="21"/>
              </w:rPr>
            </w:pPr>
          </w:p>
        </w:tc>
      </w:tr>
      <w:tr w14:paraId="1A469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334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7F7871">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安全生产考核合格证书</w:t>
            </w:r>
          </w:p>
        </w:tc>
        <w:tc>
          <w:tcPr>
            <w:tcW w:w="5721" w:type="dxa"/>
            <w:gridSpan w:val="3"/>
            <w:tcBorders>
              <w:top w:val="single" w:color="000000" w:sz="4" w:space="0"/>
              <w:left w:val="nil"/>
              <w:bottom w:val="single" w:color="000000" w:sz="4" w:space="0"/>
              <w:right w:val="single" w:color="000000" w:sz="4" w:space="0"/>
            </w:tcBorders>
            <w:shd w:val="clear" w:color="auto" w:fill="auto"/>
            <w:vAlign w:val="center"/>
          </w:tcPr>
          <w:p w14:paraId="59B16DB8">
            <w:pPr>
              <w:overflowPunct w:val="0"/>
              <w:spacing w:line="300" w:lineRule="auto"/>
              <w:jc w:val="center"/>
              <w:rPr>
                <w:rFonts w:hint="default" w:ascii="Times New Roman" w:hAnsi="Times New Roman" w:cs="Times New Roman"/>
                <w:color w:val="000000"/>
                <w:szCs w:val="21"/>
              </w:rPr>
            </w:pPr>
          </w:p>
        </w:tc>
      </w:tr>
      <w:tr w14:paraId="50274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B4C2D">
            <w:pPr>
              <w:overflowPunct w:val="0"/>
              <w:spacing w:line="300"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毕业学校</w:t>
            </w:r>
          </w:p>
        </w:tc>
        <w:tc>
          <w:tcPr>
            <w:tcW w:w="7948" w:type="dxa"/>
            <w:gridSpan w:val="5"/>
            <w:tcBorders>
              <w:top w:val="single" w:color="000000" w:sz="4" w:space="0"/>
              <w:left w:val="nil"/>
              <w:bottom w:val="single" w:color="000000" w:sz="4" w:space="0"/>
              <w:right w:val="single" w:color="000000" w:sz="4" w:space="0"/>
            </w:tcBorders>
            <w:shd w:val="clear" w:color="auto" w:fill="auto"/>
            <w:vAlign w:val="center"/>
          </w:tcPr>
          <w:p w14:paraId="3C8BD337">
            <w:pPr>
              <w:overflowPunct w:val="0"/>
              <w:spacing w:line="300"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年毕业于        学校           专业</w:t>
            </w:r>
          </w:p>
        </w:tc>
      </w:tr>
      <w:tr w14:paraId="3EB7F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906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F517EC">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主要工作经历</w:t>
            </w:r>
          </w:p>
        </w:tc>
      </w:tr>
      <w:tr w14:paraId="07D80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D30CA">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时  间</w:t>
            </w:r>
          </w:p>
        </w:tc>
        <w:tc>
          <w:tcPr>
            <w:tcW w:w="3533" w:type="dxa"/>
            <w:gridSpan w:val="3"/>
            <w:tcBorders>
              <w:top w:val="single" w:color="000000" w:sz="4" w:space="0"/>
              <w:left w:val="nil"/>
              <w:bottom w:val="single" w:color="000000" w:sz="4" w:space="0"/>
              <w:right w:val="single" w:color="000000" w:sz="4" w:space="0"/>
            </w:tcBorders>
            <w:shd w:val="clear" w:color="auto" w:fill="auto"/>
            <w:vAlign w:val="center"/>
          </w:tcPr>
          <w:p w14:paraId="5FFBD5CD">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参加过的类似项目名称</w:t>
            </w:r>
          </w:p>
        </w:tc>
        <w:tc>
          <w:tcPr>
            <w:tcW w:w="2184" w:type="dxa"/>
            <w:tcBorders>
              <w:top w:val="single" w:color="000000" w:sz="4" w:space="0"/>
              <w:left w:val="nil"/>
              <w:bottom w:val="single" w:color="000000" w:sz="4" w:space="0"/>
              <w:right w:val="single" w:color="000000" w:sz="4" w:space="0"/>
            </w:tcBorders>
            <w:shd w:val="clear" w:color="auto" w:fill="auto"/>
            <w:vAlign w:val="center"/>
          </w:tcPr>
          <w:p w14:paraId="53B55801">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担任职务</w:t>
            </w:r>
          </w:p>
        </w:tc>
        <w:tc>
          <w:tcPr>
            <w:tcW w:w="2231" w:type="dxa"/>
            <w:tcBorders>
              <w:top w:val="single" w:color="000000" w:sz="4" w:space="0"/>
              <w:left w:val="nil"/>
              <w:bottom w:val="single" w:color="000000" w:sz="4" w:space="0"/>
              <w:right w:val="single" w:color="000000" w:sz="4" w:space="0"/>
            </w:tcBorders>
            <w:shd w:val="clear" w:color="auto" w:fill="auto"/>
            <w:vAlign w:val="center"/>
          </w:tcPr>
          <w:p w14:paraId="460B8354">
            <w:pPr>
              <w:overflowPunct w:val="0"/>
              <w:spacing w:line="30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发包人及联系电话</w:t>
            </w:r>
          </w:p>
        </w:tc>
      </w:tr>
      <w:tr w14:paraId="040A4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D5BBC">
            <w:pPr>
              <w:overflowPunct w:val="0"/>
              <w:spacing w:line="300" w:lineRule="auto"/>
              <w:jc w:val="center"/>
              <w:rPr>
                <w:rFonts w:hint="default" w:ascii="Times New Roman" w:hAnsi="Times New Roman" w:cs="Times New Roman"/>
                <w:color w:val="000000"/>
                <w:szCs w:val="21"/>
              </w:rPr>
            </w:pPr>
          </w:p>
        </w:tc>
        <w:tc>
          <w:tcPr>
            <w:tcW w:w="3533" w:type="dxa"/>
            <w:gridSpan w:val="3"/>
            <w:tcBorders>
              <w:top w:val="single" w:color="000000" w:sz="4" w:space="0"/>
              <w:left w:val="nil"/>
              <w:bottom w:val="single" w:color="000000" w:sz="4" w:space="0"/>
              <w:right w:val="single" w:color="000000" w:sz="4" w:space="0"/>
            </w:tcBorders>
            <w:shd w:val="clear" w:color="auto" w:fill="auto"/>
            <w:vAlign w:val="center"/>
          </w:tcPr>
          <w:p w14:paraId="13D423DB">
            <w:pPr>
              <w:overflowPunct w:val="0"/>
              <w:spacing w:line="300" w:lineRule="auto"/>
              <w:jc w:val="center"/>
              <w:rPr>
                <w:rFonts w:hint="default" w:ascii="Times New Roman" w:hAnsi="Times New Roman" w:cs="Times New Roman"/>
                <w:color w:val="000000"/>
                <w:szCs w:val="21"/>
              </w:rPr>
            </w:pPr>
          </w:p>
        </w:tc>
        <w:tc>
          <w:tcPr>
            <w:tcW w:w="2184" w:type="dxa"/>
            <w:tcBorders>
              <w:top w:val="single" w:color="000000" w:sz="4" w:space="0"/>
              <w:left w:val="nil"/>
              <w:bottom w:val="single" w:color="000000" w:sz="4" w:space="0"/>
              <w:right w:val="single" w:color="000000" w:sz="4" w:space="0"/>
            </w:tcBorders>
            <w:shd w:val="clear" w:color="auto" w:fill="auto"/>
            <w:vAlign w:val="center"/>
          </w:tcPr>
          <w:p w14:paraId="069DA405">
            <w:pPr>
              <w:overflowPunct w:val="0"/>
              <w:spacing w:line="300" w:lineRule="auto"/>
              <w:jc w:val="center"/>
              <w:rPr>
                <w:rFonts w:hint="default" w:ascii="Times New Roman" w:hAnsi="Times New Roman" w:cs="Times New Roman"/>
                <w:color w:val="000000"/>
                <w:szCs w:val="21"/>
              </w:rPr>
            </w:pPr>
          </w:p>
        </w:tc>
        <w:tc>
          <w:tcPr>
            <w:tcW w:w="2231" w:type="dxa"/>
            <w:tcBorders>
              <w:top w:val="single" w:color="000000" w:sz="4" w:space="0"/>
              <w:left w:val="nil"/>
              <w:bottom w:val="single" w:color="000000" w:sz="4" w:space="0"/>
              <w:right w:val="single" w:color="000000" w:sz="4" w:space="0"/>
            </w:tcBorders>
            <w:shd w:val="clear" w:color="auto" w:fill="auto"/>
            <w:vAlign w:val="center"/>
          </w:tcPr>
          <w:p w14:paraId="0DC725D9">
            <w:pPr>
              <w:overflowPunct w:val="0"/>
              <w:spacing w:line="300" w:lineRule="auto"/>
              <w:jc w:val="center"/>
              <w:rPr>
                <w:rFonts w:hint="default" w:ascii="Times New Roman" w:hAnsi="Times New Roman" w:cs="Times New Roman"/>
                <w:color w:val="000000"/>
                <w:szCs w:val="21"/>
              </w:rPr>
            </w:pPr>
          </w:p>
        </w:tc>
      </w:tr>
      <w:tr w14:paraId="690B4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2744D">
            <w:pPr>
              <w:overflowPunct w:val="0"/>
              <w:spacing w:line="300" w:lineRule="auto"/>
              <w:jc w:val="center"/>
              <w:rPr>
                <w:rFonts w:hint="default" w:ascii="Times New Roman" w:hAnsi="Times New Roman" w:cs="Times New Roman"/>
                <w:color w:val="000000"/>
                <w:szCs w:val="21"/>
              </w:rPr>
            </w:pPr>
          </w:p>
        </w:tc>
        <w:tc>
          <w:tcPr>
            <w:tcW w:w="3533" w:type="dxa"/>
            <w:gridSpan w:val="3"/>
            <w:tcBorders>
              <w:top w:val="single" w:color="000000" w:sz="4" w:space="0"/>
              <w:left w:val="nil"/>
              <w:bottom w:val="single" w:color="000000" w:sz="4" w:space="0"/>
              <w:right w:val="single" w:color="000000" w:sz="4" w:space="0"/>
            </w:tcBorders>
            <w:shd w:val="clear" w:color="auto" w:fill="auto"/>
            <w:vAlign w:val="center"/>
          </w:tcPr>
          <w:p w14:paraId="3CB4A4AD">
            <w:pPr>
              <w:overflowPunct w:val="0"/>
              <w:spacing w:line="300" w:lineRule="auto"/>
              <w:jc w:val="center"/>
              <w:rPr>
                <w:rFonts w:hint="default" w:ascii="Times New Roman" w:hAnsi="Times New Roman" w:cs="Times New Roman"/>
                <w:color w:val="000000"/>
                <w:szCs w:val="21"/>
              </w:rPr>
            </w:pPr>
          </w:p>
        </w:tc>
        <w:tc>
          <w:tcPr>
            <w:tcW w:w="2184" w:type="dxa"/>
            <w:tcBorders>
              <w:top w:val="single" w:color="000000" w:sz="4" w:space="0"/>
              <w:left w:val="nil"/>
              <w:bottom w:val="single" w:color="000000" w:sz="4" w:space="0"/>
              <w:right w:val="single" w:color="000000" w:sz="4" w:space="0"/>
            </w:tcBorders>
            <w:shd w:val="clear" w:color="auto" w:fill="auto"/>
            <w:vAlign w:val="center"/>
          </w:tcPr>
          <w:p w14:paraId="6B43CE3B">
            <w:pPr>
              <w:overflowPunct w:val="0"/>
              <w:spacing w:line="300" w:lineRule="auto"/>
              <w:jc w:val="center"/>
              <w:rPr>
                <w:rFonts w:hint="default" w:ascii="Times New Roman" w:hAnsi="Times New Roman" w:cs="Times New Roman"/>
                <w:color w:val="000000"/>
                <w:szCs w:val="21"/>
              </w:rPr>
            </w:pPr>
          </w:p>
        </w:tc>
        <w:tc>
          <w:tcPr>
            <w:tcW w:w="2231" w:type="dxa"/>
            <w:tcBorders>
              <w:top w:val="single" w:color="000000" w:sz="4" w:space="0"/>
              <w:left w:val="nil"/>
              <w:bottom w:val="single" w:color="000000" w:sz="4" w:space="0"/>
              <w:right w:val="single" w:color="000000" w:sz="4" w:space="0"/>
            </w:tcBorders>
            <w:shd w:val="clear" w:color="auto" w:fill="auto"/>
            <w:vAlign w:val="center"/>
          </w:tcPr>
          <w:p w14:paraId="66868BF6">
            <w:pPr>
              <w:overflowPunct w:val="0"/>
              <w:spacing w:line="300" w:lineRule="auto"/>
              <w:jc w:val="center"/>
              <w:rPr>
                <w:rFonts w:hint="default" w:ascii="Times New Roman" w:hAnsi="Times New Roman" w:cs="Times New Roman"/>
                <w:color w:val="000000"/>
                <w:szCs w:val="21"/>
              </w:rPr>
            </w:pPr>
          </w:p>
        </w:tc>
      </w:tr>
      <w:tr w14:paraId="55FE2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64126">
            <w:pPr>
              <w:overflowPunct w:val="0"/>
              <w:spacing w:line="300" w:lineRule="auto"/>
              <w:jc w:val="center"/>
              <w:rPr>
                <w:rFonts w:hint="default" w:ascii="Times New Roman" w:hAnsi="Times New Roman" w:cs="Times New Roman"/>
                <w:color w:val="000000"/>
                <w:szCs w:val="21"/>
              </w:rPr>
            </w:pPr>
          </w:p>
        </w:tc>
        <w:tc>
          <w:tcPr>
            <w:tcW w:w="3533" w:type="dxa"/>
            <w:gridSpan w:val="3"/>
            <w:tcBorders>
              <w:top w:val="single" w:color="000000" w:sz="4" w:space="0"/>
              <w:left w:val="nil"/>
              <w:bottom w:val="single" w:color="000000" w:sz="4" w:space="0"/>
              <w:right w:val="single" w:color="000000" w:sz="4" w:space="0"/>
            </w:tcBorders>
            <w:shd w:val="clear" w:color="auto" w:fill="auto"/>
            <w:vAlign w:val="center"/>
          </w:tcPr>
          <w:p w14:paraId="59FDB941">
            <w:pPr>
              <w:overflowPunct w:val="0"/>
              <w:spacing w:line="300" w:lineRule="auto"/>
              <w:jc w:val="center"/>
              <w:rPr>
                <w:rFonts w:hint="default" w:ascii="Times New Roman" w:hAnsi="Times New Roman" w:cs="Times New Roman"/>
                <w:color w:val="000000"/>
                <w:szCs w:val="21"/>
              </w:rPr>
            </w:pPr>
          </w:p>
        </w:tc>
        <w:tc>
          <w:tcPr>
            <w:tcW w:w="2184" w:type="dxa"/>
            <w:tcBorders>
              <w:top w:val="single" w:color="000000" w:sz="4" w:space="0"/>
              <w:left w:val="nil"/>
              <w:bottom w:val="single" w:color="000000" w:sz="4" w:space="0"/>
              <w:right w:val="single" w:color="000000" w:sz="4" w:space="0"/>
            </w:tcBorders>
            <w:shd w:val="clear" w:color="auto" w:fill="auto"/>
            <w:vAlign w:val="center"/>
          </w:tcPr>
          <w:p w14:paraId="01489C32">
            <w:pPr>
              <w:overflowPunct w:val="0"/>
              <w:spacing w:line="300" w:lineRule="auto"/>
              <w:jc w:val="center"/>
              <w:rPr>
                <w:rFonts w:hint="default" w:ascii="Times New Roman" w:hAnsi="Times New Roman" w:cs="Times New Roman"/>
                <w:color w:val="000000"/>
                <w:szCs w:val="21"/>
              </w:rPr>
            </w:pPr>
          </w:p>
        </w:tc>
        <w:tc>
          <w:tcPr>
            <w:tcW w:w="2231" w:type="dxa"/>
            <w:tcBorders>
              <w:top w:val="single" w:color="000000" w:sz="4" w:space="0"/>
              <w:left w:val="nil"/>
              <w:bottom w:val="single" w:color="000000" w:sz="4" w:space="0"/>
              <w:right w:val="single" w:color="000000" w:sz="4" w:space="0"/>
            </w:tcBorders>
            <w:shd w:val="clear" w:color="auto" w:fill="auto"/>
            <w:vAlign w:val="center"/>
          </w:tcPr>
          <w:p w14:paraId="2150072C">
            <w:pPr>
              <w:overflowPunct w:val="0"/>
              <w:spacing w:line="300" w:lineRule="auto"/>
              <w:jc w:val="center"/>
              <w:rPr>
                <w:rFonts w:hint="default" w:ascii="Times New Roman" w:hAnsi="Times New Roman" w:cs="Times New Roman"/>
                <w:color w:val="000000"/>
                <w:szCs w:val="21"/>
              </w:rPr>
            </w:pPr>
          </w:p>
        </w:tc>
      </w:tr>
      <w:tr w14:paraId="35BCE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18F22">
            <w:pPr>
              <w:overflowPunct w:val="0"/>
              <w:spacing w:line="300" w:lineRule="auto"/>
              <w:jc w:val="center"/>
              <w:rPr>
                <w:rFonts w:hint="default" w:ascii="Times New Roman" w:hAnsi="Times New Roman" w:cs="Times New Roman"/>
                <w:color w:val="000000"/>
                <w:szCs w:val="21"/>
              </w:rPr>
            </w:pPr>
          </w:p>
        </w:tc>
        <w:tc>
          <w:tcPr>
            <w:tcW w:w="3533" w:type="dxa"/>
            <w:gridSpan w:val="3"/>
            <w:tcBorders>
              <w:top w:val="single" w:color="000000" w:sz="4" w:space="0"/>
              <w:left w:val="nil"/>
              <w:bottom w:val="single" w:color="000000" w:sz="4" w:space="0"/>
              <w:right w:val="single" w:color="000000" w:sz="4" w:space="0"/>
            </w:tcBorders>
            <w:shd w:val="clear" w:color="auto" w:fill="auto"/>
            <w:vAlign w:val="center"/>
          </w:tcPr>
          <w:p w14:paraId="403B7C47">
            <w:pPr>
              <w:overflowPunct w:val="0"/>
              <w:spacing w:line="300" w:lineRule="auto"/>
              <w:jc w:val="center"/>
              <w:rPr>
                <w:rFonts w:hint="default" w:ascii="Times New Roman" w:hAnsi="Times New Roman" w:cs="Times New Roman"/>
                <w:color w:val="000000"/>
                <w:szCs w:val="21"/>
              </w:rPr>
            </w:pPr>
          </w:p>
        </w:tc>
        <w:tc>
          <w:tcPr>
            <w:tcW w:w="2184" w:type="dxa"/>
            <w:tcBorders>
              <w:top w:val="single" w:color="000000" w:sz="4" w:space="0"/>
              <w:left w:val="nil"/>
              <w:bottom w:val="single" w:color="000000" w:sz="4" w:space="0"/>
              <w:right w:val="single" w:color="000000" w:sz="4" w:space="0"/>
            </w:tcBorders>
            <w:shd w:val="clear" w:color="auto" w:fill="auto"/>
            <w:vAlign w:val="center"/>
          </w:tcPr>
          <w:p w14:paraId="032D8152">
            <w:pPr>
              <w:overflowPunct w:val="0"/>
              <w:spacing w:line="300" w:lineRule="auto"/>
              <w:jc w:val="center"/>
              <w:rPr>
                <w:rFonts w:hint="default" w:ascii="Times New Roman" w:hAnsi="Times New Roman" w:cs="Times New Roman"/>
                <w:color w:val="000000"/>
                <w:szCs w:val="21"/>
              </w:rPr>
            </w:pPr>
          </w:p>
        </w:tc>
        <w:tc>
          <w:tcPr>
            <w:tcW w:w="2231" w:type="dxa"/>
            <w:tcBorders>
              <w:top w:val="single" w:color="000000" w:sz="4" w:space="0"/>
              <w:left w:val="nil"/>
              <w:bottom w:val="single" w:color="000000" w:sz="4" w:space="0"/>
              <w:right w:val="single" w:color="000000" w:sz="4" w:space="0"/>
            </w:tcBorders>
            <w:shd w:val="clear" w:color="auto" w:fill="auto"/>
            <w:vAlign w:val="center"/>
          </w:tcPr>
          <w:p w14:paraId="72181A1F">
            <w:pPr>
              <w:overflowPunct w:val="0"/>
              <w:spacing w:line="300" w:lineRule="auto"/>
              <w:jc w:val="center"/>
              <w:rPr>
                <w:rFonts w:hint="default" w:ascii="Times New Roman" w:hAnsi="Times New Roman" w:cs="Times New Roman"/>
                <w:color w:val="000000"/>
                <w:szCs w:val="21"/>
              </w:rPr>
            </w:pPr>
          </w:p>
        </w:tc>
      </w:tr>
      <w:tr w14:paraId="782B0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7D427">
            <w:pPr>
              <w:overflowPunct w:val="0"/>
              <w:spacing w:line="300" w:lineRule="auto"/>
              <w:jc w:val="center"/>
              <w:rPr>
                <w:rFonts w:hint="default" w:ascii="Times New Roman" w:hAnsi="Times New Roman" w:cs="Times New Roman"/>
                <w:color w:val="000000"/>
                <w:szCs w:val="21"/>
              </w:rPr>
            </w:pPr>
          </w:p>
        </w:tc>
        <w:tc>
          <w:tcPr>
            <w:tcW w:w="3533" w:type="dxa"/>
            <w:gridSpan w:val="3"/>
            <w:tcBorders>
              <w:top w:val="single" w:color="000000" w:sz="4" w:space="0"/>
              <w:left w:val="nil"/>
              <w:bottom w:val="single" w:color="000000" w:sz="4" w:space="0"/>
              <w:right w:val="single" w:color="000000" w:sz="4" w:space="0"/>
            </w:tcBorders>
            <w:shd w:val="clear" w:color="auto" w:fill="auto"/>
            <w:vAlign w:val="center"/>
          </w:tcPr>
          <w:p w14:paraId="78D423A5">
            <w:pPr>
              <w:overflowPunct w:val="0"/>
              <w:spacing w:line="300" w:lineRule="auto"/>
              <w:jc w:val="center"/>
              <w:rPr>
                <w:rFonts w:hint="default" w:ascii="Times New Roman" w:hAnsi="Times New Roman" w:cs="Times New Roman"/>
                <w:color w:val="000000"/>
                <w:szCs w:val="21"/>
              </w:rPr>
            </w:pPr>
          </w:p>
        </w:tc>
        <w:tc>
          <w:tcPr>
            <w:tcW w:w="2184" w:type="dxa"/>
            <w:tcBorders>
              <w:top w:val="single" w:color="000000" w:sz="4" w:space="0"/>
              <w:left w:val="nil"/>
              <w:bottom w:val="single" w:color="000000" w:sz="4" w:space="0"/>
              <w:right w:val="single" w:color="000000" w:sz="4" w:space="0"/>
            </w:tcBorders>
            <w:shd w:val="clear" w:color="auto" w:fill="auto"/>
            <w:vAlign w:val="center"/>
          </w:tcPr>
          <w:p w14:paraId="4027E588">
            <w:pPr>
              <w:overflowPunct w:val="0"/>
              <w:spacing w:line="300" w:lineRule="auto"/>
              <w:jc w:val="center"/>
              <w:rPr>
                <w:rFonts w:hint="default" w:ascii="Times New Roman" w:hAnsi="Times New Roman" w:cs="Times New Roman"/>
                <w:color w:val="000000"/>
                <w:szCs w:val="21"/>
              </w:rPr>
            </w:pPr>
          </w:p>
        </w:tc>
        <w:tc>
          <w:tcPr>
            <w:tcW w:w="2231" w:type="dxa"/>
            <w:tcBorders>
              <w:top w:val="single" w:color="000000" w:sz="4" w:space="0"/>
              <w:left w:val="nil"/>
              <w:bottom w:val="single" w:color="000000" w:sz="4" w:space="0"/>
              <w:right w:val="single" w:color="000000" w:sz="4" w:space="0"/>
            </w:tcBorders>
            <w:shd w:val="clear" w:color="auto" w:fill="auto"/>
            <w:vAlign w:val="center"/>
          </w:tcPr>
          <w:p w14:paraId="5DDE416F">
            <w:pPr>
              <w:overflowPunct w:val="0"/>
              <w:spacing w:line="300" w:lineRule="auto"/>
              <w:jc w:val="center"/>
              <w:rPr>
                <w:rFonts w:hint="default" w:ascii="Times New Roman" w:hAnsi="Times New Roman" w:cs="Times New Roman"/>
                <w:color w:val="000000"/>
                <w:szCs w:val="21"/>
              </w:rPr>
            </w:pPr>
          </w:p>
        </w:tc>
      </w:tr>
    </w:tbl>
    <w:p w14:paraId="6AE04AA2">
      <w:pPr>
        <w:overflowPunct w:val="0"/>
        <w:spacing w:line="324"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5847A48">
      <w:pPr>
        <w:pStyle w:val="16"/>
        <w:spacing w:before="0" w:beforeAutospacing="0" w:after="0" w:afterAutospacing="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bidi="ar"/>
        </w:rPr>
        <w:t>备注：本表为拟委任的项目负责人（兼施工负责人）、拟委任的设计负责人、拟委任的安全生产管理人员简历表，每个人员简历后须附执业资格证书（如有）、注册证书（如有）、职称证（如有）、安全生产考核合格证书（如有）、身份证、学历证、管理过的项目业绩（如有）等证明材料扫描件。</w:t>
      </w:r>
    </w:p>
    <w:p w14:paraId="3262DEDD">
      <w:pPr>
        <w:overflowPunct w:val="0"/>
        <w:spacing w:line="324" w:lineRule="auto"/>
        <w:jc w:val="center"/>
        <w:outlineLvl w:val="3"/>
        <w:rPr>
          <w:rFonts w:hint="default" w:ascii="Times New Roman" w:hAnsi="Times New Roman" w:eastAsia="黑体" w:cs="Times New Roman"/>
          <w:b/>
          <w:bCs/>
          <w:color w:val="000000"/>
          <w:sz w:val="28"/>
          <w:szCs w:val="28"/>
          <w:lang w:val="en-US" w:eastAsia="zh-CN"/>
        </w:rPr>
      </w:pPr>
      <w:r>
        <w:rPr>
          <w:rFonts w:hint="default" w:ascii="Times New Roman" w:hAnsi="Times New Roman" w:cs="Times New Roman"/>
          <w:color w:val="000000"/>
          <w:szCs w:val="21"/>
          <w:lang w:bidi="ar"/>
        </w:rPr>
        <w:br w:type="page"/>
      </w:r>
      <w:r>
        <w:rPr>
          <w:rFonts w:hint="default" w:ascii="Times New Roman" w:hAnsi="Times New Roman" w:eastAsia="黑体" w:cs="Times New Roman"/>
          <w:b w:val="0"/>
          <w:bCs w:val="0"/>
          <w:color w:val="000000"/>
          <w:sz w:val="28"/>
          <w:szCs w:val="28"/>
          <w:lang w:bidi="ar"/>
        </w:rPr>
        <w:t>C.其他主要管理人员简历表</w:t>
      </w:r>
      <w:r>
        <w:rPr>
          <w:rFonts w:hint="eastAsia" w:ascii="Times New Roman" w:hAnsi="Times New Roman" w:eastAsia="黑体" w:cs="Times New Roman"/>
          <w:b w:val="0"/>
          <w:bCs w:val="0"/>
          <w:color w:val="000000"/>
          <w:sz w:val="28"/>
          <w:szCs w:val="28"/>
          <w:lang w:eastAsia="zh-CN" w:bidi="ar"/>
        </w:rPr>
        <w:t>（</w:t>
      </w:r>
      <w:r>
        <w:rPr>
          <w:rFonts w:hint="eastAsia" w:ascii="Times New Roman" w:hAnsi="Times New Roman" w:eastAsia="黑体" w:cs="Times New Roman"/>
          <w:b w:val="0"/>
          <w:bCs w:val="0"/>
          <w:color w:val="000000"/>
          <w:sz w:val="28"/>
          <w:szCs w:val="28"/>
          <w:lang w:val="en-US" w:eastAsia="zh-CN" w:bidi="ar"/>
        </w:rPr>
        <w:t>无需提供）</w:t>
      </w:r>
    </w:p>
    <w:p w14:paraId="06E98A2E">
      <w:pPr>
        <w:overflowPunct w:val="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tbl>
      <w:tblPr>
        <w:tblStyle w:val="17"/>
        <w:tblW w:w="8476"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85" w:type="dxa"/>
          <w:bottom w:w="0" w:type="dxa"/>
          <w:right w:w="85" w:type="dxa"/>
        </w:tblCellMar>
      </w:tblPr>
      <w:tblGrid>
        <w:gridCol w:w="1299"/>
        <w:gridCol w:w="2734"/>
        <w:gridCol w:w="1709"/>
        <w:gridCol w:w="2734"/>
      </w:tblGrid>
      <w:tr w14:paraId="69012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0940D">
            <w:pPr>
              <w:overflowPunct w:val="0"/>
              <w:spacing w:line="324"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岗位名称</w:t>
            </w:r>
          </w:p>
        </w:tc>
        <w:tc>
          <w:tcPr>
            <w:tcW w:w="7177" w:type="dxa"/>
            <w:gridSpan w:val="3"/>
            <w:tcBorders>
              <w:top w:val="single" w:color="000000" w:sz="4" w:space="0"/>
              <w:left w:val="nil"/>
              <w:bottom w:val="single" w:color="000000" w:sz="4" w:space="0"/>
              <w:right w:val="single" w:color="000000" w:sz="4" w:space="0"/>
            </w:tcBorders>
            <w:shd w:val="clear" w:color="auto" w:fill="auto"/>
            <w:vAlign w:val="center"/>
          </w:tcPr>
          <w:p w14:paraId="4DD78B63">
            <w:pPr>
              <w:overflowPunct w:val="0"/>
              <w:spacing w:line="324"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tc>
      </w:tr>
      <w:tr w14:paraId="01301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48AD9">
            <w:pPr>
              <w:overflowPunct w:val="0"/>
              <w:spacing w:line="324"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姓    名</w:t>
            </w:r>
          </w:p>
        </w:tc>
        <w:tc>
          <w:tcPr>
            <w:tcW w:w="2734" w:type="dxa"/>
            <w:tcBorders>
              <w:top w:val="single" w:color="000000" w:sz="4" w:space="0"/>
              <w:left w:val="nil"/>
              <w:bottom w:val="single" w:color="000000" w:sz="4" w:space="0"/>
              <w:right w:val="single" w:color="000000" w:sz="4" w:space="0"/>
            </w:tcBorders>
            <w:shd w:val="clear" w:color="auto" w:fill="auto"/>
            <w:vAlign w:val="center"/>
          </w:tcPr>
          <w:p w14:paraId="5C332464">
            <w:pPr>
              <w:overflowPunct w:val="0"/>
              <w:spacing w:line="324" w:lineRule="auto"/>
              <w:jc w:val="center"/>
              <w:rPr>
                <w:rFonts w:hint="default" w:ascii="Times New Roman" w:hAnsi="Times New Roman" w:cs="Times New Roman"/>
                <w:color w:val="000000"/>
                <w:szCs w:val="21"/>
              </w:rPr>
            </w:pPr>
          </w:p>
        </w:tc>
        <w:tc>
          <w:tcPr>
            <w:tcW w:w="1709" w:type="dxa"/>
            <w:tcBorders>
              <w:top w:val="single" w:color="000000" w:sz="4" w:space="0"/>
              <w:left w:val="nil"/>
              <w:bottom w:val="single" w:color="000000" w:sz="4" w:space="0"/>
              <w:right w:val="single" w:color="000000" w:sz="4" w:space="0"/>
            </w:tcBorders>
            <w:shd w:val="clear" w:color="auto" w:fill="auto"/>
            <w:vAlign w:val="center"/>
          </w:tcPr>
          <w:p w14:paraId="190890C3">
            <w:pPr>
              <w:overflowPunct w:val="0"/>
              <w:spacing w:line="324"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年    龄</w:t>
            </w:r>
          </w:p>
        </w:tc>
        <w:tc>
          <w:tcPr>
            <w:tcW w:w="2734" w:type="dxa"/>
            <w:tcBorders>
              <w:top w:val="single" w:color="000000" w:sz="4" w:space="0"/>
              <w:left w:val="nil"/>
              <w:bottom w:val="single" w:color="000000" w:sz="4" w:space="0"/>
              <w:right w:val="single" w:color="000000" w:sz="4" w:space="0"/>
            </w:tcBorders>
            <w:shd w:val="clear" w:color="auto" w:fill="auto"/>
            <w:vAlign w:val="center"/>
          </w:tcPr>
          <w:p w14:paraId="233ACD7A">
            <w:pPr>
              <w:overflowPunct w:val="0"/>
              <w:spacing w:line="324" w:lineRule="auto"/>
              <w:jc w:val="center"/>
              <w:rPr>
                <w:rFonts w:hint="default" w:ascii="Times New Roman" w:hAnsi="Times New Roman" w:cs="Times New Roman"/>
                <w:color w:val="000000"/>
                <w:szCs w:val="21"/>
              </w:rPr>
            </w:pPr>
          </w:p>
        </w:tc>
      </w:tr>
      <w:tr w14:paraId="45685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518F2">
            <w:pPr>
              <w:overflowPunct w:val="0"/>
              <w:spacing w:line="324"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性    别</w:t>
            </w:r>
          </w:p>
        </w:tc>
        <w:tc>
          <w:tcPr>
            <w:tcW w:w="2734" w:type="dxa"/>
            <w:tcBorders>
              <w:top w:val="single" w:color="000000" w:sz="4" w:space="0"/>
              <w:left w:val="nil"/>
              <w:bottom w:val="single" w:color="000000" w:sz="4" w:space="0"/>
              <w:right w:val="single" w:color="000000" w:sz="4" w:space="0"/>
            </w:tcBorders>
            <w:shd w:val="clear" w:color="auto" w:fill="auto"/>
            <w:vAlign w:val="center"/>
          </w:tcPr>
          <w:p w14:paraId="2EA5639A">
            <w:pPr>
              <w:overflowPunct w:val="0"/>
              <w:spacing w:line="324" w:lineRule="auto"/>
              <w:jc w:val="center"/>
              <w:rPr>
                <w:rFonts w:hint="default" w:ascii="Times New Roman" w:hAnsi="Times New Roman" w:cs="Times New Roman"/>
                <w:color w:val="000000"/>
                <w:szCs w:val="21"/>
              </w:rPr>
            </w:pPr>
          </w:p>
        </w:tc>
        <w:tc>
          <w:tcPr>
            <w:tcW w:w="1709" w:type="dxa"/>
            <w:tcBorders>
              <w:top w:val="single" w:color="000000" w:sz="4" w:space="0"/>
              <w:left w:val="nil"/>
              <w:bottom w:val="single" w:color="000000" w:sz="4" w:space="0"/>
              <w:right w:val="single" w:color="000000" w:sz="4" w:space="0"/>
            </w:tcBorders>
            <w:shd w:val="clear" w:color="auto" w:fill="auto"/>
            <w:vAlign w:val="center"/>
          </w:tcPr>
          <w:p w14:paraId="6F6AC66E">
            <w:pPr>
              <w:overflowPunct w:val="0"/>
              <w:spacing w:line="324"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毕业学校</w:t>
            </w:r>
          </w:p>
        </w:tc>
        <w:tc>
          <w:tcPr>
            <w:tcW w:w="2734" w:type="dxa"/>
            <w:tcBorders>
              <w:top w:val="single" w:color="000000" w:sz="4" w:space="0"/>
              <w:left w:val="nil"/>
              <w:bottom w:val="single" w:color="000000" w:sz="4" w:space="0"/>
              <w:right w:val="single" w:color="000000" w:sz="4" w:space="0"/>
            </w:tcBorders>
            <w:shd w:val="clear" w:color="auto" w:fill="auto"/>
            <w:vAlign w:val="center"/>
          </w:tcPr>
          <w:p w14:paraId="05DD512B">
            <w:pPr>
              <w:overflowPunct w:val="0"/>
              <w:spacing w:line="324" w:lineRule="auto"/>
              <w:jc w:val="center"/>
              <w:rPr>
                <w:rFonts w:hint="default" w:ascii="Times New Roman" w:hAnsi="Times New Roman" w:cs="Times New Roman"/>
                <w:color w:val="000000"/>
                <w:szCs w:val="21"/>
              </w:rPr>
            </w:pPr>
          </w:p>
        </w:tc>
      </w:tr>
      <w:tr w14:paraId="5F660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271E4">
            <w:pPr>
              <w:overflowPunct w:val="0"/>
              <w:spacing w:line="324"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学历和专业</w:t>
            </w:r>
          </w:p>
        </w:tc>
        <w:tc>
          <w:tcPr>
            <w:tcW w:w="2734" w:type="dxa"/>
            <w:tcBorders>
              <w:top w:val="single" w:color="000000" w:sz="4" w:space="0"/>
              <w:left w:val="nil"/>
              <w:bottom w:val="single" w:color="000000" w:sz="4" w:space="0"/>
              <w:right w:val="single" w:color="000000" w:sz="4" w:space="0"/>
            </w:tcBorders>
            <w:shd w:val="clear" w:color="auto" w:fill="auto"/>
            <w:vAlign w:val="center"/>
          </w:tcPr>
          <w:p w14:paraId="0FF0D62D">
            <w:pPr>
              <w:overflowPunct w:val="0"/>
              <w:spacing w:line="324" w:lineRule="auto"/>
              <w:jc w:val="center"/>
              <w:rPr>
                <w:rFonts w:hint="default" w:ascii="Times New Roman" w:hAnsi="Times New Roman" w:cs="Times New Roman"/>
                <w:color w:val="000000"/>
                <w:szCs w:val="21"/>
              </w:rPr>
            </w:pPr>
          </w:p>
        </w:tc>
        <w:tc>
          <w:tcPr>
            <w:tcW w:w="1709" w:type="dxa"/>
            <w:tcBorders>
              <w:top w:val="single" w:color="000000" w:sz="4" w:space="0"/>
              <w:left w:val="nil"/>
              <w:bottom w:val="single" w:color="000000" w:sz="4" w:space="0"/>
              <w:right w:val="single" w:color="000000" w:sz="4" w:space="0"/>
            </w:tcBorders>
            <w:shd w:val="clear" w:color="auto" w:fill="auto"/>
            <w:vAlign w:val="center"/>
          </w:tcPr>
          <w:p w14:paraId="1146389B">
            <w:pPr>
              <w:overflowPunct w:val="0"/>
              <w:spacing w:line="324"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毕业时间</w:t>
            </w:r>
          </w:p>
        </w:tc>
        <w:tc>
          <w:tcPr>
            <w:tcW w:w="2734" w:type="dxa"/>
            <w:tcBorders>
              <w:top w:val="single" w:color="000000" w:sz="4" w:space="0"/>
              <w:left w:val="nil"/>
              <w:bottom w:val="single" w:color="000000" w:sz="4" w:space="0"/>
              <w:right w:val="single" w:color="000000" w:sz="4" w:space="0"/>
            </w:tcBorders>
            <w:shd w:val="clear" w:color="auto" w:fill="auto"/>
            <w:vAlign w:val="center"/>
          </w:tcPr>
          <w:p w14:paraId="5DEBDD4E">
            <w:pPr>
              <w:overflowPunct w:val="0"/>
              <w:spacing w:line="324" w:lineRule="auto"/>
              <w:jc w:val="center"/>
              <w:rPr>
                <w:rFonts w:hint="default" w:ascii="Times New Roman" w:hAnsi="Times New Roman" w:cs="Times New Roman"/>
                <w:color w:val="000000"/>
                <w:szCs w:val="21"/>
              </w:rPr>
            </w:pPr>
          </w:p>
        </w:tc>
      </w:tr>
      <w:tr w14:paraId="5C970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7319D">
            <w:pPr>
              <w:overflowPunct w:val="0"/>
              <w:spacing w:line="324"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执业/岗位资格</w:t>
            </w:r>
          </w:p>
        </w:tc>
        <w:tc>
          <w:tcPr>
            <w:tcW w:w="2734" w:type="dxa"/>
            <w:tcBorders>
              <w:top w:val="single" w:color="000000" w:sz="4" w:space="0"/>
              <w:left w:val="nil"/>
              <w:bottom w:val="single" w:color="000000" w:sz="4" w:space="0"/>
              <w:right w:val="single" w:color="000000" w:sz="4" w:space="0"/>
            </w:tcBorders>
            <w:shd w:val="clear" w:color="auto" w:fill="auto"/>
            <w:vAlign w:val="center"/>
          </w:tcPr>
          <w:p w14:paraId="3A28A8C0">
            <w:pPr>
              <w:overflowPunct w:val="0"/>
              <w:spacing w:line="324" w:lineRule="auto"/>
              <w:jc w:val="center"/>
              <w:rPr>
                <w:rFonts w:hint="default" w:ascii="Times New Roman" w:hAnsi="Times New Roman" w:cs="Times New Roman"/>
                <w:color w:val="000000"/>
                <w:szCs w:val="21"/>
              </w:rPr>
            </w:pPr>
          </w:p>
        </w:tc>
        <w:tc>
          <w:tcPr>
            <w:tcW w:w="1709" w:type="dxa"/>
            <w:tcBorders>
              <w:top w:val="single" w:color="000000" w:sz="4" w:space="0"/>
              <w:left w:val="nil"/>
              <w:bottom w:val="single" w:color="000000" w:sz="4" w:space="0"/>
              <w:right w:val="single" w:color="000000" w:sz="4" w:space="0"/>
            </w:tcBorders>
            <w:shd w:val="clear" w:color="auto" w:fill="auto"/>
            <w:vAlign w:val="center"/>
          </w:tcPr>
          <w:p w14:paraId="4FCC6CC4">
            <w:pPr>
              <w:overflowPunct w:val="0"/>
              <w:spacing w:line="324"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专业职称</w:t>
            </w:r>
          </w:p>
        </w:tc>
        <w:tc>
          <w:tcPr>
            <w:tcW w:w="2734" w:type="dxa"/>
            <w:tcBorders>
              <w:top w:val="single" w:color="000000" w:sz="4" w:space="0"/>
              <w:left w:val="nil"/>
              <w:bottom w:val="single" w:color="000000" w:sz="4" w:space="0"/>
              <w:right w:val="single" w:color="000000" w:sz="4" w:space="0"/>
            </w:tcBorders>
            <w:shd w:val="clear" w:color="auto" w:fill="auto"/>
            <w:vAlign w:val="center"/>
          </w:tcPr>
          <w:p w14:paraId="68F2C747">
            <w:pPr>
              <w:overflowPunct w:val="0"/>
              <w:spacing w:line="324" w:lineRule="auto"/>
              <w:jc w:val="center"/>
              <w:rPr>
                <w:rFonts w:hint="default" w:ascii="Times New Roman" w:hAnsi="Times New Roman" w:cs="Times New Roman"/>
                <w:color w:val="000000"/>
                <w:szCs w:val="21"/>
              </w:rPr>
            </w:pPr>
          </w:p>
        </w:tc>
      </w:tr>
      <w:tr w14:paraId="53683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510" w:hRule="atLeast"/>
        </w:trPr>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FFEF5">
            <w:pPr>
              <w:overflowPunct w:val="0"/>
              <w:spacing w:line="324"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执业/岗位</w:t>
            </w:r>
          </w:p>
          <w:p w14:paraId="009026DB">
            <w:pPr>
              <w:overflowPunct w:val="0"/>
              <w:spacing w:line="324"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证书编号</w:t>
            </w:r>
          </w:p>
        </w:tc>
        <w:tc>
          <w:tcPr>
            <w:tcW w:w="2734" w:type="dxa"/>
            <w:tcBorders>
              <w:top w:val="single" w:color="000000" w:sz="4" w:space="0"/>
              <w:left w:val="nil"/>
              <w:bottom w:val="single" w:color="000000" w:sz="4" w:space="0"/>
              <w:right w:val="single" w:color="000000" w:sz="4" w:space="0"/>
            </w:tcBorders>
            <w:shd w:val="clear" w:color="auto" w:fill="auto"/>
            <w:vAlign w:val="center"/>
          </w:tcPr>
          <w:p w14:paraId="094FA55F">
            <w:pPr>
              <w:overflowPunct w:val="0"/>
              <w:spacing w:line="324" w:lineRule="auto"/>
              <w:jc w:val="center"/>
              <w:rPr>
                <w:rFonts w:hint="default" w:ascii="Times New Roman" w:hAnsi="Times New Roman" w:cs="Times New Roman"/>
                <w:color w:val="000000"/>
                <w:szCs w:val="21"/>
              </w:rPr>
            </w:pPr>
          </w:p>
        </w:tc>
        <w:tc>
          <w:tcPr>
            <w:tcW w:w="1709" w:type="dxa"/>
            <w:tcBorders>
              <w:top w:val="single" w:color="000000" w:sz="4" w:space="0"/>
              <w:left w:val="nil"/>
              <w:bottom w:val="single" w:color="000000" w:sz="4" w:space="0"/>
              <w:right w:val="single" w:color="000000" w:sz="4" w:space="0"/>
            </w:tcBorders>
            <w:shd w:val="clear" w:color="auto" w:fill="auto"/>
            <w:vAlign w:val="center"/>
          </w:tcPr>
          <w:p w14:paraId="1CFBDE31">
            <w:pPr>
              <w:overflowPunct w:val="0"/>
              <w:spacing w:line="324"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专业工作年限</w:t>
            </w:r>
          </w:p>
        </w:tc>
        <w:tc>
          <w:tcPr>
            <w:tcW w:w="2734" w:type="dxa"/>
            <w:tcBorders>
              <w:top w:val="single" w:color="000000" w:sz="4" w:space="0"/>
              <w:left w:val="nil"/>
              <w:bottom w:val="single" w:color="000000" w:sz="4" w:space="0"/>
              <w:right w:val="single" w:color="000000" w:sz="4" w:space="0"/>
            </w:tcBorders>
            <w:shd w:val="clear" w:color="auto" w:fill="auto"/>
            <w:vAlign w:val="center"/>
          </w:tcPr>
          <w:p w14:paraId="713EBE9F">
            <w:pPr>
              <w:overflowPunct w:val="0"/>
              <w:spacing w:line="324" w:lineRule="auto"/>
              <w:jc w:val="center"/>
              <w:rPr>
                <w:rFonts w:hint="default" w:ascii="Times New Roman" w:hAnsi="Times New Roman" w:cs="Times New Roman"/>
                <w:color w:val="000000"/>
                <w:szCs w:val="21"/>
              </w:rPr>
            </w:pPr>
          </w:p>
        </w:tc>
      </w:tr>
      <w:tr w14:paraId="1BA6E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85" w:type="dxa"/>
            <w:bottom w:w="0" w:type="dxa"/>
            <w:right w:w="85" w:type="dxa"/>
          </w:tblCellMar>
        </w:tblPrEx>
        <w:trPr>
          <w:trHeight w:val="2167" w:hRule="atLeast"/>
        </w:trPr>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CD0B">
            <w:pPr>
              <w:overflowPunct w:val="0"/>
              <w:spacing w:line="324" w:lineRule="auto"/>
              <w:ind w:firstLine="210" w:firstLineChars="100"/>
              <w:jc w:val="center"/>
              <w:rPr>
                <w:rFonts w:hint="default" w:ascii="Times New Roman" w:hAnsi="Times New Roman" w:cs="Times New Roman"/>
                <w:color w:val="000000"/>
                <w:szCs w:val="21"/>
              </w:rPr>
            </w:pPr>
          </w:p>
          <w:p w14:paraId="43A2DBF8">
            <w:pPr>
              <w:overflowPunct w:val="0"/>
              <w:spacing w:line="324" w:lineRule="auto"/>
              <w:ind w:firstLine="210" w:firstLineChars="100"/>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主要工作业绩及担任的主要工作</w:t>
            </w:r>
          </w:p>
          <w:p w14:paraId="7A4951FF">
            <w:pPr>
              <w:overflowPunct w:val="0"/>
              <w:spacing w:line="324" w:lineRule="auto"/>
              <w:ind w:firstLine="210" w:firstLineChars="100"/>
              <w:jc w:val="center"/>
              <w:rPr>
                <w:rFonts w:hint="default" w:ascii="Times New Roman" w:hAnsi="Times New Roman" w:cs="Times New Roman"/>
                <w:color w:val="000000"/>
                <w:szCs w:val="21"/>
              </w:rPr>
            </w:pPr>
          </w:p>
        </w:tc>
        <w:tc>
          <w:tcPr>
            <w:tcW w:w="7177" w:type="dxa"/>
            <w:gridSpan w:val="3"/>
            <w:tcBorders>
              <w:top w:val="single" w:color="000000" w:sz="4" w:space="0"/>
              <w:left w:val="nil"/>
              <w:bottom w:val="single" w:color="000000" w:sz="4" w:space="0"/>
              <w:right w:val="single" w:color="000000" w:sz="4" w:space="0"/>
            </w:tcBorders>
            <w:shd w:val="clear" w:color="auto" w:fill="auto"/>
            <w:vAlign w:val="center"/>
          </w:tcPr>
          <w:p w14:paraId="569E612E">
            <w:pPr>
              <w:overflowPunct w:val="0"/>
              <w:spacing w:line="324" w:lineRule="auto"/>
              <w:rPr>
                <w:rFonts w:hint="default" w:ascii="Times New Roman" w:hAnsi="Times New Roman" w:cs="Times New Roman"/>
                <w:color w:val="000000"/>
                <w:szCs w:val="21"/>
              </w:rPr>
            </w:pPr>
          </w:p>
          <w:p w14:paraId="58D520DC">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w:t>
            </w:r>
          </w:p>
        </w:tc>
      </w:tr>
    </w:tbl>
    <w:p w14:paraId="7854D5EB">
      <w:pPr>
        <w:overflowPunct w:val="0"/>
        <w:spacing w:line="324" w:lineRule="auto"/>
        <w:ind w:left="629" w:hanging="629"/>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0590E0D">
      <w:pPr>
        <w:overflowPunct w:val="0"/>
        <w:spacing w:line="324" w:lineRule="auto"/>
        <w:ind w:left="629" w:hanging="629"/>
        <w:rPr>
          <w:rFonts w:hint="default" w:ascii="Times New Roman" w:hAnsi="Times New Roman" w:cs="Times New Roman"/>
          <w:color w:val="000000"/>
          <w:szCs w:val="21"/>
          <w:lang w:bidi="ar"/>
        </w:rPr>
      </w:pPr>
      <w:r>
        <w:rPr>
          <w:rFonts w:hint="default" w:ascii="Times New Roman" w:hAnsi="Times New Roman" w:cs="Times New Roman"/>
          <w:color w:val="000000"/>
          <w:szCs w:val="21"/>
          <w:lang w:bidi="ar"/>
        </w:rPr>
        <w:t>备注：应附资格证书（如有）、注册证书或岗位培训考核合格证书（如有）、职称证书（如有）、学历证书（如有）、身份证、荣誉（如有）、奖项（如有）、主要业绩（如有）扫描件，安全管理人员应附有效的安全生产考核合格证书（C证）。</w:t>
      </w:r>
    </w:p>
    <w:p w14:paraId="4FBBE64C">
      <w:pPr>
        <w:overflowPunct/>
        <w:spacing w:line="240" w:lineRule="auto"/>
        <w:ind w:left="0" w:firstLine="0"/>
        <w:rPr>
          <w:rFonts w:hint="default" w:ascii="Times New Roman" w:hAnsi="Times New Roman" w:cs="Times New Roman"/>
          <w:color w:val="000000"/>
          <w:szCs w:val="21"/>
          <w:lang w:bidi="ar"/>
        </w:rPr>
      </w:pPr>
      <w:r>
        <w:rPr>
          <w:rFonts w:hint="default" w:ascii="Times New Roman" w:hAnsi="Times New Roman" w:cs="Times New Roman"/>
          <w:color w:val="000000"/>
          <w:szCs w:val="21"/>
          <w:lang w:bidi="ar"/>
        </w:rPr>
        <w:br w:type="page"/>
      </w:r>
    </w:p>
    <w:p w14:paraId="7388063D">
      <w:pPr>
        <w:keepNext w:val="0"/>
        <w:keepLines w:val="0"/>
        <w:widowControl/>
        <w:overflowPunct w:val="0"/>
        <w:spacing w:beforeAutospacing="1" w:line="324" w:lineRule="auto"/>
        <w:ind w:firstLine="3640" w:firstLineChars="1300"/>
        <w:jc w:val="center"/>
        <w:outlineLvl w:val="3"/>
        <w:rPr>
          <w:rFonts w:hint="default" w:ascii="Times New Roman" w:hAnsi="Times New Roman" w:eastAsia="黑体" w:cs="Times New Roman"/>
          <w:b w:val="0"/>
          <w:color w:val="000000"/>
          <w:sz w:val="28"/>
          <w:szCs w:val="28"/>
          <w:lang w:bidi="ar"/>
        </w:rPr>
      </w:pPr>
      <w:r>
        <w:rPr>
          <w:rFonts w:hint="default" w:ascii="Times New Roman" w:hAnsi="Times New Roman" w:eastAsia="黑体" w:cs="Times New Roman"/>
          <w:color w:val="000000"/>
          <w:sz w:val="28"/>
          <w:szCs w:val="28"/>
          <w:lang w:val="en-US" w:eastAsia="zh-CN" w:bidi="ar"/>
        </w:rPr>
        <w:t>D.</w:t>
      </w:r>
      <w:r>
        <w:rPr>
          <w:rFonts w:hint="default" w:ascii="Times New Roman" w:hAnsi="Times New Roman" w:eastAsia="黑体" w:cs="Times New Roman"/>
          <w:color w:val="000000"/>
          <w:sz w:val="28"/>
          <w:szCs w:val="28"/>
          <w:lang w:bidi="ar"/>
        </w:rPr>
        <w:t>授权委托书</w:t>
      </w:r>
      <w:r>
        <w:rPr>
          <w:rFonts w:hint="eastAsia" w:ascii="Times New Roman" w:hAnsi="Times New Roman" w:eastAsia="黑体" w:cs="Times New Roman"/>
          <w:color w:val="000000"/>
          <w:sz w:val="28"/>
          <w:szCs w:val="28"/>
          <w:lang w:eastAsia="zh-CN" w:bidi="ar"/>
        </w:rPr>
        <w:t>（</w:t>
      </w:r>
      <w:r>
        <w:rPr>
          <w:rFonts w:hint="eastAsia" w:ascii="Times New Roman" w:hAnsi="Times New Roman" w:eastAsia="黑体" w:cs="Times New Roman"/>
          <w:color w:val="000000"/>
          <w:sz w:val="28"/>
          <w:szCs w:val="28"/>
          <w:lang w:val="en-US" w:eastAsia="zh-CN" w:bidi="ar"/>
        </w:rPr>
        <w:t>如有）</w:t>
      </w:r>
    </w:p>
    <w:p w14:paraId="389FC977">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BF3752C">
      <w:pPr>
        <w:spacing w:line="271" w:lineRule="auto"/>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本人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（姓名）系</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（投标人名称）的法定代表人，现委托</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（姓名）为我方代理人。代理人根据授权，以我方名义澄清、说明、补正、递交、撤回、修改</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（标段/包名称）标段（包）投标文件、签订合同和处理有关事宜，其法律后果由我方承担。</w:t>
      </w:r>
    </w:p>
    <w:p w14:paraId="7B425F75">
      <w:pPr>
        <w:spacing w:line="271" w:lineRule="auto"/>
        <w:rPr>
          <w:rFonts w:hint="default" w:ascii="Times New Roman" w:hAnsi="Times New Roman" w:cs="Times New Roman"/>
          <w:color w:val="000000"/>
          <w:szCs w:val="21"/>
          <w:u w:val="single"/>
        </w:rPr>
      </w:pPr>
      <w:r>
        <w:rPr>
          <w:rFonts w:hint="default" w:ascii="Times New Roman" w:hAnsi="Times New Roman" w:cs="Times New Roman"/>
          <w:color w:val="000000"/>
          <w:szCs w:val="21"/>
          <w:lang w:bidi="ar"/>
        </w:rPr>
        <w:t>委托期限：</w:t>
      </w:r>
      <w:r>
        <w:rPr>
          <w:rFonts w:hint="default" w:ascii="Times New Roman" w:hAnsi="Times New Roman" w:cs="Times New Roman"/>
          <w:color w:val="000000"/>
          <w:szCs w:val="21"/>
          <w:u w:val="single"/>
          <w:lang w:bidi="ar"/>
        </w:rPr>
        <w:t xml:space="preserve">                                                                          </w:t>
      </w:r>
    </w:p>
    <w:p w14:paraId="4DD19618">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w:t>
      </w:r>
    </w:p>
    <w:p w14:paraId="30CEE764">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代理人无转委托权。</w:t>
      </w:r>
    </w:p>
    <w:p w14:paraId="3EBA2E78">
      <w:pPr>
        <w:spacing w:after="312" w:afterLines="100" w:line="500" w:lineRule="exact"/>
        <w:rPr>
          <w:rFonts w:hint="default" w:ascii="Times New Roman" w:hAnsi="Times New Roman" w:cs="Times New Roman"/>
          <w:color w:val="000000"/>
          <w:szCs w:val="21"/>
        </w:rPr>
      </w:pPr>
      <w:r>
        <w:rPr>
          <w:rFonts w:hint="default" w:ascii="Times New Roman" w:hAnsi="Times New Roman" w:cs="Times New Roman"/>
          <w:color w:val="000000"/>
          <w:szCs w:val="21"/>
          <w:lang w:bidi="ar"/>
        </w:rPr>
        <w:t>附：法定代表人身份证明</w:t>
      </w:r>
    </w:p>
    <w:p w14:paraId="70A9773C">
      <w:pPr>
        <w:spacing w:line="271" w:lineRule="auto"/>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C5C6BD6">
      <w:pPr>
        <w:spacing w:line="400" w:lineRule="exact"/>
        <w:ind w:firstLine="3570" w:firstLineChars="1700"/>
        <w:rPr>
          <w:rFonts w:hint="default" w:ascii="Times New Roman" w:hAnsi="Times New Roman" w:cs="Times New Roman"/>
          <w:color w:val="000000"/>
          <w:szCs w:val="21"/>
        </w:rPr>
      </w:pPr>
      <w:r>
        <w:rPr>
          <w:rFonts w:hint="default" w:ascii="Times New Roman" w:hAnsi="Times New Roman" w:cs="Times New Roman"/>
          <w:color w:val="000000"/>
          <w:szCs w:val="21"/>
          <w:lang w:bidi="ar"/>
        </w:rPr>
        <w:t>投  标  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（盖单位章）</w:t>
      </w:r>
    </w:p>
    <w:p w14:paraId="3EB346AD">
      <w:pPr>
        <w:spacing w:line="400" w:lineRule="exact"/>
        <w:ind w:firstLine="3570" w:firstLineChars="17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F7F13A3">
      <w:pPr>
        <w:spacing w:line="400" w:lineRule="exact"/>
        <w:ind w:firstLine="3570" w:firstLineChars="1700"/>
        <w:rPr>
          <w:rFonts w:hint="default" w:ascii="Times New Roman" w:hAnsi="Times New Roman" w:cs="Times New Roman"/>
          <w:color w:val="000000"/>
          <w:szCs w:val="21"/>
        </w:rPr>
      </w:pPr>
      <w:r>
        <w:rPr>
          <w:rFonts w:hint="default" w:ascii="Times New Roman" w:hAnsi="Times New Roman" w:cs="Times New Roman"/>
          <w:color w:val="000000"/>
          <w:szCs w:val="21"/>
          <w:lang w:bidi="ar"/>
        </w:rPr>
        <w:t>法定代表人：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（签字）</w:t>
      </w:r>
    </w:p>
    <w:p w14:paraId="2A263D21">
      <w:pPr>
        <w:spacing w:line="400" w:lineRule="exact"/>
        <w:ind w:firstLine="3570" w:firstLineChars="17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32E47A5">
      <w:pPr>
        <w:spacing w:line="400" w:lineRule="exact"/>
        <w:ind w:firstLine="3570" w:firstLineChars="1700"/>
        <w:rPr>
          <w:rFonts w:hint="default" w:ascii="Times New Roman" w:hAnsi="Times New Roman" w:cs="Times New Roman"/>
          <w:color w:val="000000"/>
          <w:szCs w:val="21"/>
          <w:u w:val="single"/>
        </w:rPr>
      </w:pPr>
      <w:r>
        <w:rPr>
          <w:rFonts w:hint="default" w:ascii="Times New Roman" w:hAnsi="Times New Roman" w:cs="Times New Roman"/>
          <w:color w:val="000000"/>
          <w:szCs w:val="21"/>
          <w:lang w:bidi="ar"/>
        </w:rPr>
        <w:t>身份证号码：</w:t>
      </w:r>
      <w:r>
        <w:rPr>
          <w:rFonts w:hint="default" w:ascii="Times New Roman" w:hAnsi="Times New Roman" w:cs="Times New Roman"/>
          <w:color w:val="000000"/>
          <w:szCs w:val="21"/>
          <w:u w:val="single"/>
          <w:lang w:bidi="ar"/>
        </w:rPr>
        <w:t xml:space="preserve">                                   </w:t>
      </w:r>
    </w:p>
    <w:p w14:paraId="5D653A1E">
      <w:pPr>
        <w:spacing w:line="400" w:lineRule="exact"/>
        <w:ind w:firstLine="3570" w:firstLineChars="17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44DF9CE">
      <w:pPr>
        <w:spacing w:line="400" w:lineRule="exact"/>
        <w:ind w:firstLine="3570" w:firstLineChars="1700"/>
        <w:rPr>
          <w:rFonts w:hint="default" w:ascii="Times New Roman" w:hAnsi="Times New Roman" w:cs="Times New Roman"/>
          <w:color w:val="000000"/>
          <w:szCs w:val="21"/>
        </w:rPr>
      </w:pPr>
      <w:r>
        <w:rPr>
          <w:rFonts w:hint="default" w:ascii="Times New Roman" w:hAnsi="Times New Roman" w:cs="Times New Roman"/>
          <w:color w:val="000000"/>
          <w:szCs w:val="21"/>
          <w:lang w:bidi="ar"/>
        </w:rPr>
        <w:t>委托代理人：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（签字）</w:t>
      </w:r>
    </w:p>
    <w:p w14:paraId="5DF7BA7E">
      <w:pPr>
        <w:spacing w:line="400" w:lineRule="exact"/>
        <w:ind w:firstLine="3570" w:firstLineChars="17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30B28C5E">
      <w:pPr>
        <w:spacing w:line="400" w:lineRule="exact"/>
        <w:ind w:firstLine="3570" w:firstLineChars="1700"/>
        <w:rPr>
          <w:rFonts w:hint="default" w:ascii="Times New Roman" w:hAnsi="Times New Roman" w:cs="Times New Roman"/>
          <w:color w:val="000000"/>
          <w:szCs w:val="21"/>
          <w:u w:val="single"/>
        </w:rPr>
      </w:pPr>
      <w:r>
        <w:rPr>
          <w:rFonts w:hint="default" w:ascii="Times New Roman" w:hAnsi="Times New Roman" w:cs="Times New Roman"/>
          <w:color w:val="000000"/>
          <w:szCs w:val="21"/>
          <w:lang w:bidi="ar"/>
        </w:rPr>
        <w:t>身份证号码：</w:t>
      </w:r>
      <w:r>
        <w:rPr>
          <w:rFonts w:hint="default" w:ascii="Times New Roman" w:hAnsi="Times New Roman" w:cs="Times New Roman"/>
          <w:color w:val="000000"/>
          <w:szCs w:val="21"/>
          <w:u w:val="single"/>
          <w:lang w:bidi="ar"/>
        </w:rPr>
        <w:t xml:space="preserve">                                   </w:t>
      </w:r>
    </w:p>
    <w:p w14:paraId="258FF400">
      <w:pPr>
        <w:spacing w:line="400" w:lineRule="exact"/>
        <w:ind w:firstLine="3570" w:firstLineChars="17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3CD1E88">
      <w:pPr>
        <w:spacing w:line="400" w:lineRule="exact"/>
        <w:ind w:firstLine="4830" w:firstLineChars="2300"/>
        <w:rPr>
          <w:rFonts w:hint="default" w:ascii="Times New Roman" w:hAnsi="Times New Roman" w:cs="Times New Roman"/>
          <w:color w:val="000000"/>
          <w:szCs w:val="21"/>
        </w:rPr>
      </w:pP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年</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月</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日</w:t>
      </w:r>
    </w:p>
    <w:p w14:paraId="548943F9">
      <w:pPr>
        <w:spacing w:line="400" w:lineRule="exact"/>
        <w:ind w:firstLine="4830" w:firstLineChars="23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C04998D">
      <w:pPr>
        <w:spacing w:line="400" w:lineRule="exact"/>
        <w:ind w:firstLine="4830" w:firstLineChars="23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0DE3119">
      <w:pPr>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9EBC6A5">
      <w:pPr>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lang w:bidi="ar"/>
        </w:rPr>
        <w:t>备注: 1.附委托代理人身份证复印件。</w:t>
      </w:r>
    </w:p>
    <w:p w14:paraId="7C7A9982">
      <w:pPr>
        <w:spacing w:line="360" w:lineRule="auto"/>
        <w:ind w:left="840" w:leftChars="300" w:hanging="210" w:hangingChars="100"/>
        <w:rPr>
          <w:rFonts w:hint="default" w:ascii="Times New Roman" w:hAnsi="Times New Roman" w:cs="Times New Roman"/>
          <w:bCs/>
          <w:color w:val="000000"/>
          <w:szCs w:val="21"/>
        </w:rPr>
      </w:pPr>
      <w:r>
        <w:rPr>
          <w:rFonts w:hint="default" w:ascii="Times New Roman" w:hAnsi="Times New Roman" w:cs="Times New Roman"/>
          <w:bCs/>
          <w:color w:val="000000"/>
          <w:szCs w:val="21"/>
          <w:lang w:bidi="ar"/>
        </w:rPr>
        <w:t>2.</w:t>
      </w:r>
      <w:r>
        <w:rPr>
          <w:rFonts w:hint="default" w:ascii="Times New Roman" w:hAnsi="Times New Roman" w:cs="Times New Roman"/>
          <w:color w:val="000000"/>
          <w:szCs w:val="21"/>
          <w:lang w:bidi="ar"/>
        </w:rPr>
        <w:t>投标文件</w:t>
      </w:r>
      <w:r>
        <w:rPr>
          <w:rFonts w:hint="default" w:ascii="Times New Roman" w:hAnsi="Times New Roman" w:cs="Times New Roman"/>
          <w:bCs/>
          <w:color w:val="000000"/>
          <w:szCs w:val="21"/>
          <w:lang w:bidi="ar"/>
        </w:rPr>
        <w:t>由法定代表人签署的，</w:t>
      </w:r>
      <w:r>
        <w:rPr>
          <w:rFonts w:hint="default" w:ascii="Times New Roman" w:hAnsi="Times New Roman" w:cs="Times New Roman"/>
          <w:color w:val="000000"/>
          <w:szCs w:val="21"/>
          <w:lang w:bidi="ar"/>
        </w:rPr>
        <w:t>投标文件</w:t>
      </w:r>
      <w:r>
        <w:rPr>
          <w:rFonts w:hint="default" w:ascii="Times New Roman" w:hAnsi="Times New Roman" w:cs="Times New Roman"/>
          <w:bCs/>
          <w:color w:val="000000"/>
          <w:szCs w:val="21"/>
          <w:lang w:bidi="ar"/>
        </w:rPr>
        <w:t>中不需本授权委托书。</w:t>
      </w:r>
      <w:r>
        <w:rPr>
          <w:rFonts w:hint="default" w:ascii="Times New Roman" w:hAnsi="Times New Roman" w:cs="Times New Roman"/>
          <w:color w:val="000000"/>
          <w:szCs w:val="21"/>
          <w:lang w:bidi="ar"/>
        </w:rPr>
        <w:t>投标文件</w:t>
      </w:r>
      <w:r>
        <w:rPr>
          <w:rFonts w:hint="default" w:ascii="Times New Roman" w:hAnsi="Times New Roman" w:cs="Times New Roman"/>
          <w:bCs/>
          <w:color w:val="000000"/>
          <w:szCs w:val="21"/>
          <w:lang w:bidi="ar"/>
        </w:rPr>
        <w:t>由委托代理人签署的，</w:t>
      </w:r>
      <w:r>
        <w:rPr>
          <w:rFonts w:hint="default" w:ascii="Times New Roman" w:hAnsi="Times New Roman" w:cs="Times New Roman"/>
          <w:color w:val="000000"/>
          <w:szCs w:val="21"/>
          <w:lang w:bidi="ar"/>
        </w:rPr>
        <w:t>投标文件</w:t>
      </w:r>
      <w:r>
        <w:rPr>
          <w:rFonts w:hint="default" w:ascii="Times New Roman" w:hAnsi="Times New Roman" w:cs="Times New Roman"/>
          <w:bCs/>
          <w:color w:val="000000"/>
          <w:szCs w:val="21"/>
          <w:lang w:bidi="ar"/>
        </w:rPr>
        <w:t>中</w:t>
      </w:r>
      <w:r>
        <w:rPr>
          <w:rFonts w:hint="default" w:ascii="Times New Roman" w:hAnsi="Times New Roman" w:cs="Times New Roman"/>
          <w:color w:val="000000"/>
          <w:szCs w:val="21"/>
          <w:lang w:bidi="ar"/>
        </w:rPr>
        <w:t>应附</w:t>
      </w:r>
      <w:r>
        <w:rPr>
          <w:rFonts w:hint="default" w:ascii="Times New Roman" w:hAnsi="Times New Roman" w:cs="Times New Roman"/>
          <w:bCs/>
          <w:color w:val="000000"/>
          <w:szCs w:val="21"/>
          <w:lang w:bidi="ar"/>
        </w:rPr>
        <w:t>本授权委托书。</w:t>
      </w:r>
    </w:p>
    <w:p w14:paraId="0104E2D2">
      <w:pPr>
        <w:spacing w:line="360" w:lineRule="auto"/>
        <w:ind w:left="840" w:leftChars="300" w:hanging="210" w:hangingChars="100"/>
        <w:rPr>
          <w:rFonts w:hint="default" w:ascii="Times New Roman" w:hAnsi="Times New Roman" w:cs="Times New Roman"/>
          <w:bCs/>
          <w:color w:val="000000"/>
          <w:szCs w:val="21"/>
        </w:rPr>
      </w:pPr>
      <w:r>
        <w:rPr>
          <w:rFonts w:hint="default" w:ascii="Times New Roman" w:hAnsi="Times New Roman" w:cs="Times New Roman"/>
          <w:bCs/>
          <w:color w:val="000000"/>
          <w:szCs w:val="21"/>
          <w:lang w:bidi="ar"/>
        </w:rPr>
        <w:t>3.招标文件要求投标人的代表参加开标会的，应按上述格式，持纸质授权委托书参加开标会。</w:t>
      </w:r>
    </w:p>
    <w:p w14:paraId="3910C3DE">
      <w:pPr>
        <w:rPr>
          <w:rFonts w:hint="default" w:ascii="Times New Roman" w:hAnsi="Times New Roman" w:cs="Times New Roman"/>
          <w:color w:val="000000"/>
          <w:szCs w:val="21"/>
        </w:rPr>
      </w:pPr>
      <w:r>
        <w:rPr>
          <w:rFonts w:hint="default" w:ascii="Times New Roman" w:hAnsi="Times New Roman" w:cs="Times New Roman"/>
          <w:color w:val="000000"/>
          <w:szCs w:val="21"/>
          <w:lang w:bidi="ar"/>
        </w:rPr>
        <w:br w:type="page"/>
      </w:r>
    </w:p>
    <w:p w14:paraId="1724D3F2">
      <w:pPr>
        <w:pStyle w:val="16"/>
        <w:widowControl w:val="0"/>
        <w:spacing w:beforeAutospacing="0" w:after="0" w:line="400" w:lineRule="exact"/>
        <w:contextualSpacing/>
        <w:jc w:val="center"/>
        <w:outlineLvl w:val="1"/>
        <w:rPr>
          <w:rFonts w:hint="default" w:ascii="Times New Roman" w:hAnsi="Times New Roman" w:cs="Times New Roman"/>
          <w:kern w:val="2"/>
          <w:sz w:val="28"/>
          <w:szCs w:val="28"/>
        </w:rPr>
      </w:pPr>
      <w:r>
        <w:rPr>
          <w:rFonts w:hint="default" w:ascii="Times New Roman" w:hAnsi="Times New Roman" w:cs="Times New Roman"/>
          <w:kern w:val="2"/>
          <w:sz w:val="28"/>
          <w:szCs w:val="28"/>
          <w:lang w:val="en-US" w:eastAsia="zh-CN" w:bidi="ar"/>
        </w:rPr>
        <w:t>E.</w:t>
      </w:r>
      <w:r>
        <w:rPr>
          <w:rFonts w:hint="default" w:ascii="Times New Roman" w:hAnsi="Times New Roman" w:cs="Times New Roman"/>
          <w:b/>
          <w:bCs/>
          <w:kern w:val="2"/>
          <w:sz w:val="28"/>
          <w:szCs w:val="28"/>
          <w:lang w:bidi="ar"/>
        </w:rPr>
        <w:t>分包意向协</w:t>
      </w:r>
      <w:r>
        <w:rPr>
          <w:rFonts w:hint="default" w:ascii="Times New Roman" w:hAnsi="Times New Roman" w:cs="Times New Roman"/>
          <w:kern w:val="2"/>
          <w:sz w:val="28"/>
          <w:szCs w:val="28"/>
          <w:lang w:bidi="ar"/>
        </w:rPr>
        <w:t>议书（如有）</w:t>
      </w:r>
    </w:p>
    <w:p w14:paraId="731422B0">
      <w:pPr>
        <w:pStyle w:val="16"/>
        <w:adjustRightInd w:val="0"/>
        <w:snapToGrid w:val="0"/>
        <w:spacing w:before="0" w:beforeAutospacing="0" w:after="0" w:afterAutospacing="0" w:line="360" w:lineRule="auto"/>
        <w:ind w:firstLine="480"/>
        <w:rPr>
          <w:rFonts w:hint="default" w:ascii="Times New Roman" w:hAnsi="Times New Roman" w:cs="Times New Roman"/>
          <w:szCs w:val="24"/>
        </w:rPr>
      </w:pPr>
      <w:r>
        <w:rPr>
          <w:rFonts w:hint="default" w:ascii="Times New Roman" w:hAnsi="Times New Roman" w:cs="Times New Roman"/>
          <w:szCs w:val="24"/>
          <w:lang w:bidi="ar"/>
        </w:rPr>
        <w:t xml:space="preserve"> </w:t>
      </w:r>
    </w:p>
    <w:p w14:paraId="0B978836">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甲方：</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（投标人名称）</w:t>
      </w:r>
    </w:p>
    <w:p w14:paraId="0B21FB5F">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乙方：</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（接受分包合同企业名称）</w:t>
      </w:r>
    </w:p>
    <w:p w14:paraId="0837D87C">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乙方：</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（接受分包合同企业名称）</w:t>
      </w:r>
    </w:p>
    <w:p w14:paraId="4E89053A">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w:t>
      </w:r>
    </w:p>
    <w:p w14:paraId="09A449FE">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鉴于甲方参加</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 xml:space="preserve">（招标人名称）（以下简称招标人或发包人） </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（项目名称）</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标段名称）（以下简称本工程）的施工投标并争取赢得本工程施工承包合同（以下简称合同）。在遵守《建筑法》《招标投标法》及其相关的法律法规规章的前提下，经甲乙双方友好协商订立如下分包意向协议：</w:t>
      </w:r>
    </w:p>
    <w:p w14:paraId="4484D147">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1．在本工程的投标阶段，甲方负责本工程投标文件编制活动，并处理与投标和中标有关的一切事务。中标后，甲方负责合同订立和合同实施、组织和协调工作。</w:t>
      </w:r>
    </w:p>
    <w:p w14:paraId="2B0DE381">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67A3DEB3">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3. 甲方承诺中标后，就本协议约定的分包工作以分包合同的形式交由乙方承担；乙方承诺按照分包合同的约定履行责任和义务并对甲方负责。甲方和乙方就分包工作对招标人（发包人）承担连带责任。</w:t>
      </w:r>
    </w:p>
    <w:p w14:paraId="57E03F9E">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4. 甲方拟分包给乙方的工作、分包合同金额、分包合同金额占比如下：</w:t>
      </w:r>
    </w:p>
    <w:p w14:paraId="01A9CE13">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tbl>
      <w:tblPr>
        <w:tblStyle w:val="17"/>
        <w:tblW w:w="91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2"/>
        <w:gridCol w:w="1610"/>
        <w:gridCol w:w="1741"/>
        <w:gridCol w:w="1165"/>
        <w:gridCol w:w="1165"/>
        <w:gridCol w:w="1440"/>
        <w:gridCol w:w="1420"/>
      </w:tblGrid>
      <w:tr w14:paraId="6F82A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2" w:type="dxa"/>
            <w:tcBorders>
              <w:top w:val="single" w:color="auto" w:sz="4" w:space="0"/>
              <w:left w:val="single" w:color="auto" w:sz="4" w:space="0"/>
              <w:bottom w:val="single" w:color="auto" w:sz="4" w:space="0"/>
              <w:right w:val="single" w:color="auto" w:sz="4" w:space="0"/>
            </w:tcBorders>
            <w:shd w:val="clear" w:color="auto" w:fill="auto"/>
            <w:vAlign w:val="center"/>
          </w:tcPr>
          <w:p w14:paraId="59343A15">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序号</w:t>
            </w:r>
          </w:p>
        </w:tc>
        <w:tc>
          <w:tcPr>
            <w:tcW w:w="1610" w:type="dxa"/>
            <w:tcBorders>
              <w:top w:val="single" w:color="auto" w:sz="4" w:space="0"/>
              <w:left w:val="nil"/>
              <w:bottom w:val="single" w:color="auto" w:sz="4" w:space="0"/>
              <w:right w:val="single" w:color="auto" w:sz="4" w:space="0"/>
            </w:tcBorders>
            <w:shd w:val="clear" w:color="auto" w:fill="auto"/>
            <w:vAlign w:val="center"/>
          </w:tcPr>
          <w:p w14:paraId="62FBA5FD">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接受分包合同企业名称</w:t>
            </w:r>
          </w:p>
        </w:tc>
        <w:tc>
          <w:tcPr>
            <w:tcW w:w="1741" w:type="dxa"/>
            <w:tcBorders>
              <w:top w:val="single" w:color="auto" w:sz="4" w:space="0"/>
              <w:left w:val="nil"/>
              <w:bottom w:val="single" w:color="auto" w:sz="4" w:space="0"/>
              <w:right w:val="single" w:color="auto" w:sz="4" w:space="0"/>
            </w:tcBorders>
            <w:shd w:val="clear" w:color="auto" w:fill="auto"/>
            <w:vAlign w:val="center"/>
          </w:tcPr>
          <w:p w14:paraId="0CE852DA">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分包合同</w:t>
            </w:r>
          </w:p>
          <w:p w14:paraId="7452CAE0">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工作内容名称</w:t>
            </w:r>
          </w:p>
        </w:tc>
        <w:tc>
          <w:tcPr>
            <w:tcW w:w="1165" w:type="dxa"/>
            <w:tcBorders>
              <w:top w:val="single" w:color="auto" w:sz="4" w:space="0"/>
              <w:left w:val="nil"/>
              <w:bottom w:val="single" w:color="auto" w:sz="4" w:space="0"/>
              <w:right w:val="single" w:color="auto" w:sz="4" w:space="0"/>
            </w:tcBorders>
            <w:shd w:val="clear" w:color="auto" w:fill="auto"/>
            <w:vAlign w:val="center"/>
          </w:tcPr>
          <w:p w14:paraId="614AEF6A">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分包合同</w:t>
            </w:r>
          </w:p>
          <w:p w14:paraId="6785E5AA">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金额</w:t>
            </w:r>
          </w:p>
          <w:p w14:paraId="7DA13A21">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（万元）</w:t>
            </w:r>
          </w:p>
        </w:tc>
        <w:tc>
          <w:tcPr>
            <w:tcW w:w="1165" w:type="dxa"/>
            <w:tcBorders>
              <w:top w:val="single" w:color="auto" w:sz="4" w:space="0"/>
              <w:left w:val="nil"/>
              <w:bottom w:val="single" w:color="auto" w:sz="4" w:space="0"/>
              <w:right w:val="single" w:color="auto" w:sz="4" w:space="0"/>
            </w:tcBorders>
            <w:shd w:val="clear" w:color="auto" w:fill="auto"/>
            <w:vAlign w:val="center"/>
          </w:tcPr>
          <w:p w14:paraId="6741B048">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分包合同金额占比</w:t>
            </w:r>
          </w:p>
          <w:p w14:paraId="5B8FB4EF">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w:t>
            </w:r>
          </w:p>
        </w:tc>
        <w:tc>
          <w:tcPr>
            <w:tcW w:w="1440" w:type="dxa"/>
            <w:tcBorders>
              <w:top w:val="single" w:color="auto" w:sz="4" w:space="0"/>
              <w:left w:val="nil"/>
              <w:bottom w:val="single" w:color="auto" w:sz="4" w:space="0"/>
              <w:right w:val="single" w:color="auto" w:sz="4" w:space="0"/>
            </w:tcBorders>
            <w:shd w:val="clear" w:color="auto" w:fill="auto"/>
            <w:vAlign w:val="center"/>
          </w:tcPr>
          <w:p w14:paraId="6BB37250">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满足分包工作的企业资质（如需）</w:t>
            </w:r>
          </w:p>
        </w:tc>
        <w:tc>
          <w:tcPr>
            <w:tcW w:w="1420" w:type="dxa"/>
            <w:tcBorders>
              <w:top w:val="single" w:color="auto" w:sz="4" w:space="0"/>
              <w:left w:val="nil"/>
              <w:bottom w:val="single" w:color="auto" w:sz="4" w:space="0"/>
              <w:right w:val="single" w:color="auto" w:sz="4" w:space="0"/>
            </w:tcBorders>
            <w:shd w:val="clear" w:color="auto" w:fill="auto"/>
            <w:vAlign w:val="center"/>
          </w:tcPr>
          <w:p w14:paraId="2EC0FB8E">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备注</w:t>
            </w:r>
          </w:p>
        </w:tc>
      </w:tr>
      <w:tr w14:paraId="76186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2" w:type="dxa"/>
            <w:tcBorders>
              <w:top w:val="single" w:color="auto" w:sz="4" w:space="0"/>
              <w:left w:val="single" w:color="auto" w:sz="4" w:space="0"/>
              <w:bottom w:val="single" w:color="auto" w:sz="4" w:space="0"/>
              <w:right w:val="single" w:color="auto" w:sz="4" w:space="0"/>
            </w:tcBorders>
            <w:shd w:val="clear" w:color="auto" w:fill="auto"/>
            <w:vAlign w:val="center"/>
          </w:tcPr>
          <w:p w14:paraId="322F2827">
            <w:pPr>
              <w:jc w:val="center"/>
              <w:rPr>
                <w:rFonts w:hint="default" w:ascii="Times New Roman" w:hAnsi="Times New Roman" w:cs="Times New Roman"/>
                <w:color w:val="000000"/>
                <w:szCs w:val="21"/>
              </w:rPr>
            </w:pPr>
          </w:p>
        </w:tc>
        <w:tc>
          <w:tcPr>
            <w:tcW w:w="1610" w:type="dxa"/>
            <w:tcBorders>
              <w:top w:val="single" w:color="auto" w:sz="4" w:space="0"/>
              <w:left w:val="nil"/>
              <w:bottom w:val="single" w:color="auto" w:sz="4" w:space="0"/>
              <w:right w:val="single" w:color="auto" w:sz="4" w:space="0"/>
            </w:tcBorders>
            <w:shd w:val="clear" w:color="auto" w:fill="auto"/>
            <w:vAlign w:val="center"/>
          </w:tcPr>
          <w:p w14:paraId="56AB49AB">
            <w:pPr>
              <w:jc w:val="center"/>
              <w:rPr>
                <w:rFonts w:hint="default" w:ascii="Times New Roman" w:hAnsi="Times New Roman" w:cs="Times New Roman"/>
                <w:color w:val="000000"/>
                <w:szCs w:val="21"/>
              </w:rPr>
            </w:pPr>
          </w:p>
        </w:tc>
        <w:tc>
          <w:tcPr>
            <w:tcW w:w="1741" w:type="dxa"/>
            <w:tcBorders>
              <w:top w:val="single" w:color="auto" w:sz="4" w:space="0"/>
              <w:left w:val="nil"/>
              <w:bottom w:val="single" w:color="auto" w:sz="4" w:space="0"/>
              <w:right w:val="single" w:color="auto" w:sz="4" w:space="0"/>
            </w:tcBorders>
            <w:shd w:val="clear" w:color="auto" w:fill="auto"/>
            <w:vAlign w:val="center"/>
          </w:tcPr>
          <w:p w14:paraId="110E2AEA">
            <w:pPr>
              <w:jc w:val="center"/>
              <w:rPr>
                <w:rFonts w:hint="default" w:ascii="Times New Roman" w:hAnsi="Times New Roman" w:cs="Times New Roman"/>
                <w:color w:val="000000"/>
                <w:szCs w:val="21"/>
              </w:rPr>
            </w:pPr>
          </w:p>
        </w:tc>
        <w:tc>
          <w:tcPr>
            <w:tcW w:w="1165" w:type="dxa"/>
            <w:tcBorders>
              <w:top w:val="single" w:color="auto" w:sz="4" w:space="0"/>
              <w:left w:val="nil"/>
              <w:bottom w:val="single" w:color="auto" w:sz="4" w:space="0"/>
              <w:right w:val="single" w:color="auto" w:sz="4" w:space="0"/>
            </w:tcBorders>
            <w:shd w:val="clear" w:color="auto" w:fill="auto"/>
            <w:vAlign w:val="center"/>
          </w:tcPr>
          <w:p w14:paraId="353FBBEF">
            <w:pPr>
              <w:jc w:val="center"/>
              <w:rPr>
                <w:rFonts w:hint="default" w:ascii="Times New Roman" w:hAnsi="Times New Roman" w:cs="Times New Roman"/>
                <w:color w:val="000000"/>
                <w:szCs w:val="21"/>
              </w:rPr>
            </w:pPr>
          </w:p>
        </w:tc>
        <w:tc>
          <w:tcPr>
            <w:tcW w:w="1165" w:type="dxa"/>
            <w:tcBorders>
              <w:top w:val="single" w:color="auto" w:sz="4" w:space="0"/>
              <w:left w:val="nil"/>
              <w:bottom w:val="single" w:color="auto" w:sz="4" w:space="0"/>
              <w:right w:val="single" w:color="auto" w:sz="4" w:space="0"/>
            </w:tcBorders>
            <w:shd w:val="clear" w:color="auto" w:fill="auto"/>
            <w:vAlign w:val="center"/>
          </w:tcPr>
          <w:p w14:paraId="391E54E0">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vAlign w:val="center"/>
          </w:tcPr>
          <w:p w14:paraId="69D06E6A">
            <w:pPr>
              <w:jc w:val="center"/>
              <w:rPr>
                <w:rFonts w:hint="default" w:ascii="Times New Roman" w:hAnsi="Times New Roman" w:cs="Times New Roman"/>
                <w:color w:val="000000"/>
                <w:szCs w:val="21"/>
              </w:rPr>
            </w:pPr>
          </w:p>
        </w:tc>
        <w:tc>
          <w:tcPr>
            <w:tcW w:w="1420" w:type="dxa"/>
            <w:tcBorders>
              <w:top w:val="single" w:color="auto" w:sz="4" w:space="0"/>
              <w:left w:val="nil"/>
              <w:bottom w:val="single" w:color="auto" w:sz="4" w:space="0"/>
              <w:right w:val="single" w:color="auto" w:sz="4" w:space="0"/>
            </w:tcBorders>
            <w:shd w:val="clear" w:color="auto" w:fill="auto"/>
            <w:vAlign w:val="center"/>
          </w:tcPr>
          <w:p w14:paraId="78CC71F1">
            <w:pPr>
              <w:jc w:val="center"/>
              <w:rPr>
                <w:rFonts w:hint="default" w:ascii="Times New Roman" w:hAnsi="Times New Roman" w:cs="Times New Roman"/>
                <w:color w:val="000000"/>
                <w:szCs w:val="21"/>
              </w:rPr>
            </w:pPr>
          </w:p>
        </w:tc>
      </w:tr>
      <w:tr w14:paraId="6DE60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2" w:type="dxa"/>
            <w:tcBorders>
              <w:top w:val="single" w:color="auto" w:sz="4" w:space="0"/>
              <w:left w:val="single" w:color="auto" w:sz="4" w:space="0"/>
              <w:bottom w:val="single" w:color="auto" w:sz="4" w:space="0"/>
              <w:right w:val="single" w:color="auto" w:sz="4" w:space="0"/>
            </w:tcBorders>
            <w:shd w:val="clear" w:color="auto" w:fill="auto"/>
            <w:vAlign w:val="center"/>
          </w:tcPr>
          <w:p w14:paraId="53721AA9">
            <w:pPr>
              <w:jc w:val="center"/>
              <w:rPr>
                <w:rFonts w:hint="default" w:ascii="Times New Roman" w:hAnsi="Times New Roman" w:cs="Times New Roman"/>
                <w:color w:val="000000"/>
                <w:szCs w:val="21"/>
              </w:rPr>
            </w:pPr>
          </w:p>
        </w:tc>
        <w:tc>
          <w:tcPr>
            <w:tcW w:w="1610" w:type="dxa"/>
            <w:tcBorders>
              <w:top w:val="single" w:color="auto" w:sz="4" w:space="0"/>
              <w:left w:val="nil"/>
              <w:bottom w:val="single" w:color="auto" w:sz="4" w:space="0"/>
              <w:right w:val="single" w:color="auto" w:sz="4" w:space="0"/>
            </w:tcBorders>
            <w:shd w:val="clear" w:color="auto" w:fill="auto"/>
            <w:vAlign w:val="center"/>
          </w:tcPr>
          <w:p w14:paraId="0942414F">
            <w:pPr>
              <w:jc w:val="center"/>
              <w:rPr>
                <w:rFonts w:hint="default" w:ascii="Times New Roman" w:hAnsi="Times New Roman" w:cs="Times New Roman"/>
                <w:color w:val="000000"/>
                <w:szCs w:val="21"/>
              </w:rPr>
            </w:pPr>
          </w:p>
        </w:tc>
        <w:tc>
          <w:tcPr>
            <w:tcW w:w="1741" w:type="dxa"/>
            <w:tcBorders>
              <w:top w:val="single" w:color="auto" w:sz="4" w:space="0"/>
              <w:left w:val="nil"/>
              <w:bottom w:val="single" w:color="auto" w:sz="4" w:space="0"/>
              <w:right w:val="single" w:color="auto" w:sz="4" w:space="0"/>
            </w:tcBorders>
            <w:shd w:val="clear" w:color="auto" w:fill="auto"/>
            <w:vAlign w:val="center"/>
          </w:tcPr>
          <w:p w14:paraId="41A99603">
            <w:pPr>
              <w:jc w:val="center"/>
              <w:rPr>
                <w:rFonts w:hint="default" w:ascii="Times New Roman" w:hAnsi="Times New Roman" w:cs="Times New Roman"/>
                <w:color w:val="000000"/>
                <w:szCs w:val="21"/>
              </w:rPr>
            </w:pPr>
          </w:p>
        </w:tc>
        <w:tc>
          <w:tcPr>
            <w:tcW w:w="1165" w:type="dxa"/>
            <w:tcBorders>
              <w:top w:val="single" w:color="auto" w:sz="4" w:space="0"/>
              <w:left w:val="nil"/>
              <w:bottom w:val="single" w:color="auto" w:sz="4" w:space="0"/>
              <w:right w:val="single" w:color="auto" w:sz="4" w:space="0"/>
            </w:tcBorders>
            <w:shd w:val="clear" w:color="auto" w:fill="auto"/>
            <w:vAlign w:val="center"/>
          </w:tcPr>
          <w:p w14:paraId="5D81DFEA">
            <w:pPr>
              <w:jc w:val="center"/>
              <w:rPr>
                <w:rFonts w:hint="default" w:ascii="Times New Roman" w:hAnsi="Times New Roman" w:cs="Times New Roman"/>
                <w:color w:val="000000"/>
                <w:szCs w:val="21"/>
              </w:rPr>
            </w:pPr>
          </w:p>
        </w:tc>
        <w:tc>
          <w:tcPr>
            <w:tcW w:w="1165" w:type="dxa"/>
            <w:tcBorders>
              <w:top w:val="single" w:color="auto" w:sz="4" w:space="0"/>
              <w:left w:val="nil"/>
              <w:bottom w:val="single" w:color="auto" w:sz="4" w:space="0"/>
              <w:right w:val="single" w:color="auto" w:sz="4" w:space="0"/>
            </w:tcBorders>
            <w:shd w:val="clear" w:color="auto" w:fill="auto"/>
            <w:vAlign w:val="center"/>
          </w:tcPr>
          <w:p w14:paraId="4F1AB9C1">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vAlign w:val="center"/>
          </w:tcPr>
          <w:p w14:paraId="059C453D">
            <w:pPr>
              <w:jc w:val="center"/>
              <w:rPr>
                <w:rFonts w:hint="default" w:ascii="Times New Roman" w:hAnsi="Times New Roman" w:cs="Times New Roman"/>
                <w:color w:val="000000"/>
                <w:szCs w:val="21"/>
              </w:rPr>
            </w:pPr>
          </w:p>
        </w:tc>
        <w:tc>
          <w:tcPr>
            <w:tcW w:w="1420" w:type="dxa"/>
            <w:tcBorders>
              <w:top w:val="single" w:color="auto" w:sz="4" w:space="0"/>
              <w:left w:val="nil"/>
              <w:bottom w:val="single" w:color="auto" w:sz="4" w:space="0"/>
              <w:right w:val="single" w:color="auto" w:sz="4" w:space="0"/>
            </w:tcBorders>
            <w:shd w:val="clear" w:color="auto" w:fill="auto"/>
            <w:vAlign w:val="center"/>
          </w:tcPr>
          <w:p w14:paraId="5A65DF50">
            <w:pPr>
              <w:jc w:val="center"/>
              <w:rPr>
                <w:rFonts w:hint="default" w:ascii="Times New Roman" w:hAnsi="Times New Roman" w:cs="Times New Roman"/>
                <w:color w:val="000000"/>
                <w:szCs w:val="21"/>
              </w:rPr>
            </w:pPr>
          </w:p>
        </w:tc>
      </w:tr>
      <w:tr w14:paraId="302E9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2" w:type="dxa"/>
            <w:tcBorders>
              <w:top w:val="single" w:color="auto" w:sz="4" w:space="0"/>
              <w:left w:val="single" w:color="auto" w:sz="4" w:space="0"/>
              <w:bottom w:val="single" w:color="auto" w:sz="4" w:space="0"/>
              <w:right w:val="single" w:color="auto" w:sz="4" w:space="0"/>
            </w:tcBorders>
            <w:shd w:val="clear" w:color="auto" w:fill="auto"/>
            <w:vAlign w:val="center"/>
          </w:tcPr>
          <w:p w14:paraId="27C7B6EE">
            <w:pPr>
              <w:jc w:val="center"/>
              <w:rPr>
                <w:rFonts w:hint="default" w:ascii="Times New Roman" w:hAnsi="Times New Roman" w:cs="Times New Roman"/>
                <w:color w:val="000000"/>
                <w:szCs w:val="21"/>
              </w:rPr>
            </w:pPr>
          </w:p>
        </w:tc>
        <w:tc>
          <w:tcPr>
            <w:tcW w:w="1610" w:type="dxa"/>
            <w:tcBorders>
              <w:top w:val="single" w:color="auto" w:sz="4" w:space="0"/>
              <w:left w:val="nil"/>
              <w:bottom w:val="single" w:color="auto" w:sz="4" w:space="0"/>
              <w:right w:val="single" w:color="auto" w:sz="4" w:space="0"/>
            </w:tcBorders>
            <w:shd w:val="clear" w:color="auto" w:fill="auto"/>
            <w:vAlign w:val="center"/>
          </w:tcPr>
          <w:p w14:paraId="54C52FA4">
            <w:pPr>
              <w:jc w:val="center"/>
              <w:rPr>
                <w:rFonts w:hint="default" w:ascii="Times New Roman" w:hAnsi="Times New Roman" w:cs="Times New Roman"/>
                <w:color w:val="000000"/>
                <w:szCs w:val="21"/>
              </w:rPr>
            </w:pPr>
          </w:p>
        </w:tc>
        <w:tc>
          <w:tcPr>
            <w:tcW w:w="1741" w:type="dxa"/>
            <w:tcBorders>
              <w:top w:val="single" w:color="auto" w:sz="4" w:space="0"/>
              <w:left w:val="nil"/>
              <w:bottom w:val="single" w:color="auto" w:sz="4" w:space="0"/>
              <w:right w:val="single" w:color="auto" w:sz="4" w:space="0"/>
            </w:tcBorders>
            <w:shd w:val="clear" w:color="auto" w:fill="auto"/>
            <w:vAlign w:val="center"/>
          </w:tcPr>
          <w:p w14:paraId="5A4CC513">
            <w:pPr>
              <w:jc w:val="center"/>
              <w:rPr>
                <w:rFonts w:hint="default" w:ascii="Times New Roman" w:hAnsi="Times New Roman" w:cs="Times New Roman"/>
                <w:color w:val="000000"/>
                <w:szCs w:val="21"/>
              </w:rPr>
            </w:pPr>
          </w:p>
        </w:tc>
        <w:tc>
          <w:tcPr>
            <w:tcW w:w="1165" w:type="dxa"/>
            <w:tcBorders>
              <w:top w:val="single" w:color="auto" w:sz="4" w:space="0"/>
              <w:left w:val="nil"/>
              <w:bottom w:val="single" w:color="auto" w:sz="4" w:space="0"/>
              <w:right w:val="single" w:color="auto" w:sz="4" w:space="0"/>
            </w:tcBorders>
            <w:shd w:val="clear" w:color="auto" w:fill="auto"/>
            <w:vAlign w:val="center"/>
          </w:tcPr>
          <w:p w14:paraId="71DB162B">
            <w:pPr>
              <w:jc w:val="center"/>
              <w:rPr>
                <w:rFonts w:hint="default" w:ascii="Times New Roman" w:hAnsi="Times New Roman" w:cs="Times New Roman"/>
                <w:color w:val="000000"/>
                <w:szCs w:val="21"/>
              </w:rPr>
            </w:pPr>
          </w:p>
        </w:tc>
        <w:tc>
          <w:tcPr>
            <w:tcW w:w="1165" w:type="dxa"/>
            <w:tcBorders>
              <w:top w:val="single" w:color="auto" w:sz="4" w:space="0"/>
              <w:left w:val="nil"/>
              <w:bottom w:val="single" w:color="auto" w:sz="4" w:space="0"/>
              <w:right w:val="single" w:color="auto" w:sz="4" w:space="0"/>
            </w:tcBorders>
            <w:shd w:val="clear" w:color="auto" w:fill="auto"/>
            <w:vAlign w:val="center"/>
          </w:tcPr>
          <w:p w14:paraId="736FDA57">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vAlign w:val="center"/>
          </w:tcPr>
          <w:p w14:paraId="1BC93F7D">
            <w:pPr>
              <w:jc w:val="center"/>
              <w:rPr>
                <w:rFonts w:hint="default" w:ascii="Times New Roman" w:hAnsi="Times New Roman" w:cs="Times New Roman"/>
                <w:color w:val="000000"/>
                <w:szCs w:val="21"/>
              </w:rPr>
            </w:pPr>
          </w:p>
        </w:tc>
        <w:tc>
          <w:tcPr>
            <w:tcW w:w="1420" w:type="dxa"/>
            <w:tcBorders>
              <w:top w:val="single" w:color="auto" w:sz="4" w:space="0"/>
              <w:left w:val="nil"/>
              <w:bottom w:val="single" w:color="auto" w:sz="4" w:space="0"/>
              <w:right w:val="single" w:color="auto" w:sz="4" w:space="0"/>
            </w:tcBorders>
            <w:shd w:val="clear" w:color="auto" w:fill="auto"/>
            <w:vAlign w:val="center"/>
          </w:tcPr>
          <w:p w14:paraId="10F6A77E">
            <w:pPr>
              <w:jc w:val="center"/>
              <w:rPr>
                <w:rFonts w:hint="default" w:ascii="Times New Roman" w:hAnsi="Times New Roman" w:cs="Times New Roman"/>
                <w:color w:val="000000"/>
                <w:szCs w:val="21"/>
              </w:rPr>
            </w:pPr>
          </w:p>
        </w:tc>
      </w:tr>
      <w:tr w14:paraId="431B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2" w:type="dxa"/>
            <w:tcBorders>
              <w:top w:val="single" w:color="auto" w:sz="4" w:space="0"/>
              <w:left w:val="single" w:color="auto" w:sz="4" w:space="0"/>
              <w:bottom w:val="single" w:color="auto" w:sz="4" w:space="0"/>
              <w:right w:val="single" w:color="auto" w:sz="4" w:space="0"/>
            </w:tcBorders>
            <w:shd w:val="clear" w:color="auto" w:fill="auto"/>
            <w:vAlign w:val="center"/>
          </w:tcPr>
          <w:p w14:paraId="1D0CC349">
            <w:pPr>
              <w:jc w:val="center"/>
              <w:rPr>
                <w:rFonts w:hint="default" w:ascii="Times New Roman" w:hAnsi="Times New Roman" w:cs="Times New Roman"/>
                <w:color w:val="000000"/>
                <w:szCs w:val="21"/>
              </w:rPr>
            </w:pPr>
          </w:p>
        </w:tc>
        <w:tc>
          <w:tcPr>
            <w:tcW w:w="1610" w:type="dxa"/>
            <w:tcBorders>
              <w:top w:val="single" w:color="auto" w:sz="4" w:space="0"/>
              <w:left w:val="nil"/>
              <w:bottom w:val="single" w:color="auto" w:sz="4" w:space="0"/>
              <w:right w:val="single" w:color="auto" w:sz="4" w:space="0"/>
            </w:tcBorders>
            <w:shd w:val="clear" w:color="auto" w:fill="auto"/>
            <w:vAlign w:val="center"/>
          </w:tcPr>
          <w:p w14:paraId="4672A860">
            <w:pPr>
              <w:jc w:val="center"/>
              <w:rPr>
                <w:rFonts w:hint="default" w:ascii="Times New Roman" w:hAnsi="Times New Roman" w:cs="Times New Roman"/>
                <w:color w:val="000000"/>
                <w:szCs w:val="21"/>
              </w:rPr>
            </w:pPr>
          </w:p>
        </w:tc>
        <w:tc>
          <w:tcPr>
            <w:tcW w:w="1741" w:type="dxa"/>
            <w:tcBorders>
              <w:top w:val="single" w:color="auto" w:sz="4" w:space="0"/>
              <w:left w:val="nil"/>
              <w:bottom w:val="single" w:color="auto" w:sz="4" w:space="0"/>
              <w:right w:val="single" w:color="auto" w:sz="4" w:space="0"/>
            </w:tcBorders>
            <w:shd w:val="clear" w:color="auto" w:fill="auto"/>
            <w:vAlign w:val="center"/>
          </w:tcPr>
          <w:p w14:paraId="0FAF680B">
            <w:pPr>
              <w:jc w:val="center"/>
              <w:rPr>
                <w:rFonts w:hint="default" w:ascii="Times New Roman" w:hAnsi="Times New Roman" w:cs="Times New Roman"/>
                <w:color w:val="000000"/>
                <w:szCs w:val="21"/>
              </w:rPr>
            </w:pPr>
          </w:p>
        </w:tc>
        <w:tc>
          <w:tcPr>
            <w:tcW w:w="1165" w:type="dxa"/>
            <w:tcBorders>
              <w:top w:val="single" w:color="auto" w:sz="4" w:space="0"/>
              <w:left w:val="nil"/>
              <w:bottom w:val="single" w:color="auto" w:sz="4" w:space="0"/>
              <w:right w:val="single" w:color="auto" w:sz="4" w:space="0"/>
            </w:tcBorders>
            <w:shd w:val="clear" w:color="auto" w:fill="auto"/>
            <w:vAlign w:val="center"/>
          </w:tcPr>
          <w:p w14:paraId="5DED76DF">
            <w:pPr>
              <w:jc w:val="center"/>
              <w:rPr>
                <w:rFonts w:hint="default" w:ascii="Times New Roman" w:hAnsi="Times New Roman" w:cs="Times New Roman"/>
                <w:color w:val="000000"/>
                <w:szCs w:val="21"/>
              </w:rPr>
            </w:pPr>
          </w:p>
        </w:tc>
        <w:tc>
          <w:tcPr>
            <w:tcW w:w="1165" w:type="dxa"/>
            <w:tcBorders>
              <w:top w:val="single" w:color="auto" w:sz="4" w:space="0"/>
              <w:left w:val="nil"/>
              <w:bottom w:val="single" w:color="auto" w:sz="4" w:space="0"/>
              <w:right w:val="single" w:color="auto" w:sz="4" w:space="0"/>
            </w:tcBorders>
            <w:shd w:val="clear" w:color="auto" w:fill="auto"/>
            <w:vAlign w:val="center"/>
          </w:tcPr>
          <w:p w14:paraId="08D7B743">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vAlign w:val="center"/>
          </w:tcPr>
          <w:p w14:paraId="6819C1D8">
            <w:pPr>
              <w:jc w:val="center"/>
              <w:rPr>
                <w:rFonts w:hint="default" w:ascii="Times New Roman" w:hAnsi="Times New Roman" w:cs="Times New Roman"/>
                <w:color w:val="000000"/>
                <w:szCs w:val="21"/>
              </w:rPr>
            </w:pPr>
          </w:p>
        </w:tc>
        <w:tc>
          <w:tcPr>
            <w:tcW w:w="1420" w:type="dxa"/>
            <w:tcBorders>
              <w:top w:val="single" w:color="auto" w:sz="4" w:space="0"/>
              <w:left w:val="nil"/>
              <w:bottom w:val="single" w:color="auto" w:sz="4" w:space="0"/>
              <w:right w:val="single" w:color="auto" w:sz="4" w:space="0"/>
            </w:tcBorders>
            <w:shd w:val="clear" w:color="auto" w:fill="auto"/>
            <w:vAlign w:val="center"/>
          </w:tcPr>
          <w:p w14:paraId="600ACF42">
            <w:pPr>
              <w:jc w:val="center"/>
              <w:rPr>
                <w:rFonts w:hint="default" w:ascii="Times New Roman" w:hAnsi="Times New Roman" w:cs="Times New Roman"/>
                <w:color w:val="000000"/>
                <w:szCs w:val="21"/>
              </w:rPr>
            </w:pPr>
          </w:p>
        </w:tc>
      </w:tr>
      <w:tr w14:paraId="3F36D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2" w:type="dxa"/>
            <w:tcBorders>
              <w:top w:val="single" w:color="auto" w:sz="4" w:space="0"/>
              <w:left w:val="single" w:color="auto" w:sz="4" w:space="0"/>
              <w:bottom w:val="single" w:color="auto" w:sz="4" w:space="0"/>
              <w:right w:val="single" w:color="auto" w:sz="4" w:space="0"/>
            </w:tcBorders>
            <w:shd w:val="clear" w:color="auto" w:fill="auto"/>
            <w:vAlign w:val="center"/>
          </w:tcPr>
          <w:p w14:paraId="616C80D1">
            <w:pPr>
              <w:jc w:val="center"/>
              <w:rPr>
                <w:rFonts w:hint="default" w:ascii="Times New Roman" w:hAnsi="Times New Roman" w:cs="Times New Roman"/>
                <w:color w:val="000000"/>
                <w:szCs w:val="21"/>
              </w:rPr>
            </w:pPr>
          </w:p>
        </w:tc>
        <w:tc>
          <w:tcPr>
            <w:tcW w:w="1610" w:type="dxa"/>
            <w:tcBorders>
              <w:top w:val="single" w:color="auto" w:sz="4" w:space="0"/>
              <w:left w:val="nil"/>
              <w:bottom w:val="single" w:color="auto" w:sz="4" w:space="0"/>
              <w:right w:val="single" w:color="auto" w:sz="4" w:space="0"/>
            </w:tcBorders>
            <w:shd w:val="clear" w:color="auto" w:fill="auto"/>
            <w:vAlign w:val="center"/>
          </w:tcPr>
          <w:p w14:paraId="5EB87F23">
            <w:pPr>
              <w:jc w:val="center"/>
              <w:rPr>
                <w:rFonts w:hint="default" w:ascii="Times New Roman" w:hAnsi="Times New Roman" w:cs="Times New Roman"/>
                <w:color w:val="000000"/>
                <w:szCs w:val="21"/>
              </w:rPr>
            </w:pPr>
          </w:p>
        </w:tc>
        <w:tc>
          <w:tcPr>
            <w:tcW w:w="1741" w:type="dxa"/>
            <w:tcBorders>
              <w:top w:val="single" w:color="auto" w:sz="4" w:space="0"/>
              <w:left w:val="nil"/>
              <w:bottom w:val="single" w:color="auto" w:sz="4" w:space="0"/>
              <w:right w:val="single" w:color="auto" w:sz="4" w:space="0"/>
            </w:tcBorders>
            <w:shd w:val="clear" w:color="auto" w:fill="auto"/>
            <w:vAlign w:val="center"/>
          </w:tcPr>
          <w:p w14:paraId="2BA4F452">
            <w:pPr>
              <w:jc w:val="center"/>
              <w:rPr>
                <w:rFonts w:hint="default" w:ascii="Times New Roman" w:hAnsi="Times New Roman" w:cs="Times New Roman"/>
                <w:color w:val="000000"/>
                <w:szCs w:val="21"/>
              </w:rPr>
            </w:pPr>
          </w:p>
        </w:tc>
        <w:tc>
          <w:tcPr>
            <w:tcW w:w="1165" w:type="dxa"/>
            <w:tcBorders>
              <w:top w:val="single" w:color="auto" w:sz="4" w:space="0"/>
              <w:left w:val="nil"/>
              <w:bottom w:val="single" w:color="auto" w:sz="4" w:space="0"/>
              <w:right w:val="single" w:color="auto" w:sz="4" w:space="0"/>
            </w:tcBorders>
            <w:shd w:val="clear" w:color="auto" w:fill="auto"/>
            <w:vAlign w:val="center"/>
          </w:tcPr>
          <w:p w14:paraId="767CDD3C">
            <w:pPr>
              <w:jc w:val="center"/>
              <w:rPr>
                <w:rFonts w:hint="default" w:ascii="Times New Roman" w:hAnsi="Times New Roman" w:cs="Times New Roman"/>
                <w:color w:val="000000"/>
                <w:szCs w:val="21"/>
              </w:rPr>
            </w:pPr>
          </w:p>
        </w:tc>
        <w:tc>
          <w:tcPr>
            <w:tcW w:w="1165" w:type="dxa"/>
            <w:tcBorders>
              <w:top w:val="single" w:color="auto" w:sz="4" w:space="0"/>
              <w:left w:val="nil"/>
              <w:bottom w:val="single" w:color="auto" w:sz="4" w:space="0"/>
              <w:right w:val="single" w:color="auto" w:sz="4" w:space="0"/>
            </w:tcBorders>
            <w:shd w:val="clear" w:color="auto" w:fill="auto"/>
            <w:vAlign w:val="center"/>
          </w:tcPr>
          <w:p w14:paraId="6D0CF93D">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vAlign w:val="center"/>
          </w:tcPr>
          <w:p w14:paraId="13FCEDB0">
            <w:pPr>
              <w:jc w:val="center"/>
              <w:rPr>
                <w:rFonts w:hint="default" w:ascii="Times New Roman" w:hAnsi="Times New Roman" w:cs="Times New Roman"/>
                <w:color w:val="000000"/>
                <w:szCs w:val="21"/>
              </w:rPr>
            </w:pPr>
          </w:p>
        </w:tc>
        <w:tc>
          <w:tcPr>
            <w:tcW w:w="1420" w:type="dxa"/>
            <w:tcBorders>
              <w:top w:val="single" w:color="auto" w:sz="4" w:space="0"/>
              <w:left w:val="nil"/>
              <w:bottom w:val="single" w:color="auto" w:sz="4" w:space="0"/>
              <w:right w:val="single" w:color="auto" w:sz="4" w:space="0"/>
            </w:tcBorders>
            <w:shd w:val="clear" w:color="auto" w:fill="auto"/>
            <w:vAlign w:val="center"/>
          </w:tcPr>
          <w:p w14:paraId="7C6836C8">
            <w:pPr>
              <w:jc w:val="center"/>
              <w:rPr>
                <w:rFonts w:hint="default" w:ascii="Times New Roman" w:hAnsi="Times New Roman" w:cs="Times New Roman"/>
                <w:color w:val="000000"/>
                <w:szCs w:val="21"/>
              </w:rPr>
            </w:pPr>
          </w:p>
        </w:tc>
      </w:tr>
      <w:tr w14:paraId="5A079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2" w:type="dxa"/>
            <w:tcBorders>
              <w:top w:val="single" w:color="auto" w:sz="4" w:space="0"/>
              <w:left w:val="single" w:color="auto" w:sz="4" w:space="0"/>
              <w:bottom w:val="single" w:color="auto" w:sz="4" w:space="0"/>
              <w:right w:val="single" w:color="auto" w:sz="4" w:space="0"/>
            </w:tcBorders>
            <w:shd w:val="clear" w:color="auto" w:fill="auto"/>
            <w:vAlign w:val="center"/>
          </w:tcPr>
          <w:p w14:paraId="1491A36D">
            <w:pPr>
              <w:rPr>
                <w:rFonts w:hint="default" w:ascii="Times New Roman" w:hAnsi="Times New Roman" w:cs="Times New Roman"/>
                <w:color w:val="000000"/>
                <w:szCs w:val="21"/>
              </w:rPr>
            </w:pPr>
          </w:p>
        </w:tc>
        <w:tc>
          <w:tcPr>
            <w:tcW w:w="3351" w:type="dxa"/>
            <w:gridSpan w:val="2"/>
            <w:tcBorders>
              <w:top w:val="single" w:color="auto" w:sz="4" w:space="0"/>
              <w:left w:val="nil"/>
              <w:bottom w:val="single" w:color="auto" w:sz="4" w:space="0"/>
              <w:right w:val="single" w:color="auto" w:sz="4" w:space="0"/>
            </w:tcBorders>
            <w:shd w:val="clear" w:color="auto" w:fill="auto"/>
            <w:vAlign w:val="center"/>
          </w:tcPr>
          <w:p w14:paraId="16D65938">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合计</w:t>
            </w:r>
          </w:p>
        </w:tc>
        <w:tc>
          <w:tcPr>
            <w:tcW w:w="1165" w:type="dxa"/>
            <w:tcBorders>
              <w:top w:val="single" w:color="auto" w:sz="4" w:space="0"/>
              <w:left w:val="nil"/>
              <w:bottom w:val="single" w:color="auto" w:sz="4" w:space="0"/>
              <w:right w:val="single" w:color="auto" w:sz="4" w:space="0"/>
            </w:tcBorders>
            <w:shd w:val="clear" w:color="auto" w:fill="auto"/>
            <w:vAlign w:val="center"/>
          </w:tcPr>
          <w:p w14:paraId="45ACEACE">
            <w:pPr>
              <w:jc w:val="center"/>
              <w:rPr>
                <w:rFonts w:hint="default" w:ascii="Times New Roman" w:hAnsi="Times New Roman" w:cs="Times New Roman"/>
                <w:color w:val="000000"/>
                <w:szCs w:val="21"/>
              </w:rPr>
            </w:pPr>
          </w:p>
        </w:tc>
        <w:tc>
          <w:tcPr>
            <w:tcW w:w="1165" w:type="dxa"/>
            <w:tcBorders>
              <w:top w:val="single" w:color="auto" w:sz="4" w:space="0"/>
              <w:left w:val="nil"/>
              <w:bottom w:val="single" w:color="auto" w:sz="4" w:space="0"/>
              <w:right w:val="single" w:color="auto" w:sz="4" w:space="0"/>
            </w:tcBorders>
            <w:shd w:val="clear" w:color="auto" w:fill="auto"/>
            <w:vAlign w:val="center"/>
          </w:tcPr>
          <w:p w14:paraId="5689448D">
            <w:pPr>
              <w:jc w:val="center"/>
              <w:rPr>
                <w:rFonts w:hint="default" w:ascii="Times New Roman" w:hAnsi="Times New Roman" w:cs="Times New Roman"/>
                <w:color w:val="000000"/>
                <w:szCs w:val="21"/>
              </w:rPr>
            </w:pPr>
          </w:p>
        </w:tc>
        <w:tc>
          <w:tcPr>
            <w:tcW w:w="1440" w:type="dxa"/>
            <w:tcBorders>
              <w:top w:val="single" w:color="auto" w:sz="4" w:space="0"/>
              <w:left w:val="nil"/>
              <w:bottom w:val="single" w:color="auto" w:sz="4" w:space="0"/>
              <w:right w:val="single" w:color="auto" w:sz="4" w:space="0"/>
            </w:tcBorders>
            <w:shd w:val="clear" w:color="auto" w:fill="auto"/>
            <w:vAlign w:val="center"/>
          </w:tcPr>
          <w:p w14:paraId="0865684C">
            <w:pPr>
              <w:jc w:val="center"/>
              <w:rPr>
                <w:rFonts w:hint="default" w:ascii="Times New Roman" w:hAnsi="Times New Roman" w:cs="Times New Roman"/>
                <w:color w:val="000000"/>
                <w:szCs w:val="21"/>
              </w:rPr>
            </w:pPr>
          </w:p>
        </w:tc>
        <w:tc>
          <w:tcPr>
            <w:tcW w:w="1420" w:type="dxa"/>
            <w:tcBorders>
              <w:top w:val="single" w:color="auto" w:sz="4" w:space="0"/>
              <w:left w:val="nil"/>
              <w:bottom w:val="single" w:color="auto" w:sz="4" w:space="0"/>
              <w:right w:val="single" w:color="auto" w:sz="4" w:space="0"/>
            </w:tcBorders>
            <w:shd w:val="clear" w:color="auto" w:fill="auto"/>
            <w:vAlign w:val="center"/>
          </w:tcPr>
          <w:p w14:paraId="4FE285BB">
            <w:pPr>
              <w:jc w:val="center"/>
              <w:rPr>
                <w:rFonts w:hint="default" w:ascii="Times New Roman" w:hAnsi="Times New Roman" w:cs="Times New Roman"/>
                <w:color w:val="000000"/>
                <w:szCs w:val="21"/>
              </w:rPr>
            </w:pPr>
          </w:p>
        </w:tc>
      </w:tr>
      <w:tr w14:paraId="3636D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2" w:type="dxa"/>
            <w:tcBorders>
              <w:top w:val="single" w:color="auto" w:sz="4" w:space="0"/>
              <w:left w:val="single" w:color="auto" w:sz="4" w:space="0"/>
              <w:bottom w:val="single" w:color="auto" w:sz="4" w:space="0"/>
              <w:right w:val="single" w:color="auto" w:sz="4" w:space="0"/>
            </w:tcBorders>
            <w:shd w:val="clear" w:color="auto" w:fill="auto"/>
            <w:vAlign w:val="center"/>
          </w:tcPr>
          <w:p w14:paraId="6BC7F9A9">
            <w:pPr>
              <w:jc w:val="center"/>
              <w:rPr>
                <w:rFonts w:hint="default" w:ascii="Times New Roman" w:hAnsi="Times New Roman" w:cs="Times New Roman"/>
                <w:color w:val="000000"/>
                <w:szCs w:val="21"/>
              </w:rPr>
            </w:pPr>
          </w:p>
        </w:tc>
        <w:tc>
          <w:tcPr>
            <w:tcW w:w="3351" w:type="dxa"/>
            <w:gridSpan w:val="2"/>
            <w:tcBorders>
              <w:top w:val="single" w:color="auto" w:sz="4" w:space="0"/>
              <w:left w:val="nil"/>
              <w:bottom w:val="single" w:color="auto" w:sz="4" w:space="0"/>
              <w:right w:val="single" w:color="auto" w:sz="4" w:space="0"/>
            </w:tcBorders>
            <w:shd w:val="clear" w:color="auto" w:fill="auto"/>
            <w:vAlign w:val="center"/>
          </w:tcPr>
          <w:p w14:paraId="195EB49C">
            <w:pPr>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本项目合同金额（万元）</w:t>
            </w:r>
          </w:p>
        </w:tc>
        <w:tc>
          <w:tcPr>
            <w:tcW w:w="2330" w:type="dxa"/>
            <w:gridSpan w:val="2"/>
            <w:tcBorders>
              <w:top w:val="single" w:color="auto" w:sz="4" w:space="0"/>
              <w:left w:val="nil"/>
              <w:bottom w:val="single" w:color="auto" w:sz="4" w:space="0"/>
              <w:right w:val="single" w:color="auto" w:sz="4" w:space="0"/>
            </w:tcBorders>
            <w:shd w:val="clear" w:color="auto" w:fill="auto"/>
            <w:vAlign w:val="center"/>
          </w:tcPr>
          <w:p w14:paraId="4A61FB5E">
            <w:pPr>
              <w:jc w:val="center"/>
              <w:rPr>
                <w:rFonts w:hint="default" w:ascii="Times New Roman" w:hAnsi="Times New Roman" w:cs="Times New Roman"/>
                <w:color w:val="000000"/>
                <w:szCs w:val="21"/>
              </w:rPr>
            </w:pPr>
          </w:p>
        </w:tc>
        <w:tc>
          <w:tcPr>
            <w:tcW w:w="2860" w:type="dxa"/>
            <w:gridSpan w:val="2"/>
            <w:tcBorders>
              <w:top w:val="single" w:color="auto" w:sz="4" w:space="0"/>
              <w:left w:val="nil"/>
              <w:bottom w:val="single" w:color="auto" w:sz="4" w:space="0"/>
              <w:right w:val="single" w:color="auto" w:sz="4" w:space="0"/>
            </w:tcBorders>
            <w:shd w:val="clear" w:color="auto" w:fill="auto"/>
            <w:vAlign w:val="center"/>
          </w:tcPr>
          <w:p w14:paraId="48E72D81">
            <w:pPr>
              <w:jc w:val="center"/>
              <w:rPr>
                <w:rFonts w:hint="default" w:ascii="Times New Roman" w:hAnsi="Times New Roman" w:cs="Times New Roman"/>
                <w:color w:val="000000"/>
                <w:szCs w:val="21"/>
              </w:rPr>
            </w:pPr>
          </w:p>
        </w:tc>
      </w:tr>
    </w:tbl>
    <w:p w14:paraId="3A16D0E4">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5．本协议中接受分包合同的中小（小微）企业（乙方）与分包企业（甲方）之间不存在直接控股、管理关系。</w:t>
      </w:r>
    </w:p>
    <w:p w14:paraId="56D9C358">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6. 中标后，本协议是合同的组成部分，对甲乙双方有合同约束力。</w:t>
      </w:r>
    </w:p>
    <w:p w14:paraId="2580EFCA">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7．本协议书自签署之日起生效，未中标或者中标合同履行完毕后自动失效。</w:t>
      </w:r>
    </w:p>
    <w:p w14:paraId="6A844D4F">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8．本协议书一式</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份，甲方和乙方各执一份。</w:t>
      </w:r>
    </w:p>
    <w:p w14:paraId="42971F3E">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99A5FD9">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60555D2">
      <w:pPr>
        <w:spacing w:line="394" w:lineRule="exact"/>
        <w:ind w:firstLine="420" w:firstLineChars="200"/>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甲  方：</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（盖单位章）     乙  方：</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（盖单位章）</w:t>
      </w:r>
    </w:p>
    <w:p w14:paraId="36753C88">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9603BDC">
      <w:pPr>
        <w:spacing w:line="394" w:lineRule="exact"/>
        <w:ind w:firstLine="420" w:firstLineChars="200"/>
        <w:jc w:val="right"/>
        <w:rPr>
          <w:rFonts w:hint="default" w:ascii="Times New Roman" w:hAnsi="Times New Roman" w:cs="Times New Roman"/>
          <w:color w:val="000000"/>
          <w:szCs w:val="21"/>
        </w:rPr>
      </w:pPr>
      <w:r>
        <w:rPr>
          <w:rFonts w:hint="default" w:ascii="Times New Roman" w:hAnsi="Times New Roman" w:cs="Times New Roman"/>
          <w:color w:val="000000"/>
          <w:szCs w:val="21"/>
          <w:lang w:bidi="ar"/>
        </w:rPr>
        <w:t>法定代表人或其委托人：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（签字）     法定代表人或其委托人：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（签字）</w:t>
      </w:r>
    </w:p>
    <w:p w14:paraId="7AF1FD74">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D447264">
      <w:pPr>
        <w:spacing w:line="394" w:lineRule="exact"/>
        <w:ind w:firstLine="4830" w:firstLineChars="2300"/>
        <w:jc w:val="right"/>
        <w:rPr>
          <w:rFonts w:hint="default" w:ascii="Times New Roman" w:hAnsi="Times New Roman" w:cs="Times New Roman"/>
          <w:color w:val="000000"/>
          <w:szCs w:val="21"/>
        </w:rPr>
      </w:pPr>
      <w:r>
        <w:rPr>
          <w:rFonts w:hint="default" w:ascii="Times New Roman" w:hAnsi="Times New Roman" w:cs="Times New Roman"/>
          <w:color w:val="000000"/>
          <w:szCs w:val="21"/>
          <w:lang w:bidi="ar"/>
        </w:rPr>
        <w:t>乙  方：</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（盖单位章）</w:t>
      </w:r>
    </w:p>
    <w:p w14:paraId="7E548D25">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67CE29F">
      <w:pPr>
        <w:spacing w:line="394" w:lineRule="exact"/>
        <w:ind w:firstLine="4830" w:firstLineChars="2300"/>
        <w:jc w:val="right"/>
        <w:rPr>
          <w:rFonts w:hint="default" w:ascii="Times New Roman" w:hAnsi="Times New Roman" w:cs="Times New Roman"/>
          <w:color w:val="000000"/>
          <w:szCs w:val="21"/>
        </w:rPr>
      </w:pPr>
      <w:r>
        <w:rPr>
          <w:rFonts w:hint="default" w:ascii="Times New Roman" w:hAnsi="Times New Roman" w:cs="Times New Roman"/>
          <w:color w:val="000000"/>
          <w:szCs w:val="21"/>
          <w:lang w:bidi="ar"/>
        </w:rPr>
        <w:t>法定代表人或其委托人：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（签字）</w:t>
      </w:r>
    </w:p>
    <w:p w14:paraId="0FEDD0D3">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2722ACE">
      <w:pPr>
        <w:spacing w:line="394" w:lineRule="exact"/>
        <w:ind w:firstLine="5355" w:firstLineChars="2550"/>
        <w:rPr>
          <w:rFonts w:hint="default" w:ascii="Times New Roman" w:hAnsi="Times New Roman" w:cs="Times New Roman"/>
          <w:color w:val="000000"/>
          <w:szCs w:val="21"/>
        </w:rPr>
      </w:pPr>
      <w:r>
        <w:rPr>
          <w:rFonts w:hint="default" w:ascii="Times New Roman" w:hAnsi="Times New Roman" w:cs="Times New Roman"/>
          <w:color w:val="000000"/>
          <w:szCs w:val="21"/>
          <w:lang w:bidi="ar"/>
        </w:rPr>
        <w:t>日期:</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年</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月</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日</w:t>
      </w:r>
    </w:p>
    <w:p w14:paraId="65C0752F">
      <w:pPr>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48575D9">
      <w:pPr>
        <w:spacing w:line="400" w:lineRule="exact"/>
        <w:ind w:left="840" w:hanging="840" w:hangingChars="400"/>
        <w:rPr>
          <w:rFonts w:hint="default" w:ascii="Times New Roman" w:hAnsi="Times New Roman" w:cs="Times New Roman"/>
          <w:color w:val="000000"/>
          <w:szCs w:val="21"/>
        </w:rPr>
      </w:pPr>
      <w:r>
        <w:rPr>
          <w:rFonts w:hint="default" w:ascii="Times New Roman" w:hAnsi="Times New Roman" w:cs="Times New Roman"/>
          <w:color w:val="000000"/>
          <w:szCs w:val="21"/>
          <w:lang w:bidi="ar"/>
        </w:rPr>
        <w:t>备注：1.本分包意向协议书适用于政府采购工程及工程相关货物或服务，可以分开签署。协议书由委托代理人签字的，应附法定代表人签字的授权委托书。</w:t>
      </w:r>
    </w:p>
    <w:p w14:paraId="72B39255">
      <w:pPr>
        <w:spacing w:line="400" w:lineRule="exact"/>
        <w:ind w:left="840" w:leftChars="300" w:hanging="210" w:hangingChars="100"/>
        <w:rPr>
          <w:rFonts w:hint="default" w:ascii="Times New Roman" w:hAnsi="Times New Roman" w:cs="Times New Roman"/>
          <w:color w:val="000000"/>
          <w:szCs w:val="21"/>
        </w:rPr>
      </w:pPr>
      <w:r>
        <w:rPr>
          <w:rFonts w:hint="default" w:ascii="Times New Roman" w:hAnsi="Times New Roman" w:cs="Times New Roman"/>
          <w:color w:val="000000"/>
          <w:szCs w:val="21"/>
          <w:lang w:bidi="ar"/>
        </w:rPr>
        <w:t>2.政府采购工程及工程相关货物或服务投标人未采用向中小（小微）企业分包的形式参加投标的，投标文件中不需分包意向协议书，也无须盖单位章和签字。</w:t>
      </w:r>
    </w:p>
    <w:p w14:paraId="1B36C8E3">
      <w:pPr>
        <w:spacing w:line="400" w:lineRule="exact"/>
        <w:ind w:left="840" w:leftChars="300" w:hanging="210" w:hangingChars="100"/>
        <w:rPr>
          <w:rFonts w:hint="default" w:ascii="Times New Roman" w:hAnsi="Times New Roman" w:cs="Times New Roman"/>
          <w:color w:val="000000"/>
          <w:szCs w:val="21"/>
        </w:rPr>
      </w:pPr>
      <w:r>
        <w:rPr>
          <w:rFonts w:hint="default" w:ascii="Times New Roman" w:hAnsi="Times New Roman" w:cs="Times New Roman"/>
          <w:color w:val="000000"/>
          <w:szCs w:val="21"/>
          <w:lang w:bidi="ar"/>
        </w:rPr>
        <w:t>3.政府采购工程及工程相关货物或服务部分预留专门面向中小企业采购的项目，招标人要求大企业向中小企业分包的形式参加投标，且接受分包的中小企业承担的部分达到一定比例的，分包意向协议书应当按照第二章投标人须知前附表“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43854D11">
      <w:pPr>
        <w:spacing w:line="400" w:lineRule="exact"/>
        <w:ind w:left="840" w:leftChars="300" w:hanging="210" w:hangingChars="100"/>
        <w:rPr>
          <w:rFonts w:hint="default" w:ascii="Times New Roman" w:hAnsi="Times New Roman" w:cs="Times New Roman"/>
          <w:color w:val="000000"/>
          <w:szCs w:val="21"/>
        </w:rPr>
      </w:pPr>
      <w:r>
        <w:rPr>
          <w:rFonts w:hint="default" w:ascii="Times New Roman" w:hAnsi="Times New Roman" w:cs="Times New Roman"/>
          <w:color w:val="000000"/>
          <w:szCs w:val="21"/>
          <w:lang w:bidi="ar"/>
        </w:rPr>
        <w:t>4.政府采购工程及工程相关货物或服务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11C37064">
      <w:pPr>
        <w:spacing w:line="400" w:lineRule="exact"/>
        <w:ind w:left="840" w:leftChars="300" w:hanging="210" w:hangingChars="100"/>
        <w:rPr>
          <w:rFonts w:hint="default" w:ascii="Times New Roman" w:hAnsi="Times New Roman" w:cs="Times New Roman"/>
          <w:color w:val="000000"/>
          <w:szCs w:val="21"/>
        </w:rPr>
      </w:pPr>
      <w:r>
        <w:rPr>
          <w:rFonts w:hint="default" w:ascii="Times New Roman" w:hAnsi="Times New Roman" w:cs="Times New Roman"/>
          <w:color w:val="000000"/>
          <w:szCs w:val="21"/>
          <w:lang w:bidi="ar"/>
        </w:rPr>
        <w:t>5.分包意向协议书后附接受分包的中小（小微）企业，能够承担分包工作所需的有效的营业执照、企业资质证书（如需）、安全生产许可证（如需）、项目负责人资格证件的扫描件。</w:t>
      </w:r>
    </w:p>
    <w:p w14:paraId="5D0E01A1">
      <w:pPr>
        <w:spacing w:line="400" w:lineRule="exact"/>
        <w:ind w:left="840" w:leftChars="300" w:hanging="210" w:hangingChars="100"/>
        <w:rPr>
          <w:rFonts w:hint="default" w:ascii="Times New Roman" w:hAnsi="Times New Roman" w:cs="Times New Roman"/>
          <w:color w:val="000000"/>
          <w:szCs w:val="21"/>
          <w:lang w:bidi="ar"/>
        </w:rPr>
      </w:pPr>
      <w:r>
        <w:rPr>
          <w:rFonts w:hint="default" w:ascii="Times New Roman" w:hAnsi="Times New Roman" w:cs="Times New Roman"/>
          <w:color w:val="000000"/>
          <w:szCs w:val="21"/>
          <w:lang w:bidi="ar"/>
        </w:rPr>
        <w:t>6.因“电子交易平台”未要求所有分包单位办理CA数字证书，分包意向协议书可由甲乙双方盖章后扫描上传。</w:t>
      </w:r>
    </w:p>
    <w:p w14:paraId="74836658">
      <w:pPr>
        <w:spacing w:line="240" w:lineRule="auto"/>
        <w:ind w:left="0" w:leftChars="0" w:firstLine="0" w:firstLineChars="0"/>
        <w:rPr>
          <w:rFonts w:hint="default" w:ascii="Times New Roman" w:hAnsi="Times New Roman" w:cs="Times New Roman"/>
          <w:color w:val="000000"/>
          <w:szCs w:val="21"/>
          <w:lang w:bidi="ar"/>
        </w:rPr>
      </w:pPr>
      <w:r>
        <w:rPr>
          <w:rFonts w:hint="default" w:ascii="Times New Roman" w:hAnsi="Times New Roman" w:cs="Times New Roman"/>
          <w:color w:val="000000"/>
          <w:szCs w:val="21"/>
          <w:lang w:bidi="ar"/>
        </w:rPr>
        <w:br w:type="page"/>
      </w:r>
    </w:p>
    <w:p w14:paraId="4106C2CA">
      <w:pPr>
        <w:pStyle w:val="16"/>
        <w:widowControl w:val="0"/>
        <w:spacing w:beforeAutospacing="0" w:after="0" w:line="400" w:lineRule="exact"/>
        <w:contextualSpacing/>
        <w:jc w:val="center"/>
        <w:outlineLvl w:val="1"/>
        <w:rPr>
          <w:rFonts w:hint="default" w:ascii="Times New Roman" w:hAnsi="Times New Roman" w:cs="Times New Roman"/>
          <w:kern w:val="2"/>
          <w:sz w:val="28"/>
          <w:szCs w:val="28"/>
        </w:rPr>
      </w:pPr>
      <w:r>
        <w:rPr>
          <w:rFonts w:hint="default" w:ascii="Times New Roman" w:hAnsi="Times New Roman" w:cs="Times New Roman"/>
          <w:kern w:val="2"/>
          <w:sz w:val="28"/>
          <w:szCs w:val="28"/>
          <w:lang w:val="en-US" w:eastAsia="zh-CN" w:bidi="ar"/>
        </w:rPr>
        <w:t>F.</w:t>
      </w:r>
      <w:r>
        <w:rPr>
          <w:rFonts w:hint="default" w:ascii="Times New Roman" w:hAnsi="Times New Roman" w:cs="Times New Roman"/>
          <w:kern w:val="2"/>
          <w:sz w:val="28"/>
          <w:szCs w:val="28"/>
          <w:lang w:bidi="ar"/>
        </w:rPr>
        <w:t>中小企业声明函</w:t>
      </w:r>
      <w:r>
        <w:rPr>
          <w:rFonts w:hint="default" w:ascii="Times New Roman" w:hAnsi="Times New Roman" w:cs="Times New Roman"/>
          <w:kern w:val="2"/>
          <w:sz w:val="21"/>
          <w:szCs w:val="21"/>
          <w:lang w:bidi="ar"/>
        </w:rPr>
        <w:t>（如有）</w:t>
      </w:r>
    </w:p>
    <w:p w14:paraId="32FEC371">
      <w:pPr>
        <w:spacing w:line="44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bidi="ar"/>
        </w:rPr>
        <w:t xml:space="preserve"> </w:t>
      </w:r>
    </w:p>
    <w:p w14:paraId="0286D9B5">
      <w:pPr>
        <w:spacing w:line="394" w:lineRule="exact"/>
        <w:rPr>
          <w:rFonts w:hint="default" w:ascii="Times New Roman" w:hAnsi="Times New Roman" w:cs="Times New Roman"/>
          <w:color w:val="000000"/>
          <w:szCs w:val="21"/>
        </w:rPr>
      </w:pP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（招标人名称）：</w:t>
      </w:r>
    </w:p>
    <w:p w14:paraId="7C978107">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本公司（联合体）郑重声明，根据《政府采购促进中小企业发展管理办法》（财库﹝2020﹞46 号）的规定，本公司（联合体）参加</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（招标人名称）的</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（项目名称）</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（标段名称）（以下简称本工程）施工（采购）招标投标活动，本工程招标范围内的</w:t>
      </w:r>
      <w:r>
        <w:rPr>
          <w:rFonts w:hint="default" w:ascii="Times New Roman" w:hAnsi="Times New Roman" w:cs="Times New Roman"/>
          <w:color w:val="000000"/>
          <w:szCs w:val="21"/>
          <w:u w:val="single"/>
          <w:lang w:bidi="ar"/>
        </w:rPr>
        <w:t xml:space="preserve">    全部／部分   </w:t>
      </w:r>
      <w:r>
        <w:rPr>
          <w:rFonts w:hint="default" w:ascii="Times New Roman" w:hAnsi="Times New Roman" w:cs="Times New Roman"/>
          <w:color w:val="000000"/>
          <w:szCs w:val="21"/>
          <w:lang w:bidi="ar"/>
        </w:rPr>
        <w:t>内容为符合政策要求的中小企业承建（承接）。相关企业（含联合体中的中小企业、签订分包意向协议的中小企业）的具体情况如下：</w:t>
      </w:r>
    </w:p>
    <w:p w14:paraId="1AB67718">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1.</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（工作内容名称） ，属于</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（招标文件中明确的所属行业）；承建（承接）企业为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（企业名称） ，从业人员</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 xml:space="preserve"> 人，营业收入为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万元，资产总额为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万元，属于</w:t>
      </w:r>
      <w:r>
        <w:rPr>
          <w:rFonts w:hint="default" w:ascii="Times New Roman" w:hAnsi="Times New Roman" w:cs="Times New Roman"/>
          <w:color w:val="000000"/>
          <w:szCs w:val="21"/>
          <w:u w:val="single"/>
          <w:lang w:bidi="ar"/>
        </w:rPr>
        <w:t xml:space="preserve">   中型企业／小型企业／微型企业 </w:t>
      </w:r>
      <w:r>
        <w:rPr>
          <w:rFonts w:hint="default" w:ascii="Times New Roman" w:hAnsi="Times New Roman" w:cs="Times New Roman"/>
          <w:color w:val="000000"/>
          <w:szCs w:val="21"/>
          <w:lang w:bidi="ar"/>
        </w:rPr>
        <w:t>；</w:t>
      </w:r>
    </w:p>
    <w:p w14:paraId="63AC84F9">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2.</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（工作内容名称） ，属于</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（招标文件中明确的所属行业）；承建（承接）企业为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（企业名称） ，从业人员</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 xml:space="preserve"> 人，营业收入为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万元，资产总额为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万元，属于</w:t>
      </w:r>
      <w:r>
        <w:rPr>
          <w:rFonts w:hint="default" w:ascii="Times New Roman" w:hAnsi="Times New Roman" w:cs="Times New Roman"/>
          <w:color w:val="000000"/>
          <w:szCs w:val="21"/>
          <w:u w:val="single"/>
          <w:lang w:bidi="ar"/>
        </w:rPr>
        <w:t xml:space="preserve">   中型企业／小型企业／微型企业 </w:t>
      </w:r>
      <w:r>
        <w:rPr>
          <w:rFonts w:hint="default" w:ascii="Times New Roman" w:hAnsi="Times New Roman" w:cs="Times New Roman"/>
          <w:color w:val="000000"/>
          <w:szCs w:val="21"/>
          <w:lang w:bidi="ar"/>
        </w:rPr>
        <w:t>；</w:t>
      </w:r>
    </w:p>
    <w:p w14:paraId="301E0D5C">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w:t>
      </w:r>
    </w:p>
    <w:p w14:paraId="19D2CB5C">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以上企业，不属于大企业的分支机构，不存在控股股东为大企业的情形，也不存在与大企业的负责人为同一人的情形。</w:t>
      </w:r>
    </w:p>
    <w:p w14:paraId="1842C55F">
      <w:pPr>
        <w:spacing w:line="394" w:lineRule="exact"/>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lang w:bidi="ar"/>
        </w:rPr>
        <w:t>本企业对上述声明内容的真实性负责。如有虚假，将依法承担相应责任。</w:t>
      </w:r>
    </w:p>
    <w:p w14:paraId="3EB548F6">
      <w:pPr>
        <w:spacing w:line="440" w:lineRule="exact"/>
        <w:ind w:firstLine="3570" w:firstLineChars="1700"/>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6EB74C4">
      <w:pPr>
        <w:spacing w:line="440" w:lineRule="exact"/>
        <w:ind w:firstLine="3570" w:firstLineChars="1700"/>
        <w:jc w:val="right"/>
        <w:rPr>
          <w:rFonts w:hint="default" w:ascii="Times New Roman" w:hAnsi="Times New Roman" w:cs="Times New Roman"/>
          <w:color w:val="000000"/>
          <w:szCs w:val="21"/>
        </w:rPr>
      </w:pPr>
      <w:r>
        <w:rPr>
          <w:rFonts w:hint="default" w:ascii="Times New Roman" w:hAnsi="Times New Roman" w:cs="Times New Roman"/>
          <w:color w:val="000000"/>
          <w:szCs w:val="21"/>
          <w:lang w:bidi="ar"/>
        </w:rPr>
        <w:t>投标人：</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（单位盖章）</w:t>
      </w:r>
    </w:p>
    <w:p w14:paraId="03468C11">
      <w:pPr>
        <w:spacing w:line="440" w:lineRule="exact"/>
        <w:ind w:firstLine="3570" w:firstLineChars="1700"/>
        <w:jc w:val="right"/>
        <w:rPr>
          <w:rFonts w:hint="default" w:ascii="Times New Roman" w:hAnsi="Times New Roman" w:cs="Times New Roman"/>
          <w:color w:val="000000"/>
          <w:szCs w:val="21"/>
        </w:rPr>
      </w:pPr>
      <w:r>
        <w:rPr>
          <w:rFonts w:hint="default" w:ascii="Times New Roman" w:hAnsi="Times New Roman" w:cs="Times New Roman"/>
          <w:color w:val="000000"/>
          <w:szCs w:val="21"/>
          <w:lang w:bidi="ar"/>
        </w:rPr>
        <w:t>日 期：</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年</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月</w:t>
      </w:r>
      <w:r>
        <w:rPr>
          <w:rFonts w:hint="default" w:ascii="Times New Roman" w:hAnsi="Times New Roman" w:cs="Times New Roman"/>
          <w:color w:val="000000"/>
          <w:szCs w:val="21"/>
          <w:u w:val="single"/>
          <w:lang w:bidi="ar"/>
        </w:rPr>
        <w:t xml:space="preserve">     </w:t>
      </w:r>
      <w:r>
        <w:rPr>
          <w:rFonts w:hint="default" w:ascii="Times New Roman" w:hAnsi="Times New Roman" w:cs="Times New Roman"/>
          <w:color w:val="000000"/>
          <w:szCs w:val="21"/>
          <w:lang w:bidi="ar"/>
        </w:rPr>
        <w:t>日</w:t>
      </w:r>
    </w:p>
    <w:p w14:paraId="0AAAB0A0">
      <w:pPr>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A9D00A2">
      <w:pPr>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4BB47FB3">
      <w:pPr>
        <w:spacing w:line="400" w:lineRule="atLeast"/>
        <w:ind w:left="840" w:hanging="840" w:hangingChars="400"/>
        <w:rPr>
          <w:rFonts w:hint="default" w:ascii="Times New Roman" w:hAnsi="Times New Roman" w:cs="Times New Roman"/>
          <w:color w:val="000000"/>
          <w:szCs w:val="21"/>
        </w:rPr>
      </w:pPr>
      <w:r>
        <w:rPr>
          <w:rFonts w:hint="default" w:ascii="Times New Roman" w:hAnsi="Times New Roman" w:cs="Times New Roman"/>
          <w:color w:val="000000"/>
          <w:szCs w:val="21"/>
          <w:lang w:bidi="ar"/>
        </w:rPr>
        <w:t>备注：1.政府采购工程的投标人应当如实提供中小企业声明函，中小微企业划型按照《中小企业划型标准规定》（工信部联企业〔2011〕300号）执行。非政府采购工程或非中小微企业，本声明函内容中横线部分、企业名称和日期无需填写，无需盖章，亦可不提供本声明函。未提供本声明函或声明函未填写内容的，视为非中小微企业。</w:t>
      </w:r>
    </w:p>
    <w:p w14:paraId="51489FB2">
      <w:pPr>
        <w:spacing w:line="400" w:lineRule="atLeast"/>
        <w:ind w:left="840" w:hanging="840" w:hangingChars="400"/>
        <w:rPr>
          <w:rFonts w:hint="default" w:ascii="Times New Roman" w:hAnsi="Times New Roman" w:cs="Times New Roman"/>
          <w:color w:val="000000"/>
          <w:szCs w:val="21"/>
          <w:lang w:bidi="ar"/>
        </w:rPr>
      </w:pPr>
      <w:r>
        <w:rPr>
          <w:rFonts w:hint="default" w:ascii="Times New Roman" w:hAnsi="Times New Roman" w:cs="Times New Roman"/>
          <w:color w:val="000000"/>
          <w:szCs w:val="21"/>
          <w:lang w:bidi="ar"/>
        </w:rPr>
        <w:t xml:space="preserve">   2.从业人员、营业收入、资产总额填报上一年度数据，无上一年度数据的新成立企业可不填报。投标截止日如在6月30日以前，则上一年度数据是指上上个年度的数据，例如投标截止日为2014年6月30日，上一年度数据是指2012年度的数据。如投标截止日如在6月30日以后，则上一年度数据是指上个年度数据，例如投标截止日为2014年7月1日，上一年度数据是2013年度的数据。</w:t>
      </w:r>
    </w:p>
    <w:p w14:paraId="0B89957F">
      <w:pPr>
        <w:spacing w:line="240" w:lineRule="auto"/>
        <w:ind w:left="0" w:firstLine="0" w:firstLineChars="0"/>
        <w:rPr>
          <w:rFonts w:hint="default" w:ascii="Times New Roman" w:hAnsi="Times New Roman" w:cs="Times New Roman"/>
          <w:color w:val="000000"/>
          <w:szCs w:val="21"/>
          <w:lang w:bidi="ar"/>
        </w:rPr>
      </w:pPr>
      <w:r>
        <w:rPr>
          <w:rFonts w:hint="default" w:ascii="Times New Roman" w:hAnsi="Times New Roman" w:cs="Times New Roman"/>
          <w:color w:val="000000"/>
          <w:szCs w:val="21"/>
          <w:lang w:bidi="ar"/>
        </w:rPr>
        <w:br w:type="page"/>
      </w:r>
    </w:p>
    <w:p w14:paraId="5AF855A4">
      <w:pPr>
        <w:spacing w:line="240" w:lineRule="auto"/>
        <w:ind w:left="0" w:firstLine="0" w:firstLineChars="0"/>
        <w:rPr>
          <w:rFonts w:hint="default" w:ascii="Times New Roman" w:hAnsi="Times New Roman" w:cs="Times New Roman"/>
          <w:color w:val="000000"/>
          <w:szCs w:val="21"/>
          <w:lang w:bidi="ar"/>
        </w:rPr>
      </w:pPr>
    </w:p>
    <w:p w14:paraId="0ACC0F6D">
      <w:pPr>
        <w:pStyle w:val="60"/>
        <w:spacing w:before="120" w:beforeLines="50" w:after="120" w:afterLines="50" w:line="400" w:lineRule="atLeast"/>
        <w:jc w:val="center"/>
        <w:outlineLvl w:val="1"/>
        <w:rPr>
          <w:rFonts w:hint="default" w:ascii="Times New Roman" w:hAnsi="Times New Roman" w:cs="Times New Roman"/>
        </w:rPr>
      </w:pPr>
      <w:r>
        <w:rPr>
          <w:rFonts w:hint="default" w:ascii="Times New Roman" w:hAnsi="Times New Roman" w:eastAsia="黑体" w:cs="Times New Roman"/>
          <w:sz w:val="32"/>
        </w:rPr>
        <w:t>（九）财务会计报表</w:t>
      </w:r>
    </w:p>
    <w:p w14:paraId="26BF68DB">
      <w:pPr>
        <w:pStyle w:val="61"/>
        <w:spacing w:line="400" w:lineRule="atLeast"/>
        <w:jc w:val="center"/>
        <w:rPr>
          <w:rFonts w:hint="default" w:ascii="Times New Roman" w:hAnsi="Times New Roman" w:eastAsia="宋体" w:cs="Times New Roman"/>
          <w:b/>
          <w:bCs/>
        </w:rPr>
      </w:pPr>
      <w:r>
        <w:rPr>
          <w:rFonts w:hint="default" w:ascii="Times New Roman" w:hAnsi="Times New Roman" w:eastAsia="宋体" w:cs="Times New Roman"/>
          <w:b/>
          <w:bCs/>
        </w:rPr>
        <w:t>财务会计报表信息无须上传。</w:t>
      </w:r>
    </w:p>
    <w:p w14:paraId="4F009A84">
      <w:pPr>
        <w:rPr>
          <w:rFonts w:hint="default" w:ascii="Times New Roman" w:hAnsi="Times New Roman" w:eastAsia="宋体" w:cs="Times New Roman"/>
        </w:rPr>
      </w:pPr>
      <w:r>
        <w:rPr>
          <w:rFonts w:hint="default" w:ascii="Times New Roman" w:hAnsi="Times New Roman" w:cs="Times New Roman"/>
          <w:color w:val="000000"/>
          <w:szCs w:val="21"/>
          <w:lang w:bidi="ar"/>
        </w:rPr>
        <w:br w:type="page"/>
      </w:r>
    </w:p>
    <w:p w14:paraId="4621300F">
      <w:pPr>
        <w:pStyle w:val="62"/>
        <w:spacing w:line="400" w:lineRule="atLeast"/>
        <w:jc w:val="center"/>
        <w:outlineLvl w:val="1"/>
        <w:rPr>
          <w:rFonts w:hint="default" w:ascii="Times New Roman" w:hAnsi="Times New Roman" w:cs="Times New Roman"/>
        </w:rPr>
      </w:pPr>
      <w:r>
        <w:rPr>
          <w:rFonts w:hint="default" w:ascii="Times New Roman" w:hAnsi="Times New Roman" w:eastAsia="黑体" w:cs="Times New Roman"/>
          <w:sz w:val="32"/>
        </w:rPr>
        <w:t>（十）投标所需其他材料</w:t>
      </w:r>
    </w:p>
    <w:p w14:paraId="191789B8">
      <w:pPr>
        <w:pStyle w:val="57"/>
        <w:spacing w:line="400" w:lineRule="atLeast"/>
        <w:ind w:left="420" w:leftChars="200" w:firstLine="1575" w:firstLineChars="750"/>
        <w:rPr>
          <w:rFonts w:hint="default" w:ascii="Times New Roman" w:hAnsi="Times New Roman" w:eastAsia="宋体" w:cs="Times New Roman"/>
          <w:szCs w:val="21"/>
        </w:rPr>
      </w:pPr>
    </w:p>
    <w:p w14:paraId="2E437D47">
      <w:pPr>
        <w:pStyle w:val="57"/>
        <w:spacing w:line="400" w:lineRule="atLeast"/>
        <w:ind w:left="420" w:leftChars="200" w:firstLine="1575" w:firstLineChars="750"/>
        <w:rPr>
          <w:rFonts w:hint="default" w:ascii="Times New Roman" w:hAnsi="Times New Roman" w:eastAsia="黑体" w:cs="Times New Roman"/>
          <w:szCs w:val="21"/>
        </w:rPr>
      </w:pPr>
    </w:p>
    <w:p w14:paraId="1BF207A9">
      <w:pPr>
        <w:pStyle w:val="57"/>
        <w:spacing w:line="400" w:lineRule="atLeast"/>
        <w:rPr>
          <w:rFonts w:hint="default" w:ascii="Times New Roman" w:hAnsi="Times New Roman" w:eastAsia="宋体" w:cs="Times New Roman"/>
          <w:szCs w:val="21"/>
        </w:rPr>
      </w:pPr>
    </w:p>
    <w:p w14:paraId="107E9F87">
      <w:pPr>
        <w:pStyle w:val="57"/>
        <w:spacing w:line="400" w:lineRule="atLeast"/>
        <w:rPr>
          <w:rFonts w:hint="default" w:ascii="Times New Roman" w:hAnsi="Times New Roman" w:eastAsia="宋体" w:cs="Times New Roman"/>
        </w:rPr>
      </w:pPr>
      <w:r>
        <w:rPr>
          <w:rFonts w:hint="default" w:ascii="Times New Roman" w:hAnsi="Times New Roman" w:eastAsia="宋体" w:cs="Times New Roman"/>
        </w:rPr>
        <w:t>传到其他材料的内容将会在评标结果公示时作为公示附件公示在外网，请谨慎上传。</w:t>
      </w:r>
    </w:p>
    <w:p w14:paraId="7BE28C28">
      <w:pPr>
        <w:pStyle w:val="4"/>
        <w:rPr>
          <w:rFonts w:hint="default" w:ascii="Times New Roman" w:hAnsi="Times New Roman" w:eastAsia="宋体" w:cs="Times New Roman"/>
        </w:rPr>
      </w:pPr>
      <w:r>
        <w:rPr>
          <w:rFonts w:hint="default" w:ascii="Times New Roman" w:hAnsi="Times New Roman" w:eastAsia="宋体" w:cs="Times New Roman"/>
        </w:rPr>
        <w:br w:type="page"/>
      </w:r>
    </w:p>
    <w:p w14:paraId="00DD9F66">
      <w:pPr>
        <w:pStyle w:val="42"/>
        <w:widowControl/>
        <w:rPr>
          <w:rFonts w:hint="default" w:ascii="Times New Roman" w:hAnsi="Times New Roman" w:cs="Times New Roman"/>
          <w:color w:val="000000"/>
        </w:rPr>
      </w:pPr>
      <w:r>
        <w:rPr>
          <w:rFonts w:hint="default" w:ascii="Times New Roman" w:hAnsi="Times New Roman" w:cs="Times New Roman"/>
          <w:color w:val="000000"/>
        </w:rPr>
        <w:t>二、投标报价表</w:t>
      </w:r>
    </w:p>
    <w:p w14:paraId="123EF985">
      <w:pPr>
        <w:rPr>
          <w:rFonts w:ascii="Times New Roman" w:hAnsi="Times New Roman" w:eastAsia="宋体"/>
          <w:b/>
        </w:rPr>
      </w:pPr>
      <w:r>
        <w:rPr>
          <w:rFonts w:hint="default" w:ascii="Times New Roman" w:hAnsi="Times New Roman" w:cs="Times New Roman"/>
          <w:color w:val="000000"/>
          <w:szCs w:val="21"/>
          <w:lang w:bidi="ar"/>
        </w:rPr>
        <w:t xml:space="preserve"> </w:t>
      </w:r>
    </w:p>
    <w:tbl>
      <w:tblPr>
        <w:tblStyle w:val="17"/>
        <w:tblW w:w="8838" w:type="dxa"/>
        <w:tblInd w:w="0" w:type="dxa"/>
        <w:tblLayout w:type="fixed"/>
        <w:tblCellMar>
          <w:top w:w="0" w:type="dxa"/>
          <w:left w:w="108" w:type="dxa"/>
          <w:bottom w:w="0" w:type="dxa"/>
          <w:right w:w="108" w:type="dxa"/>
        </w:tblCellMar>
      </w:tblPr>
      <w:tblGrid>
        <w:gridCol w:w="756"/>
        <w:gridCol w:w="1649"/>
        <w:gridCol w:w="3865"/>
        <w:gridCol w:w="2568"/>
      </w:tblGrid>
      <w:tr w14:paraId="44DCBAF3">
        <w:tblPrEx>
          <w:tblCellMar>
            <w:top w:w="0" w:type="dxa"/>
            <w:left w:w="108" w:type="dxa"/>
            <w:bottom w:w="0" w:type="dxa"/>
            <w:right w:w="108" w:type="dxa"/>
          </w:tblCellMar>
        </w:tblPrEx>
        <w:trPr>
          <w:trHeight w:val="434"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14:paraId="1940853E">
            <w:pPr>
              <w:widowControl/>
              <w:jc w:val="center"/>
              <w:rPr>
                <w:rFonts w:ascii="Times New Roman" w:hAnsi="Times New Roman" w:eastAsia="宋体"/>
                <w:b/>
                <w:kern w:val="0"/>
                <w:sz w:val="21"/>
                <w:szCs w:val="21"/>
                <w:lang w:val="en-US" w:eastAsia="zh-CN" w:bidi="ar-SA"/>
              </w:rPr>
            </w:pPr>
            <w:r>
              <w:rPr>
                <w:rFonts w:ascii="Times New Roman" w:hAnsi="Times New Roman" w:eastAsia="宋体"/>
                <w:b/>
                <w:kern w:val="0"/>
                <w:sz w:val="21"/>
                <w:szCs w:val="21"/>
                <w:lang w:val="en-US" w:eastAsia="zh-CN" w:bidi="ar-SA"/>
              </w:rPr>
              <w:t>序号</w:t>
            </w:r>
          </w:p>
        </w:tc>
        <w:tc>
          <w:tcPr>
            <w:tcW w:w="1649" w:type="dxa"/>
            <w:tcBorders>
              <w:top w:val="single" w:color="auto" w:sz="4" w:space="0"/>
              <w:left w:val="single" w:color="auto" w:sz="4" w:space="0"/>
              <w:bottom w:val="single" w:color="auto" w:sz="4" w:space="0"/>
              <w:right w:val="single" w:color="auto" w:sz="4" w:space="0"/>
            </w:tcBorders>
            <w:noWrap w:val="0"/>
            <w:vAlign w:val="center"/>
          </w:tcPr>
          <w:p w14:paraId="342876D6">
            <w:pPr>
              <w:widowControl/>
              <w:jc w:val="center"/>
              <w:rPr>
                <w:rFonts w:ascii="Times New Roman" w:hAnsi="Times New Roman" w:eastAsia="宋体"/>
                <w:b/>
                <w:kern w:val="0"/>
                <w:sz w:val="21"/>
                <w:szCs w:val="21"/>
                <w:lang w:val="en-US" w:eastAsia="zh-CN" w:bidi="ar-SA"/>
              </w:rPr>
            </w:pPr>
            <w:r>
              <w:rPr>
                <w:rFonts w:ascii="Times New Roman" w:hAnsi="Times New Roman" w:eastAsia="宋体"/>
                <w:b/>
                <w:kern w:val="0"/>
                <w:sz w:val="21"/>
                <w:szCs w:val="21"/>
                <w:lang w:val="en-US" w:eastAsia="zh-CN" w:bidi="ar-SA"/>
              </w:rPr>
              <w:t xml:space="preserve">项目名称 </w:t>
            </w:r>
          </w:p>
        </w:tc>
        <w:tc>
          <w:tcPr>
            <w:tcW w:w="3865" w:type="dxa"/>
            <w:tcBorders>
              <w:top w:val="single" w:color="auto" w:sz="4" w:space="0"/>
              <w:left w:val="single" w:color="auto" w:sz="4" w:space="0"/>
              <w:bottom w:val="single" w:color="auto" w:sz="4" w:space="0"/>
              <w:right w:val="single" w:color="auto" w:sz="4" w:space="0"/>
            </w:tcBorders>
            <w:noWrap w:val="0"/>
            <w:vAlign w:val="center"/>
          </w:tcPr>
          <w:p w14:paraId="325E68AF">
            <w:pPr>
              <w:widowControl/>
              <w:jc w:val="center"/>
              <w:rPr>
                <w:rFonts w:ascii="Times New Roman" w:hAnsi="Times New Roman" w:eastAsia="宋体"/>
                <w:b/>
                <w:kern w:val="0"/>
                <w:sz w:val="21"/>
                <w:szCs w:val="21"/>
                <w:lang w:val="en-US" w:eastAsia="zh-CN" w:bidi="ar-SA"/>
              </w:rPr>
            </w:pPr>
            <w:r>
              <w:rPr>
                <w:rFonts w:ascii="Times New Roman" w:hAnsi="Times New Roman" w:eastAsia="宋体"/>
                <w:b/>
                <w:kern w:val="0"/>
                <w:sz w:val="21"/>
                <w:szCs w:val="21"/>
                <w:lang w:val="en-US" w:eastAsia="zh-CN" w:bidi="ar-SA"/>
              </w:rPr>
              <w:t>金额(人民币元)</w:t>
            </w:r>
          </w:p>
        </w:tc>
        <w:tc>
          <w:tcPr>
            <w:tcW w:w="2568" w:type="dxa"/>
            <w:tcBorders>
              <w:top w:val="single" w:color="auto" w:sz="4" w:space="0"/>
              <w:left w:val="single" w:color="auto" w:sz="4" w:space="0"/>
              <w:bottom w:val="single" w:color="auto" w:sz="4" w:space="0"/>
              <w:right w:val="single" w:color="auto" w:sz="4" w:space="0"/>
            </w:tcBorders>
            <w:noWrap w:val="0"/>
            <w:vAlign w:val="center"/>
          </w:tcPr>
          <w:p w14:paraId="52919D50">
            <w:pPr>
              <w:widowControl/>
              <w:jc w:val="center"/>
              <w:rPr>
                <w:rFonts w:ascii="Times New Roman" w:hAnsi="Times New Roman" w:eastAsia="宋体"/>
                <w:b/>
                <w:kern w:val="0"/>
                <w:sz w:val="21"/>
                <w:szCs w:val="21"/>
                <w:lang w:val="en-US" w:eastAsia="zh-CN" w:bidi="ar-SA"/>
              </w:rPr>
            </w:pPr>
            <w:r>
              <w:rPr>
                <w:rFonts w:ascii="Times New Roman" w:hAnsi="Times New Roman" w:eastAsia="宋体"/>
                <w:b/>
                <w:kern w:val="0"/>
                <w:sz w:val="21"/>
                <w:szCs w:val="21"/>
                <w:lang w:val="en-US" w:eastAsia="zh-CN" w:bidi="ar-SA"/>
              </w:rPr>
              <w:t>备注</w:t>
            </w:r>
          </w:p>
        </w:tc>
      </w:tr>
      <w:tr w14:paraId="444811F5">
        <w:tblPrEx>
          <w:tblCellMar>
            <w:top w:w="0" w:type="dxa"/>
            <w:left w:w="108" w:type="dxa"/>
            <w:bottom w:w="0" w:type="dxa"/>
            <w:right w:w="108" w:type="dxa"/>
          </w:tblCellMar>
        </w:tblPrEx>
        <w:trPr>
          <w:trHeight w:val="1881" w:hRule="atLeast"/>
        </w:trPr>
        <w:tc>
          <w:tcPr>
            <w:tcW w:w="756" w:type="dxa"/>
            <w:tcBorders>
              <w:top w:val="single" w:color="auto" w:sz="4" w:space="0"/>
              <w:left w:val="single" w:color="auto" w:sz="4" w:space="0"/>
              <w:right w:val="single" w:color="auto" w:sz="4" w:space="0"/>
            </w:tcBorders>
            <w:noWrap w:val="0"/>
            <w:vAlign w:val="center"/>
          </w:tcPr>
          <w:p w14:paraId="69C0F5A2">
            <w:pPr>
              <w:widowControl/>
              <w:jc w:val="center"/>
              <w:rPr>
                <w:rFonts w:ascii="Times New Roman" w:hAnsi="Times New Roman" w:eastAsia="宋体"/>
                <w:kern w:val="0"/>
                <w:sz w:val="21"/>
                <w:szCs w:val="21"/>
                <w:lang w:val="en-US" w:eastAsia="zh-CN" w:bidi="ar-SA"/>
              </w:rPr>
            </w:pPr>
            <w:r>
              <w:rPr>
                <w:rFonts w:ascii="Times New Roman" w:hAnsi="Times New Roman" w:eastAsia="宋体"/>
                <w:kern w:val="0"/>
                <w:sz w:val="21"/>
                <w:szCs w:val="21"/>
                <w:lang w:val="en-US" w:eastAsia="zh-CN" w:bidi="ar-SA"/>
              </w:rPr>
              <w:t>1</w:t>
            </w:r>
          </w:p>
        </w:tc>
        <w:tc>
          <w:tcPr>
            <w:tcW w:w="1649" w:type="dxa"/>
            <w:tcBorders>
              <w:top w:val="single" w:color="auto" w:sz="4" w:space="0"/>
              <w:left w:val="single" w:color="auto" w:sz="4" w:space="0"/>
              <w:right w:val="single" w:color="auto" w:sz="4" w:space="0"/>
            </w:tcBorders>
            <w:noWrap w:val="0"/>
            <w:vAlign w:val="center"/>
          </w:tcPr>
          <w:p w14:paraId="2619FA86">
            <w:pPr>
              <w:widowControl/>
              <w:jc w:val="center"/>
              <w:rPr>
                <w:rFonts w:ascii="Times New Roman" w:hAnsi="Times New Roman" w:eastAsia="宋体"/>
                <w:kern w:val="0"/>
                <w:sz w:val="21"/>
                <w:szCs w:val="21"/>
                <w:lang w:val="en-US" w:eastAsia="zh-CN" w:bidi="ar-SA"/>
              </w:rPr>
            </w:pPr>
            <w:r>
              <w:rPr>
                <w:rFonts w:ascii="Times New Roman" w:hAnsi="Times New Roman" w:eastAsia="宋体"/>
                <w:kern w:val="2"/>
                <w:sz w:val="21"/>
                <w:szCs w:val="22"/>
                <w:lang w:val="en-US" w:eastAsia="zh-CN" w:bidi="ar-SA"/>
              </w:rPr>
              <w:t>勘察设计费</w:t>
            </w:r>
          </w:p>
        </w:tc>
        <w:tc>
          <w:tcPr>
            <w:tcW w:w="3865" w:type="dxa"/>
            <w:tcBorders>
              <w:top w:val="single" w:color="auto" w:sz="4" w:space="0"/>
              <w:left w:val="single" w:color="auto" w:sz="4" w:space="0"/>
              <w:right w:val="single" w:color="auto" w:sz="4" w:space="0"/>
            </w:tcBorders>
            <w:noWrap w:val="0"/>
            <w:vAlign w:val="center"/>
          </w:tcPr>
          <w:p w14:paraId="6D35E2E7">
            <w:pPr>
              <w:widowControl/>
              <w:jc w:val="center"/>
              <w:rPr>
                <w:rFonts w:ascii="Times New Roman" w:hAnsi="Times New Roman" w:eastAsia="宋体"/>
                <w:kern w:val="0"/>
                <w:sz w:val="21"/>
                <w:szCs w:val="21"/>
                <w:lang w:val="en-US" w:eastAsia="zh-CN" w:bidi="ar-SA"/>
              </w:rPr>
            </w:pPr>
            <w:r>
              <w:rPr>
                <w:rFonts w:ascii="Times New Roman" w:hAnsi="Times New Roman" w:eastAsia="宋体"/>
                <w:kern w:val="0"/>
                <w:sz w:val="21"/>
                <w:szCs w:val="21"/>
                <w:u w:val="single"/>
                <w:lang w:val="en-US" w:eastAsia="zh-CN" w:bidi="ar-SA"/>
              </w:rPr>
              <w:t xml:space="preserve">             </w:t>
            </w:r>
            <w:r>
              <w:rPr>
                <w:rFonts w:ascii="Times New Roman" w:hAnsi="Times New Roman" w:eastAsia="宋体"/>
                <w:kern w:val="0"/>
                <w:sz w:val="21"/>
                <w:szCs w:val="21"/>
                <w:lang w:val="en-US" w:eastAsia="zh-CN" w:bidi="ar-SA"/>
              </w:rPr>
              <w:t>元</w:t>
            </w:r>
          </w:p>
        </w:tc>
        <w:tc>
          <w:tcPr>
            <w:tcW w:w="2568" w:type="dxa"/>
            <w:tcBorders>
              <w:top w:val="single" w:color="auto" w:sz="4" w:space="0"/>
              <w:left w:val="single" w:color="auto" w:sz="4" w:space="0"/>
              <w:bottom w:val="single" w:color="auto" w:sz="4" w:space="0"/>
              <w:right w:val="single" w:color="auto" w:sz="4" w:space="0"/>
            </w:tcBorders>
            <w:noWrap w:val="0"/>
            <w:vAlign w:val="center"/>
          </w:tcPr>
          <w:p w14:paraId="47E9F34B">
            <w:pPr>
              <w:widowControl/>
              <w:jc w:val="both"/>
              <w:rPr>
                <w:rFonts w:ascii="Times New Roman" w:hAnsi="Times New Roman" w:eastAsia="宋体"/>
                <w:kern w:val="0"/>
                <w:sz w:val="21"/>
                <w:szCs w:val="21"/>
                <w:lang w:val="en-US" w:eastAsia="zh-CN" w:bidi="ar-SA"/>
              </w:rPr>
            </w:pPr>
            <w:r>
              <w:rPr>
                <w:rFonts w:ascii="Times New Roman" w:hAnsi="Times New Roman" w:eastAsia="宋体"/>
                <w:kern w:val="0"/>
                <w:sz w:val="21"/>
                <w:szCs w:val="21"/>
                <w:lang w:val="en-US" w:eastAsia="zh-CN" w:bidi="ar-SA"/>
              </w:rPr>
              <w:t>含施工现场指导后续服务、设计审核、文件编制、图纸审查、专家评审、办公及生活设施费、交通费、通讯费、水电费、应缴纳的税费等完成本项目所有服务的全部费用</w:t>
            </w:r>
          </w:p>
        </w:tc>
      </w:tr>
      <w:tr w14:paraId="4A5AE7E3">
        <w:tblPrEx>
          <w:tblCellMar>
            <w:top w:w="0" w:type="dxa"/>
            <w:left w:w="108" w:type="dxa"/>
            <w:bottom w:w="0" w:type="dxa"/>
            <w:right w:w="108" w:type="dxa"/>
          </w:tblCellMar>
        </w:tblPrEx>
        <w:trPr>
          <w:trHeight w:val="4347" w:hRule="atLeast"/>
        </w:trPr>
        <w:tc>
          <w:tcPr>
            <w:tcW w:w="756" w:type="dxa"/>
            <w:tcBorders>
              <w:top w:val="single" w:color="auto" w:sz="4" w:space="0"/>
              <w:left w:val="single" w:color="auto" w:sz="4" w:space="0"/>
              <w:right w:val="single" w:color="auto" w:sz="4" w:space="0"/>
            </w:tcBorders>
            <w:noWrap w:val="0"/>
            <w:vAlign w:val="center"/>
          </w:tcPr>
          <w:p w14:paraId="5E4B3C93">
            <w:pPr>
              <w:widowControl/>
              <w:jc w:val="center"/>
              <w:rPr>
                <w:rFonts w:ascii="Times New Roman" w:hAnsi="Times New Roman" w:eastAsia="宋体"/>
                <w:kern w:val="0"/>
                <w:sz w:val="21"/>
                <w:szCs w:val="21"/>
                <w:lang w:val="en-US" w:eastAsia="zh-CN" w:bidi="ar-SA"/>
              </w:rPr>
            </w:pPr>
            <w:r>
              <w:rPr>
                <w:rFonts w:ascii="Times New Roman" w:hAnsi="Times New Roman" w:eastAsia="宋体"/>
                <w:kern w:val="0"/>
                <w:sz w:val="21"/>
                <w:szCs w:val="21"/>
                <w:lang w:val="en-US" w:eastAsia="zh-CN" w:bidi="ar-SA"/>
              </w:rPr>
              <w:t>2</w:t>
            </w:r>
          </w:p>
        </w:tc>
        <w:tc>
          <w:tcPr>
            <w:tcW w:w="1649" w:type="dxa"/>
            <w:tcBorders>
              <w:top w:val="single" w:color="auto" w:sz="4" w:space="0"/>
              <w:left w:val="single" w:color="auto" w:sz="4" w:space="0"/>
              <w:right w:val="single" w:color="auto" w:sz="4" w:space="0"/>
            </w:tcBorders>
            <w:noWrap w:val="0"/>
            <w:vAlign w:val="center"/>
          </w:tcPr>
          <w:p w14:paraId="7C49BED3">
            <w:pPr>
              <w:widowControl/>
              <w:jc w:val="center"/>
              <w:rPr>
                <w:rFonts w:ascii="Times New Roman" w:hAnsi="Times New Roman" w:eastAsia="宋体"/>
                <w:kern w:val="2"/>
                <w:sz w:val="21"/>
                <w:szCs w:val="22"/>
                <w:highlight w:val="green"/>
                <w:lang w:val="en-US" w:eastAsia="zh-CN" w:bidi="ar-SA"/>
              </w:rPr>
            </w:pPr>
            <w:r>
              <w:rPr>
                <w:rFonts w:hint="eastAsia" w:eastAsia="宋体"/>
                <w:color w:val="0000FF"/>
                <w:highlight w:val="none"/>
                <w:lang w:val="en-US" w:eastAsia="zh-CN"/>
              </w:rPr>
              <w:t>建筑安装工程费</w:t>
            </w:r>
          </w:p>
        </w:tc>
        <w:tc>
          <w:tcPr>
            <w:tcW w:w="3865" w:type="dxa"/>
            <w:tcBorders>
              <w:top w:val="single" w:color="auto" w:sz="4" w:space="0"/>
              <w:left w:val="single" w:color="auto" w:sz="4" w:space="0"/>
              <w:bottom w:val="single" w:color="auto" w:sz="4" w:space="0"/>
              <w:right w:val="single" w:color="auto" w:sz="4" w:space="0"/>
            </w:tcBorders>
            <w:noWrap w:val="0"/>
            <w:vAlign w:val="center"/>
          </w:tcPr>
          <w:p w14:paraId="3E53C9E6">
            <w:pPr>
              <w:rPr>
                <w:rFonts w:eastAsia="宋体"/>
              </w:rPr>
            </w:pPr>
          </w:p>
          <w:p w14:paraId="7B35FA7E">
            <w:pPr>
              <w:rPr>
                <w:rFonts w:eastAsia="宋体"/>
              </w:rPr>
            </w:pPr>
          </w:p>
          <w:p w14:paraId="2C07E251">
            <w:pPr>
              <w:widowControl/>
              <w:jc w:val="center"/>
              <w:rPr>
                <w:rFonts w:ascii="Times New Roman" w:hAnsi="Times New Roman" w:eastAsia="宋体"/>
                <w:kern w:val="0"/>
                <w:sz w:val="21"/>
                <w:szCs w:val="21"/>
                <w:u w:val="single"/>
                <w:lang w:val="en-US" w:eastAsia="zh-CN" w:bidi="ar-SA"/>
              </w:rPr>
            </w:pPr>
            <w:r>
              <w:rPr>
                <w:rFonts w:ascii="Times New Roman" w:hAnsi="Times New Roman" w:eastAsia="宋体"/>
                <w:kern w:val="0"/>
                <w:sz w:val="21"/>
                <w:szCs w:val="21"/>
                <w:u w:val="single"/>
                <w:lang w:val="en-US" w:eastAsia="zh-CN" w:bidi="ar-SA"/>
              </w:rPr>
              <w:t xml:space="preserve">             </w:t>
            </w:r>
            <w:r>
              <w:rPr>
                <w:rFonts w:ascii="Times New Roman" w:hAnsi="Times New Roman" w:eastAsia="宋体"/>
                <w:kern w:val="0"/>
                <w:sz w:val="21"/>
                <w:szCs w:val="21"/>
                <w:lang w:val="en-US" w:eastAsia="zh-CN" w:bidi="ar-SA"/>
              </w:rPr>
              <w:t>元</w:t>
            </w:r>
          </w:p>
        </w:tc>
        <w:tc>
          <w:tcPr>
            <w:tcW w:w="2568" w:type="dxa"/>
            <w:tcBorders>
              <w:top w:val="single" w:color="auto" w:sz="4" w:space="0"/>
              <w:left w:val="single" w:color="auto" w:sz="4" w:space="0"/>
              <w:bottom w:val="single" w:color="auto" w:sz="4" w:space="0"/>
              <w:right w:val="single" w:color="auto" w:sz="4" w:space="0"/>
            </w:tcBorders>
            <w:noWrap w:val="0"/>
            <w:vAlign w:val="center"/>
          </w:tcPr>
          <w:p w14:paraId="72FFE5AF">
            <w:pPr>
              <w:widowControl/>
              <w:jc w:val="both"/>
              <w:rPr>
                <w:rFonts w:ascii="Times New Roman" w:hAnsi="Times New Roman" w:eastAsia="宋体"/>
                <w:kern w:val="0"/>
                <w:sz w:val="21"/>
                <w:szCs w:val="21"/>
                <w:highlight w:val="green"/>
                <w:u w:val="single"/>
                <w:lang w:val="en-US" w:eastAsia="zh-CN" w:bidi="ar-SA"/>
              </w:rPr>
            </w:pPr>
            <w:r>
              <w:rPr>
                <w:rFonts w:hint="eastAsia" w:ascii="Times New Roman" w:hAnsi="Times New Roman" w:eastAsia="宋体"/>
                <w:kern w:val="0"/>
                <w:szCs w:val="21"/>
                <w:highlight w:val="none"/>
              </w:rPr>
              <w:t>采用可变总价，即工程最终竣工结算价=建筑安装工程费预算审核价+变更价款。因承包人原因，竣工结算价超过合同价的按合同价结算，低于合同价则按竣工结算价结算。</w:t>
            </w:r>
          </w:p>
        </w:tc>
      </w:tr>
      <w:tr w14:paraId="6EE01B7D">
        <w:tblPrEx>
          <w:tblCellMar>
            <w:top w:w="0" w:type="dxa"/>
            <w:left w:w="108" w:type="dxa"/>
            <w:bottom w:w="0" w:type="dxa"/>
            <w:right w:w="108" w:type="dxa"/>
          </w:tblCellMar>
        </w:tblPrEx>
        <w:trPr>
          <w:trHeight w:val="2857" w:hRule="atLeast"/>
        </w:trPr>
        <w:tc>
          <w:tcPr>
            <w:tcW w:w="756" w:type="dxa"/>
            <w:tcBorders>
              <w:top w:val="single" w:color="auto" w:sz="4" w:space="0"/>
              <w:left w:val="single" w:color="auto" w:sz="4" w:space="0"/>
              <w:right w:val="single" w:color="auto" w:sz="4" w:space="0"/>
            </w:tcBorders>
            <w:noWrap w:val="0"/>
            <w:vAlign w:val="center"/>
          </w:tcPr>
          <w:p w14:paraId="1DAC08FB">
            <w:pPr>
              <w:widowControl/>
              <w:jc w:val="center"/>
              <w:rPr>
                <w:rFonts w:hint="default" w:ascii="Times New Roman" w:hAnsi="Times New Roman" w:eastAsia="宋体"/>
                <w:kern w:val="0"/>
                <w:sz w:val="21"/>
                <w:szCs w:val="21"/>
                <w:lang w:val="en-US" w:eastAsia="zh-CN" w:bidi="ar-SA"/>
              </w:rPr>
            </w:pPr>
            <w:r>
              <w:rPr>
                <w:rFonts w:hint="eastAsia" w:ascii="Times New Roman" w:hAnsi="Times New Roman"/>
                <w:kern w:val="0"/>
                <w:sz w:val="21"/>
                <w:szCs w:val="21"/>
                <w:lang w:val="en-US" w:eastAsia="zh-CN" w:bidi="ar-SA"/>
              </w:rPr>
              <w:t>3</w:t>
            </w:r>
          </w:p>
        </w:tc>
        <w:tc>
          <w:tcPr>
            <w:tcW w:w="1649" w:type="dxa"/>
            <w:tcBorders>
              <w:top w:val="single" w:color="auto" w:sz="4" w:space="0"/>
              <w:left w:val="single" w:color="auto" w:sz="4" w:space="0"/>
              <w:right w:val="single" w:color="auto" w:sz="4" w:space="0"/>
            </w:tcBorders>
            <w:noWrap w:val="0"/>
            <w:vAlign w:val="center"/>
          </w:tcPr>
          <w:p w14:paraId="37BD5A92">
            <w:pPr>
              <w:widowControl/>
              <w:jc w:val="center"/>
              <w:rPr>
                <w:rFonts w:hint="default" w:eastAsia="宋体"/>
                <w:color w:val="0000FF"/>
                <w:highlight w:val="none"/>
                <w:lang w:val="en-US" w:eastAsia="zh-CN"/>
              </w:rPr>
            </w:pPr>
            <w:r>
              <w:rPr>
                <w:rFonts w:hint="eastAsia"/>
                <w:color w:val="0000FF"/>
                <w:highlight w:val="none"/>
                <w:lang w:val="en-US" w:eastAsia="zh-CN"/>
              </w:rPr>
              <w:t>预备费</w:t>
            </w:r>
          </w:p>
        </w:tc>
        <w:tc>
          <w:tcPr>
            <w:tcW w:w="3865" w:type="dxa"/>
            <w:tcBorders>
              <w:top w:val="single" w:color="auto" w:sz="4" w:space="0"/>
              <w:left w:val="single" w:color="auto" w:sz="4" w:space="0"/>
              <w:bottom w:val="single" w:color="auto" w:sz="4" w:space="0"/>
              <w:right w:val="single" w:color="auto" w:sz="4" w:space="0"/>
            </w:tcBorders>
            <w:noWrap w:val="0"/>
            <w:vAlign w:val="center"/>
          </w:tcPr>
          <w:p w14:paraId="12E59241">
            <w:pPr>
              <w:rPr>
                <w:rFonts w:eastAsia="宋体"/>
              </w:rPr>
            </w:pPr>
          </w:p>
          <w:p w14:paraId="1C67D3A3">
            <w:pPr>
              <w:widowControl/>
              <w:jc w:val="center"/>
              <w:rPr>
                <w:rFonts w:ascii="Times New Roman" w:hAnsi="Times New Roman" w:eastAsia="宋体"/>
                <w:kern w:val="0"/>
                <w:sz w:val="21"/>
                <w:szCs w:val="21"/>
                <w:u w:val="single"/>
                <w:lang w:val="en-US" w:eastAsia="zh-CN" w:bidi="ar-SA"/>
              </w:rPr>
            </w:pPr>
            <w:r>
              <w:rPr>
                <w:rFonts w:ascii="Times New Roman" w:hAnsi="Times New Roman" w:eastAsia="宋体"/>
                <w:kern w:val="0"/>
                <w:sz w:val="21"/>
                <w:szCs w:val="21"/>
                <w:u w:val="single"/>
                <w:lang w:val="en-US" w:eastAsia="zh-CN" w:bidi="ar-SA"/>
              </w:rPr>
              <w:t xml:space="preserve">             </w:t>
            </w:r>
            <w:r>
              <w:rPr>
                <w:rFonts w:ascii="Times New Roman" w:hAnsi="Times New Roman" w:eastAsia="宋体"/>
                <w:kern w:val="0"/>
                <w:sz w:val="21"/>
                <w:szCs w:val="21"/>
                <w:lang w:val="en-US" w:eastAsia="zh-CN" w:bidi="ar-SA"/>
              </w:rPr>
              <w:t>元</w:t>
            </w:r>
          </w:p>
        </w:tc>
        <w:tc>
          <w:tcPr>
            <w:tcW w:w="2568" w:type="dxa"/>
            <w:tcBorders>
              <w:top w:val="single" w:color="auto" w:sz="4" w:space="0"/>
              <w:left w:val="single" w:color="auto" w:sz="4" w:space="0"/>
              <w:bottom w:val="single" w:color="auto" w:sz="4" w:space="0"/>
              <w:right w:val="single" w:color="auto" w:sz="4" w:space="0"/>
            </w:tcBorders>
            <w:noWrap w:val="0"/>
            <w:vAlign w:val="center"/>
          </w:tcPr>
          <w:p w14:paraId="291022C8">
            <w:pPr>
              <w:widowControl/>
              <w:jc w:val="both"/>
              <w:rPr>
                <w:rFonts w:hint="eastAsia" w:ascii="Times New Roman" w:hAnsi="Times New Roman" w:eastAsia="宋体"/>
                <w:kern w:val="0"/>
                <w:szCs w:val="21"/>
                <w:highlight w:val="none"/>
              </w:rPr>
            </w:pPr>
            <w:r>
              <w:rPr>
                <w:rFonts w:hint="eastAsia" w:ascii="Times New Roman" w:hAnsi="Times New Roman"/>
                <w:kern w:val="0"/>
                <w:szCs w:val="21"/>
                <w:highlight w:val="none"/>
              </w:rPr>
              <w:t>（非竞争性费用，按招标人给定金额报价）直接报价</w:t>
            </w:r>
          </w:p>
        </w:tc>
      </w:tr>
      <w:tr w14:paraId="2DFE1511">
        <w:tblPrEx>
          <w:tblCellMar>
            <w:top w:w="0" w:type="dxa"/>
            <w:left w:w="108" w:type="dxa"/>
            <w:bottom w:w="0" w:type="dxa"/>
            <w:right w:w="108" w:type="dxa"/>
          </w:tblCellMar>
        </w:tblPrEx>
        <w:trPr>
          <w:trHeight w:val="842" w:hRule="atLeast"/>
        </w:trPr>
        <w:tc>
          <w:tcPr>
            <w:tcW w:w="2405" w:type="dxa"/>
            <w:gridSpan w:val="2"/>
            <w:tcBorders>
              <w:top w:val="single" w:color="auto" w:sz="4" w:space="0"/>
              <w:left w:val="single" w:color="auto" w:sz="4" w:space="0"/>
              <w:bottom w:val="single" w:color="auto" w:sz="4" w:space="0"/>
              <w:right w:val="single" w:color="auto" w:sz="4" w:space="0"/>
            </w:tcBorders>
            <w:noWrap w:val="0"/>
            <w:vAlign w:val="center"/>
          </w:tcPr>
          <w:p w14:paraId="2F71FAD9">
            <w:pPr>
              <w:widowControl/>
              <w:jc w:val="center"/>
              <w:rPr>
                <w:rFonts w:hint="default" w:ascii="Times New Roman" w:hAnsi="Times New Roman" w:eastAsia="宋体"/>
                <w:kern w:val="0"/>
                <w:sz w:val="21"/>
                <w:szCs w:val="21"/>
                <w:lang w:val="en-US" w:eastAsia="zh-CN" w:bidi="ar-SA"/>
              </w:rPr>
            </w:pPr>
            <w:r>
              <w:rPr>
                <w:rFonts w:ascii="Times New Roman" w:hAnsi="Times New Roman" w:eastAsia="宋体"/>
                <w:kern w:val="0"/>
                <w:sz w:val="21"/>
                <w:szCs w:val="21"/>
                <w:lang w:val="en-US" w:eastAsia="zh-CN" w:bidi="ar-SA"/>
              </w:rPr>
              <w:t>投标总报价=1+2</w:t>
            </w:r>
          </w:p>
        </w:tc>
        <w:tc>
          <w:tcPr>
            <w:tcW w:w="6433" w:type="dxa"/>
            <w:gridSpan w:val="2"/>
            <w:tcBorders>
              <w:top w:val="single" w:color="auto" w:sz="4" w:space="0"/>
              <w:left w:val="single" w:color="auto" w:sz="4" w:space="0"/>
              <w:bottom w:val="single" w:color="auto" w:sz="4" w:space="0"/>
              <w:right w:val="single" w:color="auto" w:sz="4" w:space="0"/>
            </w:tcBorders>
            <w:noWrap w:val="0"/>
            <w:vAlign w:val="center"/>
          </w:tcPr>
          <w:p w14:paraId="68F79119">
            <w:pPr>
              <w:widowControl/>
              <w:jc w:val="center"/>
              <w:rPr>
                <w:rFonts w:ascii="Times New Roman" w:hAnsi="Times New Roman" w:eastAsia="宋体"/>
                <w:kern w:val="2"/>
                <w:sz w:val="21"/>
                <w:szCs w:val="21"/>
                <w:lang w:val="en-US" w:eastAsia="zh-CN" w:bidi="ar-SA"/>
              </w:rPr>
            </w:pPr>
            <w:r>
              <w:rPr>
                <w:rFonts w:ascii="Times New Roman" w:hAnsi="Times New Roman" w:eastAsia="宋体"/>
                <w:kern w:val="0"/>
                <w:sz w:val="21"/>
                <w:szCs w:val="21"/>
                <w:u w:val="single"/>
                <w:lang w:val="en-US" w:eastAsia="zh-CN" w:bidi="ar-SA"/>
              </w:rPr>
              <w:t xml:space="preserve">            元</w:t>
            </w:r>
          </w:p>
        </w:tc>
      </w:tr>
    </w:tbl>
    <w:p w14:paraId="71BEEE88">
      <w:pPr>
        <w:rPr>
          <w:rFonts w:ascii="Times New Roman" w:hAnsi="Times New Roman" w:eastAsia="宋体"/>
          <w:szCs w:val="24"/>
        </w:rPr>
      </w:pPr>
    </w:p>
    <w:p w14:paraId="17CF1327">
      <w:pPr>
        <w:spacing w:line="400" w:lineRule="exact"/>
        <w:ind w:firstLine="3307" w:firstLineChars="1575"/>
        <w:rPr>
          <w:rFonts w:ascii="Times New Roman" w:hAnsi="Times New Roman" w:eastAsia="宋体"/>
          <w:b/>
          <w:bCs/>
          <w:szCs w:val="24"/>
          <w:u w:val="single"/>
        </w:rPr>
      </w:pPr>
      <w:r>
        <w:rPr>
          <w:rFonts w:ascii="Times New Roman" w:hAnsi="Times New Roman" w:eastAsia="宋体"/>
          <w:szCs w:val="24"/>
        </w:rPr>
        <w:t xml:space="preserve"> </w:t>
      </w:r>
      <w:r>
        <w:rPr>
          <w:rFonts w:ascii="Times New Roman" w:hAnsi="Times New Roman" w:eastAsia="宋体"/>
          <w:b/>
          <w:bCs/>
          <w:szCs w:val="24"/>
        </w:rPr>
        <w:t>投标人：</w:t>
      </w:r>
      <w:r>
        <w:rPr>
          <w:rFonts w:ascii="Times New Roman" w:hAnsi="Times New Roman" w:eastAsia="宋体"/>
          <w:b/>
          <w:bCs/>
          <w:szCs w:val="24"/>
          <w:u w:val="single"/>
        </w:rPr>
        <w:t xml:space="preserve">    (全称)  (盖章)   </w:t>
      </w:r>
    </w:p>
    <w:p w14:paraId="62FC74BA">
      <w:pPr>
        <w:spacing w:line="400" w:lineRule="exact"/>
        <w:ind w:firstLine="3320" w:firstLineChars="1575"/>
        <w:rPr>
          <w:rFonts w:ascii="Times New Roman" w:hAnsi="Times New Roman" w:eastAsia="宋体"/>
          <w:b/>
          <w:bCs/>
          <w:szCs w:val="24"/>
          <w:u w:val="single"/>
        </w:rPr>
      </w:pPr>
      <w:r>
        <w:rPr>
          <w:rFonts w:ascii="Times New Roman" w:hAnsi="Times New Roman" w:eastAsia="宋体"/>
          <w:b/>
          <w:bCs/>
          <w:szCs w:val="24"/>
        </w:rPr>
        <w:t>法定代表人</w:t>
      </w:r>
    </w:p>
    <w:p w14:paraId="63E42ECD">
      <w:pPr>
        <w:spacing w:line="400" w:lineRule="exact"/>
        <w:ind w:firstLine="3320" w:firstLineChars="1575"/>
        <w:rPr>
          <w:rFonts w:ascii="Times New Roman" w:hAnsi="Times New Roman" w:eastAsia="宋体"/>
          <w:b/>
          <w:bCs/>
          <w:szCs w:val="24"/>
          <w:u w:val="single"/>
        </w:rPr>
      </w:pPr>
      <w:r>
        <w:rPr>
          <w:rFonts w:ascii="Times New Roman" w:hAnsi="Times New Roman" w:eastAsia="宋体"/>
          <w:b/>
          <w:bCs/>
          <w:szCs w:val="24"/>
        </w:rPr>
        <w:t>或其授权的代理人：</w:t>
      </w:r>
      <w:r>
        <w:rPr>
          <w:rFonts w:ascii="Times New Roman" w:hAnsi="Times New Roman" w:eastAsia="宋体"/>
          <w:b/>
          <w:bCs/>
          <w:szCs w:val="24"/>
          <w:u w:val="single"/>
        </w:rPr>
        <w:t xml:space="preserve">  (签字)  </w:t>
      </w:r>
    </w:p>
    <w:p w14:paraId="0AB9AF2F">
      <w:pPr>
        <w:spacing w:line="400" w:lineRule="exact"/>
        <w:ind w:firstLine="3320" w:firstLineChars="1575"/>
        <w:rPr>
          <w:rFonts w:ascii="Times New Roman" w:hAnsi="Times New Roman" w:eastAsia="宋体"/>
          <w:b/>
          <w:bCs/>
          <w:szCs w:val="24"/>
        </w:rPr>
      </w:pPr>
      <w:r>
        <w:rPr>
          <w:rFonts w:ascii="Times New Roman" w:hAnsi="Times New Roman" w:eastAsia="宋体"/>
          <w:b/>
          <w:bCs/>
          <w:szCs w:val="24"/>
        </w:rPr>
        <w:t>日 期：</w:t>
      </w:r>
      <w:r>
        <w:rPr>
          <w:rFonts w:ascii="Times New Roman" w:hAnsi="Times New Roman" w:eastAsia="宋体"/>
          <w:b/>
          <w:bCs/>
          <w:szCs w:val="24"/>
          <w:u w:val="single"/>
        </w:rPr>
        <w:t xml:space="preserve">       </w:t>
      </w:r>
      <w:r>
        <w:rPr>
          <w:rFonts w:ascii="Times New Roman" w:hAnsi="Times New Roman" w:eastAsia="宋体"/>
          <w:b/>
          <w:bCs/>
          <w:szCs w:val="24"/>
        </w:rPr>
        <w:t>年</w:t>
      </w:r>
      <w:r>
        <w:rPr>
          <w:rFonts w:ascii="Times New Roman" w:hAnsi="Times New Roman" w:eastAsia="宋体"/>
          <w:b/>
          <w:bCs/>
          <w:szCs w:val="24"/>
          <w:u w:val="single"/>
        </w:rPr>
        <w:t xml:space="preserve">      </w:t>
      </w:r>
      <w:r>
        <w:rPr>
          <w:rFonts w:ascii="Times New Roman" w:hAnsi="Times New Roman" w:eastAsia="宋体"/>
          <w:b/>
          <w:bCs/>
          <w:szCs w:val="24"/>
        </w:rPr>
        <w:t>月</w:t>
      </w:r>
      <w:r>
        <w:rPr>
          <w:rFonts w:ascii="Times New Roman" w:hAnsi="Times New Roman" w:eastAsia="宋体"/>
          <w:b/>
          <w:bCs/>
          <w:szCs w:val="24"/>
          <w:u w:val="single"/>
        </w:rPr>
        <w:t xml:space="preserve">      </w:t>
      </w:r>
      <w:r>
        <w:rPr>
          <w:rFonts w:ascii="Times New Roman" w:hAnsi="Times New Roman" w:eastAsia="宋体"/>
          <w:b/>
          <w:bCs/>
          <w:szCs w:val="24"/>
        </w:rPr>
        <w:t>日</w:t>
      </w:r>
    </w:p>
    <w:p w14:paraId="16B3F520">
      <w:pPr>
        <w:widowControl/>
        <w:autoSpaceDE w:val="0"/>
        <w:spacing w:line="400" w:lineRule="exact"/>
        <w:jc w:val="left"/>
        <w:rPr>
          <w:rFonts w:ascii="Times New Roman" w:hAnsi="Times New Roman" w:eastAsia="宋体"/>
          <w:b/>
          <w:bCs/>
          <w:szCs w:val="21"/>
        </w:rPr>
      </w:pPr>
      <w:r>
        <w:rPr>
          <w:rFonts w:ascii="Times New Roman" w:hAnsi="Times New Roman" w:eastAsia="宋体"/>
          <w:b/>
          <w:bCs/>
          <w:szCs w:val="21"/>
        </w:rPr>
        <w:t>注：1、投标报价表的扫描件应上传至第二信封“其他材料”；</w:t>
      </w:r>
    </w:p>
    <w:p w14:paraId="44DBB3A6">
      <w:pPr>
        <w:widowControl/>
        <w:autoSpaceDE w:val="0"/>
        <w:spacing w:line="400" w:lineRule="exact"/>
        <w:ind w:firstLine="422" w:firstLineChars="200"/>
        <w:jc w:val="left"/>
        <w:rPr>
          <w:rFonts w:ascii="Times New Roman" w:hAnsi="Times New Roman" w:eastAsia="宋体"/>
          <w:b/>
          <w:bCs/>
          <w:szCs w:val="21"/>
        </w:rPr>
      </w:pPr>
      <w:r>
        <w:rPr>
          <w:rFonts w:ascii="Times New Roman" w:hAnsi="Times New Roman" w:eastAsia="宋体"/>
          <w:b/>
          <w:bCs/>
          <w:szCs w:val="21"/>
        </w:rPr>
        <w:t>2、独立投标人或联合体牵头人应在本表规定位置盖章；</w:t>
      </w:r>
    </w:p>
    <w:p w14:paraId="0846ED78">
      <w:pPr>
        <w:widowControl/>
        <w:autoSpaceDE w:val="0"/>
        <w:spacing w:line="400" w:lineRule="exact"/>
        <w:ind w:firstLine="422" w:firstLineChars="200"/>
        <w:jc w:val="left"/>
        <w:rPr>
          <w:rFonts w:ascii="Times New Roman" w:hAnsi="Times New Roman" w:eastAsia="宋体"/>
          <w:b/>
          <w:bCs/>
          <w:szCs w:val="21"/>
        </w:rPr>
      </w:pPr>
      <w:r>
        <w:rPr>
          <w:rFonts w:ascii="Times New Roman" w:hAnsi="Times New Roman" w:eastAsia="宋体"/>
          <w:b/>
          <w:bCs/>
          <w:szCs w:val="21"/>
        </w:rPr>
        <w:t>3、上表投标总报价金额应与投标文件（报价文件）格式中投标函中的“投标总报价”金额保持一致。</w:t>
      </w:r>
    </w:p>
    <w:p w14:paraId="0BEF63D5">
      <w:pPr>
        <w:spacing w:line="600" w:lineRule="exact"/>
        <w:rPr>
          <w:rFonts w:hint="default" w:ascii="Times New Roman" w:hAnsi="Times New Roman" w:cs="Times New Roman"/>
          <w:color w:val="000000"/>
          <w:szCs w:val="21"/>
        </w:rPr>
      </w:pPr>
    </w:p>
    <w:p w14:paraId="57A98E6A">
      <w:pPr>
        <w:spacing w:line="600" w:lineRule="exact"/>
        <w:rPr>
          <w:rFonts w:hint="default" w:ascii="Times New Roman" w:hAnsi="Times New Roman" w:cs="Times New Roman"/>
          <w:color w:val="000000"/>
          <w:szCs w:val="21"/>
          <w:lang w:bidi="ar"/>
        </w:rPr>
      </w:pPr>
      <w:r>
        <w:rPr>
          <w:rFonts w:hint="default" w:ascii="Times New Roman" w:hAnsi="Times New Roman" w:cs="Times New Roman"/>
          <w:color w:val="000000"/>
          <w:szCs w:val="21"/>
          <w:lang w:bidi="ar"/>
        </w:rPr>
        <w:t xml:space="preserve"> </w:t>
      </w:r>
    </w:p>
    <w:p w14:paraId="1C6C7263">
      <w:pPr>
        <w:spacing w:line="600" w:lineRule="exact"/>
        <w:rPr>
          <w:rFonts w:hint="default" w:ascii="Times New Roman" w:hAnsi="Times New Roman" w:cs="Times New Roman"/>
          <w:color w:val="000000"/>
          <w:szCs w:val="21"/>
          <w:lang w:bidi="ar"/>
        </w:rPr>
      </w:pPr>
    </w:p>
    <w:p w14:paraId="3ABC9EEE">
      <w:pPr>
        <w:spacing w:line="600" w:lineRule="exact"/>
        <w:rPr>
          <w:rFonts w:hint="default" w:ascii="Times New Roman" w:hAnsi="Times New Roman" w:cs="Times New Roman"/>
          <w:color w:val="000000"/>
          <w:szCs w:val="21"/>
          <w:lang w:bidi="ar"/>
        </w:rPr>
      </w:pPr>
    </w:p>
    <w:p w14:paraId="5685339F">
      <w:pPr>
        <w:spacing w:line="600" w:lineRule="exact"/>
        <w:jc w:val="center"/>
        <w:rPr>
          <w:rFonts w:hint="default" w:ascii="Times New Roman" w:hAnsi="Times New Roman" w:cs="Times New Roman"/>
          <w:color w:val="000000"/>
          <w:szCs w:val="21"/>
        </w:rPr>
      </w:pPr>
      <w:r>
        <w:rPr>
          <w:rFonts w:hint="default" w:ascii="Times New Roman" w:hAnsi="Times New Roman" w:cs="Times New Roman"/>
          <w:color w:val="000000"/>
          <w:szCs w:val="21"/>
          <w:lang w:bidi="ar"/>
        </w:rPr>
        <w:t>已标价工程量清单（如有）</w:t>
      </w:r>
    </w:p>
    <w:p w14:paraId="7167AB2C">
      <w:pPr>
        <w:spacing w:line="600" w:lineRule="exac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6544E4F">
      <w:pPr>
        <w:spacing w:line="600" w:lineRule="exac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86DD5CD">
      <w:pPr>
        <w:spacing w:line="600" w:lineRule="exac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3822DEB">
      <w:pPr>
        <w:spacing w:line="600" w:lineRule="exac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20C0163">
      <w:pPr>
        <w:spacing w:line="600" w:lineRule="exac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0123DD4">
      <w:pPr>
        <w:spacing w:line="600" w:lineRule="exac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13F7F88C">
      <w:pPr>
        <w:spacing w:line="600" w:lineRule="exact"/>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279E7648">
      <w:pPr>
        <w:spacing w:line="600" w:lineRule="exact"/>
        <w:rPr>
          <w:rFonts w:hint="default" w:ascii="Times New Roman" w:hAnsi="Times New Roman" w:cs="Times New Roman"/>
          <w:color w:val="000000"/>
          <w:szCs w:val="21"/>
        </w:rPr>
      </w:pPr>
      <w:r>
        <w:rPr>
          <w:rFonts w:hint="default" w:ascii="Times New Roman" w:hAnsi="Times New Roman" w:cs="Times New Roman"/>
          <w:color w:val="000000"/>
          <w:szCs w:val="21"/>
          <w:lang w:bidi="ar"/>
        </w:rPr>
        <w:br w:type="page"/>
      </w:r>
    </w:p>
    <w:p w14:paraId="254ADC35">
      <w:pPr>
        <w:pStyle w:val="42"/>
        <w:widowControl/>
        <w:numPr>
          <w:ilvl w:val="0"/>
          <w:numId w:val="10"/>
        </w:numPr>
        <w:rPr>
          <w:rFonts w:hint="default" w:ascii="Times New Roman" w:hAnsi="Times New Roman" w:cs="Times New Roman"/>
          <w:color w:val="000000"/>
          <w:highlight w:val="none"/>
        </w:rPr>
      </w:pPr>
      <w:r>
        <w:rPr>
          <w:rFonts w:hint="default" w:ascii="Times New Roman" w:hAnsi="Times New Roman" w:cs="Times New Roman"/>
          <w:color w:val="000000"/>
          <w:highlight w:val="none"/>
        </w:rPr>
        <w:t>技术文件</w:t>
      </w:r>
    </w:p>
    <w:p w14:paraId="4A9C7715">
      <w:pPr>
        <w:pStyle w:val="42"/>
        <w:widowControl/>
        <w:numPr>
          <w:ilvl w:val="0"/>
          <w:numId w:val="11"/>
        </w:numPr>
        <w:jc w:val="both"/>
        <w:rPr>
          <w:rFonts w:hint="default" w:ascii="Times New Roman" w:hAnsi="Times New Roman" w:cs="Times New Roman"/>
          <w:color w:val="000000"/>
          <w:kern w:val="2"/>
          <w:sz w:val="21"/>
          <w:szCs w:val="22"/>
          <w:lang w:val="en-US" w:eastAsia="zh-CN"/>
        </w:rPr>
      </w:pPr>
      <w:r>
        <w:rPr>
          <w:rFonts w:hint="default" w:ascii="Times New Roman" w:hAnsi="Times New Roman"/>
          <w:color w:val="000000"/>
          <w:sz w:val="21"/>
          <w:szCs w:val="22"/>
          <w:highlight w:val="none"/>
        </w:rPr>
        <w:t>对工程的理解、设计思路及方案</w:t>
      </w:r>
    </w:p>
    <w:p w14:paraId="0B4E7ABE">
      <w:pPr>
        <w:pStyle w:val="42"/>
        <w:widowControl/>
        <w:numPr>
          <w:ilvl w:val="0"/>
          <w:numId w:val="11"/>
        </w:numPr>
        <w:jc w:val="both"/>
        <w:rPr>
          <w:rFonts w:hint="default" w:ascii="Times New Roman" w:hAnsi="Times New Roman" w:cs="Times New Roman"/>
          <w:color w:val="000000"/>
          <w:kern w:val="2"/>
          <w:sz w:val="21"/>
          <w:szCs w:val="22"/>
          <w:lang w:val="en-US" w:eastAsia="zh-CN"/>
        </w:rPr>
      </w:pPr>
      <w:r>
        <w:rPr>
          <w:rFonts w:hint="default" w:ascii="宋体" w:hAnsi="宋体" w:eastAsia="宋体" w:cs="宋体"/>
          <w:color w:val="3333FF"/>
          <w:kern w:val="0"/>
          <w:sz w:val="21"/>
          <w:szCs w:val="24"/>
          <w:lang w:val="en-US" w:eastAsia="en-US" w:bidi="ar-SA"/>
        </w:rPr>
        <w:t>EPC总承包管理</w:t>
      </w:r>
    </w:p>
    <w:p w14:paraId="0E817860">
      <w:pPr>
        <w:pStyle w:val="42"/>
        <w:widowControl/>
        <w:numPr>
          <w:ilvl w:val="0"/>
          <w:numId w:val="11"/>
        </w:numPr>
        <w:jc w:val="both"/>
        <w:rPr>
          <w:rFonts w:hint="default" w:ascii="Times New Roman" w:hAnsi="Times New Roman" w:cs="Times New Roman"/>
          <w:color w:val="000000"/>
          <w:kern w:val="2"/>
          <w:sz w:val="21"/>
          <w:szCs w:val="22"/>
          <w:lang w:val="en-US" w:eastAsia="zh-CN"/>
        </w:rPr>
      </w:pPr>
      <w:r>
        <w:rPr>
          <w:rFonts w:hint="default" w:ascii="Times New Roman" w:hAnsi="Times New Roman"/>
          <w:color w:val="000000"/>
          <w:sz w:val="21"/>
          <w:szCs w:val="22"/>
        </w:rPr>
        <w:t>勘察设计（含初步设计优化）的特点、关键技术问题的认识及其对策措施</w:t>
      </w:r>
    </w:p>
    <w:p w14:paraId="21B8601D">
      <w:pPr>
        <w:pStyle w:val="42"/>
        <w:widowControl/>
        <w:numPr>
          <w:ilvl w:val="0"/>
          <w:numId w:val="11"/>
        </w:numPr>
        <w:jc w:val="both"/>
        <w:rPr>
          <w:rFonts w:hint="default" w:ascii="Times New Roman" w:hAnsi="Times New Roman" w:cs="Times New Roman"/>
          <w:color w:val="000000"/>
          <w:kern w:val="2"/>
          <w:sz w:val="21"/>
          <w:szCs w:val="22"/>
          <w:lang w:val="en-US" w:eastAsia="zh-CN"/>
        </w:rPr>
      </w:pPr>
      <w:r>
        <w:rPr>
          <w:rFonts w:hint="default" w:ascii="Times New Roman" w:hAnsi="Times New Roman"/>
          <w:color w:val="000000"/>
          <w:sz w:val="21"/>
          <w:szCs w:val="22"/>
        </w:rPr>
        <w:t>施工技术问题的认识及其对策措施</w:t>
      </w:r>
    </w:p>
    <w:p w14:paraId="3F69DB69">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B9F4FC1">
      <w:pPr>
        <w:rPr>
          <w:rFonts w:hint="default" w:ascii="Times New Roman" w:hAnsi="Times New Roman" w:cs="Times New Roman"/>
          <w:color w:val="000000"/>
          <w:szCs w:val="21"/>
        </w:rPr>
        <w:sectPr>
          <w:footerReference r:id="rId17" w:type="default"/>
          <w:pgSz w:w="11907" w:h="16840"/>
          <w:pgMar w:top="1588" w:right="1474" w:bottom="1701" w:left="1531" w:header="851" w:footer="992" w:gutter="0"/>
          <w:cols w:space="720" w:num="1"/>
          <w:docGrid w:type="lines" w:linePitch="312" w:charSpace="0"/>
        </w:sectPr>
      </w:pPr>
    </w:p>
    <w:p w14:paraId="4FD6C9CD">
      <w:pPr>
        <w:pStyle w:val="42"/>
        <w:widowControl/>
        <w:rPr>
          <w:rFonts w:hint="default" w:ascii="Times New Roman" w:hAnsi="Times New Roman" w:cs="Times New Roman"/>
          <w:color w:val="000000"/>
        </w:rPr>
      </w:pPr>
      <w:r>
        <w:rPr>
          <w:rFonts w:hint="default" w:ascii="Times New Roman" w:hAnsi="Times New Roman" w:cs="Times New Roman"/>
          <w:color w:val="000000"/>
        </w:rPr>
        <w:t>四、其他材料</w:t>
      </w:r>
    </w:p>
    <w:p w14:paraId="0F686CFC">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5F962218">
      <w:pPr>
        <w:pStyle w:val="16"/>
        <w:spacing w:before="0" w:beforeAutospacing="0" w:after="0" w:afterAutospacing="0" w:line="440" w:lineRule="exact"/>
        <w:jc w:val="center"/>
        <w:rPr>
          <w:rFonts w:hint="default" w:ascii="Times New Roman" w:hAnsi="Times New Roman" w:eastAsia="隶书" w:cs="Times New Roman"/>
          <w:kern w:val="2"/>
          <w:szCs w:val="24"/>
        </w:rPr>
      </w:pPr>
      <w:r>
        <w:rPr>
          <w:rFonts w:hint="default" w:ascii="Times New Roman" w:hAnsi="Times New Roman" w:cs="Times New Roman"/>
          <w:kern w:val="2"/>
          <w:sz w:val="28"/>
          <w:szCs w:val="28"/>
          <w:lang w:eastAsia="zh-CN" w:bidi="ar"/>
        </w:rPr>
        <w:t>（</w:t>
      </w:r>
      <w:r>
        <w:rPr>
          <w:rFonts w:hint="default" w:ascii="Times New Roman" w:hAnsi="Times New Roman" w:cs="Times New Roman"/>
          <w:kern w:val="2"/>
          <w:sz w:val="28"/>
          <w:szCs w:val="28"/>
          <w:lang w:val="en-US" w:eastAsia="zh-CN" w:bidi="ar"/>
        </w:rPr>
        <w:t>一</w:t>
      </w:r>
      <w:r>
        <w:rPr>
          <w:rFonts w:hint="default" w:ascii="Times New Roman" w:hAnsi="Times New Roman" w:cs="Times New Roman"/>
          <w:kern w:val="2"/>
          <w:sz w:val="28"/>
          <w:szCs w:val="28"/>
          <w:lang w:eastAsia="zh-CN" w:bidi="ar"/>
        </w:rPr>
        <w:t>）</w:t>
      </w:r>
      <w:r>
        <w:rPr>
          <w:rFonts w:hint="default" w:ascii="Times New Roman" w:hAnsi="Times New Roman" w:cs="Times New Roman"/>
          <w:kern w:val="2"/>
          <w:sz w:val="28"/>
          <w:szCs w:val="28"/>
          <w:lang w:bidi="ar"/>
        </w:rPr>
        <w:t>主要人员到岗承诺函</w:t>
      </w:r>
    </w:p>
    <w:p w14:paraId="3878B474">
      <w:pPr>
        <w:pStyle w:val="16"/>
        <w:spacing w:before="0" w:beforeAutospacing="0" w:after="0" w:afterAutospacing="0" w:line="440" w:lineRule="exact"/>
        <w:rPr>
          <w:rFonts w:hint="default" w:ascii="Times New Roman" w:hAnsi="Times New Roman" w:eastAsia="隶书" w:cs="Times New Roman"/>
          <w:kern w:val="2"/>
          <w:szCs w:val="24"/>
        </w:rPr>
      </w:pPr>
      <w:r>
        <w:rPr>
          <w:rFonts w:hint="default" w:ascii="Times New Roman" w:hAnsi="Times New Roman" w:eastAsia="隶书" w:cs="Times New Roman"/>
          <w:kern w:val="2"/>
          <w:szCs w:val="24"/>
          <w:lang w:bidi="ar"/>
        </w:rPr>
        <w:t xml:space="preserve"> </w:t>
      </w:r>
    </w:p>
    <w:p w14:paraId="5726A8B8">
      <w:pPr>
        <w:pStyle w:val="16"/>
        <w:spacing w:before="0" w:beforeAutospacing="0" w:after="0" w:afterAutospacing="0" w:line="440" w:lineRule="exact"/>
        <w:rPr>
          <w:rFonts w:hint="default" w:ascii="Times New Roman" w:hAnsi="Times New Roman" w:cs="Times New Roman"/>
          <w:kern w:val="2"/>
          <w:szCs w:val="24"/>
        </w:rPr>
      </w:pPr>
      <w:r>
        <w:rPr>
          <w:rFonts w:hint="default" w:ascii="Times New Roman" w:hAnsi="Times New Roman" w:cs="Times New Roman"/>
          <w:kern w:val="2"/>
          <w:szCs w:val="24"/>
          <w:lang w:bidi="ar"/>
        </w:rPr>
        <w:t xml:space="preserve"> </w:t>
      </w:r>
      <w:r>
        <w:rPr>
          <w:rFonts w:hint="default" w:ascii="Times New Roman" w:hAnsi="Times New Roman" w:cs="Times New Roman"/>
          <w:kern w:val="2"/>
          <w:szCs w:val="24"/>
          <w:u w:val="single"/>
          <w:lang w:bidi="ar"/>
        </w:rPr>
        <w:t xml:space="preserve">                        </w:t>
      </w:r>
      <w:r>
        <w:rPr>
          <w:rFonts w:hint="default" w:ascii="Times New Roman" w:hAnsi="Times New Roman" w:cs="Times New Roman"/>
          <w:kern w:val="2"/>
          <w:szCs w:val="24"/>
          <w:lang w:bidi="ar"/>
        </w:rPr>
        <w:t>(招标人名称)：</w:t>
      </w:r>
    </w:p>
    <w:p w14:paraId="190C0422">
      <w:pPr>
        <w:pStyle w:val="16"/>
        <w:snapToGrid w:val="0"/>
        <w:spacing w:before="120" w:beforeLines="50" w:beforeAutospacing="0" w:after="0" w:afterAutospacing="0" w:line="400" w:lineRule="atLeast"/>
        <w:ind w:firstLine="480" w:firstLineChars="200"/>
        <w:rPr>
          <w:rFonts w:hint="default" w:ascii="Times New Roman" w:hAnsi="Times New Roman" w:cs="Times New Roman"/>
          <w:kern w:val="2"/>
          <w:szCs w:val="24"/>
        </w:rPr>
      </w:pPr>
      <w:r>
        <w:rPr>
          <w:rFonts w:hint="default" w:ascii="Times New Roman" w:hAnsi="Times New Roman" w:cs="Times New Roman"/>
          <w:kern w:val="2"/>
          <w:szCs w:val="24"/>
          <w:lang w:bidi="ar"/>
        </w:rPr>
        <w:t>我方参加了</w:t>
      </w:r>
      <w:r>
        <w:rPr>
          <w:rFonts w:hint="default" w:ascii="Times New Roman" w:hAnsi="Times New Roman" w:cs="Times New Roman"/>
          <w:kern w:val="2"/>
          <w:szCs w:val="24"/>
          <w:u w:val="single"/>
          <w:lang w:bidi="ar"/>
        </w:rPr>
        <w:t xml:space="preserve">      </w:t>
      </w:r>
      <w:r>
        <w:rPr>
          <w:rFonts w:hint="default" w:ascii="Times New Roman" w:hAnsi="Times New Roman" w:cs="Times New Roman"/>
          <w:kern w:val="2"/>
          <w:szCs w:val="24"/>
          <w:lang w:bidi="ar"/>
        </w:rPr>
        <w:t>(项目名称)</w:t>
      </w:r>
      <w:r>
        <w:rPr>
          <w:rFonts w:hint="default" w:ascii="Times New Roman" w:hAnsi="Times New Roman" w:cs="Times New Roman"/>
          <w:kern w:val="2"/>
          <w:szCs w:val="24"/>
          <w:u w:val="single"/>
          <w:lang w:bidi="ar"/>
        </w:rPr>
        <w:t xml:space="preserve">     </w:t>
      </w:r>
      <w:r>
        <w:rPr>
          <w:rFonts w:hint="default" w:ascii="Times New Roman" w:hAnsi="Times New Roman" w:cs="Times New Roman"/>
          <w:kern w:val="2"/>
          <w:szCs w:val="24"/>
          <w:lang w:bidi="ar"/>
        </w:rPr>
        <w:t>投标，若我方中标，我方在此承诺：</w:t>
      </w:r>
    </w:p>
    <w:p w14:paraId="0E87B819">
      <w:pPr>
        <w:pStyle w:val="16"/>
        <w:spacing w:before="0" w:beforeAutospacing="0" w:after="0" w:afterAutospacing="0" w:line="400" w:lineRule="atLeast"/>
        <w:ind w:firstLine="480" w:firstLineChars="200"/>
        <w:rPr>
          <w:rFonts w:hint="default" w:ascii="Times New Roman" w:hAnsi="Times New Roman" w:cs="Times New Roman"/>
          <w:kern w:val="2"/>
          <w:szCs w:val="24"/>
        </w:rPr>
      </w:pPr>
      <w:r>
        <w:rPr>
          <w:rFonts w:hint="default" w:ascii="Times New Roman" w:hAnsi="Times New Roman" w:cs="Times New Roman"/>
          <w:kern w:val="2"/>
          <w:szCs w:val="24"/>
          <w:lang w:bidi="ar"/>
        </w:rPr>
        <w:t>我方投标文件中填报的主要人员(项目负责人)能够及时到岗。</w:t>
      </w:r>
    </w:p>
    <w:p w14:paraId="0B98EA2E">
      <w:pPr>
        <w:pStyle w:val="16"/>
        <w:spacing w:before="0" w:beforeAutospacing="0" w:after="0" w:afterAutospacing="0" w:line="400" w:lineRule="atLeast"/>
        <w:ind w:firstLine="480" w:firstLineChars="200"/>
        <w:rPr>
          <w:rFonts w:hint="default" w:ascii="Times New Roman" w:hAnsi="Times New Roman" w:cs="Times New Roman"/>
          <w:kern w:val="2"/>
          <w:szCs w:val="24"/>
        </w:rPr>
      </w:pPr>
      <w:r>
        <w:rPr>
          <w:rFonts w:hint="default" w:ascii="Times New Roman" w:hAnsi="Times New Roman" w:cs="Times New Roman"/>
          <w:kern w:val="2"/>
          <w:szCs w:val="24"/>
          <w:lang w:bidi="ar"/>
        </w:rPr>
        <w:t>如我方违背了上述承诺，你方有权取消我方的中标资格，并由你方将我方的违约行为上报省级交通主管部门，作为不良记录纳入建设市场信用信息管理系统。</w:t>
      </w:r>
    </w:p>
    <w:p w14:paraId="26AE40CE">
      <w:pPr>
        <w:pStyle w:val="16"/>
        <w:spacing w:before="0" w:beforeAutospacing="0" w:after="0" w:afterAutospacing="0" w:line="440" w:lineRule="exact"/>
        <w:ind w:firstLine="480" w:firstLineChars="200"/>
        <w:rPr>
          <w:rFonts w:hint="default" w:ascii="Times New Roman" w:hAnsi="Times New Roman" w:cs="Times New Roman"/>
          <w:kern w:val="2"/>
          <w:szCs w:val="24"/>
        </w:rPr>
      </w:pPr>
      <w:r>
        <w:rPr>
          <w:rFonts w:hint="default" w:ascii="Times New Roman" w:hAnsi="Times New Roman" w:cs="Times New Roman"/>
          <w:kern w:val="2"/>
          <w:szCs w:val="24"/>
          <w:lang w:bidi="ar"/>
        </w:rPr>
        <w:t xml:space="preserve"> </w:t>
      </w:r>
    </w:p>
    <w:p w14:paraId="645772CA">
      <w:pPr>
        <w:pStyle w:val="16"/>
        <w:spacing w:before="0" w:beforeAutospacing="0" w:after="0" w:afterAutospacing="0" w:line="440" w:lineRule="exact"/>
        <w:ind w:firstLine="480" w:firstLineChars="200"/>
        <w:rPr>
          <w:rFonts w:hint="default" w:ascii="Times New Roman" w:hAnsi="Times New Roman" w:cs="Times New Roman"/>
          <w:kern w:val="2"/>
          <w:szCs w:val="24"/>
        </w:rPr>
      </w:pPr>
      <w:r>
        <w:rPr>
          <w:rFonts w:hint="default" w:ascii="Times New Roman" w:hAnsi="Times New Roman" w:cs="Times New Roman"/>
          <w:kern w:val="2"/>
          <w:szCs w:val="24"/>
          <w:lang w:bidi="ar"/>
        </w:rPr>
        <w:t xml:space="preserve"> </w:t>
      </w:r>
    </w:p>
    <w:p w14:paraId="7269C07B">
      <w:pPr>
        <w:pStyle w:val="16"/>
        <w:spacing w:before="0" w:beforeAutospacing="0" w:after="0" w:afterAutospacing="0" w:line="440" w:lineRule="exact"/>
        <w:rPr>
          <w:rFonts w:hint="default" w:ascii="Times New Roman" w:hAnsi="Times New Roman" w:cs="Times New Roman"/>
          <w:kern w:val="2"/>
          <w:szCs w:val="24"/>
        </w:rPr>
      </w:pPr>
      <w:r>
        <w:rPr>
          <w:rFonts w:hint="default" w:ascii="Times New Roman" w:hAnsi="Times New Roman" w:cs="Times New Roman"/>
          <w:kern w:val="2"/>
          <w:szCs w:val="24"/>
          <w:lang w:bidi="ar"/>
        </w:rPr>
        <w:t xml:space="preserve"> </w:t>
      </w:r>
    </w:p>
    <w:p w14:paraId="4EB36B5F">
      <w:pPr>
        <w:pStyle w:val="16"/>
        <w:spacing w:before="0" w:beforeAutospacing="0" w:after="0" w:afterAutospacing="0" w:line="440" w:lineRule="exact"/>
        <w:ind w:firstLine="3420" w:firstLineChars="1425"/>
        <w:rPr>
          <w:rFonts w:hint="default" w:ascii="Times New Roman" w:hAnsi="Times New Roman" w:cs="Times New Roman"/>
          <w:kern w:val="2"/>
          <w:szCs w:val="24"/>
        </w:rPr>
      </w:pPr>
      <w:r>
        <w:rPr>
          <w:rFonts w:hint="default" w:ascii="Times New Roman" w:hAnsi="Times New Roman" w:cs="Times New Roman"/>
          <w:kern w:val="2"/>
          <w:szCs w:val="24"/>
          <w:lang w:bidi="ar"/>
        </w:rPr>
        <w:t>投 标 人：</w:t>
      </w:r>
      <w:r>
        <w:rPr>
          <w:rFonts w:hint="default" w:ascii="Times New Roman" w:hAnsi="Times New Roman" w:cs="Times New Roman"/>
          <w:kern w:val="2"/>
          <w:szCs w:val="24"/>
          <w:u w:val="single"/>
          <w:lang w:bidi="ar"/>
        </w:rPr>
        <w:t xml:space="preserve">                      </w:t>
      </w:r>
      <w:r>
        <w:rPr>
          <w:rFonts w:hint="default" w:ascii="Times New Roman" w:hAnsi="Times New Roman" w:cs="Times New Roman"/>
          <w:kern w:val="2"/>
          <w:szCs w:val="24"/>
          <w:lang w:bidi="ar"/>
        </w:rPr>
        <w:t>(盖章)</w:t>
      </w:r>
    </w:p>
    <w:p w14:paraId="79D16523">
      <w:pPr>
        <w:pStyle w:val="16"/>
        <w:spacing w:before="0" w:beforeAutospacing="0" w:after="0" w:afterAutospacing="0" w:line="440" w:lineRule="exact"/>
        <w:ind w:firstLine="3420" w:firstLineChars="1425"/>
        <w:rPr>
          <w:rFonts w:hint="default" w:ascii="Times New Roman" w:hAnsi="Times New Roman" w:cs="Times New Roman"/>
          <w:kern w:val="2"/>
          <w:szCs w:val="24"/>
        </w:rPr>
      </w:pPr>
      <w:r>
        <w:rPr>
          <w:rFonts w:hint="default" w:ascii="Times New Roman" w:hAnsi="Times New Roman" w:cs="Times New Roman"/>
          <w:kern w:val="2"/>
          <w:szCs w:val="24"/>
          <w:lang w:bidi="ar"/>
        </w:rPr>
        <w:t>法定代表人：</w:t>
      </w:r>
      <w:r>
        <w:rPr>
          <w:rFonts w:hint="default" w:ascii="Times New Roman" w:hAnsi="Times New Roman" w:cs="Times New Roman"/>
          <w:kern w:val="2"/>
          <w:szCs w:val="24"/>
          <w:u w:val="single"/>
          <w:lang w:bidi="ar"/>
        </w:rPr>
        <w:t xml:space="preserve">                    </w:t>
      </w:r>
      <w:r>
        <w:rPr>
          <w:rFonts w:hint="default" w:ascii="Times New Roman" w:hAnsi="Times New Roman" w:cs="Times New Roman"/>
          <w:kern w:val="2"/>
          <w:szCs w:val="24"/>
          <w:lang w:bidi="ar"/>
        </w:rPr>
        <w:t>(签字)</w:t>
      </w:r>
    </w:p>
    <w:p w14:paraId="0B930D7F">
      <w:pPr>
        <w:pStyle w:val="16"/>
        <w:spacing w:before="0" w:beforeAutospacing="0" w:after="0" w:afterAutospacing="0" w:line="440" w:lineRule="exact"/>
        <w:ind w:firstLine="3420" w:firstLineChars="1425"/>
        <w:rPr>
          <w:rFonts w:hint="default" w:ascii="Times New Roman" w:hAnsi="Times New Roman" w:cs="Times New Roman"/>
          <w:kern w:val="2"/>
          <w:szCs w:val="24"/>
        </w:rPr>
      </w:pPr>
      <w:r>
        <w:rPr>
          <w:rFonts w:hint="default" w:ascii="Times New Roman" w:hAnsi="Times New Roman" w:cs="Times New Roman"/>
          <w:kern w:val="2"/>
          <w:szCs w:val="24"/>
          <w:lang w:bidi="ar"/>
        </w:rPr>
        <w:t xml:space="preserve"> </w:t>
      </w:r>
    </w:p>
    <w:p w14:paraId="32348F07">
      <w:pPr>
        <w:pStyle w:val="16"/>
        <w:spacing w:before="0" w:beforeAutospacing="0" w:after="0" w:afterAutospacing="0" w:line="440" w:lineRule="exact"/>
        <w:ind w:firstLine="4740" w:firstLineChars="1975"/>
        <w:rPr>
          <w:rFonts w:hint="default" w:ascii="Times New Roman" w:hAnsi="Times New Roman" w:cs="Times New Roman"/>
          <w:kern w:val="2"/>
          <w:szCs w:val="24"/>
          <w:lang w:bidi="ar"/>
        </w:rPr>
      </w:pPr>
      <w:r>
        <w:rPr>
          <w:rFonts w:hint="default" w:ascii="Times New Roman" w:hAnsi="Times New Roman" w:cs="Times New Roman"/>
          <w:kern w:val="2"/>
          <w:szCs w:val="24"/>
          <w:u w:val="single"/>
          <w:lang w:bidi="ar"/>
        </w:rPr>
        <w:t xml:space="preserve">         </w:t>
      </w:r>
      <w:r>
        <w:rPr>
          <w:rFonts w:hint="default" w:ascii="Times New Roman" w:hAnsi="Times New Roman" w:cs="Times New Roman"/>
          <w:kern w:val="2"/>
          <w:szCs w:val="24"/>
          <w:lang w:bidi="ar"/>
        </w:rPr>
        <w:t>年</w:t>
      </w:r>
      <w:r>
        <w:rPr>
          <w:rFonts w:hint="default" w:ascii="Times New Roman" w:hAnsi="Times New Roman" w:cs="Times New Roman"/>
          <w:kern w:val="2"/>
          <w:szCs w:val="24"/>
          <w:u w:val="single"/>
          <w:lang w:bidi="ar"/>
        </w:rPr>
        <w:t xml:space="preserve">       </w:t>
      </w:r>
      <w:r>
        <w:rPr>
          <w:rFonts w:hint="default" w:ascii="Times New Roman" w:hAnsi="Times New Roman" w:cs="Times New Roman"/>
          <w:kern w:val="2"/>
          <w:szCs w:val="24"/>
          <w:lang w:bidi="ar"/>
        </w:rPr>
        <w:t>月</w:t>
      </w:r>
      <w:r>
        <w:rPr>
          <w:rFonts w:hint="default" w:ascii="Times New Roman" w:hAnsi="Times New Roman" w:cs="Times New Roman"/>
          <w:kern w:val="2"/>
          <w:szCs w:val="24"/>
          <w:u w:val="single"/>
          <w:lang w:bidi="ar"/>
        </w:rPr>
        <w:t xml:space="preserve">       </w:t>
      </w:r>
      <w:r>
        <w:rPr>
          <w:rFonts w:hint="default" w:ascii="Times New Roman" w:hAnsi="Times New Roman" w:cs="Times New Roman"/>
          <w:kern w:val="2"/>
          <w:szCs w:val="24"/>
          <w:lang w:bidi="ar"/>
        </w:rPr>
        <w:t>日</w:t>
      </w:r>
    </w:p>
    <w:p w14:paraId="1AC95B92">
      <w:pPr>
        <w:pStyle w:val="57"/>
        <w:widowControl/>
        <w:spacing w:line="300" w:lineRule="auto"/>
        <w:ind w:left="0" w:firstLine="2975" w:firstLineChars="1417"/>
        <w:rPr>
          <w:rStyle w:val="19"/>
          <w:rFonts w:hint="default" w:ascii="Times New Roman" w:hAnsi="Times New Roman" w:cs="Times New Roman"/>
          <w:sz w:val="24"/>
          <w:szCs w:val="24"/>
          <w:highlight w:val="none"/>
          <w:lang w:val="en-US"/>
        </w:rPr>
      </w:pPr>
      <w:r>
        <w:rPr>
          <w:rFonts w:hint="default" w:ascii="Times New Roman" w:hAnsi="Times New Roman" w:cs="Times New Roman"/>
          <w:kern w:val="2"/>
          <w:szCs w:val="24"/>
          <w:lang w:bidi="ar"/>
        </w:rPr>
        <w:br w:type="page"/>
      </w:r>
    </w:p>
    <w:p w14:paraId="197D6CCB">
      <w:pPr>
        <w:pStyle w:val="58"/>
        <w:widowControl/>
        <w:spacing w:after="200" w:afterAutospacing="0" w:line="400" w:lineRule="atLeast"/>
        <w:rPr>
          <w:rStyle w:val="19"/>
          <w:rFonts w:hint="default" w:ascii="Times New Roman" w:hAnsi="Times New Roman" w:cs="Times New Roman"/>
          <w:sz w:val="24"/>
          <w:szCs w:val="24"/>
          <w:highlight w:val="none"/>
          <w:lang w:val="en-US"/>
        </w:rPr>
      </w:pPr>
    </w:p>
    <w:p w14:paraId="6B8700B3">
      <w:pPr>
        <w:pStyle w:val="16"/>
        <w:spacing w:before="0" w:beforeAutospacing="0" w:after="0" w:afterAutospacing="0" w:line="440" w:lineRule="exact"/>
        <w:ind w:firstLine="4740" w:firstLineChars="1975"/>
        <w:rPr>
          <w:rFonts w:hint="default" w:ascii="Times New Roman" w:hAnsi="Times New Roman" w:cs="Times New Roman"/>
          <w:kern w:val="2"/>
          <w:szCs w:val="24"/>
          <w:lang w:bidi="ar"/>
        </w:rPr>
      </w:pPr>
    </w:p>
    <w:p w14:paraId="704EEE8D">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7D70D51D">
      <w:pPr>
        <w:spacing w:line="400" w:lineRule="atLeast"/>
        <w:ind w:left="420" w:leftChars="200" w:firstLine="1575" w:firstLineChars="750"/>
        <w:rPr>
          <w:rFonts w:hint="default" w:ascii="Times New Roman" w:hAnsi="Times New Roman" w:eastAsia="黑体" w:cs="Times New Roman"/>
          <w:color w:val="000000"/>
          <w:szCs w:val="21"/>
        </w:rPr>
      </w:pPr>
      <w:r>
        <w:rPr>
          <w:rFonts w:hint="default" w:ascii="Times New Roman" w:hAnsi="Times New Roman" w:cs="Times New Roman"/>
          <w:color w:val="000000"/>
          <w:szCs w:val="21"/>
          <w:lang w:bidi="ar"/>
        </w:rPr>
        <w:t>按投标人须知前附表3.1.1规定需要提交的其他材料。</w:t>
      </w:r>
    </w:p>
    <w:p w14:paraId="46C67C24">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6ED13128">
      <w:pPr>
        <w:rPr>
          <w:rFonts w:hint="default" w:ascii="Times New Roman" w:hAnsi="Times New Roman" w:cs="Times New Roman"/>
          <w:color w:val="000000"/>
          <w:szCs w:val="21"/>
        </w:rPr>
      </w:pPr>
      <w:r>
        <w:rPr>
          <w:rFonts w:hint="default" w:ascii="Times New Roman" w:hAnsi="Times New Roman" w:cs="Times New Roman"/>
          <w:color w:val="000000"/>
          <w:szCs w:val="21"/>
          <w:lang w:bidi="ar"/>
        </w:rPr>
        <w:t xml:space="preserve"> </w:t>
      </w:r>
    </w:p>
    <w:p w14:paraId="0E19CBE3">
      <w:pPr>
        <w:rPr>
          <w:rFonts w:hint="default" w:ascii="Times New Roman" w:hAnsi="Times New Roman" w:cs="Times New Roman"/>
          <w:color w:val="000000"/>
          <w:szCs w:val="21"/>
        </w:rPr>
      </w:pPr>
    </w:p>
    <w:p w14:paraId="76DEC0D9">
      <w:pPr>
        <w:rPr>
          <w:rFonts w:hint="default" w:ascii="Times New Roman" w:hAnsi="Times New Roman" w:cs="Times New Roman"/>
          <w:color w:val="000000"/>
        </w:rPr>
        <w:sectPr>
          <w:footerReference r:id="rId18" w:type="default"/>
          <w:pgSz w:w="11907" w:h="16840"/>
          <w:pgMar w:top="1588" w:right="1474" w:bottom="1701" w:left="1531" w:header="851" w:footer="992" w:gutter="0"/>
          <w:cols w:space="720" w:num="1"/>
          <w:docGrid w:linePitch="312" w:charSpace="0"/>
        </w:sectPr>
      </w:pPr>
    </w:p>
    <w:p w14:paraId="44A50673">
      <w:pPr>
        <w:adjustRightInd w:val="0"/>
        <w:snapToGrid w:val="0"/>
        <w:rPr>
          <w:sz w:val="30"/>
          <w:szCs w:val="30"/>
        </w:rPr>
      </w:pPr>
      <w:r>
        <w:rPr>
          <w:rFonts w:hint="eastAsia"/>
          <w:sz w:val="30"/>
          <w:szCs w:val="30"/>
        </w:rPr>
        <w:t>招标文件评标办法附件-《可能低于成本或者影响履约的异常低价说明、证明材料表》</w:t>
      </w:r>
    </w:p>
    <w:tbl>
      <w:tblPr>
        <w:tblStyle w:val="17"/>
        <w:tblpPr w:leftFromText="180" w:rightFromText="180" w:vertAnchor="page" w:horzAnchor="margin" w:tblpXSpec="center" w:tblpY="2479"/>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814"/>
        <w:gridCol w:w="5943"/>
      </w:tblGrid>
      <w:tr w14:paraId="3CE11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48" w:type="pct"/>
            <w:shd w:val="clear" w:color="auto" w:fill="auto"/>
            <w:vAlign w:val="center"/>
          </w:tcPr>
          <w:p w14:paraId="5A56BBB9">
            <w:pPr>
              <w:spacing w:line="360" w:lineRule="auto"/>
              <w:jc w:val="center"/>
              <w:rPr>
                <w:rFonts w:ascii="Times New Roman" w:hAnsi="Times New Roman" w:eastAsia="仿宋"/>
                <w:b/>
                <w:bCs/>
                <w:szCs w:val="21"/>
              </w:rPr>
            </w:pPr>
            <w:r>
              <w:rPr>
                <w:rFonts w:ascii="Times New Roman" w:hAnsi="Times New Roman" w:eastAsia="仿宋"/>
                <w:b/>
                <w:bCs/>
                <w:kern w:val="0"/>
                <w:szCs w:val="21"/>
              </w:rPr>
              <w:t>类别</w:t>
            </w:r>
          </w:p>
        </w:tc>
        <w:tc>
          <w:tcPr>
            <w:tcW w:w="994" w:type="pct"/>
            <w:shd w:val="clear" w:color="auto" w:fill="auto"/>
            <w:vAlign w:val="center"/>
          </w:tcPr>
          <w:p w14:paraId="7D6A0927">
            <w:pPr>
              <w:spacing w:line="360" w:lineRule="auto"/>
              <w:jc w:val="center"/>
              <w:rPr>
                <w:rFonts w:ascii="Times New Roman" w:hAnsi="Times New Roman" w:eastAsia="仿宋"/>
                <w:b/>
                <w:bCs/>
                <w:szCs w:val="21"/>
              </w:rPr>
            </w:pPr>
            <w:r>
              <w:rPr>
                <w:rFonts w:ascii="Times New Roman" w:hAnsi="Times New Roman" w:eastAsia="仿宋"/>
                <w:b/>
                <w:bCs/>
                <w:kern w:val="0"/>
                <w:szCs w:val="21"/>
              </w:rPr>
              <w:t>名称</w:t>
            </w:r>
          </w:p>
        </w:tc>
        <w:tc>
          <w:tcPr>
            <w:tcW w:w="3256" w:type="pct"/>
            <w:shd w:val="clear" w:color="auto" w:fill="auto"/>
            <w:vAlign w:val="center"/>
          </w:tcPr>
          <w:p w14:paraId="569A3F1A">
            <w:pPr>
              <w:spacing w:line="360" w:lineRule="auto"/>
              <w:jc w:val="center"/>
              <w:rPr>
                <w:rFonts w:ascii="Times New Roman" w:hAnsi="Times New Roman" w:eastAsia="仿宋"/>
                <w:b/>
                <w:bCs/>
                <w:szCs w:val="21"/>
              </w:rPr>
            </w:pPr>
            <w:r>
              <w:rPr>
                <w:rFonts w:ascii="Times New Roman" w:hAnsi="Times New Roman" w:eastAsia="仿宋"/>
                <w:b/>
                <w:bCs/>
                <w:kern w:val="0"/>
                <w:szCs w:val="21"/>
              </w:rPr>
              <w:t>具体内容</w:t>
            </w:r>
          </w:p>
        </w:tc>
      </w:tr>
      <w:tr w14:paraId="2A6AB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748" w:type="pct"/>
            <w:shd w:val="clear" w:color="auto" w:fill="auto"/>
            <w:vAlign w:val="center"/>
          </w:tcPr>
          <w:p w14:paraId="54B04CBB">
            <w:pPr>
              <w:jc w:val="center"/>
              <w:rPr>
                <w:rFonts w:ascii="Times New Roman" w:hAnsi="Times New Roman"/>
              </w:rPr>
            </w:pPr>
            <w:r>
              <w:rPr>
                <w:rFonts w:ascii="Times New Roman" w:hAnsi="Times New Roman"/>
              </w:rPr>
              <w:t>1.说明类</w:t>
            </w:r>
          </w:p>
        </w:tc>
        <w:tc>
          <w:tcPr>
            <w:tcW w:w="994" w:type="pct"/>
            <w:shd w:val="clear" w:color="auto" w:fill="auto"/>
            <w:vAlign w:val="center"/>
          </w:tcPr>
          <w:p w14:paraId="508F056C">
            <w:pPr>
              <w:jc w:val="center"/>
              <w:rPr>
                <w:rFonts w:ascii="Times New Roman" w:hAnsi="Times New Roman"/>
              </w:rPr>
            </w:pPr>
            <w:r>
              <w:rPr>
                <w:rFonts w:ascii="Times New Roman" w:hAnsi="Times New Roman"/>
              </w:rPr>
              <w:t>书面说明</w:t>
            </w:r>
          </w:p>
        </w:tc>
        <w:tc>
          <w:tcPr>
            <w:tcW w:w="3256" w:type="pct"/>
            <w:shd w:val="clear" w:color="auto" w:fill="auto"/>
            <w:vAlign w:val="center"/>
          </w:tcPr>
          <w:p w14:paraId="7ABC431A">
            <w:pPr>
              <w:rPr>
                <w:rFonts w:ascii="Times New Roman" w:hAnsi="Times New Roman"/>
              </w:rPr>
            </w:pPr>
            <w:r>
              <w:rPr>
                <w:rFonts w:ascii="Times New Roman" w:hAnsi="Times New Roman"/>
              </w:rPr>
              <w:t>系统、详细阐述其投标报价</w:t>
            </w:r>
            <w:r>
              <w:rPr>
                <w:rFonts w:ascii="Times New Roman" w:hAnsi="Times New Roman"/>
                <w:b/>
                <w:bCs/>
              </w:rPr>
              <w:t>是否</w:t>
            </w:r>
            <w:r>
              <w:rPr>
                <w:rFonts w:ascii="Times New Roman" w:hAnsi="Times New Roman"/>
              </w:rPr>
              <w:t>属于“低于成本或者影响履约的异常低价”的理由；承诺投标报价是否改变招标文件规定的统一报价基础，是否降低招标文件要求的设计、技术、质量、安全、耐久、环保、美观和服务等标准，是否增加全寿命周期运行维护次数和成本，是否会延误工期或服务期或供货期，是否愿意接受发包人提出的增加履约担保的要求。</w:t>
            </w:r>
          </w:p>
        </w:tc>
      </w:tr>
      <w:tr w14:paraId="2CE48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pct"/>
            <w:vMerge w:val="restart"/>
            <w:shd w:val="clear" w:color="auto" w:fill="auto"/>
            <w:vAlign w:val="center"/>
          </w:tcPr>
          <w:p w14:paraId="4CAD02C1">
            <w:pPr>
              <w:jc w:val="center"/>
              <w:rPr>
                <w:rFonts w:ascii="Times New Roman" w:hAnsi="Times New Roman"/>
              </w:rPr>
            </w:pPr>
            <w:r>
              <w:rPr>
                <w:rFonts w:ascii="Times New Roman" w:hAnsi="Times New Roman"/>
              </w:rPr>
              <w:t>2.证明材料类</w:t>
            </w:r>
          </w:p>
        </w:tc>
        <w:tc>
          <w:tcPr>
            <w:tcW w:w="994" w:type="pct"/>
            <w:shd w:val="clear" w:color="auto" w:fill="auto"/>
            <w:vAlign w:val="center"/>
          </w:tcPr>
          <w:p w14:paraId="0BCFFC75">
            <w:pPr>
              <w:jc w:val="center"/>
              <w:rPr>
                <w:rFonts w:ascii="Times New Roman" w:hAnsi="Times New Roman"/>
              </w:rPr>
            </w:pPr>
            <w:r>
              <w:rPr>
                <w:rFonts w:ascii="Times New Roman" w:hAnsi="Times New Roman"/>
              </w:rPr>
              <w:t>成本分析表</w:t>
            </w:r>
          </w:p>
        </w:tc>
        <w:tc>
          <w:tcPr>
            <w:tcW w:w="3256" w:type="pct"/>
            <w:shd w:val="clear" w:color="auto" w:fill="auto"/>
            <w:vAlign w:val="center"/>
          </w:tcPr>
          <w:p w14:paraId="60D50713">
            <w:pPr>
              <w:rPr>
                <w:rFonts w:ascii="Times New Roman" w:hAnsi="Times New Roman"/>
              </w:rPr>
            </w:pPr>
            <w:r>
              <w:rPr>
                <w:rFonts w:ascii="Times New Roman" w:hAnsi="Times New Roman"/>
              </w:rPr>
              <w:t>逐项列出投标报价和完成项目预计的人工、材料、机械、管理费、税费等成本，并将投标报价与项目总成本进行对比。</w:t>
            </w:r>
          </w:p>
        </w:tc>
      </w:tr>
      <w:tr w14:paraId="36446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8" w:type="pct"/>
            <w:vMerge w:val="continue"/>
            <w:shd w:val="clear" w:color="auto" w:fill="auto"/>
            <w:vAlign w:val="center"/>
          </w:tcPr>
          <w:p w14:paraId="565BA4C5">
            <w:pPr>
              <w:jc w:val="center"/>
              <w:rPr>
                <w:rFonts w:ascii="Times New Roman" w:hAnsi="Times New Roman"/>
              </w:rPr>
            </w:pPr>
          </w:p>
        </w:tc>
        <w:tc>
          <w:tcPr>
            <w:tcW w:w="994" w:type="pct"/>
            <w:shd w:val="clear" w:color="auto" w:fill="auto"/>
            <w:vAlign w:val="center"/>
          </w:tcPr>
          <w:p w14:paraId="536113C4">
            <w:pPr>
              <w:jc w:val="center"/>
              <w:rPr>
                <w:rFonts w:ascii="Times New Roman" w:hAnsi="Times New Roman"/>
              </w:rPr>
            </w:pPr>
            <w:r>
              <w:rPr>
                <w:rFonts w:ascii="Times New Roman" w:hAnsi="Times New Roman"/>
              </w:rPr>
              <w:t>近期采购发票/合同</w:t>
            </w:r>
          </w:p>
        </w:tc>
        <w:tc>
          <w:tcPr>
            <w:tcW w:w="3256" w:type="pct"/>
            <w:shd w:val="clear" w:color="auto" w:fill="auto"/>
            <w:vAlign w:val="center"/>
          </w:tcPr>
          <w:p w14:paraId="369F95E0">
            <w:pPr>
              <w:rPr>
                <w:rFonts w:ascii="Times New Roman" w:hAnsi="Times New Roman"/>
              </w:rPr>
            </w:pPr>
            <w:r>
              <w:rPr>
                <w:rFonts w:ascii="Times New Roman" w:hAnsi="Times New Roman"/>
              </w:rPr>
              <w:t>提供主要材料、设备的采购发票或合同扫描件，证明实际采购成本并与市场价进行对比。</w:t>
            </w:r>
          </w:p>
        </w:tc>
      </w:tr>
      <w:tr w14:paraId="5CA5E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pct"/>
            <w:vMerge w:val="continue"/>
            <w:shd w:val="clear" w:color="auto" w:fill="auto"/>
            <w:vAlign w:val="center"/>
          </w:tcPr>
          <w:p w14:paraId="5A96C53F">
            <w:pPr>
              <w:jc w:val="center"/>
              <w:rPr>
                <w:rFonts w:ascii="Times New Roman" w:hAnsi="Times New Roman"/>
              </w:rPr>
            </w:pPr>
          </w:p>
        </w:tc>
        <w:tc>
          <w:tcPr>
            <w:tcW w:w="994" w:type="pct"/>
            <w:shd w:val="clear" w:color="auto" w:fill="auto"/>
            <w:vAlign w:val="center"/>
          </w:tcPr>
          <w:p w14:paraId="74D1DB6C">
            <w:pPr>
              <w:jc w:val="center"/>
              <w:rPr>
                <w:rFonts w:ascii="Times New Roman" w:hAnsi="Times New Roman"/>
              </w:rPr>
            </w:pPr>
            <w:r>
              <w:rPr>
                <w:rFonts w:ascii="Times New Roman" w:hAnsi="Times New Roman"/>
              </w:rPr>
              <w:t>人工成本证明</w:t>
            </w:r>
          </w:p>
        </w:tc>
        <w:tc>
          <w:tcPr>
            <w:tcW w:w="3256" w:type="pct"/>
            <w:shd w:val="clear" w:color="auto" w:fill="auto"/>
            <w:vAlign w:val="center"/>
          </w:tcPr>
          <w:p w14:paraId="256A6837">
            <w:pPr>
              <w:rPr>
                <w:rFonts w:ascii="Times New Roman" w:hAnsi="Times New Roman"/>
              </w:rPr>
            </w:pPr>
            <w:r>
              <w:rPr>
                <w:rFonts w:ascii="Times New Roman" w:hAnsi="Times New Roman"/>
              </w:rPr>
              <w:t>拟投入项目人员近1年工资表、社保证明等，证明实际人工成本。</w:t>
            </w:r>
          </w:p>
        </w:tc>
      </w:tr>
      <w:tr w14:paraId="52A3E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pct"/>
            <w:shd w:val="clear" w:color="auto" w:fill="auto"/>
            <w:vAlign w:val="center"/>
          </w:tcPr>
          <w:p w14:paraId="4FEC0342">
            <w:pPr>
              <w:jc w:val="center"/>
              <w:rPr>
                <w:rFonts w:ascii="Times New Roman" w:hAnsi="Times New Roman"/>
              </w:rPr>
            </w:pPr>
            <w:r>
              <w:rPr>
                <w:rFonts w:ascii="Times New Roman" w:hAnsi="Times New Roman"/>
              </w:rPr>
              <w:t>3.证明材料类</w:t>
            </w:r>
          </w:p>
        </w:tc>
        <w:tc>
          <w:tcPr>
            <w:tcW w:w="994" w:type="pct"/>
            <w:shd w:val="clear" w:color="auto" w:fill="auto"/>
            <w:vAlign w:val="center"/>
          </w:tcPr>
          <w:p w14:paraId="06A74DDC">
            <w:pPr>
              <w:jc w:val="center"/>
              <w:rPr>
                <w:rFonts w:ascii="Times New Roman" w:hAnsi="Times New Roman"/>
              </w:rPr>
            </w:pPr>
            <w:r>
              <w:rPr>
                <w:rFonts w:ascii="Times New Roman" w:hAnsi="Times New Roman"/>
              </w:rPr>
              <w:t>近年类似项目业绩</w:t>
            </w:r>
          </w:p>
        </w:tc>
        <w:tc>
          <w:tcPr>
            <w:tcW w:w="3256" w:type="pct"/>
            <w:shd w:val="clear" w:color="auto" w:fill="auto"/>
            <w:vAlign w:val="center"/>
          </w:tcPr>
          <w:p w14:paraId="2B91D961">
            <w:pPr>
              <w:rPr>
                <w:rFonts w:ascii="Times New Roman" w:hAnsi="Times New Roman"/>
              </w:rPr>
            </w:pPr>
            <w:r>
              <w:rPr>
                <w:rFonts w:ascii="Times New Roman" w:hAnsi="Times New Roman"/>
              </w:rPr>
              <w:t>近年完成类似项目的业绩，并说明其成交价或合同价指标与项目投标报价指标的对比关系，提供下列业绩证明材料（包括但不限于）中的一种或多种：网上招标（询比）公告、中标公示的截图和网址、中标通知书、合同协议书、项目完工证明材料（如批复文件、交工验收证书、竣工验收证书、业主出具的履约证明材料等）、交通运输部“全国公路建设市场监督管理系统”截图等</w:t>
            </w:r>
          </w:p>
          <w:p w14:paraId="0927D60E">
            <w:pPr>
              <w:rPr>
                <w:rFonts w:ascii="Times New Roman" w:hAnsi="Times New Roman"/>
              </w:rPr>
            </w:pPr>
            <w:r>
              <w:rPr>
                <w:rFonts w:ascii="Times New Roman" w:hAnsi="Times New Roman"/>
              </w:rPr>
              <w:t>注：类似项目业绩及其证明材料可参考招标文件中“业绩最低要求”的规定。</w:t>
            </w:r>
          </w:p>
        </w:tc>
      </w:tr>
    </w:tbl>
    <w:p w14:paraId="254BA202">
      <w:pPr>
        <w:rPr>
          <w:rFonts w:hint="default" w:ascii="Times New Roman" w:hAnsi="Times New Roman" w:eastAsia="仿宋_GB2312" w:cs="Times New Roman"/>
          <w:i w:val="0"/>
          <w:iCs w:val="0"/>
          <w:color w:val="000000"/>
          <w:kern w:val="0"/>
          <w:sz w:val="32"/>
          <w:szCs w:val="32"/>
          <w:highlight w:val="none"/>
          <w:u w:val="none"/>
          <w:lang w:val="en-US" w:eastAsia="zh-CN" w:bidi="ar"/>
        </w:rPr>
      </w:pPr>
    </w:p>
    <w:p w14:paraId="368DA8D0">
      <w:pPr>
        <w:rPr>
          <w:rFonts w:hint="default" w:ascii="Times New Roman" w:hAnsi="Times New Roman" w:cs="Times New Roman"/>
          <w:color w:val="000000"/>
        </w:rPr>
      </w:pPr>
    </w:p>
    <w:sectPr>
      <w:pgSz w:w="11907" w:h="16840"/>
      <w:pgMar w:top="1588" w:right="1474" w:bottom="1701" w:left="153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 w:name="MS PGothic">
    <w:panose1 w:val="020B0600070205080204"/>
    <w:charset w:val="80"/>
    <w:family w:val="swiss"/>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EA2B1">
    <w:pPr>
      <w:jc w:val="center"/>
    </w:pPr>
    <w:r>
      <w:fldChar w:fldCharType="begin"/>
    </w:r>
    <w:r>
      <w:instrText xml:space="preserve"> PAGE </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26141">
    <w:pPr>
      <w:jc w:val="center"/>
    </w:pPr>
    <w:r>
      <w:fldChar w:fldCharType="begin"/>
    </w:r>
    <w:r>
      <w:instrText xml:space="preserve"> PAGE </w:instrText>
    </w:r>
    <w:r>
      <w:fldChar w:fldCharType="separate"/>
    </w:r>
    <w:r>
      <w:t>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EA6D1">
    <w:pPr>
      <w:jc w:val="center"/>
    </w:pPr>
    <w:r>
      <w:fldChar w:fldCharType="begin"/>
    </w:r>
    <w:r>
      <w:instrText xml:space="preserve"> PAGE </w:instrText>
    </w:r>
    <w:r>
      <w:fldChar w:fldCharType="separate"/>
    </w:r>
    <w:r>
      <w:t>35</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4126A">
    <w:pPr>
      <w:jc w:val="center"/>
    </w:pPr>
    <w:r>
      <w:fldChar w:fldCharType="begin"/>
    </w:r>
    <w:r>
      <w:instrText xml:space="preserve"> PAGE </w:instrText>
    </w:r>
    <w:r>
      <w:fldChar w:fldCharType="separate"/>
    </w:r>
    <w:r>
      <w:t>37</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AD846">
    <w:pPr>
      <w:jc w:val="center"/>
    </w:pPr>
    <w:r>
      <w:fldChar w:fldCharType="begin"/>
    </w:r>
    <w:r>
      <w:instrText xml:space="preserve"> PAGE </w:instrText>
    </w:r>
    <w:r>
      <w:fldChar w:fldCharType="separate"/>
    </w:r>
    <w:r>
      <w:t>40</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74575">
    <w:pPr>
      <w:pStyle w:val="32"/>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1D47BEA">
                          <w:pPr>
                            <w:pStyle w:val="3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wVircYBAACb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SkjuhvD5HGyNMl1BGKWCWH3izzm/YrLcVjP1c9/FO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bBWKtxgEAAJsDAAAOAAAAAAAAAAEAIAAAAB4BAABkcnMvZTJvRG9jLnht&#10;bFBLBQYAAAAABgAGAFkBAABWBQAAAAA=&#10;">
              <v:fill on="f" focussize="0,0"/>
              <v:stroke on="f"/>
              <v:imagedata o:title=""/>
              <o:lock v:ext="edit" aspectratio="f"/>
              <v:textbox inset="0mm,0mm,0mm,0mm" style="mso-fit-shape-to-text:t;">
                <w:txbxContent>
                  <w:p w14:paraId="01D47BEA">
                    <w:pPr>
                      <w:pStyle w:val="3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2221C">
    <w:pPr>
      <w:jc w:val="center"/>
    </w:pPr>
    <w:r>
      <w:fldChar w:fldCharType="begin"/>
    </w:r>
    <w:r>
      <w:instrText xml:space="preserve"> PAGE </w:instrText>
    </w:r>
    <w:r>
      <w:fldChar w:fldCharType="separate"/>
    </w:r>
    <w:r>
      <w:t>48</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B8119">
    <w:pPr>
      <w:pStyle w:val="3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160A036">
                          <w:pPr>
                            <w:pStyle w:val="3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HaDCsYBAACb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SkjuhvD5HGyNMl1BGKWCWH3izzm/YrLcVjP1c9/FO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sdoMKxgEAAJsDAAAOAAAAAAAAAAEAIAAAAB4BAABkcnMvZTJvRG9jLnht&#10;bFBLBQYAAAAABgAGAFkBAABWBQAAAAA=&#10;">
              <v:fill on="f" focussize="0,0"/>
              <v:stroke on="f"/>
              <v:imagedata o:title=""/>
              <o:lock v:ext="edit" aspectratio="f"/>
              <v:textbox inset="0mm,0mm,0mm,0mm" style="mso-fit-shape-to-text:t;">
                <w:txbxContent>
                  <w:p w14:paraId="0160A036">
                    <w:pPr>
                      <w:pStyle w:val="3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8F876">
    <w:pPr>
      <w:jc w:val="center"/>
    </w:pPr>
    <w:r>
      <w:fldChar w:fldCharType="begin"/>
    </w:r>
    <w:r>
      <w:instrText xml:space="preserve"> PAGE </w:instrText>
    </w:r>
    <w:r>
      <w:fldChar w:fldCharType="separate"/>
    </w:r>
    <w:r>
      <w:t>50</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26706">
    <w:pPr>
      <w:jc w:val="center"/>
    </w:pPr>
    <w:r>
      <w:fldChar w:fldCharType="begin"/>
    </w:r>
    <w:r>
      <w:instrText xml:space="preserve"> PAGE </w:instrText>
    </w:r>
    <w:r>
      <w:fldChar w:fldCharType="separate"/>
    </w:r>
    <w:r>
      <w:t>61</w:t>
    </w:r>
    <w: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B4101">
    <w:pPr>
      <w:jc w:val="center"/>
    </w:pPr>
    <w:r>
      <w:fldChar w:fldCharType="begin"/>
    </w:r>
    <w:r>
      <w:instrText xml:space="preserve"> PAGE </w:instrText>
    </w:r>
    <w:r>
      <w:fldChar w:fldCharType="separate"/>
    </w:r>
    <w:r>
      <w:t>96</w:t>
    </w:r>
    <w: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44BE2">
    <w:pPr>
      <w:jc w:val="center"/>
    </w:pPr>
    <w:r>
      <w:fldChar w:fldCharType="begin"/>
    </w:r>
    <w:r>
      <w:instrText xml:space="preserve"> PAGE </w:instrText>
    </w:r>
    <w:r>
      <w:fldChar w:fldCharType="separate"/>
    </w:r>
    <w:r>
      <w:t>99</w:t>
    </w:r>
    <w: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B3DB">
    <w:pPr>
      <w:pStyle w:val="32"/>
      <w:rPr>
        <w:rStyle w:val="20"/>
      </w:rPr>
    </w:pPr>
    <w:r>
      <w:fldChar w:fldCharType="begin"/>
    </w:r>
    <w:r>
      <w:rPr>
        <w:rStyle w:val="20"/>
        <w:highlight w:val="white"/>
      </w:rPr>
      <w:instrText xml:space="preserve">PAGE  </w:instrText>
    </w:r>
    <w:r>
      <w:fldChar w:fldCharType="separate"/>
    </w:r>
    <w:r>
      <w:fldChar w:fldCharType="end"/>
    </w:r>
  </w:p>
  <w:p w14:paraId="5C570D05">
    <w:pPr>
      <w:pStyle w:val="32"/>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B1FD2">
    <w:pPr>
      <w:jc w:val="center"/>
    </w:pPr>
    <w:r>
      <w:fldChar w:fldCharType="begin"/>
    </w:r>
    <w:r>
      <w:instrText xml:space="preserve"> PAGE </w:instrText>
    </w:r>
    <w:r>
      <w:fldChar w:fldCharType="separate"/>
    </w:r>
    <w:r>
      <w:t>103</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B4425">
    <w:pPr>
      <w:jc w:val="center"/>
    </w:pPr>
    <w:r>
      <w:fldChar w:fldCharType="begin"/>
    </w:r>
    <w:r>
      <w:instrText xml:space="preserve"> PAGE </w:instrText>
    </w:r>
    <w:r>
      <w:fldChar w:fldCharType="separate"/>
    </w:r>
    <w:r>
      <w:t>119</w:t>
    </w:r>
    <w: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46BAE">
    <w:pPr>
      <w:jc w:val="center"/>
    </w:pPr>
    <w:r>
      <w:fldChar w:fldCharType="begin"/>
    </w:r>
    <w:r>
      <w:instrText xml:space="preserve"> PAGE </w:instrText>
    </w:r>
    <w:r>
      <w:fldChar w:fldCharType="separate"/>
    </w:r>
    <w:r>
      <w:t>134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C6C111"/>
    <w:multiLevelType w:val="singleLevel"/>
    <w:tmpl w:val="83C6C111"/>
    <w:lvl w:ilvl="0" w:tentative="0">
      <w:start w:val="2"/>
      <w:numFmt w:val="decimal"/>
      <w:suff w:val="nothing"/>
      <w:lvlText w:val="（%1）"/>
      <w:lvlJc w:val="left"/>
    </w:lvl>
  </w:abstractNum>
  <w:abstractNum w:abstractNumId="1">
    <w:nsid w:val="9FF3C136"/>
    <w:multiLevelType w:val="singleLevel"/>
    <w:tmpl w:val="9FF3C136"/>
    <w:lvl w:ilvl="0" w:tentative="0">
      <w:start w:val="1"/>
      <w:numFmt w:val="decimal"/>
      <w:suff w:val="nothing"/>
      <w:lvlText w:val="（%1）"/>
      <w:lvlJc w:val="left"/>
    </w:lvl>
  </w:abstractNum>
  <w:abstractNum w:abstractNumId="2">
    <w:nsid w:val="B0D79C93"/>
    <w:multiLevelType w:val="singleLevel"/>
    <w:tmpl w:val="B0D79C93"/>
    <w:lvl w:ilvl="0" w:tentative="0">
      <w:start w:val="3"/>
      <w:numFmt w:val="chineseCounting"/>
      <w:suff w:val="nothing"/>
      <w:lvlText w:val="%1、"/>
      <w:lvlJc w:val="left"/>
      <w:rPr>
        <w:rFonts w:hint="eastAsia"/>
      </w:rPr>
    </w:lvl>
  </w:abstractNum>
  <w:abstractNum w:abstractNumId="3">
    <w:nsid w:val="B7714521"/>
    <w:multiLevelType w:val="singleLevel"/>
    <w:tmpl w:val="B7714521"/>
    <w:lvl w:ilvl="0" w:tentative="0">
      <w:start w:val="18"/>
      <w:numFmt w:val="decimal"/>
      <w:suff w:val="space"/>
      <w:lvlText w:val="%1."/>
      <w:lvlJc w:val="left"/>
    </w:lvl>
  </w:abstractNum>
  <w:abstractNum w:abstractNumId="4">
    <w:nsid w:val="D8BE80A8"/>
    <w:multiLevelType w:val="singleLevel"/>
    <w:tmpl w:val="D8BE80A8"/>
    <w:lvl w:ilvl="0" w:tentative="0">
      <w:start w:val="6"/>
      <w:numFmt w:val="decimal"/>
      <w:suff w:val="space"/>
      <w:lvlText w:val="(%1)"/>
      <w:lvlJc w:val="left"/>
    </w:lvl>
  </w:abstractNum>
  <w:abstractNum w:abstractNumId="5">
    <w:nsid w:val="DD584990"/>
    <w:multiLevelType w:val="singleLevel"/>
    <w:tmpl w:val="DD584990"/>
    <w:lvl w:ilvl="0" w:tentative="0">
      <w:start w:val="4"/>
      <w:numFmt w:val="chineseCounting"/>
      <w:suff w:val="space"/>
      <w:lvlText w:val="第%1章"/>
      <w:lvlJc w:val="left"/>
      <w:rPr>
        <w:rFonts w:hint="eastAsia"/>
      </w:rPr>
    </w:lvl>
  </w:abstractNum>
  <w:abstractNum w:abstractNumId="6">
    <w:nsid w:val="EE8A3F83"/>
    <w:multiLevelType w:val="singleLevel"/>
    <w:tmpl w:val="EE8A3F83"/>
    <w:lvl w:ilvl="0" w:tentative="0">
      <w:start w:val="3"/>
      <w:numFmt w:val="decimal"/>
      <w:suff w:val="nothing"/>
      <w:lvlText w:val="%1、"/>
      <w:lvlJc w:val="left"/>
    </w:lvl>
  </w:abstractNum>
  <w:abstractNum w:abstractNumId="7">
    <w:nsid w:val="FD3CFBC1"/>
    <w:multiLevelType w:val="singleLevel"/>
    <w:tmpl w:val="FD3CFBC1"/>
    <w:lvl w:ilvl="0" w:tentative="0">
      <w:start w:val="1"/>
      <w:numFmt w:val="decimal"/>
      <w:suff w:val="nothing"/>
      <w:lvlText w:val="（%1）"/>
      <w:lvlJc w:val="left"/>
    </w:lvl>
  </w:abstractNum>
  <w:abstractNum w:abstractNumId="8">
    <w:nsid w:val="FF033AF3"/>
    <w:multiLevelType w:val="singleLevel"/>
    <w:tmpl w:val="FF033AF3"/>
    <w:lvl w:ilvl="0" w:tentative="0">
      <w:start w:val="2"/>
      <w:numFmt w:val="decimal"/>
      <w:suff w:val="nothing"/>
      <w:lvlText w:val="%1、"/>
      <w:lvlJc w:val="left"/>
    </w:lvl>
  </w:abstractNum>
  <w:abstractNum w:abstractNumId="9">
    <w:nsid w:val="1217B3D8"/>
    <w:multiLevelType w:val="singleLevel"/>
    <w:tmpl w:val="1217B3D8"/>
    <w:lvl w:ilvl="0" w:tentative="0">
      <w:start w:val="1"/>
      <w:numFmt w:val="decimal"/>
      <w:suff w:val="nothing"/>
      <w:lvlText w:val="%1、"/>
      <w:lvlJc w:val="left"/>
    </w:lvl>
  </w:abstractNum>
  <w:abstractNum w:abstractNumId="10">
    <w:nsid w:val="175FB90A"/>
    <w:multiLevelType w:val="singleLevel"/>
    <w:tmpl w:val="175FB90A"/>
    <w:lvl w:ilvl="0" w:tentative="0">
      <w:start w:val="1"/>
      <w:numFmt w:val="decimal"/>
      <w:suff w:val="nothing"/>
      <w:lvlText w:val="%1、"/>
      <w:lvlJc w:val="left"/>
    </w:lvl>
  </w:abstractNum>
  <w:num w:numId="1">
    <w:abstractNumId w:val="10"/>
  </w:num>
  <w:num w:numId="2">
    <w:abstractNumId w:val="6"/>
  </w:num>
  <w:num w:numId="3">
    <w:abstractNumId w:val="7"/>
  </w:num>
  <w:num w:numId="4">
    <w:abstractNumId w:val="5"/>
  </w:num>
  <w:num w:numId="5">
    <w:abstractNumId w:val="0"/>
  </w:num>
  <w:num w:numId="6">
    <w:abstractNumId w:val="4"/>
  </w:num>
  <w:num w:numId="7">
    <w:abstractNumId w:val="8"/>
  </w:num>
  <w:num w:numId="8">
    <w:abstractNumId w:val="3"/>
  </w:num>
  <w:num w:numId="9">
    <w:abstractNumId w:val="1"/>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0"/>
  <w:bordersDoNotSurroundFooter w:val="0"/>
  <w:doNotTrackMoves/>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BhMzViMzAyZmIxNzkyNTg1MzE4YTM1NzI3YjExMjAifQ=="/>
  </w:docVars>
  <w:rsids>
    <w:rsidRoot w:val="00172A27"/>
    <w:rsid w:val="00172A27"/>
    <w:rsid w:val="001A482F"/>
    <w:rsid w:val="003E2F6D"/>
    <w:rsid w:val="005C0481"/>
    <w:rsid w:val="00892918"/>
    <w:rsid w:val="009E33E5"/>
    <w:rsid w:val="00AD1A63"/>
    <w:rsid w:val="00F307AC"/>
    <w:rsid w:val="01471A1A"/>
    <w:rsid w:val="017A364F"/>
    <w:rsid w:val="02781BC8"/>
    <w:rsid w:val="029403CC"/>
    <w:rsid w:val="0350044F"/>
    <w:rsid w:val="037D6689"/>
    <w:rsid w:val="03C77106"/>
    <w:rsid w:val="03DB406F"/>
    <w:rsid w:val="04144862"/>
    <w:rsid w:val="0462239E"/>
    <w:rsid w:val="047168CE"/>
    <w:rsid w:val="055B3041"/>
    <w:rsid w:val="055C3ECE"/>
    <w:rsid w:val="057A07C8"/>
    <w:rsid w:val="06A23A8A"/>
    <w:rsid w:val="06D26B22"/>
    <w:rsid w:val="06EA035C"/>
    <w:rsid w:val="079A766B"/>
    <w:rsid w:val="081D013D"/>
    <w:rsid w:val="09AF4068"/>
    <w:rsid w:val="0A497AE9"/>
    <w:rsid w:val="0A546CFD"/>
    <w:rsid w:val="0A6C2079"/>
    <w:rsid w:val="0AC67B50"/>
    <w:rsid w:val="0B9E52ED"/>
    <w:rsid w:val="0BD01549"/>
    <w:rsid w:val="0BDF3257"/>
    <w:rsid w:val="0BFA16A0"/>
    <w:rsid w:val="0D256EAD"/>
    <w:rsid w:val="0E9700E0"/>
    <w:rsid w:val="0EC07213"/>
    <w:rsid w:val="102A692C"/>
    <w:rsid w:val="106F1104"/>
    <w:rsid w:val="11A31180"/>
    <w:rsid w:val="12D8297F"/>
    <w:rsid w:val="1369188E"/>
    <w:rsid w:val="13812A3C"/>
    <w:rsid w:val="14D94DA0"/>
    <w:rsid w:val="14F204B6"/>
    <w:rsid w:val="14F75672"/>
    <w:rsid w:val="15C0056F"/>
    <w:rsid w:val="176B4E8E"/>
    <w:rsid w:val="17FD064B"/>
    <w:rsid w:val="18B729E3"/>
    <w:rsid w:val="19396FF4"/>
    <w:rsid w:val="1A9F0553"/>
    <w:rsid w:val="1ADD0159"/>
    <w:rsid w:val="1AF244A1"/>
    <w:rsid w:val="1B7A20B5"/>
    <w:rsid w:val="1BFB4C31"/>
    <w:rsid w:val="1C06241C"/>
    <w:rsid w:val="1C7C01F8"/>
    <w:rsid w:val="1D8C3F3F"/>
    <w:rsid w:val="1DB405F2"/>
    <w:rsid w:val="1DE85773"/>
    <w:rsid w:val="1E2A55D5"/>
    <w:rsid w:val="1E751760"/>
    <w:rsid w:val="1E764A4A"/>
    <w:rsid w:val="1E8361DE"/>
    <w:rsid w:val="1EB94248"/>
    <w:rsid w:val="1EEB3B84"/>
    <w:rsid w:val="1EF73626"/>
    <w:rsid w:val="1F5C3FAB"/>
    <w:rsid w:val="1F736C64"/>
    <w:rsid w:val="1FC02ABD"/>
    <w:rsid w:val="20285BD2"/>
    <w:rsid w:val="207378E7"/>
    <w:rsid w:val="20E701EC"/>
    <w:rsid w:val="21B36340"/>
    <w:rsid w:val="222257E7"/>
    <w:rsid w:val="22613FDF"/>
    <w:rsid w:val="226212EF"/>
    <w:rsid w:val="22871000"/>
    <w:rsid w:val="229F608F"/>
    <w:rsid w:val="23CD56C2"/>
    <w:rsid w:val="23DF1969"/>
    <w:rsid w:val="24803268"/>
    <w:rsid w:val="24AA76C1"/>
    <w:rsid w:val="250A6CEA"/>
    <w:rsid w:val="251E2FFA"/>
    <w:rsid w:val="255C3DD1"/>
    <w:rsid w:val="25BB134F"/>
    <w:rsid w:val="270D5CE3"/>
    <w:rsid w:val="27474077"/>
    <w:rsid w:val="286D57B9"/>
    <w:rsid w:val="29216505"/>
    <w:rsid w:val="294F1177"/>
    <w:rsid w:val="2A0D1C4E"/>
    <w:rsid w:val="2AB45EF2"/>
    <w:rsid w:val="2AEB34F8"/>
    <w:rsid w:val="2B3D7387"/>
    <w:rsid w:val="2B831F18"/>
    <w:rsid w:val="2B9B1DA9"/>
    <w:rsid w:val="2BC63561"/>
    <w:rsid w:val="2C353122"/>
    <w:rsid w:val="2DA825F3"/>
    <w:rsid w:val="2DC653EF"/>
    <w:rsid w:val="2DD91CEF"/>
    <w:rsid w:val="2E3229BF"/>
    <w:rsid w:val="2EAE09B1"/>
    <w:rsid w:val="2F3923A4"/>
    <w:rsid w:val="2F3F32ED"/>
    <w:rsid w:val="2F534BB1"/>
    <w:rsid w:val="302728B0"/>
    <w:rsid w:val="3084395D"/>
    <w:rsid w:val="30CA6005"/>
    <w:rsid w:val="30EB76EA"/>
    <w:rsid w:val="311367F5"/>
    <w:rsid w:val="31A57E4B"/>
    <w:rsid w:val="31D01827"/>
    <w:rsid w:val="31F64EF1"/>
    <w:rsid w:val="3295566A"/>
    <w:rsid w:val="329E230D"/>
    <w:rsid w:val="33185FE3"/>
    <w:rsid w:val="332F361D"/>
    <w:rsid w:val="34240BED"/>
    <w:rsid w:val="3474317A"/>
    <w:rsid w:val="347B4A7C"/>
    <w:rsid w:val="351914CF"/>
    <w:rsid w:val="35D60881"/>
    <w:rsid w:val="36B14D87"/>
    <w:rsid w:val="36C01D35"/>
    <w:rsid w:val="39AB4F61"/>
    <w:rsid w:val="3AA840F1"/>
    <w:rsid w:val="3ABB565F"/>
    <w:rsid w:val="3AC76510"/>
    <w:rsid w:val="3B131D77"/>
    <w:rsid w:val="3C2A4766"/>
    <w:rsid w:val="3D7A7FC6"/>
    <w:rsid w:val="3E364A1F"/>
    <w:rsid w:val="3E3A53FD"/>
    <w:rsid w:val="3E4558D8"/>
    <w:rsid w:val="3E7762B4"/>
    <w:rsid w:val="3F060155"/>
    <w:rsid w:val="3FF035A1"/>
    <w:rsid w:val="40162AEE"/>
    <w:rsid w:val="40D64014"/>
    <w:rsid w:val="41705401"/>
    <w:rsid w:val="42525558"/>
    <w:rsid w:val="42A55FF5"/>
    <w:rsid w:val="43035784"/>
    <w:rsid w:val="432B323A"/>
    <w:rsid w:val="4368266F"/>
    <w:rsid w:val="43A22025"/>
    <w:rsid w:val="441569E5"/>
    <w:rsid w:val="44775260"/>
    <w:rsid w:val="449369D8"/>
    <w:rsid w:val="455940C4"/>
    <w:rsid w:val="46870E7A"/>
    <w:rsid w:val="46A14D0F"/>
    <w:rsid w:val="46E819F7"/>
    <w:rsid w:val="46FB3381"/>
    <w:rsid w:val="4709042E"/>
    <w:rsid w:val="472D798D"/>
    <w:rsid w:val="47B13E8A"/>
    <w:rsid w:val="47EC3C3C"/>
    <w:rsid w:val="48334FC1"/>
    <w:rsid w:val="489128AC"/>
    <w:rsid w:val="48943D3D"/>
    <w:rsid w:val="49393EFC"/>
    <w:rsid w:val="496A7870"/>
    <w:rsid w:val="49B30571"/>
    <w:rsid w:val="49E40E99"/>
    <w:rsid w:val="4A286DF8"/>
    <w:rsid w:val="4AA1516F"/>
    <w:rsid w:val="4AE85CC1"/>
    <w:rsid w:val="4B28049E"/>
    <w:rsid w:val="4B73416A"/>
    <w:rsid w:val="4B797B0F"/>
    <w:rsid w:val="4C0370A2"/>
    <w:rsid w:val="4C880A83"/>
    <w:rsid w:val="4C983A2B"/>
    <w:rsid w:val="4CB24246"/>
    <w:rsid w:val="4CD8103B"/>
    <w:rsid w:val="4D304AE4"/>
    <w:rsid w:val="4DBB4F96"/>
    <w:rsid w:val="4DF31D33"/>
    <w:rsid w:val="4E7C529D"/>
    <w:rsid w:val="4EBB3543"/>
    <w:rsid w:val="50116791"/>
    <w:rsid w:val="504F565C"/>
    <w:rsid w:val="52202488"/>
    <w:rsid w:val="52945927"/>
    <w:rsid w:val="52EA5079"/>
    <w:rsid w:val="53155AE4"/>
    <w:rsid w:val="54C85298"/>
    <w:rsid w:val="551E1924"/>
    <w:rsid w:val="555E5DA9"/>
    <w:rsid w:val="56551771"/>
    <w:rsid w:val="5655764B"/>
    <w:rsid w:val="574163BB"/>
    <w:rsid w:val="57A36DA3"/>
    <w:rsid w:val="57C47FA8"/>
    <w:rsid w:val="59C540CD"/>
    <w:rsid w:val="5A2606D9"/>
    <w:rsid w:val="5A7D47FA"/>
    <w:rsid w:val="5AC7625E"/>
    <w:rsid w:val="5B124244"/>
    <w:rsid w:val="5BBF6003"/>
    <w:rsid w:val="5C6421D6"/>
    <w:rsid w:val="5CF33D5A"/>
    <w:rsid w:val="5E003615"/>
    <w:rsid w:val="5E2676F1"/>
    <w:rsid w:val="5E602952"/>
    <w:rsid w:val="5E8F1AAC"/>
    <w:rsid w:val="5F456931"/>
    <w:rsid w:val="5F5A48FD"/>
    <w:rsid w:val="605C1B78"/>
    <w:rsid w:val="60CD4AEB"/>
    <w:rsid w:val="60E4071A"/>
    <w:rsid w:val="611C2610"/>
    <w:rsid w:val="61AD5C5F"/>
    <w:rsid w:val="6253495C"/>
    <w:rsid w:val="62787D3D"/>
    <w:rsid w:val="62AB67B8"/>
    <w:rsid w:val="62CD0B47"/>
    <w:rsid w:val="62D6158F"/>
    <w:rsid w:val="6322114A"/>
    <w:rsid w:val="633C3C00"/>
    <w:rsid w:val="63436B4C"/>
    <w:rsid w:val="637235AC"/>
    <w:rsid w:val="63F67670"/>
    <w:rsid w:val="64005E34"/>
    <w:rsid w:val="64A82DBC"/>
    <w:rsid w:val="64C75CAC"/>
    <w:rsid w:val="64EF4F72"/>
    <w:rsid w:val="652E1513"/>
    <w:rsid w:val="655E3810"/>
    <w:rsid w:val="65AF582F"/>
    <w:rsid w:val="65B02927"/>
    <w:rsid w:val="65C509C0"/>
    <w:rsid w:val="66D50FB6"/>
    <w:rsid w:val="67F93B33"/>
    <w:rsid w:val="680226D8"/>
    <w:rsid w:val="68643864"/>
    <w:rsid w:val="68EF329A"/>
    <w:rsid w:val="6A5D4FB0"/>
    <w:rsid w:val="6B056D74"/>
    <w:rsid w:val="6CFE23BC"/>
    <w:rsid w:val="6D071A94"/>
    <w:rsid w:val="6D19440C"/>
    <w:rsid w:val="6D550150"/>
    <w:rsid w:val="6D5A61D4"/>
    <w:rsid w:val="6DDF7A4E"/>
    <w:rsid w:val="6E49787B"/>
    <w:rsid w:val="6E70494A"/>
    <w:rsid w:val="6FA276EE"/>
    <w:rsid w:val="6FF3264A"/>
    <w:rsid w:val="706F1F33"/>
    <w:rsid w:val="72B32090"/>
    <w:rsid w:val="72BE4269"/>
    <w:rsid w:val="72C14886"/>
    <w:rsid w:val="731A0879"/>
    <w:rsid w:val="738B173F"/>
    <w:rsid w:val="74620E6C"/>
    <w:rsid w:val="75550D0E"/>
    <w:rsid w:val="763D6FA5"/>
    <w:rsid w:val="76A742FA"/>
    <w:rsid w:val="77034052"/>
    <w:rsid w:val="770C64E5"/>
    <w:rsid w:val="7718155D"/>
    <w:rsid w:val="77932612"/>
    <w:rsid w:val="77AB5A08"/>
    <w:rsid w:val="77D90D2A"/>
    <w:rsid w:val="78493DDD"/>
    <w:rsid w:val="78BF51AC"/>
    <w:rsid w:val="78F020C3"/>
    <w:rsid w:val="7AB30AD1"/>
    <w:rsid w:val="7B741217"/>
    <w:rsid w:val="7C135CC7"/>
    <w:rsid w:val="7C156429"/>
    <w:rsid w:val="7CE24C65"/>
    <w:rsid w:val="7D491C7B"/>
    <w:rsid w:val="7E117F6D"/>
    <w:rsid w:val="7E823152"/>
    <w:rsid w:val="7E995780"/>
    <w:rsid w:val="7EA5042C"/>
    <w:rsid w:val="7EC6559B"/>
    <w:rsid w:val="7F117328"/>
    <w:rsid w:val="DFFE73BF"/>
    <w:rsid w:val="FECF6D1D"/>
    <w:rsid w:val="FFBB2DC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overflowPunct w:val="0"/>
      <w:adjustRightInd w:val="0"/>
      <w:snapToGrid w:val="0"/>
      <w:spacing w:before="340" w:after="330"/>
      <w:jc w:val="center"/>
      <w:outlineLvl w:val="0"/>
    </w:pPr>
    <w:rPr>
      <w:rFonts w:ascii="宋体" w:hAnsi="宋体"/>
      <w:b/>
      <w:kern w:val="0"/>
      <w:sz w:val="44"/>
      <w:szCs w:val="44"/>
    </w:rPr>
  </w:style>
  <w:style w:type="paragraph" w:styleId="3">
    <w:name w:val="heading 2"/>
    <w:basedOn w:val="1"/>
    <w:next w:val="4"/>
    <w:qFormat/>
    <w:uiPriority w:val="0"/>
    <w:pPr>
      <w:spacing w:line="600" w:lineRule="exact"/>
      <w:contextualSpacing/>
      <w:jc w:val="center"/>
      <w:outlineLvl w:val="1"/>
    </w:pPr>
    <w:rPr>
      <w:rFonts w:ascii="宋体" w:hAnsi="宋体"/>
      <w:b/>
      <w:bCs/>
      <w:sz w:val="28"/>
      <w:szCs w:val="28"/>
    </w:rPr>
  </w:style>
  <w:style w:type="paragraph" w:styleId="5">
    <w:name w:val="heading 3"/>
    <w:basedOn w:val="1"/>
    <w:next w:val="6"/>
    <w:qFormat/>
    <w:uiPriority w:val="0"/>
    <w:pPr>
      <w:keepNext/>
      <w:keepLines/>
      <w:spacing w:after="120" w:line="500" w:lineRule="exact"/>
      <w:jc w:val="left"/>
      <w:outlineLvl w:val="2"/>
    </w:pPr>
    <w:rPr>
      <w:rFonts w:ascii="宋体" w:hAnsi="宋体"/>
      <w:b/>
      <w:bCs/>
      <w:sz w:val="24"/>
      <w:szCs w:val="24"/>
    </w:rPr>
  </w:style>
  <w:style w:type="paragraph" w:styleId="7">
    <w:name w:val="heading 4"/>
    <w:basedOn w:val="1"/>
    <w:next w:val="6"/>
    <w:qFormat/>
    <w:uiPriority w:val="0"/>
    <w:pPr>
      <w:spacing w:before="240"/>
      <w:ind w:firstLine="425" w:firstLineChars="177"/>
      <w:jc w:val="left"/>
      <w:outlineLvl w:val="3"/>
    </w:pPr>
    <w:rPr>
      <w:rFonts w:ascii="宋体" w:hAnsi="宋体"/>
      <w:sz w:val="24"/>
      <w:szCs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99"/>
    <w:pPr>
      <w:ind w:firstLine="420" w:firstLineChars="200"/>
    </w:pPr>
  </w:style>
  <w:style w:type="paragraph" w:customStyle="1" w:styleId="6">
    <w:name w:val="Normal_0"/>
    <w:qFormat/>
    <w:uiPriority w:val="0"/>
    <w:pPr>
      <w:widowControl w:val="0"/>
      <w:jc w:val="both"/>
    </w:pPr>
    <w:rPr>
      <w:rFonts w:ascii="Calibri" w:hAnsi="Calibri" w:eastAsia="宋体" w:cs="Times New Roman"/>
      <w:kern w:val="2"/>
      <w:sz w:val="21"/>
      <w:szCs w:val="22"/>
      <w:lang w:val="en-US" w:eastAsia="zh-CN" w:bidi="ar-SA"/>
    </w:rPr>
  </w:style>
  <w:style w:type="paragraph" w:styleId="8">
    <w:name w:val="annotation text"/>
    <w:basedOn w:val="1"/>
    <w:qFormat/>
    <w:uiPriority w:val="0"/>
    <w:pPr>
      <w:jc w:val="left"/>
    </w:pPr>
    <w:rPr>
      <w:rFonts w:ascii="Times New Roman" w:hAnsi="Times New Roman"/>
      <w:szCs w:val="21"/>
    </w:rPr>
  </w:style>
  <w:style w:type="paragraph" w:styleId="9">
    <w:name w:val="Body Text"/>
    <w:basedOn w:val="1"/>
    <w:qFormat/>
    <w:uiPriority w:val="0"/>
    <w:pPr>
      <w:spacing w:after="120"/>
    </w:pPr>
    <w:rPr>
      <w:rFonts w:ascii="宋体" w:hAnsi="宋体"/>
      <w:szCs w:val="21"/>
    </w:rPr>
  </w:style>
  <w:style w:type="paragraph" w:styleId="10">
    <w:name w:val="Balloon Text"/>
    <w:basedOn w:val="1"/>
    <w:semiHidden/>
    <w:unhideWhenUsed/>
    <w:qFormat/>
    <w:uiPriority w:val="99"/>
    <w:rPr>
      <w:sz w:val="18"/>
      <w:szCs w:val="18"/>
    </w:rPr>
  </w:style>
  <w:style w:type="paragraph" w:styleId="11">
    <w:name w:val="footer"/>
    <w:basedOn w:val="1"/>
    <w:qFormat/>
    <w:uiPriority w:val="0"/>
    <w:pPr>
      <w:tabs>
        <w:tab w:val="center" w:pos="4153"/>
        <w:tab w:val="right" w:pos="8306"/>
      </w:tabs>
      <w:snapToGrid w:val="0"/>
      <w:jc w:val="left"/>
    </w:pPr>
    <w:rPr>
      <w:rFonts w:ascii="Times New Roman" w:hAnsi="Times New Roman"/>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39"/>
    <w:pPr>
      <w:tabs>
        <w:tab w:val="right" w:leader="dot" w:pos="8296"/>
      </w:tabs>
      <w:ind w:left="2" w:leftChars="1"/>
    </w:pPr>
    <w:rPr>
      <w:rFonts w:ascii="Times New Roman" w:hAnsi="Times New Roman"/>
      <w:szCs w:val="20"/>
    </w:rPr>
  </w:style>
  <w:style w:type="paragraph" w:styleId="14">
    <w:name w:val="footnote text"/>
    <w:basedOn w:val="1"/>
    <w:qFormat/>
    <w:uiPriority w:val="0"/>
    <w:pPr>
      <w:snapToGrid w:val="0"/>
      <w:jc w:val="left"/>
    </w:pPr>
    <w:rPr>
      <w:rFonts w:ascii="Times New Roman" w:hAnsi="Times New Roman"/>
      <w:sz w:val="18"/>
      <w:szCs w:val="18"/>
    </w:rPr>
  </w:style>
  <w:style w:type="paragraph" w:styleId="15">
    <w:name w:val="toc 2"/>
    <w:basedOn w:val="1"/>
    <w:next w:val="1"/>
    <w:qFormat/>
    <w:uiPriority w:val="39"/>
    <w:pPr>
      <w:tabs>
        <w:tab w:val="right" w:leader="dot" w:pos="8296"/>
      </w:tabs>
      <w:ind w:left="200" w:leftChars="200"/>
    </w:pPr>
    <w:rPr>
      <w:sz w:val="24"/>
    </w:rPr>
  </w:style>
  <w:style w:type="paragraph" w:styleId="16">
    <w:name w:val="Normal (Web)"/>
    <w:basedOn w:val="1"/>
    <w:qFormat/>
    <w:uiPriority w:val="99"/>
    <w:pPr>
      <w:widowControl/>
      <w:spacing w:before="100" w:beforeAutospacing="1" w:after="100" w:afterAutospacing="1"/>
      <w:jc w:val="left"/>
    </w:pPr>
    <w:rPr>
      <w:rFonts w:ascii="宋体" w:hAnsi="宋体"/>
      <w:color w:val="000000"/>
      <w:kern w:val="0"/>
      <w:sz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qFormat/>
    <w:uiPriority w:val="0"/>
  </w:style>
  <w:style w:type="character" w:styleId="21">
    <w:name w:val="Hyperlink"/>
    <w:qFormat/>
    <w:uiPriority w:val="0"/>
    <w:rPr>
      <w:color w:val="0000FF"/>
      <w:u w:val="single"/>
    </w:rPr>
  </w:style>
  <w:style w:type="paragraph" w:customStyle="1" w:styleId="22">
    <w:name w:val="Default"/>
    <w:basedOn w:val="1"/>
    <w:next w:val="14"/>
    <w:qFormat/>
    <w:uiPriority w:val="0"/>
    <w:pPr>
      <w:autoSpaceDE w:val="0"/>
      <w:autoSpaceDN w:val="0"/>
      <w:adjustRightInd w:val="0"/>
      <w:jc w:val="left"/>
    </w:pPr>
    <w:rPr>
      <w:rFonts w:ascii="黑体" w:eastAsia="黑体"/>
      <w:color w:val="000000"/>
      <w:kern w:val="0"/>
      <w:sz w:val="24"/>
      <w:szCs w:val="24"/>
    </w:rPr>
  </w:style>
  <w:style w:type="paragraph" w:customStyle="1" w:styleId="23">
    <w:name w:val="正文_1"/>
    <w:basedOn w:val="1"/>
    <w:next w:val="24"/>
    <w:qFormat/>
    <w:uiPriority w:val="0"/>
    <w:rPr>
      <w:szCs w:val="21"/>
    </w:rPr>
  </w:style>
  <w:style w:type="paragraph" w:customStyle="1" w:styleId="24">
    <w:name w:val="正文文本_0"/>
    <w:basedOn w:val="23"/>
    <w:next w:val="22"/>
    <w:hidden/>
    <w:qFormat/>
    <w:uiPriority w:val="0"/>
    <w:pPr>
      <w:autoSpaceDE w:val="0"/>
      <w:autoSpaceDN w:val="0"/>
      <w:adjustRightInd w:val="0"/>
      <w:spacing w:after="120"/>
      <w:jc w:val="left"/>
    </w:pPr>
    <w:rPr>
      <w:kern w:val="0"/>
      <w:sz w:val="20"/>
      <w:szCs w:val="20"/>
    </w:rPr>
  </w:style>
  <w:style w:type="paragraph" w:customStyle="1" w:styleId="25">
    <w:name w:val="_Style 3"/>
    <w:basedOn w:val="2"/>
    <w:next w:val="1"/>
    <w:qFormat/>
    <w:uiPriority w:val="39"/>
    <w:pPr>
      <w:widowControl/>
      <w:overflowPunct/>
      <w:adjustRightInd/>
      <w:snapToGrid/>
      <w:spacing w:before="480" w:after="0" w:line="276" w:lineRule="auto"/>
      <w:jc w:val="left"/>
      <w:outlineLvl w:val="9"/>
    </w:pPr>
    <w:rPr>
      <w:rFonts w:ascii="Cambria" w:hAnsi="Cambria"/>
      <w:bCs/>
      <w:color w:val="365F91"/>
      <w:sz w:val="28"/>
      <w:szCs w:val="28"/>
    </w:rPr>
  </w:style>
  <w:style w:type="paragraph" w:customStyle="1" w:styleId="26">
    <w:name w:val="Heading 1_0"/>
    <w:basedOn w:val="1"/>
    <w:next w:val="6"/>
    <w:qFormat/>
    <w:uiPriority w:val="0"/>
    <w:pPr>
      <w:keepNext/>
      <w:keepLines/>
      <w:overflowPunct w:val="0"/>
      <w:adjustRightInd w:val="0"/>
      <w:snapToGrid w:val="0"/>
      <w:spacing w:before="340" w:after="330"/>
      <w:jc w:val="center"/>
      <w:outlineLvl w:val="0"/>
    </w:pPr>
    <w:rPr>
      <w:rFonts w:ascii="宋体" w:hAnsi="宋体"/>
      <w:b/>
      <w:kern w:val="0"/>
      <w:sz w:val="44"/>
      <w:szCs w:val="44"/>
    </w:rPr>
  </w:style>
  <w:style w:type="paragraph" w:customStyle="1" w:styleId="27">
    <w:name w:val="样式 标题 3 + (中文) 黑体 小四 非加粗 段前: 7.8 磅 段后: 0 磅 行距: 固定值 20 磅"/>
    <w:basedOn w:val="5"/>
    <w:qFormat/>
    <w:uiPriority w:val="0"/>
    <w:pPr>
      <w:spacing w:after="0" w:line="400" w:lineRule="exact"/>
    </w:pPr>
    <w:rPr>
      <w:rFonts w:eastAsia="黑体" w:cs="宋体"/>
      <w:b w:val="0"/>
      <w:bCs w:val="0"/>
      <w:szCs w:val="20"/>
    </w:rPr>
  </w:style>
  <w:style w:type="character" w:customStyle="1" w:styleId="28">
    <w:name w:val="fontstyle31"/>
    <w:qFormat/>
    <w:uiPriority w:val="0"/>
    <w:rPr>
      <w:rFonts w:ascii="Times New Roman" w:hAnsi="Times New Roman" w:eastAsia="Times New Roman" w:cs="Times New Roman"/>
      <w:color w:val="000000"/>
      <w:sz w:val="32"/>
      <w:szCs w:val="32"/>
    </w:rPr>
  </w:style>
  <w:style w:type="character" w:customStyle="1" w:styleId="29">
    <w:name w:val="fontstyle41"/>
    <w:qFormat/>
    <w:uiPriority w:val="0"/>
    <w:rPr>
      <w:rFonts w:ascii="Times New Roman" w:hAnsi="Times New Roman" w:eastAsia="Times New Roman" w:cs="Times New Roman"/>
      <w:color w:val="000000"/>
      <w:sz w:val="32"/>
      <w:szCs w:val="32"/>
    </w:rPr>
  </w:style>
  <w:style w:type="paragraph" w:customStyle="1" w:styleId="30">
    <w:name w:val="样式 WG标题2 + 行距: 固定值 18 磅"/>
    <w:basedOn w:val="1"/>
    <w:qFormat/>
    <w:uiPriority w:val="0"/>
    <w:pPr>
      <w:autoSpaceDE w:val="0"/>
      <w:autoSpaceDN w:val="0"/>
      <w:adjustRightInd w:val="0"/>
      <w:spacing w:line="360" w:lineRule="exact"/>
      <w:outlineLvl w:val="1"/>
    </w:pPr>
    <w:rPr>
      <w:rFonts w:ascii="宋体" w:hAnsi="宋体" w:cs="宋体"/>
      <w:b/>
      <w:bCs/>
      <w:color w:val="000000"/>
      <w:kern w:val="20"/>
      <w:sz w:val="24"/>
      <w:szCs w:val="20"/>
    </w:rPr>
  </w:style>
  <w:style w:type="paragraph" w:customStyle="1" w:styleId="31">
    <w:name w:val="正文 含缩进"/>
    <w:basedOn w:val="1"/>
    <w:qFormat/>
    <w:uiPriority w:val="0"/>
    <w:pPr>
      <w:spacing w:line="360" w:lineRule="auto"/>
      <w:ind w:firstLine="424" w:firstLineChars="202"/>
      <w:jc w:val="left"/>
    </w:pPr>
    <w:rPr>
      <w:rFonts w:ascii="Times New Roman" w:hAnsi="Times New Roman"/>
      <w:kern w:val="0"/>
      <w:sz w:val="20"/>
      <w:szCs w:val="20"/>
    </w:rPr>
  </w:style>
  <w:style w:type="paragraph" w:customStyle="1" w:styleId="32">
    <w:name w:val="Footer_0"/>
    <w:basedOn w:val="1"/>
    <w:qFormat/>
    <w:uiPriority w:val="0"/>
    <w:pPr>
      <w:tabs>
        <w:tab w:val="center" w:pos="4153"/>
        <w:tab w:val="right" w:pos="8306"/>
      </w:tabs>
      <w:snapToGrid w:val="0"/>
      <w:jc w:val="left"/>
    </w:pPr>
    <w:rPr>
      <w:rFonts w:ascii="Times New Roman" w:hAnsi="Times New Roman"/>
      <w:sz w:val="18"/>
      <w:szCs w:val="18"/>
    </w:rPr>
  </w:style>
  <w:style w:type="paragraph" w:styleId="33">
    <w:name w:val="List Paragraph"/>
    <w:basedOn w:val="1"/>
    <w:qFormat/>
    <w:uiPriority w:val="99"/>
    <w:pPr>
      <w:ind w:firstLine="420" w:firstLineChars="200"/>
    </w:pPr>
  </w:style>
  <w:style w:type="paragraph" w:customStyle="1" w:styleId="34">
    <w:name w:val="Heading 2_0"/>
    <w:basedOn w:val="1"/>
    <w:next w:val="6"/>
    <w:qFormat/>
    <w:uiPriority w:val="0"/>
    <w:pPr>
      <w:spacing w:line="600" w:lineRule="exact"/>
      <w:contextualSpacing/>
      <w:jc w:val="center"/>
      <w:outlineLvl w:val="1"/>
    </w:pPr>
    <w:rPr>
      <w:rFonts w:ascii="宋体" w:hAnsi="宋体"/>
      <w:b/>
      <w:bCs/>
      <w:sz w:val="28"/>
      <w:szCs w:val="28"/>
    </w:rPr>
  </w:style>
  <w:style w:type="paragraph" w:customStyle="1" w:styleId="35">
    <w:name w:val="Heading 3_0"/>
    <w:basedOn w:val="1"/>
    <w:next w:val="6"/>
    <w:qFormat/>
    <w:uiPriority w:val="0"/>
    <w:pPr>
      <w:keepNext/>
      <w:keepLines/>
      <w:spacing w:after="120" w:line="500" w:lineRule="exact"/>
      <w:jc w:val="left"/>
      <w:outlineLvl w:val="2"/>
    </w:pPr>
    <w:rPr>
      <w:rFonts w:ascii="宋体" w:hAnsi="宋体"/>
      <w:b/>
      <w:bCs/>
      <w:sz w:val="24"/>
      <w:szCs w:val="24"/>
    </w:rPr>
  </w:style>
  <w:style w:type="paragraph" w:customStyle="1" w:styleId="36">
    <w:name w:val="TOC 标题2"/>
    <w:qFormat/>
    <w:uiPriority w:val="0"/>
    <w:pPr>
      <w:keepNext/>
      <w:keepLines/>
      <w:widowControl w:val="0"/>
      <w:overflowPunct w:val="0"/>
      <w:spacing w:before="260" w:after="260" w:line="412" w:lineRule="auto"/>
      <w:jc w:val="center"/>
      <w:outlineLvl w:val="0"/>
    </w:pPr>
    <w:rPr>
      <w:rFonts w:ascii="宋体" w:hAnsi="宋体" w:eastAsia="宋体" w:cs="Times New Roman"/>
      <w:b/>
      <w:bCs/>
      <w:sz w:val="36"/>
      <w:szCs w:val="36"/>
      <w:lang w:val="en-US" w:eastAsia="zh-CN" w:bidi="ar-SA"/>
    </w:rPr>
  </w:style>
  <w:style w:type="paragraph" w:customStyle="1" w:styleId="37">
    <w:name w:val="协议书标题2"/>
    <w:qFormat/>
    <w:uiPriority w:val="0"/>
    <w:pPr>
      <w:widowControl w:val="0"/>
      <w:spacing w:line="360" w:lineRule="auto"/>
      <w:ind w:left="425"/>
      <w:contextualSpacing/>
      <w:outlineLvl w:val="1"/>
    </w:pPr>
    <w:rPr>
      <w:rFonts w:ascii="宋体" w:hAnsi="宋体" w:eastAsia="宋体" w:cs="Times New Roman"/>
      <w:b/>
      <w:bCs/>
      <w:kern w:val="2"/>
      <w:sz w:val="24"/>
      <w:szCs w:val="24"/>
      <w:lang w:val="en-US" w:eastAsia="zh-CN" w:bidi="ar-SA"/>
    </w:rPr>
  </w:style>
  <w:style w:type="paragraph" w:customStyle="1" w:styleId="38">
    <w:name w:val="table"/>
    <w:basedOn w:val="1"/>
    <w:qFormat/>
    <w:uiPriority w:val="0"/>
    <w:pPr>
      <w:widowControl/>
      <w:adjustRightInd w:val="0"/>
      <w:snapToGrid w:val="0"/>
      <w:jc w:val="left"/>
    </w:pPr>
    <w:rPr>
      <w:rFonts w:ascii="宋体"/>
      <w:sz w:val="24"/>
      <w:szCs w:val="24"/>
    </w:rPr>
  </w:style>
  <w:style w:type="paragraph" w:customStyle="1" w:styleId="39">
    <w:name w:val="TOC 1_0"/>
    <w:basedOn w:val="1"/>
    <w:next w:val="6"/>
    <w:qFormat/>
    <w:uiPriority w:val="0"/>
    <w:pPr>
      <w:ind w:left="2" w:leftChars="1"/>
    </w:pPr>
    <w:rPr>
      <w:rFonts w:ascii="Times New Roman" w:hAnsi="Times New Roman"/>
      <w:szCs w:val="21"/>
    </w:rPr>
  </w:style>
  <w:style w:type="paragraph" w:customStyle="1" w:styleId="40">
    <w:name w:val="正文_0"/>
    <w:basedOn w:val="1"/>
    <w:qFormat/>
    <w:uiPriority w:val="0"/>
    <w:rPr>
      <w:szCs w:val="21"/>
    </w:rPr>
  </w:style>
  <w:style w:type="paragraph" w:customStyle="1" w:styleId="41">
    <w:name w:val="Normal_0_1"/>
    <w:basedOn w:val="1"/>
    <w:qFormat/>
    <w:uiPriority w:val="0"/>
    <w:pPr>
      <w:widowControl/>
      <w:jc w:val="left"/>
    </w:pPr>
    <w:rPr>
      <w:rFonts w:eastAsia="Times New Roman"/>
      <w:kern w:val="0"/>
      <w:sz w:val="24"/>
      <w:szCs w:val="24"/>
    </w:rPr>
  </w:style>
  <w:style w:type="paragraph" w:customStyle="1" w:styleId="42">
    <w:name w:val="Heading 2_0_0"/>
    <w:basedOn w:val="1"/>
    <w:qFormat/>
    <w:uiPriority w:val="0"/>
    <w:pPr>
      <w:spacing w:line="600" w:lineRule="exact"/>
      <w:contextualSpacing/>
      <w:jc w:val="center"/>
      <w:outlineLvl w:val="1"/>
    </w:pPr>
    <w:rPr>
      <w:rFonts w:ascii="宋体" w:hAnsi="宋体"/>
      <w:b/>
      <w:bCs/>
      <w:sz w:val="28"/>
      <w:szCs w:val="28"/>
    </w:rPr>
  </w:style>
  <w:style w:type="paragraph" w:customStyle="1" w:styleId="43">
    <w:name w:val="Heading 3_0_0"/>
    <w:basedOn w:val="1"/>
    <w:qFormat/>
    <w:uiPriority w:val="0"/>
    <w:pPr>
      <w:keepNext/>
      <w:keepLines/>
      <w:spacing w:after="120" w:line="500" w:lineRule="exact"/>
      <w:jc w:val="left"/>
      <w:outlineLvl w:val="2"/>
    </w:pPr>
    <w:rPr>
      <w:rFonts w:ascii="宋体" w:hAnsi="宋体"/>
      <w:b/>
      <w:bCs/>
      <w:sz w:val="24"/>
      <w:szCs w:val="24"/>
    </w:rPr>
  </w:style>
  <w:style w:type="table" w:customStyle="1" w:styleId="44">
    <w:name w:val="Table Grid_0"/>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customStyle="1" w:styleId="45">
    <w:name w:val="font61"/>
    <w:qFormat/>
    <w:uiPriority w:val="0"/>
    <w:rPr>
      <w:rFonts w:hint="default" w:ascii="Times New Roman" w:hAnsi="Times New Roman" w:cs="Times New Roman"/>
      <w:color w:val="000000"/>
      <w:sz w:val="22"/>
      <w:szCs w:val="22"/>
      <w:u w:val="none"/>
    </w:rPr>
  </w:style>
  <w:style w:type="character" w:customStyle="1" w:styleId="46">
    <w:name w:val="font01"/>
    <w:qFormat/>
    <w:uiPriority w:val="0"/>
    <w:rPr>
      <w:rFonts w:hint="eastAsia" w:ascii="宋体" w:hAnsi="宋体" w:eastAsia="宋体" w:cs="宋体"/>
      <w:color w:val="000000"/>
      <w:sz w:val="22"/>
      <w:szCs w:val="22"/>
      <w:u w:val="none"/>
    </w:rPr>
  </w:style>
  <w:style w:type="character" w:customStyle="1" w:styleId="47">
    <w:name w:val="font21"/>
    <w:qFormat/>
    <w:uiPriority w:val="0"/>
    <w:rPr>
      <w:rFonts w:hint="default" w:ascii="Times New Roman" w:hAnsi="Times New Roman" w:cs="Times New Roman"/>
      <w:color w:val="000000"/>
      <w:sz w:val="22"/>
      <w:szCs w:val="22"/>
      <w:u w:val="none"/>
      <w:vertAlign w:val="superscript"/>
    </w:rPr>
  </w:style>
  <w:style w:type="character" w:customStyle="1" w:styleId="48">
    <w:name w:val="font11"/>
    <w:qFormat/>
    <w:uiPriority w:val="0"/>
    <w:rPr>
      <w:rFonts w:hint="default" w:ascii="Times New Roman" w:hAnsi="Times New Roman" w:cs="Times New Roman"/>
      <w:color w:val="000000"/>
      <w:sz w:val="21"/>
      <w:szCs w:val="21"/>
      <w:u w:val="none"/>
    </w:rPr>
  </w:style>
  <w:style w:type="character" w:customStyle="1" w:styleId="49">
    <w:name w:val="font41"/>
    <w:qFormat/>
    <w:uiPriority w:val="0"/>
    <w:rPr>
      <w:rFonts w:hint="default" w:ascii="Times New Roman" w:hAnsi="Times New Roman" w:cs="Times New Roman"/>
      <w:b/>
      <w:color w:val="000000"/>
      <w:sz w:val="22"/>
      <w:szCs w:val="22"/>
      <w:u w:val="none"/>
    </w:rPr>
  </w:style>
  <w:style w:type="character" w:customStyle="1" w:styleId="50">
    <w:name w:val="font31"/>
    <w:qFormat/>
    <w:uiPriority w:val="0"/>
    <w:rPr>
      <w:rFonts w:hint="eastAsia" w:ascii="宋体" w:hAnsi="宋体" w:eastAsia="宋体" w:cs="宋体"/>
      <w:b/>
      <w:color w:val="000000"/>
      <w:sz w:val="22"/>
      <w:szCs w:val="22"/>
      <w:u w:val="none"/>
    </w:rPr>
  </w:style>
  <w:style w:type="paragraph" w:customStyle="1" w:styleId="51">
    <w:name w:val="Revision"/>
    <w:hidden/>
    <w:unhideWhenUsed/>
    <w:qFormat/>
    <w:uiPriority w:val="99"/>
    <w:rPr>
      <w:rFonts w:ascii="Calibri" w:hAnsi="Calibri" w:eastAsia="宋体" w:cs="Times New Roman"/>
      <w:kern w:val="2"/>
      <w:sz w:val="21"/>
      <w:szCs w:val="22"/>
      <w:lang w:val="en-US" w:eastAsia="zh-CN" w:bidi="ar-SA"/>
    </w:rPr>
  </w:style>
  <w:style w:type="paragraph" w:customStyle="1" w:styleId="52">
    <w:name w:val="正文(无缩进)"/>
    <w:basedOn w:val="1"/>
    <w:qFormat/>
    <w:uiPriority w:val="0"/>
    <w:pPr>
      <w:ind w:firstLine="0" w:firstLineChars="0"/>
    </w:pPr>
  </w:style>
  <w:style w:type="paragraph" w:customStyle="1" w:styleId="53">
    <w:name w:val="样式1"/>
    <w:basedOn w:val="1"/>
    <w:qFormat/>
    <w:uiPriority w:val="0"/>
    <w:pPr>
      <w:spacing w:line="240" w:lineRule="auto"/>
      <w:jc w:val="both"/>
    </w:pPr>
    <w:rPr>
      <w:rFonts w:ascii="宋体"/>
      <w:sz w:val="21"/>
      <w:szCs w:val="21"/>
    </w:rPr>
  </w:style>
  <w:style w:type="paragraph" w:customStyle="1" w:styleId="54">
    <w:name w:val="Normal_8_0"/>
    <w:basedOn w:val="55"/>
    <w:qFormat/>
    <w:uiPriority w:val="0"/>
    <w:pPr>
      <w:keepNext w:val="0"/>
      <w:keepLines w:val="0"/>
      <w:widowControl/>
      <w:suppressLineNumbers w:val="0"/>
      <w:spacing w:before="0" w:beforeAutospacing="0" w:after="0" w:afterAutospacing="0"/>
      <w:ind w:left="0" w:right="0"/>
      <w:jc w:val="left"/>
    </w:pPr>
    <w:rPr>
      <w:rFonts w:hint="default" w:ascii="Times New Roman" w:hAnsi="Times New Roman" w:eastAsia="Times New Roman" w:cs="Times New Roman"/>
      <w:kern w:val="0"/>
      <w:sz w:val="24"/>
      <w:szCs w:val="24"/>
      <w:lang w:val="en-US" w:eastAsia="zh-CN"/>
    </w:rPr>
  </w:style>
  <w:style w:type="paragraph" w:customStyle="1" w:styleId="55">
    <w:name w:val="Normal_20"/>
    <w:qFormat/>
    <w:uiPriority w:val="0"/>
    <w:rPr>
      <w:rFonts w:ascii="Times New Roman" w:hAnsi="Times New Roman" w:eastAsia="Times New Roman" w:cs="Times New Roman"/>
      <w:sz w:val="24"/>
      <w:szCs w:val="24"/>
      <w:lang w:bidi="ar-SA"/>
    </w:rPr>
  </w:style>
  <w:style w:type="paragraph" w:customStyle="1" w:styleId="56">
    <w:name w:val="正文_15"/>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57">
    <w:name w:val="正文_2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8">
    <w:name w:val="Normal_19_0"/>
    <w:qFormat/>
    <w:uiPriority w:val="0"/>
    <w:rPr>
      <w:rFonts w:ascii="Times New Roman" w:hAnsi="Times New Roman" w:eastAsia="Times New Roman" w:cs="Times New Roman"/>
      <w:sz w:val="24"/>
      <w:szCs w:val="24"/>
      <w:lang w:bidi="ar-SA"/>
    </w:rPr>
  </w:style>
  <w:style w:type="paragraph" w:customStyle="1" w:styleId="59">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0">
    <w:name w:val="Normal_21"/>
    <w:qFormat/>
    <w:uiPriority w:val="0"/>
    <w:rPr>
      <w:rFonts w:ascii="Times New Roman" w:hAnsi="Times New Roman" w:eastAsia="Times New Roman" w:cs="Times New Roman"/>
      <w:sz w:val="24"/>
      <w:szCs w:val="24"/>
      <w:lang w:bidi="ar-SA"/>
    </w:rPr>
  </w:style>
  <w:style w:type="paragraph" w:customStyle="1" w:styleId="61">
    <w:name w:val="正文_18"/>
    <w:qFormat/>
    <w:uiPriority w:val="0"/>
    <w:pPr>
      <w:widowControl w:val="0"/>
      <w:jc w:val="both"/>
    </w:pPr>
    <w:rPr>
      <w:rFonts w:ascii="Calibri" w:hAnsi="Calibri" w:eastAsia="宋体" w:cs="Times New Roman"/>
      <w:kern w:val="2"/>
      <w:sz w:val="21"/>
      <w:szCs w:val="22"/>
      <w:lang w:val="en-US" w:eastAsia="zh-CN" w:bidi="ar-SA"/>
    </w:rPr>
  </w:style>
  <w:style w:type="paragraph" w:customStyle="1" w:styleId="62">
    <w:name w:val="Normal_23"/>
    <w:qFormat/>
    <w:uiPriority w:val="0"/>
    <w:rPr>
      <w:rFonts w:ascii="Times New Roman" w:hAnsi="Times New Roman" w:eastAsia="Times New Roman" w:cs="Times New Roman"/>
      <w:sz w:val="24"/>
      <w:szCs w:val="24"/>
      <w:lang w:bidi="ar-SA"/>
    </w:rPr>
  </w:style>
  <w:style w:type="paragraph" w:customStyle="1" w:styleId="63">
    <w:name w:val="正文_1_0"/>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217</Pages>
  <Words>3864</Words>
  <Characters>4414</Characters>
  <Lines>498</Lines>
  <Paragraphs>140</Paragraphs>
  <TotalTime>77</TotalTime>
  <ScaleCrop>false</ScaleCrop>
  <LinksUpToDate>false</LinksUpToDate>
  <CharactersWithSpaces>4520</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2023-08-23T21:50:00Z</dcterms:created>
  <dc:creator>杜文</dc:creator>
  <cp:lastModifiedBy>szr-h</cp:lastModifiedBy>
  <dcterms:modified xsi:type="dcterms:W3CDTF">2026-05-25T01:54:10Z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D58C3AEC8EBD46ED9D16FD83895E9F8C_13</vt:lpwstr>
  </property>
  <property fmtid="{D5CDD505-2E9C-101B-9397-08002B2CF9AE}" pid="3" name="KSOProductBuildVer">
    <vt:lpwstr>2052-12.8.2.21549</vt:lpwstr>
  </property>
  <property fmtid="{D5CDD505-2E9C-101B-9397-08002B2CF9AE}" pid="4" name="KSOTemplateDocerSaveRecord">
    <vt:lpwstr>eyJoZGlkIjoiNjhmMzRkNjI2ZmUwNjJlZjZmMzk2NjIwZGZmNTA1NWIiLCJ1c2VySWQiOiIyODUwODQ1ODkifQ==</vt:lpwstr>
  </property>
</Properties>
</file>