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319EB">
      <w:pPr>
        <w:spacing w:line="540" w:lineRule="exact"/>
        <w:rPr>
          <w:rFonts w:hint="eastAsia" w:ascii="宋体" w:hAnsi="宋体" w:eastAsia="宋体" w:cs="宋体"/>
          <w:b/>
          <w:color w:val="auto"/>
          <w:sz w:val="32"/>
          <w:szCs w:val="32"/>
          <w:highlight w:val="none"/>
          <w:u w:val="single"/>
        </w:rPr>
      </w:pPr>
    </w:p>
    <w:p w14:paraId="5A95082D">
      <w:pPr>
        <w:spacing w:line="540" w:lineRule="exact"/>
        <w:jc w:val="center"/>
        <w:rPr>
          <w:rFonts w:hint="eastAsia" w:ascii="宋体" w:hAnsi="宋体" w:eastAsia="宋体" w:cs="宋体"/>
          <w:b/>
          <w:color w:val="auto"/>
          <w:sz w:val="32"/>
          <w:szCs w:val="32"/>
          <w:highlight w:val="none"/>
          <w:u w:val="single"/>
        </w:rPr>
      </w:pPr>
    </w:p>
    <w:p w14:paraId="4BA45094">
      <w:pPr>
        <w:spacing w:line="540" w:lineRule="exact"/>
        <w:jc w:val="center"/>
        <w:rPr>
          <w:rFonts w:hint="eastAsia" w:ascii="宋体" w:hAnsi="宋体" w:eastAsia="宋体" w:cs="宋体"/>
          <w:b/>
          <w:color w:val="auto"/>
          <w:sz w:val="32"/>
          <w:szCs w:val="32"/>
          <w:highlight w:val="none"/>
          <w:u w:val="single"/>
        </w:rPr>
      </w:pPr>
    </w:p>
    <w:p w14:paraId="1B302CEB">
      <w:pPr>
        <w:spacing w:line="540" w:lineRule="exact"/>
        <w:jc w:val="center"/>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u w:val="single"/>
          <w:lang w:eastAsia="zh-CN"/>
        </w:rPr>
        <w:t>2026年湖北省城镇社会保障卡金融服务合作项目</w:t>
      </w:r>
      <w:r>
        <w:rPr>
          <w:rFonts w:hint="eastAsia" w:ascii="宋体" w:hAnsi="宋体" w:eastAsia="宋体" w:cs="宋体"/>
          <w:b/>
          <w:color w:val="auto"/>
          <w:sz w:val="32"/>
          <w:szCs w:val="32"/>
          <w:highlight w:val="none"/>
        </w:rPr>
        <w:t>（项目名称）</w:t>
      </w:r>
      <w:r>
        <w:rPr>
          <w:rFonts w:hint="eastAsia" w:ascii="宋体" w:hAnsi="宋体" w:cs="宋体"/>
          <w:b/>
          <w:color w:val="auto"/>
          <w:sz w:val="32"/>
          <w:szCs w:val="32"/>
          <w:highlight w:val="none"/>
          <w:u w:val="single"/>
          <w:lang w:eastAsia="zh-CN"/>
        </w:rPr>
        <w:t>2026年湖北省城镇社会保障卡金融服务合作项目</w:t>
      </w:r>
      <w:r>
        <w:rPr>
          <w:rFonts w:hint="eastAsia" w:ascii="宋体" w:hAnsi="宋体" w:eastAsia="宋体" w:cs="宋体"/>
          <w:color w:val="auto"/>
          <w:sz w:val="32"/>
          <w:szCs w:val="32"/>
          <w:highlight w:val="none"/>
        </w:rPr>
        <w:t>（标段/包名称）</w:t>
      </w:r>
    </w:p>
    <w:p w14:paraId="64F732A7">
      <w:pPr>
        <w:rPr>
          <w:rFonts w:hint="eastAsia" w:ascii="宋体" w:hAnsi="宋体" w:eastAsia="宋体" w:cs="宋体"/>
          <w:color w:val="auto"/>
          <w:sz w:val="32"/>
          <w:szCs w:val="32"/>
          <w:highlight w:val="none"/>
        </w:rPr>
      </w:pPr>
    </w:p>
    <w:p w14:paraId="13B3AE47">
      <w:pPr>
        <w:jc w:val="center"/>
        <w:rPr>
          <w:rFonts w:hint="eastAsia" w:ascii="宋体" w:hAnsi="宋体" w:eastAsia="宋体" w:cs="宋体"/>
          <w:color w:val="auto"/>
          <w:sz w:val="32"/>
          <w:szCs w:val="32"/>
          <w:highlight w:val="none"/>
        </w:rPr>
      </w:pPr>
    </w:p>
    <w:p w14:paraId="26851A20">
      <w:pPr>
        <w:rPr>
          <w:rFonts w:hint="eastAsia" w:ascii="宋体" w:hAnsi="宋体" w:eastAsia="宋体" w:cs="宋体"/>
          <w:color w:val="auto"/>
          <w:sz w:val="32"/>
          <w:szCs w:val="32"/>
          <w:highlight w:val="none"/>
        </w:rPr>
      </w:pPr>
    </w:p>
    <w:p w14:paraId="78440479">
      <w:pPr>
        <w:rPr>
          <w:rFonts w:hint="eastAsia" w:ascii="宋体" w:hAnsi="宋体" w:eastAsia="宋体" w:cs="宋体"/>
          <w:color w:val="auto"/>
          <w:highlight w:val="none"/>
        </w:rPr>
      </w:pPr>
    </w:p>
    <w:p w14:paraId="009F5FDF">
      <w:pPr>
        <w:jc w:val="center"/>
        <w:rPr>
          <w:rFonts w:hint="eastAsia" w:ascii="宋体" w:hAnsi="宋体" w:eastAsia="宋体" w:cs="宋体"/>
          <w:b/>
          <w:color w:val="auto"/>
          <w:sz w:val="96"/>
          <w:szCs w:val="84"/>
          <w:highlight w:val="none"/>
        </w:rPr>
      </w:pPr>
      <w:r>
        <w:rPr>
          <w:rFonts w:hint="eastAsia" w:ascii="宋体" w:hAnsi="宋体" w:eastAsia="宋体" w:cs="宋体"/>
          <w:b/>
          <w:color w:val="auto"/>
          <w:sz w:val="96"/>
          <w:szCs w:val="84"/>
          <w:highlight w:val="none"/>
        </w:rPr>
        <w:t>招  标  文  件</w:t>
      </w:r>
    </w:p>
    <w:p w14:paraId="7F3D6E81">
      <w:pPr>
        <w:jc w:val="center"/>
        <w:rPr>
          <w:rFonts w:hint="eastAsia" w:ascii="宋体" w:hAnsi="宋体" w:eastAsia="宋体" w:cs="宋体"/>
          <w:color w:val="auto"/>
          <w:sz w:val="72"/>
          <w:szCs w:val="72"/>
          <w:highlight w:val="none"/>
        </w:rPr>
      </w:pPr>
    </w:p>
    <w:tbl>
      <w:tblPr>
        <w:tblStyle w:val="14"/>
        <w:tblW w:w="0" w:type="auto"/>
        <w:tblInd w:w="0" w:type="dxa"/>
        <w:tblLayout w:type="fixed"/>
        <w:tblCellMar>
          <w:top w:w="0" w:type="dxa"/>
          <w:left w:w="108" w:type="dxa"/>
          <w:bottom w:w="0" w:type="dxa"/>
          <w:right w:w="108" w:type="dxa"/>
        </w:tblCellMar>
      </w:tblPr>
      <w:tblGrid>
        <w:gridCol w:w="3579"/>
      </w:tblGrid>
      <w:tr w14:paraId="3BA147EF">
        <w:tblPrEx>
          <w:tblCellMar>
            <w:top w:w="0" w:type="dxa"/>
            <w:left w:w="108" w:type="dxa"/>
            <w:bottom w:w="0" w:type="dxa"/>
            <w:right w:w="108" w:type="dxa"/>
          </w:tblCellMar>
        </w:tblPrEx>
        <w:trPr>
          <w:trHeight w:val="523" w:hRule="atLeast"/>
        </w:trPr>
        <w:tc>
          <w:tcPr>
            <w:tcW w:w="3579" w:type="dxa"/>
          </w:tcPr>
          <w:p w14:paraId="4834DB4A">
            <w:pPr>
              <w:jc w:val="righ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招标编号:</w:t>
            </w:r>
          </w:p>
        </w:tc>
      </w:tr>
    </w:tbl>
    <w:p w14:paraId="58B1B931">
      <w:pPr>
        <w:jc w:val="center"/>
        <w:rPr>
          <w:rFonts w:hint="eastAsia" w:ascii="宋体" w:hAnsi="宋体" w:eastAsia="宋体" w:cs="宋体"/>
          <w:color w:val="auto"/>
          <w:szCs w:val="21"/>
          <w:highlight w:val="none"/>
        </w:rPr>
      </w:pPr>
    </w:p>
    <w:p w14:paraId="754ABB64">
      <w:pPr>
        <w:jc w:val="center"/>
        <w:rPr>
          <w:rFonts w:hint="eastAsia" w:ascii="宋体" w:hAnsi="宋体" w:eastAsia="宋体" w:cs="宋体"/>
          <w:color w:val="auto"/>
          <w:szCs w:val="21"/>
          <w:highlight w:val="none"/>
        </w:rPr>
      </w:pPr>
    </w:p>
    <w:p w14:paraId="5D02D1BE">
      <w:pPr>
        <w:jc w:val="center"/>
        <w:rPr>
          <w:rFonts w:hint="eastAsia" w:ascii="宋体" w:hAnsi="宋体" w:eastAsia="宋体" w:cs="宋体"/>
          <w:color w:val="auto"/>
          <w:szCs w:val="21"/>
          <w:highlight w:val="none"/>
        </w:rPr>
      </w:pPr>
    </w:p>
    <w:p w14:paraId="406DF482">
      <w:pPr>
        <w:jc w:val="center"/>
        <w:rPr>
          <w:rFonts w:hint="eastAsia" w:ascii="宋体" w:hAnsi="宋体" w:eastAsia="宋体" w:cs="宋体"/>
          <w:color w:val="auto"/>
          <w:szCs w:val="21"/>
          <w:highlight w:val="none"/>
        </w:rPr>
      </w:pPr>
    </w:p>
    <w:p w14:paraId="1F2F93F3">
      <w:pPr>
        <w:jc w:val="center"/>
        <w:rPr>
          <w:rFonts w:hint="eastAsia" w:ascii="宋体" w:hAnsi="宋体" w:eastAsia="宋体" w:cs="宋体"/>
          <w:color w:val="auto"/>
          <w:szCs w:val="21"/>
          <w:highlight w:val="none"/>
        </w:rPr>
      </w:pPr>
    </w:p>
    <w:p w14:paraId="6CCEFD12">
      <w:pPr>
        <w:jc w:val="center"/>
        <w:rPr>
          <w:rFonts w:hint="eastAsia" w:ascii="宋体" w:hAnsi="宋体" w:eastAsia="宋体" w:cs="宋体"/>
          <w:color w:val="auto"/>
          <w:szCs w:val="21"/>
          <w:highlight w:val="none"/>
        </w:rPr>
      </w:pPr>
    </w:p>
    <w:p w14:paraId="55951957">
      <w:pPr>
        <w:jc w:val="center"/>
        <w:rPr>
          <w:rFonts w:hint="eastAsia" w:ascii="宋体" w:hAnsi="宋体" w:eastAsia="宋体" w:cs="宋体"/>
          <w:color w:val="auto"/>
          <w:szCs w:val="21"/>
          <w:highlight w:val="none"/>
        </w:rPr>
      </w:pPr>
    </w:p>
    <w:p w14:paraId="58F8D1A7">
      <w:pPr>
        <w:jc w:val="center"/>
        <w:rPr>
          <w:rFonts w:hint="eastAsia" w:ascii="宋体" w:hAnsi="宋体" w:eastAsia="宋体" w:cs="宋体"/>
          <w:color w:val="auto"/>
          <w:szCs w:val="21"/>
          <w:highlight w:val="none"/>
        </w:rPr>
      </w:pPr>
    </w:p>
    <w:p w14:paraId="62D7CCE1">
      <w:pPr>
        <w:jc w:val="center"/>
        <w:rPr>
          <w:rFonts w:hint="eastAsia" w:ascii="宋体" w:hAnsi="宋体" w:eastAsia="宋体" w:cs="宋体"/>
          <w:color w:val="auto"/>
          <w:szCs w:val="21"/>
          <w:highlight w:val="none"/>
        </w:rPr>
      </w:pPr>
    </w:p>
    <w:p w14:paraId="59D661A5">
      <w:pPr>
        <w:jc w:val="center"/>
        <w:rPr>
          <w:rFonts w:hint="eastAsia" w:ascii="宋体" w:hAnsi="宋体" w:eastAsia="宋体" w:cs="宋体"/>
          <w:color w:val="auto"/>
          <w:szCs w:val="21"/>
          <w:highlight w:val="none"/>
        </w:rPr>
      </w:pPr>
    </w:p>
    <w:p w14:paraId="1395FB04">
      <w:pPr>
        <w:jc w:val="center"/>
        <w:rPr>
          <w:rFonts w:hint="eastAsia" w:ascii="宋体" w:hAnsi="宋体" w:eastAsia="宋体" w:cs="宋体"/>
          <w:color w:val="auto"/>
          <w:szCs w:val="21"/>
          <w:highlight w:val="none"/>
        </w:rPr>
      </w:pPr>
    </w:p>
    <w:p w14:paraId="6A93686D">
      <w:pPr>
        <w:jc w:val="center"/>
        <w:rPr>
          <w:rFonts w:hint="eastAsia" w:ascii="宋体" w:hAnsi="宋体" w:eastAsia="宋体" w:cs="宋体"/>
          <w:color w:val="auto"/>
          <w:szCs w:val="21"/>
          <w:highlight w:val="none"/>
        </w:rPr>
      </w:pPr>
    </w:p>
    <w:p w14:paraId="2B9A8330">
      <w:pPr>
        <w:jc w:val="center"/>
        <w:rPr>
          <w:rFonts w:hint="eastAsia" w:ascii="宋体" w:hAnsi="宋体" w:eastAsia="宋体" w:cs="宋体"/>
          <w:color w:val="auto"/>
          <w:szCs w:val="21"/>
          <w:highlight w:val="none"/>
        </w:rPr>
      </w:pPr>
    </w:p>
    <w:p w14:paraId="07CD726C">
      <w:pPr>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招标人/招标代理机构：</w:t>
      </w:r>
      <w:r>
        <w:rPr>
          <w:rFonts w:hint="eastAsia" w:ascii="宋体" w:hAnsi="宋体" w:eastAsia="宋体" w:cs="宋体"/>
          <w:color w:val="auto"/>
          <w:sz w:val="32"/>
          <w:szCs w:val="32"/>
          <w:highlight w:val="none"/>
          <w:u w:val="single"/>
        </w:rPr>
        <w:t>北京北卫旭博工程咨询有限公司</w:t>
      </w:r>
      <w:r>
        <w:rPr>
          <w:rFonts w:hint="eastAsia" w:ascii="宋体" w:hAnsi="宋体" w:eastAsia="宋体" w:cs="宋体"/>
          <w:color w:val="auto"/>
          <w:sz w:val="32"/>
          <w:szCs w:val="32"/>
          <w:highlight w:val="none"/>
        </w:rPr>
        <w:t>（盖章）</w:t>
      </w:r>
    </w:p>
    <w:p w14:paraId="247907B7">
      <w:pPr>
        <w:spacing w:line="540" w:lineRule="exact"/>
        <w:ind w:firstLine="43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日    期：</w:t>
      </w:r>
      <w:r>
        <w:rPr>
          <w:rFonts w:hint="eastAsia" w:ascii="宋体" w:hAnsi="宋体" w:eastAsia="宋体" w:cs="宋体"/>
          <w:color w:val="auto"/>
          <w:sz w:val="32"/>
          <w:szCs w:val="32"/>
          <w:highlight w:val="none"/>
          <w:u w:val="single"/>
          <w:lang w:val="en-US" w:eastAsia="zh-CN"/>
        </w:rPr>
        <w:t>2026</w:t>
      </w: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日</w:t>
      </w:r>
    </w:p>
    <w:p w14:paraId="422885A6">
      <w:pPr>
        <w:spacing w:line="540" w:lineRule="exact"/>
        <w:ind w:firstLine="437"/>
        <w:rPr>
          <w:rFonts w:hint="eastAsia" w:ascii="宋体" w:hAnsi="宋体" w:eastAsia="宋体" w:cs="宋体"/>
          <w:color w:val="auto"/>
          <w:sz w:val="32"/>
          <w:szCs w:val="32"/>
          <w:highlight w:val="none"/>
        </w:rPr>
      </w:pPr>
    </w:p>
    <w:p w14:paraId="3872ADD6">
      <w:pPr>
        <w:rPr>
          <w:rFonts w:hint="eastAsia" w:ascii="宋体" w:hAnsi="宋体" w:eastAsia="宋体" w:cs="宋体"/>
          <w:color w:val="auto"/>
          <w:highlight w:val="none"/>
        </w:rPr>
      </w:pPr>
      <w:r>
        <w:rPr>
          <w:rFonts w:hint="eastAsia" w:ascii="宋体" w:hAnsi="宋体" w:eastAsia="宋体" w:cs="宋体"/>
          <w:color w:val="auto"/>
          <w:highlight w:val="none"/>
        </w:rPr>
        <w:br w:type="page"/>
      </w:r>
    </w:p>
    <w:sdt>
      <w:sdtPr>
        <w:rPr>
          <w:rFonts w:ascii="宋体" w:hAnsi="宋体" w:eastAsia="宋体" w:cs="Times New Roman"/>
          <w:color w:val="auto"/>
          <w:kern w:val="2"/>
          <w:sz w:val="21"/>
          <w:szCs w:val="22"/>
          <w:highlight w:val="none"/>
          <w:lang w:val="en-US" w:eastAsia="zh-CN" w:bidi="ar-SA"/>
        </w:rPr>
        <w:id w:val="147477761"/>
        <w15:color w:val="DBDBDB"/>
        <w:docPartObj>
          <w:docPartGallery w:val="Table of Contents"/>
          <w:docPartUnique/>
        </w:docPartObj>
      </w:sdtPr>
      <w:sdtEndPr>
        <w:rPr>
          <w:rFonts w:hint="eastAsia" w:ascii="Calibri" w:hAnsi="Calibri" w:eastAsia="宋体" w:cs="Times New Roman"/>
          <w:color w:val="auto"/>
          <w:kern w:val="0"/>
          <w:sz w:val="20"/>
          <w:szCs w:val="24"/>
          <w:highlight w:val="none"/>
          <w:lang w:val="en-US" w:eastAsia="zh-CN" w:bidi="ar-SA"/>
        </w:rPr>
      </w:sdtEndPr>
      <w:sdtContent>
        <w:p w14:paraId="5213FAED">
          <w:pPr>
            <w:pStyle w:val="4"/>
            <w:keepNext/>
            <w:keepLines/>
            <w:pageBreakBefore w:val="0"/>
            <w:widowControl w:val="0"/>
            <w:kinsoku/>
            <w:wordWrap/>
            <w:overflowPunct/>
            <w:topLinePunct w:val="0"/>
            <w:autoSpaceDE/>
            <w:autoSpaceDN/>
            <w:bidi w:val="0"/>
            <w:adjustRightInd/>
            <w:snapToGrid/>
            <w:spacing w:before="10" w:after="10" w:line="360" w:lineRule="auto"/>
            <w:jc w:val="center"/>
            <w:textAlignment w:val="auto"/>
            <w:rPr>
              <w:color w:val="auto"/>
              <w:highlight w:val="none"/>
            </w:rPr>
          </w:pPr>
          <w:bookmarkStart w:id="0" w:name="_Toc7467"/>
          <w:r>
            <w:rPr>
              <w:rFonts w:hint="eastAsia" w:ascii="宋体" w:hAnsi="宋体" w:eastAsia="宋体" w:cs="宋体"/>
              <w:color w:val="auto"/>
              <w:sz w:val="32"/>
              <w:szCs w:val="20"/>
              <w:highlight w:val="none"/>
              <w:lang w:val="zh-CN" w:eastAsia="zh-CN"/>
            </w:rPr>
            <w:t>目录</w:t>
          </w:r>
          <w:bookmarkEnd w:id="0"/>
        </w:p>
        <w:p w14:paraId="0666BB3F">
          <w:pPr>
            <w:pStyle w:val="11"/>
            <w:tabs>
              <w:tab w:val="right" w:leader="dot" w:pos="9027"/>
            </w:tabs>
            <w:rPr>
              <w:color w:val="auto"/>
              <w:highlight w:val="none"/>
            </w:rPr>
          </w:pPr>
          <w:r>
            <w:rPr>
              <w:rFonts w:hint="eastAsia" w:ascii="Calibri" w:hAnsi="Calibri" w:eastAsia="宋体" w:cs="Times New Roman"/>
              <w:color w:val="auto"/>
              <w:kern w:val="0"/>
              <w:sz w:val="20"/>
              <w:szCs w:val="24"/>
              <w:highlight w:val="none"/>
              <w:lang w:val="en-US" w:eastAsia="zh-CN" w:bidi="ar-SA"/>
            </w:rPr>
            <w:fldChar w:fldCharType="begin"/>
          </w:r>
          <w:r>
            <w:rPr>
              <w:rFonts w:hint="eastAsia" w:ascii="Calibri" w:hAnsi="Calibri" w:eastAsia="宋体" w:cs="Times New Roman"/>
              <w:color w:val="auto"/>
              <w:kern w:val="0"/>
              <w:sz w:val="20"/>
              <w:szCs w:val="24"/>
              <w:highlight w:val="none"/>
              <w:lang w:val="en-US" w:eastAsia="zh-CN" w:bidi="ar-SA"/>
            </w:rPr>
            <w:instrText xml:space="preserve">TOC \o "1-3" \h \u </w:instrText>
          </w:r>
          <w:r>
            <w:rPr>
              <w:rFonts w:hint="eastAsia" w:ascii="Calibri" w:hAnsi="Calibri" w:eastAsia="宋体" w:cs="Times New Roman"/>
              <w:color w:val="auto"/>
              <w:kern w:val="0"/>
              <w:sz w:val="20"/>
              <w:szCs w:val="24"/>
              <w:highlight w:val="none"/>
              <w:lang w:val="en-US" w:eastAsia="zh-CN" w:bidi="ar-SA"/>
            </w:rPr>
            <w:fldChar w:fldCharType="separate"/>
          </w: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_Toc11372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color w:val="auto"/>
              <w:szCs w:val="20"/>
              <w:highlight w:val="none"/>
              <w:lang w:val="zh-CN" w:eastAsia="zh-CN"/>
            </w:rPr>
            <w:t>第一章 招标公告</w:t>
          </w:r>
          <w:r>
            <w:rPr>
              <w:color w:val="auto"/>
              <w:highlight w:val="none"/>
            </w:rPr>
            <w:tab/>
          </w:r>
          <w:r>
            <w:rPr>
              <w:color w:val="auto"/>
              <w:highlight w:val="none"/>
            </w:rPr>
            <w:fldChar w:fldCharType="begin"/>
          </w:r>
          <w:r>
            <w:rPr>
              <w:color w:val="auto"/>
              <w:highlight w:val="none"/>
            </w:rPr>
            <w:instrText xml:space="preserve"> PAGEREF _Toc11372 \h </w:instrText>
          </w:r>
          <w:r>
            <w:rPr>
              <w:color w:val="auto"/>
              <w:highlight w:val="none"/>
            </w:rPr>
            <w:fldChar w:fldCharType="separate"/>
          </w:r>
          <w:r>
            <w:rPr>
              <w:color w:val="auto"/>
              <w:highlight w:val="none"/>
            </w:rPr>
            <w:t>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29E313B">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_Toc4443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1．招标条件</w:t>
          </w:r>
          <w:r>
            <w:rPr>
              <w:color w:val="auto"/>
              <w:highlight w:val="none"/>
            </w:rPr>
            <w:tab/>
          </w:r>
          <w:r>
            <w:rPr>
              <w:color w:val="auto"/>
              <w:highlight w:val="none"/>
            </w:rPr>
            <w:fldChar w:fldCharType="begin"/>
          </w:r>
          <w:r>
            <w:rPr>
              <w:color w:val="auto"/>
              <w:highlight w:val="none"/>
            </w:rPr>
            <w:instrText xml:space="preserve"> PAGEREF _Toc4443 \h </w:instrText>
          </w:r>
          <w:r>
            <w:rPr>
              <w:color w:val="auto"/>
              <w:highlight w:val="none"/>
            </w:rPr>
            <w:fldChar w:fldCharType="separate"/>
          </w:r>
          <w:r>
            <w:rPr>
              <w:color w:val="auto"/>
              <w:highlight w:val="none"/>
            </w:rPr>
            <w:t>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66C30A5">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_Toc1840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2．项目概况与招标</w:t>
          </w:r>
          <w:r>
            <w:rPr>
              <w:rFonts w:hint="eastAsia" w:ascii="宋体" w:hAnsi="宋体" w:eastAsia="宋体" w:cs="宋体"/>
              <w:bCs/>
              <w:color w:val="auto"/>
              <w:kern w:val="0"/>
              <w:szCs w:val="32"/>
              <w:highlight w:val="none"/>
              <w:lang w:val="zh-CN"/>
            </w:rPr>
            <w:t>范围</w:t>
          </w:r>
          <w:r>
            <w:rPr>
              <w:color w:val="auto"/>
              <w:highlight w:val="none"/>
            </w:rPr>
            <w:tab/>
          </w:r>
          <w:r>
            <w:rPr>
              <w:color w:val="auto"/>
              <w:highlight w:val="none"/>
            </w:rPr>
            <w:fldChar w:fldCharType="begin"/>
          </w:r>
          <w:r>
            <w:rPr>
              <w:color w:val="auto"/>
              <w:highlight w:val="none"/>
            </w:rPr>
            <w:instrText xml:space="preserve"> PAGEREF _Toc1840 \h </w:instrText>
          </w:r>
          <w:r>
            <w:rPr>
              <w:color w:val="auto"/>
              <w:highlight w:val="none"/>
            </w:rPr>
            <w:fldChar w:fldCharType="separate"/>
          </w:r>
          <w:r>
            <w:rPr>
              <w:color w:val="auto"/>
              <w:highlight w:val="none"/>
            </w:rPr>
            <w:t>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07C4CFD">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_Toc25019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3．投标人资格要求</w:t>
          </w:r>
          <w:r>
            <w:rPr>
              <w:color w:val="auto"/>
              <w:highlight w:val="none"/>
            </w:rPr>
            <w:tab/>
          </w:r>
          <w:r>
            <w:rPr>
              <w:color w:val="auto"/>
              <w:highlight w:val="none"/>
            </w:rPr>
            <w:fldChar w:fldCharType="begin"/>
          </w:r>
          <w:r>
            <w:rPr>
              <w:color w:val="auto"/>
              <w:highlight w:val="none"/>
            </w:rPr>
            <w:instrText xml:space="preserve"> PAGEREF _Toc25019 \h </w:instrText>
          </w:r>
          <w:r>
            <w:rPr>
              <w:color w:val="auto"/>
              <w:highlight w:val="none"/>
            </w:rPr>
            <w:fldChar w:fldCharType="separate"/>
          </w:r>
          <w:r>
            <w:rPr>
              <w:color w:val="auto"/>
              <w:highlight w:val="none"/>
            </w:rPr>
            <w:t>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F5DC7FE">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_Toc24616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4．招标文件的获取</w:t>
          </w:r>
          <w:r>
            <w:rPr>
              <w:color w:val="auto"/>
              <w:highlight w:val="none"/>
            </w:rPr>
            <w:tab/>
          </w:r>
          <w:r>
            <w:rPr>
              <w:color w:val="auto"/>
              <w:highlight w:val="none"/>
            </w:rPr>
            <w:fldChar w:fldCharType="begin"/>
          </w:r>
          <w:r>
            <w:rPr>
              <w:color w:val="auto"/>
              <w:highlight w:val="none"/>
            </w:rPr>
            <w:instrText xml:space="preserve"> PAGEREF _Toc24616 \h </w:instrText>
          </w:r>
          <w:r>
            <w:rPr>
              <w:color w:val="auto"/>
              <w:highlight w:val="none"/>
            </w:rPr>
            <w:fldChar w:fldCharType="separate"/>
          </w:r>
          <w:r>
            <w:rPr>
              <w:color w:val="auto"/>
              <w:highlight w:val="none"/>
            </w:rPr>
            <w:t>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D636C20">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_Toc13347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5．投标文件的递交</w:t>
          </w:r>
          <w:r>
            <w:rPr>
              <w:color w:val="auto"/>
              <w:highlight w:val="none"/>
            </w:rPr>
            <w:tab/>
          </w:r>
          <w:r>
            <w:rPr>
              <w:color w:val="auto"/>
              <w:highlight w:val="none"/>
            </w:rPr>
            <w:fldChar w:fldCharType="begin"/>
          </w:r>
          <w:r>
            <w:rPr>
              <w:color w:val="auto"/>
              <w:highlight w:val="none"/>
            </w:rPr>
            <w:instrText xml:space="preserve"> PAGEREF _Toc13347 \h </w:instrText>
          </w:r>
          <w:r>
            <w:rPr>
              <w:color w:val="auto"/>
              <w:highlight w:val="none"/>
            </w:rPr>
            <w:fldChar w:fldCharType="separate"/>
          </w:r>
          <w:r>
            <w:rPr>
              <w:color w:val="auto"/>
              <w:highlight w:val="none"/>
            </w:rPr>
            <w:t>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2C0F9BD">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_Toc7710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eastAsia="zh-CN"/>
            </w:rPr>
            <w:t>6．发布公告的媒介</w:t>
          </w:r>
          <w:r>
            <w:rPr>
              <w:color w:val="auto"/>
              <w:highlight w:val="none"/>
            </w:rPr>
            <w:tab/>
          </w:r>
          <w:r>
            <w:rPr>
              <w:color w:val="auto"/>
              <w:highlight w:val="none"/>
            </w:rPr>
            <w:fldChar w:fldCharType="begin"/>
          </w:r>
          <w:r>
            <w:rPr>
              <w:color w:val="auto"/>
              <w:highlight w:val="none"/>
            </w:rPr>
            <w:instrText xml:space="preserve"> PAGEREF _Toc7710 \h </w:instrText>
          </w:r>
          <w:r>
            <w:rPr>
              <w:color w:val="auto"/>
              <w:highlight w:val="none"/>
            </w:rPr>
            <w:fldChar w:fldCharType="separate"/>
          </w:r>
          <w:r>
            <w:rPr>
              <w:color w:val="auto"/>
              <w:highlight w:val="none"/>
            </w:rPr>
            <w:t>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04DC66A">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_Toc29528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kern w:val="0"/>
              <w:szCs w:val="32"/>
              <w:highlight w:val="none"/>
              <w:lang w:val="zh-CN"/>
            </w:rPr>
            <w:t>8</w:t>
          </w:r>
          <w:r>
            <w:rPr>
              <w:rFonts w:hint="eastAsia" w:ascii="宋体" w:hAnsi="宋体" w:eastAsia="宋体" w:cs="宋体"/>
              <w:bCs/>
              <w:color w:val="auto"/>
              <w:kern w:val="0"/>
              <w:szCs w:val="32"/>
              <w:highlight w:val="none"/>
              <w:lang w:val="zh-CN" w:eastAsia="zh-CN"/>
            </w:rPr>
            <w:t>．联系方式</w:t>
          </w:r>
          <w:r>
            <w:rPr>
              <w:color w:val="auto"/>
              <w:highlight w:val="none"/>
            </w:rPr>
            <w:tab/>
          </w:r>
          <w:r>
            <w:rPr>
              <w:color w:val="auto"/>
              <w:highlight w:val="none"/>
            </w:rPr>
            <w:fldChar w:fldCharType="begin"/>
          </w:r>
          <w:r>
            <w:rPr>
              <w:color w:val="auto"/>
              <w:highlight w:val="none"/>
            </w:rPr>
            <w:instrText xml:space="preserve"> PAGEREF _Toc29528 \h </w:instrText>
          </w:r>
          <w:r>
            <w:rPr>
              <w:color w:val="auto"/>
              <w:highlight w:val="none"/>
            </w:rPr>
            <w:fldChar w:fldCharType="separate"/>
          </w:r>
          <w:r>
            <w:rPr>
              <w:color w:val="auto"/>
              <w:highlight w:val="none"/>
            </w:rPr>
            <w:t>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A88DECB">
          <w:pPr>
            <w:pStyle w:val="11"/>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_Toc11098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color w:val="auto"/>
              <w:szCs w:val="20"/>
              <w:highlight w:val="none"/>
              <w:lang w:val="en-US" w:eastAsia="zh-CN"/>
            </w:rPr>
            <w:t>第二章  投标人须知</w:t>
          </w:r>
          <w:r>
            <w:rPr>
              <w:color w:val="auto"/>
              <w:highlight w:val="none"/>
            </w:rPr>
            <w:tab/>
          </w:r>
          <w:r>
            <w:rPr>
              <w:color w:val="auto"/>
              <w:highlight w:val="none"/>
            </w:rPr>
            <w:fldChar w:fldCharType="begin"/>
          </w:r>
          <w:r>
            <w:rPr>
              <w:color w:val="auto"/>
              <w:highlight w:val="none"/>
            </w:rPr>
            <w:instrText xml:space="preserve"> PAGEREF _Toc11098 \h </w:instrText>
          </w:r>
          <w:r>
            <w:rPr>
              <w:color w:val="auto"/>
              <w:highlight w:val="none"/>
            </w:rPr>
            <w:fldChar w:fldCharType="separate"/>
          </w:r>
          <w:r>
            <w:rPr>
              <w:color w:val="auto"/>
              <w:highlight w:val="none"/>
            </w:rPr>
            <w:t>4</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4896AFA">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_Toc18611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color w:val="auto"/>
              <w:szCs w:val="28"/>
              <w:highlight w:val="none"/>
              <w:lang w:val="en-US" w:eastAsia="zh-CN"/>
            </w:rPr>
            <w:t>投标人须知前附表</w:t>
          </w:r>
          <w:r>
            <w:rPr>
              <w:color w:val="auto"/>
              <w:highlight w:val="none"/>
            </w:rPr>
            <w:tab/>
          </w:r>
          <w:r>
            <w:rPr>
              <w:color w:val="auto"/>
              <w:highlight w:val="none"/>
            </w:rPr>
            <w:fldChar w:fldCharType="begin"/>
          </w:r>
          <w:r>
            <w:rPr>
              <w:color w:val="auto"/>
              <w:highlight w:val="none"/>
            </w:rPr>
            <w:instrText xml:space="preserve"> PAGEREF _Toc18611 \h </w:instrText>
          </w:r>
          <w:r>
            <w:rPr>
              <w:color w:val="auto"/>
              <w:highlight w:val="none"/>
            </w:rPr>
            <w:fldChar w:fldCharType="separate"/>
          </w:r>
          <w:r>
            <w:rPr>
              <w:color w:val="auto"/>
              <w:highlight w:val="none"/>
            </w:rPr>
            <w:t>4</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8412A97">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_Toc6972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投标人须知</w:t>
          </w:r>
          <w:r>
            <w:rPr>
              <w:color w:val="auto"/>
              <w:highlight w:val="none"/>
            </w:rPr>
            <w:tab/>
          </w:r>
          <w:r>
            <w:rPr>
              <w:color w:val="auto"/>
              <w:highlight w:val="none"/>
            </w:rPr>
            <w:fldChar w:fldCharType="begin"/>
          </w:r>
          <w:r>
            <w:rPr>
              <w:color w:val="auto"/>
              <w:highlight w:val="none"/>
            </w:rPr>
            <w:instrText xml:space="preserve"> PAGEREF _Toc6972 \h </w:instrText>
          </w:r>
          <w:r>
            <w:rPr>
              <w:color w:val="auto"/>
              <w:highlight w:val="none"/>
            </w:rPr>
            <w:fldChar w:fldCharType="separate"/>
          </w:r>
          <w:r>
            <w:rPr>
              <w:color w:val="auto"/>
              <w:highlight w:val="none"/>
            </w:rPr>
            <w:t>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DD1584B">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_Toc29655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一、总则</w:t>
          </w:r>
          <w:r>
            <w:rPr>
              <w:color w:val="auto"/>
              <w:highlight w:val="none"/>
            </w:rPr>
            <w:tab/>
          </w:r>
          <w:r>
            <w:rPr>
              <w:color w:val="auto"/>
              <w:highlight w:val="none"/>
            </w:rPr>
            <w:fldChar w:fldCharType="begin"/>
          </w:r>
          <w:r>
            <w:rPr>
              <w:color w:val="auto"/>
              <w:highlight w:val="none"/>
            </w:rPr>
            <w:instrText xml:space="preserve"> PAGEREF _Toc29655 \h </w:instrText>
          </w:r>
          <w:r>
            <w:rPr>
              <w:color w:val="auto"/>
              <w:highlight w:val="none"/>
            </w:rPr>
            <w:fldChar w:fldCharType="separate"/>
          </w:r>
          <w:r>
            <w:rPr>
              <w:color w:val="auto"/>
              <w:highlight w:val="none"/>
            </w:rPr>
            <w:t>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88117D2">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_Toc18835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二、招标文件</w:t>
          </w:r>
          <w:r>
            <w:rPr>
              <w:color w:val="auto"/>
              <w:highlight w:val="none"/>
            </w:rPr>
            <w:tab/>
          </w:r>
          <w:r>
            <w:rPr>
              <w:color w:val="auto"/>
              <w:highlight w:val="none"/>
            </w:rPr>
            <w:fldChar w:fldCharType="begin"/>
          </w:r>
          <w:r>
            <w:rPr>
              <w:color w:val="auto"/>
              <w:highlight w:val="none"/>
            </w:rPr>
            <w:instrText xml:space="preserve"> PAGEREF _Toc18835 \h </w:instrText>
          </w:r>
          <w:r>
            <w:rPr>
              <w:color w:val="auto"/>
              <w:highlight w:val="none"/>
            </w:rPr>
            <w:fldChar w:fldCharType="separate"/>
          </w:r>
          <w:r>
            <w:rPr>
              <w:color w:val="auto"/>
              <w:highlight w:val="none"/>
            </w:rPr>
            <w:t>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346E0F3">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_Toc31015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三、投标文件</w:t>
          </w:r>
          <w:r>
            <w:rPr>
              <w:color w:val="auto"/>
              <w:highlight w:val="none"/>
            </w:rPr>
            <w:tab/>
          </w:r>
          <w:r>
            <w:rPr>
              <w:color w:val="auto"/>
              <w:highlight w:val="none"/>
            </w:rPr>
            <w:fldChar w:fldCharType="begin"/>
          </w:r>
          <w:r>
            <w:rPr>
              <w:color w:val="auto"/>
              <w:highlight w:val="none"/>
            </w:rPr>
            <w:instrText xml:space="preserve"> PAGEREF _Toc31015 \h </w:instrText>
          </w:r>
          <w:r>
            <w:rPr>
              <w:color w:val="auto"/>
              <w:highlight w:val="none"/>
            </w:rPr>
            <w:fldChar w:fldCharType="separate"/>
          </w:r>
          <w:r>
            <w:rPr>
              <w:color w:val="auto"/>
              <w:highlight w:val="none"/>
            </w:rPr>
            <w:t>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715C083">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_Toc10690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_Toc10690 \h </w:instrText>
          </w:r>
          <w:r>
            <w:rPr>
              <w:color w:val="auto"/>
              <w:highlight w:val="none"/>
            </w:rPr>
            <w:fldChar w:fldCharType="separate"/>
          </w:r>
          <w:r>
            <w:rPr>
              <w:color w:val="auto"/>
              <w:highlight w:val="none"/>
            </w:rPr>
            <w:t>12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ED219E7">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_Toc9438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五、开标与评标</w:t>
          </w:r>
          <w:r>
            <w:rPr>
              <w:color w:val="auto"/>
              <w:highlight w:val="none"/>
            </w:rPr>
            <w:tab/>
          </w:r>
          <w:r>
            <w:rPr>
              <w:color w:val="auto"/>
              <w:highlight w:val="none"/>
            </w:rPr>
            <w:fldChar w:fldCharType="begin"/>
          </w:r>
          <w:r>
            <w:rPr>
              <w:color w:val="auto"/>
              <w:highlight w:val="none"/>
            </w:rPr>
            <w:instrText xml:space="preserve"> PAGEREF _Toc9438 \h </w:instrText>
          </w:r>
          <w:r>
            <w:rPr>
              <w:color w:val="auto"/>
              <w:highlight w:val="none"/>
            </w:rPr>
            <w:fldChar w:fldCharType="separate"/>
          </w:r>
          <w:r>
            <w:rPr>
              <w:color w:val="auto"/>
              <w:highlight w:val="none"/>
            </w:rPr>
            <w:t>13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B522312">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_Toc27632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六、定标与签订</w:t>
          </w:r>
          <w:r>
            <w:rPr>
              <w:rFonts w:hint="eastAsia" w:ascii="宋体" w:hAnsi="宋体" w:eastAsia="宋体" w:cs="宋体"/>
              <w:bCs/>
              <w:color w:val="auto"/>
              <w:szCs w:val="24"/>
              <w:highlight w:val="none"/>
              <w:lang w:val="en-US" w:eastAsia="zh-CN"/>
            </w:rPr>
            <w:t>合同</w:t>
          </w:r>
          <w:r>
            <w:rPr>
              <w:color w:val="auto"/>
              <w:highlight w:val="none"/>
            </w:rPr>
            <w:tab/>
          </w:r>
          <w:r>
            <w:rPr>
              <w:color w:val="auto"/>
              <w:highlight w:val="none"/>
            </w:rPr>
            <w:fldChar w:fldCharType="begin"/>
          </w:r>
          <w:r>
            <w:rPr>
              <w:color w:val="auto"/>
              <w:highlight w:val="none"/>
            </w:rPr>
            <w:instrText xml:space="preserve"> PAGEREF _Toc27632 \h </w:instrText>
          </w:r>
          <w:r>
            <w:rPr>
              <w:color w:val="auto"/>
              <w:highlight w:val="none"/>
            </w:rPr>
            <w:fldChar w:fldCharType="separate"/>
          </w:r>
          <w:r>
            <w:rPr>
              <w:color w:val="auto"/>
              <w:highlight w:val="none"/>
            </w:rPr>
            <w:t>16</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0FDFC6E">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_Toc4087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七、其他要求</w:t>
          </w:r>
          <w:r>
            <w:rPr>
              <w:color w:val="auto"/>
              <w:highlight w:val="none"/>
            </w:rPr>
            <w:tab/>
          </w:r>
          <w:r>
            <w:rPr>
              <w:color w:val="auto"/>
              <w:highlight w:val="none"/>
            </w:rPr>
            <w:fldChar w:fldCharType="begin"/>
          </w:r>
          <w:r>
            <w:rPr>
              <w:color w:val="auto"/>
              <w:highlight w:val="none"/>
            </w:rPr>
            <w:instrText xml:space="preserve"> PAGEREF _Toc4087 \h </w:instrText>
          </w:r>
          <w:r>
            <w:rPr>
              <w:color w:val="auto"/>
              <w:highlight w:val="none"/>
            </w:rPr>
            <w:fldChar w:fldCharType="separate"/>
          </w:r>
          <w:r>
            <w:rPr>
              <w:color w:val="auto"/>
              <w:highlight w:val="none"/>
            </w:rPr>
            <w:t>19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4D396C2">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_Toc4311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rPr>
            <w:t>八、适用法律</w:t>
          </w:r>
          <w:r>
            <w:rPr>
              <w:color w:val="auto"/>
              <w:highlight w:val="none"/>
            </w:rPr>
            <w:tab/>
          </w:r>
          <w:r>
            <w:rPr>
              <w:color w:val="auto"/>
              <w:highlight w:val="none"/>
            </w:rPr>
            <w:fldChar w:fldCharType="begin"/>
          </w:r>
          <w:r>
            <w:rPr>
              <w:color w:val="auto"/>
              <w:highlight w:val="none"/>
            </w:rPr>
            <w:instrText xml:space="preserve"> PAGEREF _Toc4311 \h </w:instrText>
          </w:r>
          <w:r>
            <w:rPr>
              <w:color w:val="auto"/>
              <w:highlight w:val="none"/>
            </w:rPr>
            <w:fldChar w:fldCharType="separate"/>
          </w:r>
          <w:r>
            <w:rPr>
              <w:color w:val="auto"/>
              <w:highlight w:val="none"/>
            </w:rPr>
            <w:t>19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6067E4D">
          <w:pPr>
            <w:pStyle w:val="11"/>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_Toc32073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0"/>
              <w:highlight w:val="none"/>
              <w:lang w:val="en-US" w:eastAsia="zh-CN"/>
            </w:rPr>
            <w:t>第三章  采购需求</w:t>
          </w:r>
          <w:r>
            <w:rPr>
              <w:color w:val="auto"/>
              <w:highlight w:val="none"/>
            </w:rPr>
            <w:tab/>
          </w:r>
          <w:r>
            <w:rPr>
              <w:color w:val="auto"/>
              <w:highlight w:val="none"/>
            </w:rPr>
            <w:fldChar w:fldCharType="begin"/>
          </w:r>
          <w:r>
            <w:rPr>
              <w:color w:val="auto"/>
              <w:highlight w:val="none"/>
            </w:rPr>
            <w:instrText xml:space="preserve"> PAGEREF _Toc32073 \h </w:instrText>
          </w:r>
          <w:r>
            <w:rPr>
              <w:color w:val="auto"/>
              <w:highlight w:val="none"/>
            </w:rPr>
            <w:fldChar w:fldCharType="separate"/>
          </w:r>
          <w:r>
            <w:rPr>
              <w:color w:val="auto"/>
              <w:highlight w:val="none"/>
            </w:rPr>
            <w:t>20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5AA4E50">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_Toc2287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一、项目概况</w:t>
          </w:r>
          <w:r>
            <w:rPr>
              <w:color w:val="auto"/>
              <w:highlight w:val="none"/>
            </w:rPr>
            <w:tab/>
          </w:r>
          <w:r>
            <w:rPr>
              <w:color w:val="auto"/>
              <w:highlight w:val="none"/>
            </w:rPr>
            <w:fldChar w:fldCharType="begin"/>
          </w:r>
          <w:r>
            <w:rPr>
              <w:color w:val="auto"/>
              <w:highlight w:val="none"/>
            </w:rPr>
            <w:instrText xml:space="preserve"> PAGEREF _Toc2287 \h </w:instrText>
          </w:r>
          <w:r>
            <w:rPr>
              <w:color w:val="auto"/>
              <w:highlight w:val="none"/>
            </w:rPr>
            <w:fldChar w:fldCharType="separate"/>
          </w:r>
          <w:r>
            <w:rPr>
              <w:color w:val="auto"/>
              <w:highlight w:val="none"/>
            </w:rPr>
            <w:t>20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22061B1">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_Toc22652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二、标准规范</w:t>
          </w:r>
          <w:r>
            <w:rPr>
              <w:color w:val="auto"/>
              <w:highlight w:val="none"/>
            </w:rPr>
            <w:tab/>
          </w:r>
          <w:r>
            <w:rPr>
              <w:color w:val="auto"/>
              <w:highlight w:val="none"/>
            </w:rPr>
            <w:fldChar w:fldCharType="begin"/>
          </w:r>
          <w:r>
            <w:rPr>
              <w:color w:val="auto"/>
              <w:highlight w:val="none"/>
            </w:rPr>
            <w:instrText xml:space="preserve"> PAGEREF _Toc22652 \h </w:instrText>
          </w:r>
          <w:r>
            <w:rPr>
              <w:color w:val="auto"/>
              <w:highlight w:val="none"/>
            </w:rPr>
            <w:fldChar w:fldCharType="separate"/>
          </w:r>
          <w:r>
            <w:rPr>
              <w:color w:val="auto"/>
              <w:highlight w:val="none"/>
            </w:rPr>
            <w:t>21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FD63514">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_Toc8709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三、技术实现方法和路线</w:t>
          </w:r>
          <w:r>
            <w:rPr>
              <w:color w:val="auto"/>
              <w:highlight w:val="none"/>
            </w:rPr>
            <w:tab/>
          </w:r>
          <w:r>
            <w:rPr>
              <w:color w:val="auto"/>
              <w:highlight w:val="none"/>
            </w:rPr>
            <w:fldChar w:fldCharType="begin"/>
          </w:r>
          <w:r>
            <w:rPr>
              <w:color w:val="auto"/>
              <w:highlight w:val="none"/>
            </w:rPr>
            <w:instrText xml:space="preserve"> PAGEREF _Toc8709 \h </w:instrText>
          </w:r>
          <w:r>
            <w:rPr>
              <w:color w:val="auto"/>
              <w:highlight w:val="none"/>
            </w:rPr>
            <w:fldChar w:fldCharType="separate"/>
          </w:r>
          <w:r>
            <w:rPr>
              <w:color w:val="auto"/>
              <w:highlight w:val="none"/>
            </w:rPr>
            <w:t>22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5E26909">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_Toc11724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四、系统功能要求</w:t>
          </w:r>
          <w:r>
            <w:rPr>
              <w:color w:val="auto"/>
              <w:highlight w:val="none"/>
            </w:rPr>
            <w:tab/>
          </w:r>
          <w:r>
            <w:rPr>
              <w:color w:val="auto"/>
              <w:highlight w:val="none"/>
            </w:rPr>
            <w:fldChar w:fldCharType="begin"/>
          </w:r>
          <w:r>
            <w:rPr>
              <w:color w:val="auto"/>
              <w:highlight w:val="none"/>
            </w:rPr>
            <w:instrText xml:space="preserve"> PAGEREF _Toc11724 \h </w:instrText>
          </w:r>
          <w:r>
            <w:rPr>
              <w:color w:val="auto"/>
              <w:highlight w:val="none"/>
            </w:rPr>
            <w:fldChar w:fldCharType="separate"/>
          </w:r>
          <w:r>
            <w:rPr>
              <w:color w:val="auto"/>
              <w:highlight w:val="none"/>
            </w:rPr>
            <w:t>23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2DBCDD2">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_Toc24193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五、系统建设具体内容</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25</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AA0FF52">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_Toc26800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六、系统非功能性要求</w:t>
          </w:r>
          <w:r>
            <w:rPr>
              <w:color w:val="auto"/>
              <w:highlight w:val="none"/>
            </w:rPr>
            <w:tab/>
          </w:r>
          <w:r>
            <w:rPr>
              <w:color w:val="auto"/>
              <w:highlight w:val="none"/>
            </w:rPr>
            <w:fldChar w:fldCharType="begin"/>
          </w:r>
          <w:r>
            <w:rPr>
              <w:color w:val="auto"/>
              <w:highlight w:val="none"/>
            </w:rPr>
            <w:instrText xml:space="preserve"> PAGEREF _Toc26800 \h </w:instrText>
          </w:r>
          <w:r>
            <w:rPr>
              <w:color w:val="auto"/>
              <w:highlight w:val="none"/>
            </w:rPr>
            <w:fldChar w:fldCharType="separate"/>
          </w:r>
          <w:r>
            <w:rPr>
              <w:color w:val="auto"/>
              <w:highlight w:val="none"/>
            </w:rPr>
            <w:t>172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5ACE7F3">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_Toc27626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七、建设要求</w:t>
          </w:r>
          <w:r>
            <w:rPr>
              <w:color w:val="auto"/>
              <w:highlight w:val="none"/>
            </w:rPr>
            <w:tab/>
          </w:r>
          <w:r>
            <w:rPr>
              <w:color w:val="auto"/>
              <w:highlight w:val="none"/>
            </w:rPr>
            <w:fldChar w:fldCharType="begin"/>
          </w:r>
          <w:r>
            <w:rPr>
              <w:color w:val="auto"/>
              <w:highlight w:val="none"/>
            </w:rPr>
            <w:instrText xml:space="preserve"> PAGEREF _Toc27626 \h </w:instrText>
          </w:r>
          <w:r>
            <w:rPr>
              <w:color w:val="auto"/>
              <w:highlight w:val="none"/>
            </w:rPr>
            <w:fldChar w:fldCharType="separate"/>
          </w:r>
          <w:r>
            <w:rPr>
              <w:color w:val="auto"/>
              <w:highlight w:val="none"/>
            </w:rPr>
            <w:t>175</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EEDE334">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_Toc22746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八、知识产权要求</w:t>
          </w:r>
          <w:r>
            <w:rPr>
              <w:color w:val="auto"/>
              <w:highlight w:val="none"/>
            </w:rPr>
            <w:tab/>
          </w:r>
          <w:r>
            <w:rPr>
              <w:color w:val="auto"/>
              <w:highlight w:val="none"/>
            </w:rPr>
            <w:fldChar w:fldCharType="begin"/>
          </w:r>
          <w:r>
            <w:rPr>
              <w:color w:val="auto"/>
              <w:highlight w:val="none"/>
            </w:rPr>
            <w:instrText xml:space="preserve"> PAGEREF _Toc22746 \h </w:instrText>
          </w:r>
          <w:r>
            <w:rPr>
              <w:color w:val="auto"/>
              <w:highlight w:val="none"/>
            </w:rPr>
            <w:fldChar w:fldCharType="separate"/>
          </w:r>
          <w:r>
            <w:rPr>
              <w:color w:val="auto"/>
              <w:highlight w:val="none"/>
            </w:rPr>
            <w:t>177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5D3F5B3">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_Toc23137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九、系统测试要求</w:t>
          </w:r>
          <w:r>
            <w:rPr>
              <w:color w:val="auto"/>
              <w:highlight w:val="none"/>
            </w:rPr>
            <w:tab/>
          </w:r>
          <w:r>
            <w:rPr>
              <w:color w:val="auto"/>
              <w:highlight w:val="none"/>
            </w:rPr>
            <w:fldChar w:fldCharType="begin"/>
          </w:r>
          <w:r>
            <w:rPr>
              <w:color w:val="auto"/>
              <w:highlight w:val="none"/>
            </w:rPr>
            <w:instrText xml:space="preserve"> PAGEREF _Toc23137 \h </w:instrText>
          </w:r>
          <w:r>
            <w:rPr>
              <w:color w:val="auto"/>
              <w:highlight w:val="none"/>
            </w:rPr>
            <w:fldChar w:fldCharType="separate"/>
          </w:r>
          <w:r>
            <w:rPr>
              <w:color w:val="auto"/>
              <w:highlight w:val="none"/>
            </w:rPr>
            <w:t>178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F998751">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_Toc14390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十、交付使用要求</w:t>
          </w:r>
          <w:r>
            <w:rPr>
              <w:color w:val="auto"/>
              <w:highlight w:val="none"/>
            </w:rPr>
            <w:tab/>
          </w:r>
          <w:r>
            <w:rPr>
              <w:color w:val="auto"/>
              <w:highlight w:val="none"/>
            </w:rPr>
            <w:fldChar w:fldCharType="begin"/>
          </w:r>
          <w:r>
            <w:rPr>
              <w:color w:val="auto"/>
              <w:highlight w:val="none"/>
            </w:rPr>
            <w:instrText xml:space="preserve"> PAGEREF _Toc14390 \h </w:instrText>
          </w:r>
          <w:r>
            <w:rPr>
              <w:color w:val="auto"/>
              <w:highlight w:val="none"/>
            </w:rPr>
            <w:fldChar w:fldCharType="separate"/>
          </w:r>
          <w:r>
            <w:rPr>
              <w:color w:val="auto"/>
              <w:highlight w:val="none"/>
            </w:rPr>
            <w:t>178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E4A0CED">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_Toc1328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十一、验收要求</w:t>
          </w:r>
          <w:r>
            <w:rPr>
              <w:color w:val="auto"/>
              <w:highlight w:val="none"/>
            </w:rPr>
            <w:tab/>
          </w:r>
          <w:r>
            <w:rPr>
              <w:color w:val="auto"/>
              <w:highlight w:val="none"/>
            </w:rPr>
            <w:fldChar w:fldCharType="begin"/>
          </w:r>
          <w:r>
            <w:rPr>
              <w:color w:val="auto"/>
              <w:highlight w:val="none"/>
            </w:rPr>
            <w:instrText xml:space="preserve"> PAGEREF _Toc1328 \h </w:instrText>
          </w:r>
          <w:r>
            <w:rPr>
              <w:color w:val="auto"/>
              <w:highlight w:val="none"/>
            </w:rPr>
            <w:fldChar w:fldCharType="separate"/>
          </w:r>
          <w:r>
            <w:rPr>
              <w:color w:val="auto"/>
              <w:highlight w:val="none"/>
            </w:rPr>
            <w:t>178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0079554">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_Toc454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十二、培训</w:t>
          </w:r>
          <w:r>
            <w:rPr>
              <w:color w:val="auto"/>
              <w:highlight w:val="none"/>
            </w:rPr>
            <w:tab/>
          </w:r>
          <w:r>
            <w:rPr>
              <w:color w:val="auto"/>
              <w:highlight w:val="none"/>
            </w:rPr>
            <w:fldChar w:fldCharType="begin"/>
          </w:r>
          <w:r>
            <w:rPr>
              <w:color w:val="auto"/>
              <w:highlight w:val="none"/>
            </w:rPr>
            <w:instrText xml:space="preserve"> PAGEREF _Toc454 \h </w:instrText>
          </w:r>
          <w:r>
            <w:rPr>
              <w:color w:val="auto"/>
              <w:highlight w:val="none"/>
            </w:rPr>
            <w:fldChar w:fldCharType="separate"/>
          </w:r>
          <w:r>
            <w:rPr>
              <w:color w:val="auto"/>
              <w:highlight w:val="none"/>
            </w:rPr>
            <w:t>179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5C67500">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_Toc23715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十三、售后服务要求</w:t>
          </w:r>
          <w:r>
            <w:rPr>
              <w:color w:val="auto"/>
              <w:highlight w:val="none"/>
            </w:rPr>
            <w:tab/>
          </w:r>
          <w:r>
            <w:rPr>
              <w:color w:val="auto"/>
              <w:highlight w:val="none"/>
            </w:rPr>
            <w:fldChar w:fldCharType="begin"/>
          </w:r>
          <w:r>
            <w:rPr>
              <w:color w:val="auto"/>
              <w:highlight w:val="none"/>
            </w:rPr>
            <w:instrText xml:space="preserve"> PAGEREF _Toc23715 \h </w:instrText>
          </w:r>
          <w:r>
            <w:rPr>
              <w:color w:val="auto"/>
              <w:highlight w:val="none"/>
            </w:rPr>
            <w:fldChar w:fldCharType="separate"/>
          </w:r>
          <w:r>
            <w:rPr>
              <w:color w:val="auto"/>
              <w:highlight w:val="none"/>
            </w:rPr>
            <w:t>179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A676AE7">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_Toc10394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十四、信息安全及保密要求</w:t>
          </w:r>
          <w:r>
            <w:rPr>
              <w:color w:val="auto"/>
              <w:highlight w:val="none"/>
            </w:rPr>
            <w:tab/>
          </w:r>
          <w:r>
            <w:rPr>
              <w:color w:val="auto"/>
              <w:highlight w:val="none"/>
            </w:rPr>
            <w:fldChar w:fldCharType="begin"/>
          </w:r>
          <w:r>
            <w:rPr>
              <w:color w:val="auto"/>
              <w:highlight w:val="none"/>
            </w:rPr>
            <w:instrText xml:space="preserve"> PAGEREF _Toc10394 \h </w:instrText>
          </w:r>
          <w:r>
            <w:rPr>
              <w:color w:val="auto"/>
              <w:highlight w:val="none"/>
            </w:rPr>
            <w:fldChar w:fldCharType="separate"/>
          </w:r>
          <w:r>
            <w:rPr>
              <w:color w:val="auto"/>
              <w:highlight w:val="none"/>
            </w:rPr>
            <w:t>180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B341803">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_Toc959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十五、其他要求</w:t>
          </w:r>
          <w:r>
            <w:rPr>
              <w:color w:val="auto"/>
              <w:highlight w:val="none"/>
            </w:rPr>
            <w:tab/>
          </w:r>
          <w:r>
            <w:rPr>
              <w:color w:val="auto"/>
              <w:highlight w:val="none"/>
            </w:rPr>
            <w:fldChar w:fldCharType="begin"/>
          </w:r>
          <w:r>
            <w:rPr>
              <w:color w:val="auto"/>
              <w:highlight w:val="none"/>
            </w:rPr>
            <w:instrText xml:space="preserve"> PAGEREF _Toc959 \h </w:instrText>
          </w:r>
          <w:r>
            <w:rPr>
              <w:color w:val="auto"/>
              <w:highlight w:val="none"/>
            </w:rPr>
            <w:fldChar w:fldCharType="separate"/>
          </w:r>
          <w:r>
            <w:rPr>
              <w:color w:val="auto"/>
              <w:highlight w:val="none"/>
            </w:rPr>
            <w:t>180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38B0134">
          <w:pPr>
            <w:pStyle w:val="11"/>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_Toc30505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0"/>
              <w:highlight w:val="none"/>
              <w:lang w:val="en-US" w:eastAsia="zh-CN"/>
            </w:rPr>
            <w:t xml:space="preserve">第四章  </w:t>
          </w:r>
          <w:r>
            <w:rPr>
              <w:rFonts w:hint="eastAsia" w:ascii="宋体" w:hAnsi="宋体" w:eastAsia="宋体" w:cs="宋体"/>
              <w:bCs/>
              <w:color w:val="auto"/>
              <w:szCs w:val="20"/>
              <w:highlight w:val="none"/>
              <w:lang w:val="zh-CN" w:eastAsia="zh-CN"/>
            </w:rPr>
            <w:t>评标办法（综合评估法）</w:t>
          </w:r>
          <w:r>
            <w:rPr>
              <w:color w:val="auto"/>
              <w:highlight w:val="none"/>
            </w:rPr>
            <w:tab/>
          </w:r>
          <w:r>
            <w:rPr>
              <w:color w:val="auto"/>
              <w:highlight w:val="none"/>
            </w:rPr>
            <w:fldChar w:fldCharType="begin"/>
          </w:r>
          <w:r>
            <w:rPr>
              <w:color w:val="auto"/>
              <w:highlight w:val="none"/>
            </w:rPr>
            <w:instrText xml:space="preserve"> PAGEREF _Toc30505 \h </w:instrText>
          </w:r>
          <w:r>
            <w:rPr>
              <w:color w:val="auto"/>
              <w:highlight w:val="none"/>
            </w:rPr>
            <w:fldChar w:fldCharType="separate"/>
          </w:r>
          <w:r>
            <w:rPr>
              <w:color w:val="auto"/>
              <w:highlight w:val="none"/>
            </w:rPr>
            <w:t>181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8C2A1CB">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_Toc2192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eastAsia="zh-CN"/>
            </w:rPr>
            <w:t>评标办法前附表</w:t>
          </w:r>
          <w:r>
            <w:rPr>
              <w:color w:val="auto"/>
              <w:highlight w:val="none"/>
            </w:rPr>
            <w:tab/>
          </w:r>
          <w:r>
            <w:rPr>
              <w:color w:val="auto"/>
              <w:highlight w:val="none"/>
            </w:rPr>
            <w:fldChar w:fldCharType="begin"/>
          </w:r>
          <w:r>
            <w:rPr>
              <w:color w:val="auto"/>
              <w:highlight w:val="none"/>
            </w:rPr>
            <w:instrText xml:space="preserve"> PAGEREF _Toc2192 \h </w:instrText>
          </w:r>
          <w:r>
            <w:rPr>
              <w:color w:val="auto"/>
              <w:highlight w:val="none"/>
            </w:rPr>
            <w:fldChar w:fldCharType="separate"/>
          </w:r>
          <w:r>
            <w:rPr>
              <w:color w:val="auto"/>
              <w:highlight w:val="none"/>
            </w:rPr>
            <w:t>181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85EC405">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_Toc25305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rPr>
            <w:t>评标办法正文</w:t>
          </w:r>
          <w:r>
            <w:rPr>
              <w:color w:val="auto"/>
              <w:highlight w:val="none"/>
            </w:rPr>
            <w:tab/>
          </w:r>
          <w:r>
            <w:rPr>
              <w:color w:val="auto"/>
              <w:highlight w:val="none"/>
            </w:rPr>
            <w:fldChar w:fldCharType="begin"/>
          </w:r>
          <w:r>
            <w:rPr>
              <w:color w:val="auto"/>
              <w:highlight w:val="none"/>
            </w:rPr>
            <w:instrText xml:space="preserve"> PAGEREF _Toc25305 \h </w:instrText>
          </w:r>
          <w:r>
            <w:rPr>
              <w:color w:val="auto"/>
              <w:highlight w:val="none"/>
            </w:rPr>
            <w:fldChar w:fldCharType="separate"/>
          </w:r>
          <w:r>
            <w:rPr>
              <w:color w:val="auto"/>
              <w:highlight w:val="none"/>
            </w:rPr>
            <w:t>187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C23E375">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_Toc29744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1. </w:t>
          </w:r>
          <w:r>
            <w:rPr>
              <w:rFonts w:hint="eastAsia" w:ascii="宋体" w:hAnsi="宋体" w:eastAsia="宋体" w:cs="宋体"/>
              <w:bCs/>
              <w:color w:val="auto"/>
              <w:szCs w:val="24"/>
              <w:highlight w:val="none"/>
              <w:lang w:val="zh-CN" w:eastAsia="zh-CN"/>
            </w:rPr>
            <w:t>评标方</w:t>
          </w:r>
          <w:r>
            <w:rPr>
              <w:rFonts w:hint="eastAsia" w:ascii="宋体" w:hAnsi="宋体" w:eastAsia="宋体" w:cs="宋体"/>
              <w:bCs/>
              <w:color w:val="auto"/>
              <w:szCs w:val="24"/>
              <w:highlight w:val="none"/>
              <w:lang w:val="zh-CN"/>
            </w:rPr>
            <w:t>法</w:t>
          </w:r>
          <w:r>
            <w:rPr>
              <w:color w:val="auto"/>
              <w:highlight w:val="none"/>
            </w:rPr>
            <w:tab/>
          </w:r>
          <w:r>
            <w:rPr>
              <w:color w:val="auto"/>
              <w:highlight w:val="none"/>
            </w:rPr>
            <w:fldChar w:fldCharType="begin"/>
          </w:r>
          <w:r>
            <w:rPr>
              <w:color w:val="auto"/>
              <w:highlight w:val="none"/>
            </w:rPr>
            <w:instrText xml:space="preserve"> PAGEREF _Toc29744 \h </w:instrText>
          </w:r>
          <w:r>
            <w:rPr>
              <w:color w:val="auto"/>
              <w:highlight w:val="none"/>
            </w:rPr>
            <w:fldChar w:fldCharType="separate"/>
          </w:r>
          <w:r>
            <w:rPr>
              <w:color w:val="auto"/>
              <w:highlight w:val="none"/>
            </w:rPr>
            <w:t>187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AAA0A04">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_Toc15491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2. 评审标准</w:t>
          </w:r>
          <w:r>
            <w:rPr>
              <w:color w:val="auto"/>
              <w:highlight w:val="none"/>
            </w:rPr>
            <w:tab/>
          </w:r>
          <w:r>
            <w:rPr>
              <w:color w:val="auto"/>
              <w:highlight w:val="none"/>
            </w:rPr>
            <w:fldChar w:fldCharType="begin"/>
          </w:r>
          <w:r>
            <w:rPr>
              <w:color w:val="auto"/>
              <w:highlight w:val="none"/>
            </w:rPr>
            <w:instrText xml:space="preserve"> PAGEREF _Toc15491 \h </w:instrText>
          </w:r>
          <w:r>
            <w:rPr>
              <w:color w:val="auto"/>
              <w:highlight w:val="none"/>
            </w:rPr>
            <w:fldChar w:fldCharType="separate"/>
          </w:r>
          <w:r>
            <w:rPr>
              <w:color w:val="auto"/>
              <w:highlight w:val="none"/>
            </w:rPr>
            <w:t>187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C39FABB">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_Toc6065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2.1 初步评审标准</w:t>
          </w:r>
          <w:r>
            <w:rPr>
              <w:color w:val="auto"/>
              <w:highlight w:val="none"/>
            </w:rPr>
            <w:tab/>
          </w:r>
          <w:r>
            <w:rPr>
              <w:color w:val="auto"/>
              <w:highlight w:val="none"/>
            </w:rPr>
            <w:fldChar w:fldCharType="begin"/>
          </w:r>
          <w:r>
            <w:rPr>
              <w:color w:val="auto"/>
              <w:highlight w:val="none"/>
            </w:rPr>
            <w:instrText xml:space="preserve"> PAGEREF _Toc6065 \h </w:instrText>
          </w:r>
          <w:r>
            <w:rPr>
              <w:color w:val="auto"/>
              <w:highlight w:val="none"/>
            </w:rPr>
            <w:fldChar w:fldCharType="separate"/>
          </w:r>
          <w:r>
            <w:rPr>
              <w:color w:val="auto"/>
              <w:highlight w:val="none"/>
            </w:rPr>
            <w:t>187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38C8AC5">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_Toc11812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2.2 分值构成与评分标准</w:t>
          </w:r>
          <w:r>
            <w:rPr>
              <w:color w:val="auto"/>
              <w:highlight w:val="none"/>
            </w:rPr>
            <w:tab/>
          </w:r>
          <w:r>
            <w:rPr>
              <w:color w:val="auto"/>
              <w:highlight w:val="none"/>
            </w:rPr>
            <w:fldChar w:fldCharType="begin"/>
          </w:r>
          <w:r>
            <w:rPr>
              <w:color w:val="auto"/>
              <w:highlight w:val="none"/>
            </w:rPr>
            <w:instrText xml:space="preserve"> PAGEREF _Toc11812 \h </w:instrText>
          </w:r>
          <w:r>
            <w:rPr>
              <w:color w:val="auto"/>
              <w:highlight w:val="none"/>
            </w:rPr>
            <w:fldChar w:fldCharType="separate"/>
          </w:r>
          <w:r>
            <w:rPr>
              <w:color w:val="auto"/>
              <w:highlight w:val="none"/>
            </w:rPr>
            <w:t>187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92DCD68">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_Toc25989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 评标程序</w:t>
          </w:r>
          <w:r>
            <w:rPr>
              <w:color w:val="auto"/>
              <w:highlight w:val="none"/>
            </w:rPr>
            <w:tab/>
          </w:r>
          <w:r>
            <w:rPr>
              <w:color w:val="auto"/>
              <w:highlight w:val="none"/>
            </w:rPr>
            <w:fldChar w:fldCharType="begin"/>
          </w:r>
          <w:r>
            <w:rPr>
              <w:color w:val="auto"/>
              <w:highlight w:val="none"/>
            </w:rPr>
            <w:instrText xml:space="preserve"> PAGEREF _Toc25989 \h </w:instrText>
          </w:r>
          <w:r>
            <w:rPr>
              <w:color w:val="auto"/>
              <w:highlight w:val="none"/>
            </w:rPr>
            <w:fldChar w:fldCharType="separate"/>
          </w:r>
          <w:r>
            <w:rPr>
              <w:color w:val="auto"/>
              <w:highlight w:val="none"/>
            </w:rPr>
            <w:t>188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5BD3121">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_Toc14117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3.1 评标准备</w:t>
          </w:r>
          <w:r>
            <w:rPr>
              <w:color w:val="auto"/>
              <w:highlight w:val="none"/>
            </w:rPr>
            <w:tab/>
          </w:r>
          <w:r>
            <w:rPr>
              <w:color w:val="auto"/>
              <w:highlight w:val="none"/>
            </w:rPr>
            <w:fldChar w:fldCharType="begin"/>
          </w:r>
          <w:r>
            <w:rPr>
              <w:color w:val="auto"/>
              <w:highlight w:val="none"/>
            </w:rPr>
            <w:instrText xml:space="preserve"> PAGEREF _Toc14117 \h </w:instrText>
          </w:r>
          <w:r>
            <w:rPr>
              <w:color w:val="auto"/>
              <w:highlight w:val="none"/>
            </w:rPr>
            <w:fldChar w:fldCharType="separate"/>
          </w:r>
          <w:r>
            <w:rPr>
              <w:color w:val="auto"/>
              <w:highlight w:val="none"/>
            </w:rPr>
            <w:t>188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6B2AE1A">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_Toc25386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3.2 初步评审</w:t>
          </w:r>
          <w:r>
            <w:rPr>
              <w:color w:val="auto"/>
              <w:highlight w:val="none"/>
            </w:rPr>
            <w:tab/>
          </w:r>
          <w:r>
            <w:rPr>
              <w:color w:val="auto"/>
              <w:highlight w:val="none"/>
            </w:rPr>
            <w:fldChar w:fldCharType="begin"/>
          </w:r>
          <w:r>
            <w:rPr>
              <w:color w:val="auto"/>
              <w:highlight w:val="none"/>
            </w:rPr>
            <w:instrText xml:space="preserve"> PAGEREF _Toc25386 \h </w:instrText>
          </w:r>
          <w:r>
            <w:rPr>
              <w:color w:val="auto"/>
              <w:highlight w:val="none"/>
            </w:rPr>
            <w:fldChar w:fldCharType="separate"/>
          </w:r>
          <w:r>
            <w:rPr>
              <w:color w:val="auto"/>
              <w:highlight w:val="none"/>
            </w:rPr>
            <w:t>188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FDEE056">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_Toc9185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3.3 详细评审</w:t>
          </w:r>
          <w:r>
            <w:rPr>
              <w:color w:val="auto"/>
              <w:highlight w:val="none"/>
            </w:rPr>
            <w:tab/>
          </w:r>
          <w:r>
            <w:rPr>
              <w:color w:val="auto"/>
              <w:highlight w:val="none"/>
            </w:rPr>
            <w:fldChar w:fldCharType="begin"/>
          </w:r>
          <w:r>
            <w:rPr>
              <w:color w:val="auto"/>
              <w:highlight w:val="none"/>
            </w:rPr>
            <w:instrText xml:space="preserve"> PAGEREF _Toc9185 \h </w:instrText>
          </w:r>
          <w:r>
            <w:rPr>
              <w:color w:val="auto"/>
              <w:highlight w:val="none"/>
            </w:rPr>
            <w:fldChar w:fldCharType="separate"/>
          </w:r>
          <w:r>
            <w:rPr>
              <w:color w:val="auto"/>
              <w:highlight w:val="none"/>
            </w:rPr>
            <w:t>189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C6CB370">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_Toc23832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3.4 投标文件的澄清和补正</w:t>
          </w:r>
          <w:r>
            <w:rPr>
              <w:color w:val="auto"/>
              <w:highlight w:val="none"/>
            </w:rPr>
            <w:tab/>
          </w:r>
          <w:r>
            <w:rPr>
              <w:color w:val="auto"/>
              <w:highlight w:val="none"/>
            </w:rPr>
            <w:fldChar w:fldCharType="begin"/>
          </w:r>
          <w:r>
            <w:rPr>
              <w:color w:val="auto"/>
              <w:highlight w:val="none"/>
            </w:rPr>
            <w:instrText xml:space="preserve"> PAGEREF _Toc23832 \h </w:instrText>
          </w:r>
          <w:r>
            <w:rPr>
              <w:color w:val="auto"/>
              <w:highlight w:val="none"/>
            </w:rPr>
            <w:fldChar w:fldCharType="separate"/>
          </w:r>
          <w:r>
            <w:rPr>
              <w:color w:val="auto"/>
              <w:highlight w:val="none"/>
            </w:rPr>
            <w:t>189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F2EF516">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_Toc8782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3.5 评标结果</w:t>
          </w:r>
          <w:r>
            <w:rPr>
              <w:color w:val="auto"/>
              <w:highlight w:val="none"/>
            </w:rPr>
            <w:tab/>
          </w:r>
          <w:r>
            <w:rPr>
              <w:color w:val="auto"/>
              <w:highlight w:val="none"/>
            </w:rPr>
            <w:fldChar w:fldCharType="begin"/>
          </w:r>
          <w:r>
            <w:rPr>
              <w:color w:val="auto"/>
              <w:highlight w:val="none"/>
            </w:rPr>
            <w:instrText xml:space="preserve"> PAGEREF _Toc8782 \h </w:instrText>
          </w:r>
          <w:r>
            <w:rPr>
              <w:color w:val="auto"/>
              <w:highlight w:val="none"/>
            </w:rPr>
            <w:fldChar w:fldCharType="separate"/>
          </w:r>
          <w:r>
            <w:rPr>
              <w:color w:val="auto"/>
              <w:highlight w:val="none"/>
            </w:rPr>
            <w:t>190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BF39971">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_Toc5962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4. 特殊情况的处置程序</w:t>
          </w:r>
          <w:r>
            <w:rPr>
              <w:color w:val="auto"/>
              <w:highlight w:val="none"/>
            </w:rPr>
            <w:tab/>
          </w:r>
          <w:r>
            <w:rPr>
              <w:color w:val="auto"/>
              <w:highlight w:val="none"/>
            </w:rPr>
            <w:fldChar w:fldCharType="begin"/>
          </w:r>
          <w:r>
            <w:rPr>
              <w:color w:val="auto"/>
              <w:highlight w:val="none"/>
            </w:rPr>
            <w:instrText xml:space="preserve"> PAGEREF _Toc5962 \h </w:instrText>
          </w:r>
          <w:r>
            <w:rPr>
              <w:color w:val="auto"/>
              <w:highlight w:val="none"/>
            </w:rPr>
            <w:fldChar w:fldCharType="separate"/>
          </w:r>
          <w:r>
            <w:rPr>
              <w:color w:val="auto"/>
              <w:highlight w:val="none"/>
            </w:rPr>
            <w:t>190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453E25F">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_Toc25843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4.1 关于评标活动暂停</w:t>
          </w:r>
          <w:r>
            <w:rPr>
              <w:color w:val="auto"/>
              <w:highlight w:val="none"/>
            </w:rPr>
            <w:tab/>
          </w:r>
          <w:r>
            <w:rPr>
              <w:color w:val="auto"/>
              <w:highlight w:val="none"/>
            </w:rPr>
            <w:fldChar w:fldCharType="begin"/>
          </w:r>
          <w:r>
            <w:rPr>
              <w:color w:val="auto"/>
              <w:highlight w:val="none"/>
            </w:rPr>
            <w:instrText xml:space="preserve"> PAGEREF _Toc25843 \h </w:instrText>
          </w:r>
          <w:r>
            <w:rPr>
              <w:color w:val="auto"/>
              <w:highlight w:val="none"/>
            </w:rPr>
            <w:fldChar w:fldCharType="separate"/>
          </w:r>
          <w:r>
            <w:rPr>
              <w:color w:val="auto"/>
              <w:highlight w:val="none"/>
            </w:rPr>
            <w:t>190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DEC4492">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_Toc18130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4.2 关于评标中途更换评标委员会成员</w:t>
          </w:r>
          <w:r>
            <w:rPr>
              <w:color w:val="auto"/>
              <w:highlight w:val="none"/>
            </w:rPr>
            <w:tab/>
          </w:r>
          <w:r>
            <w:rPr>
              <w:color w:val="auto"/>
              <w:highlight w:val="none"/>
            </w:rPr>
            <w:fldChar w:fldCharType="begin"/>
          </w:r>
          <w:r>
            <w:rPr>
              <w:color w:val="auto"/>
              <w:highlight w:val="none"/>
            </w:rPr>
            <w:instrText xml:space="preserve"> PAGEREF _Toc18130 \h </w:instrText>
          </w:r>
          <w:r>
            <w:rPr>
              <w:color w:val="auto"/>
              <w:highlight w:val="none"/>
            </w:rPr>
            <w:fldChar w:fldCharType="separate"/>
          </w:r>
          <w:r>
            <w:rPr>
              <w:color w:val="auto"/>
              <w:highlight w:val="none"/>
            </w:rPr>
            <w:t>190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4C79095">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_Toc3732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4.3 评标争议处理</w:t>
          </w:r>
          <w:r>
            <w:rPr>
              <w:color w:val="auto"/>
              <w:highlight w:val="none"/>
            </w:rPr>
            <w:tab/>
          </w:r>
          <w:r>
            <w:rPr>
              <w:color w:val="auto"/>
              <w:highlight w:val="none"/>
            </w:rPr>
            <w:fldChar w:fldCharType="begin"/>
          </w:r>
          <w:r>
            <w:rPr>
              <w:color w:val="auto"/>
              <w:highlight w:val="none"/>
            </w:rPr>
            <w:instrText xml:space="preserve"> PAGEREF _Toc3732 \h </w:instrText>
          </w:r>
          <w:r>
            <w:rPr>
              <w:color w:val="auto"/>
              <w:highlight w:val="none"/>
            </w:rPr>
            <w:fldChar w:fldCharType="separate"/>
          </w:r>
          <w:r>
            <w:rPr>
              <w:color w:val="auto"/>
              <w:highlight w:val="none"/>
            </w:rPr>
            <w:t>190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FEE6209">
          <w:pPr>
            <w:pStyle w:val="11"/>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_Toc17759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0"/>
              <w:highlight w:val="none"/>
              <w:lang w:val="en-US" w:eastAsia="zh-CN"/>
            </w:rPr>
            <w:t>第五章  合同（以实际签订为准）</w:t>
          </w:r>
          <w:r>
            <w:rPr>
              <w:color w:val="auto"/>
              <w:highlight w:val="none"/>
            </w:rPr>
            <w:tab/>
          </w:r>
          <w:r>
            <w:rPr>
              <w:color w:val="auto"/>
              <w:highlight w:val="none"/>
            </w:rPr>
            <w:fldChar w:fldCharType="begin"/>
          </w:r>
          <w:r>
            <w:rPr>
              <w:color w:val="auto"/>
              <w:highlight w:val="none"/>
            </w:rPr>
            <w:instrText xml:space="preserve"> PAGEREF _Toc17759 \h </w:instrText>
          </w:r>
          <w:r>
            <w:rPr>
              <w:color w:val="auto"/>
              <w:highlight w:val="none"/>
            </w:rPr>
            <w:fldChar w:fldCharType="separate"/>
          </w:r>
          <w:r>
            <w:rPr>
              <w:color w:val="auto"/>
              <w:highlight w:val="none"/>
            </w:rPr>
            <w:t>191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8C189F3">
          <w:pPr>
            <w:pStyle w:val="11"/>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_Toc13371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0"/>
              <w:highlight w:val="none"/>
              <w:lang w:val="zh-CN" w:eastAsia="zh-CN"/>
            </w:rPr>
            <w:t>第六章 投标文件格式</w:t>
          </w:r>
          <w:r>
            <w:rPr>
              <w:color w:val="auto"/>
              <w:highlight w:val="none"/>
            </w:rPr>
            <w:tab/>
          </w:r>
          <w:r>
            <w:rPr>
              <w:color w:val="auto"/>
              <w:highlight w:val="none"/>
            </w:rPr>
            <w:fldChar w:fldCharType="begin"/>
          </w:r>
          <w:r>
            <w:rPr>
              <w:color w:val="auto"/>
              <w:highlight w:val="none"/>
            </w:rPr>
            <w:instrText xml:space="preserve"> PAGEREF _Toc13371 \h </w:instrText>
          </w:r>
          <w:r>
            <w:rPr>
              <w:color w:val="auto"/>
              <w:highlight w:val="none"/>
            </w:rPr>
            <w:fldChar w:fldCharType="separate"/>
          </w:r>
          <w:r>
            <w:rPr>
              <w:color w:val="auto"/>
              <w:highlight w:val="none"/>
            </w:rPr>
            <w:t>192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D9631F1">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_Toc13725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eastAsia="zh-CN"/>
            </w:rPr>
            <w:t>目    录</w:t>
          </w:r>
          <w:r>
            <w:rPr>
              <w:color w:val="auto"/>
              <w:highlight w:val="none"/>
            </w:rPr>
            <w:tab/>
          </w:r>
          <w:r>
            <w:rPr>
              <w:color w:val="auto"/>
              <w:highlight w:val="none"/>
            </w:rPr>
            <w:fldChar w:fldCharType="begin"/>
          </w:r>
          <w:r>
            <w:rPr>
              <w:color w:val="auto"/>
              <w:highlight w:val="none"/>
            </w:rPr>
            <w:instrText xml:space="preserve"> PAGEREF _Toc13725 \h </w:instrText>
          </w:r>
          <w:r>
            <w:rPr>
              <w:color w:val="auto"/>
              <w:highlight w:val="none"/>
            </w:rPr>
            <w:fldChar w:fldCharType="separate"/>
          </w:r>
          <w:r>
            <w:rPr>
              <w:color w:val="auto"/>
              <w:highlight w:val="none"/>
            </w:rPr>
            <w:t>193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720C9DC">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_Toc28805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cs="宋体"/>
              <w:bCs/>
              <w:color w:val="auto"/>
              <w:szCs w:val="32"/>
              <w:highlight w:val="none"/>
              <w:lang w:val="en-US" w:eastAsia="zh-CN"/>
            </w:rPr>
            <w:t>第一部分</w:t>
          </w:r>
          <w:r>
            <w:rPr>
              <w:rFonts w:hint="eastAsia" w:ascii="宋体" w:hAnsi="宋体" w:eastAsia="宋体" w:cs="宋体"/>
              <w:bCs/>
              <w:color w:val="auto"/>
              <w:szCs w:val="32"/>
              <w:highlight w:val="none"/>
              <w:lang w:val="zh-CN"/>
            </w:rPr>
            <w:t>、商务文件</w:t>
          </w:r>
          <w:r>
            <w:rPr>
              <w:color w:val="auto"/>
              <w:highlight w:val="none"/>
            </w:rPr>
            <w:tab/>
          </w:r>
          <w:r>
            <w:rPr>
              <w:color w:val="auto"/>
              <w:highlight w:val="none"/>
            </w:rPr>
            <w:fldChar w:fldCharType="begin"/>
          </w:r>
          <w:r>
            <w:rPr>
              <w:color w:val="auto"/>
              <w:highlight w:val="none"/>
            </w:rPr>
            <w:instrText xml:space="preserve"> PAGEREF _Toc28805 \h </w:instrText>
          </w:r>
          <w:r>
            <w:rPr>
              <w:color w:val="auto"/>
              <w:highlight w:val="none"/>
            </w:rPr>
            <w:fldChar w:fldCharType="separate"/>
          </w:r>
          <w:r>
            <w:rPr>
              <w:color w:val="auto"/>
              <w:highlight w:val="none"/>
            </w:rPr>
            <w:t>194</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8ADBD04">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_Toc18383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（一）投标一览表</w:t>
          </w:r>
          <w:r>
            <w:rPr>
              <w:color w:val="auto"/>
              <w:highlight w:val="none"/>
            </w:rPr>
            <w:tab/>
          </w:r>
          <w:r>
            <w:rPr>
              <w:color w:val="auto"/>
              <w:highlight w:val="none"/>
            </w:rPr>
            <w:fldChar w:fldCharType="begin"/>
          </w:r>
          <w:r>
            <w:rPr>
              <w:color w:val="auto"/>
              <w:highlight w:val="none"/>
            </w:rPr>
            <w:instrText xml:space="preserve"> PAGEREF _Toc18383 \h </w:instrText>
          </w:r>
          <w:r>
            <w:rPr>
              <w:color w:val="auto"/>
              <w:highlight w:val="none"/>
            </w:rPr>
            <w:fldChar w:fldCharType="separate"/>
          </w:r>
          <w:r>
            <w:rPr>
              <w:color w:val="auto"/>
              <w:highlight w:val="none"/>
            </w:rPr>
            <w:t>194</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51CCFBB9">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_Toc6750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二</w:t>
          </w:r>
          <w:r>
            <w:rPr>
              <w:rFonts w:hint="eastAsia" w:ascii="宋体" w:hAnsi="宋体" w:eastAsia="宋体" w:cs="宋体"/>
              <w:bCs/>
              <w:color w:val="auto"/>
              <w:szCs w:val="24"/>
              <w:highlight w:val="none"/>
              <w:lang w:val="zh-CN" w:eastAsia="zh-CN"/>
            </w:rPr>
            <w:t>）投标函</w:t>
          </w:r>
          <w:r>
            <w:rPr>
              <w:color w:val="auto"/>
              <w:highlight w:val="none"/>
            </w:rPr>
            <w:tab/>
          </w:r>
          <w:r>
            <w:rPr>
              <w:color w:val="auto"/>
              <w:highlight w:val="none"/>
            </w:rPr>
            <w:fldChar w:fldCharType="begin"/>
          </w:r>
          <w:r>
            <w:rPr>
              <w:color w:val="auto"/>
              <w:highlight w:val="none"/>
            </w:rPr>
            <w:instrText xml:space="preserve"> PAGEREF _Toc6750 \h </w:instrText>
          </w:r>
          <w:r>
            <w:rPr>
              <w:color w:val="auto"/>
              <w:highlight w:val="none"/>
            </w:rPr>
            <w:fldChar w:fldCharType="separate"/>
          </w:r>
          <w:r>
            <w:rPr>
              <w:color w:val="auto"/>
              <w:highlight w:val="none"/>
            </w:rPr>
            <w:t>195</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724D37C">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_Toc2076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三</w:t>
          </w:r>
          <w:r>
            <w:rPr>
              <w:rFonts w:hint="eastAsia" w:ascii="宋体" w:hAnsi="宋体" w:eastAsia="宋体" w:cs="宋体"/>
              <w:bCs/>
              <w:color w:val="auto"/>
              <w:szCs w:val="24"/>
              <w:highlight w:val="none"/>
              <w:lang w:val="zh-CN" w:eastAsia="zh-CN"/>
            </w:rPr>
            <w:t>）投标函附录</w:t>
          </w:r>
          <w:r>
            <w:rPr>
              <w:color w:val="auto"/>
              <w:highlight w:val="none"/>
            </w:rPr>
            <w:tab/>
          </w:r>
          <w:r>
            <w:rPr>
              <w:color w:val="auto"/>
              <w:highlight w:val="none"/>
            </w:rPr>
            <w:fldChar w:fldCharType="begin"/>
          </w:r>
          <w:r>
            <w:rPr>
              <w:color w:val="auto"/>
              <w:highlight w:val="none"/>
            </w:rPr>
            <w:instrText xml:space="preserve"> PAGEREF _Toc2076 \h </w:instrText>
          </w:r>
          <w:r>
            <w:rPr>
              <w:color w:val="auto"/>
              <w:highlight w:val="none"/>
            </w:rPr>
            <w:fldChar w:fldCharType="separate"/>
          </w:r>
          <w:r>
            <w:rPr>
              <w:color w:val="auto"/>
              <w:highlight w:val="none"/>
            </w:rPr>
            <w:t>196</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9FBA1D6">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_Toc655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四</w:t>
          </w:r>
          <w:r>
            <w:rPr>
              <w:rFonts w:hint="eastAsia" w:ascii="宋体" w:hAnsi="宋体" w:eastAsia="宋体" w:cs="宋体"/>
              <w:bCs/>
              <w:color w:val="auto"/>
              <w:szCs w:val="24"/>
              <w:highlight w:val="none"/>
              <w:lang w:val="zh-CN" w:eastAsia="zh-CN"/>
            </w:rPr>
            <w:t>）法定代表人身份证明</w:t>
          </w:r>
          <w:r>
            <w:rPr>
              <w:color w:val="auto"/>
              <w:highlight w:val="none"/>
            </w:rPr>
            <w:tab/>
          </w:r>
          <w:r>
            <w:rPr>
              <w:color w:val="auto"/>
              <w:highlight w:val="none"/>
            </w:rPr>
            <w:fldChar w:fldCharType="begin"/>
          </w:r>
          <w:r>
            <w:rPr>
              <w:color w:val="auto"/>
              <w:highlight w:val="none"/>
            </w:rPr>
            <w:instrText xml:space="preserve"> PAGEREF _Toc655 \h </w:instrText>
          </w:r>
          <w:r>
            <w:rPr>
              <w:color w:val="auto"/>
              <w:highlight w:val="none"/>
            </w:rPr>
            <w:fldChar w:fldCharType="separate"/>
          </w:r>
          <w:r>
            <w:rPr>
              <w:color w:val="auto"/>
              <w:highlight w:val="none"/>
            </w:rPr>
            <w:t>197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7383BBB3">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_Toc11364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五</w:t>
          </w:r>
          <w:r>
            <w:rPr>
              <w:rFonts w:hint="eastAsia" w:ascii="宋体" w:hAnsi="宋体" w:eastAsia="宋体" w:cs="宋体"/>
              <w:bCs/>
              <w:color w:val="auto"/>
              <w:szCs w:val="24"/>
              <w:highlight w:val="none"/>
              <w:lang w:val="zh-CN" w:eastAsia="zh-CN"/>
            </w:rPr>
            <w:t>）联合体协议书（如有）</w:t>
          </w:r>
          <w:r>
            <w:rPr>
              <w:color w:val="auto"/>
              <w:highlight w:val="none"/>
            </w:rPr>
            <w:tab/>
          </w:r>
          <w:r>
            <w:rPr>
              <w:color w:val="auto"/>
              <w:highlight w:val="none"/>
            </w:rPr>
            <w:fldChar w:fldCharType="begin"/>
          </w:r>
          <w:r>
            <w:rPr>
              <w:color w:val="auto"/>
              <w:highlight w:val="none"/>
            </w:rPr>
            <w:instrText xml:space="preserve"> PAGEREF _Toc11364 \h </w:instrText>
          </w:r>
          <w:r>
            <w:rPr>
              <w:color w:val="auto"/>
              <w:highlight w:val="none"/>
            </w:rPr>
            <w:fldChar w:fldCharType="separate"/>
          </w:r>
          <w:r>
            <w:rPr>
              <w:color w:val="auto"/>
              <w:highlight w:val="none"/>
            </w:rPr>
            <w:t>198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BEF3078">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_Toc30409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六</w:t>
          </w:r>
          <w:r>
            <w:rPr>
              <w:rFonts w:hint="eastAsia" w:ascii="宋体" w:hAnsi="宋体" w:eastAsia="宋体" w:cs="宋体"/>
              <w:bCs/>
              <w:color w:val="auto"/>
              <w:szCs w:val="24"/>
              <w:highlight w:val="none"/>
              <w:lang w:val="zh-CN" w:eastAsia="zh-CN"/>
            </w:rPr>
            <w:t>）投标保证金（现金形式）</w:t>
          </w:r>
          <w:r>
            <w:rPr>
              <w:color w:val="auto"/>
              <w:highlight w:val="none"/>
            </w:rPr>
            <w:tab/>
          </w:r>
          <w:r>
            <w:rPr>
              <w:color w:val="auto"/>
              <w:highlight w:val="none"/>
            </w:rPr>
            <w:fldChar w:fldCharType="begin"/>
          </w:r>
          <w:r>
            <w:rPr>
              <w:color w:val="auto"/>
              <w:highlight w:val="none"/>
            </w:rPr>
            <w:instrText xml:space="preserve"> PAGEREF _Toc30409 \h </w:instrText>
          </w:r>
          <w:r>
            <w:rPr>
              <w:color w:val="auto"/>
              <w:highlight w:val="none"/>
            </w:rPr>
            <w:fldChar w:fldCharType="separate"/>
          </w:r>
          <w:r>
            <w:rPr>
              <w:color w:val="auto"/>
              <w:highlight w:val="none"/>
            </w:rPr>
            <w:t>199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299CC977">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_Toc17817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六</w:t>
          </w:r>
          <w:r>
            <w:rPr>
              <w:rFonts w:hint="eastAsia" w:ascii="宋体" w:hAnsi="宋体" w:eastAsia="宋体" w:cs="宋体"/>
              <w:bCs/>
              <w:color w:val="auto"/>
              <w:szCs w:val="24"/>
              <w:highlight w:val="none"/>
              <w:lang w:val="zh-CN" w:eastAsia="zh-CN"/>
            </w:rPr>
            <w:t>）投标保证金（</w:t>
          </w:r>
          <w:r>
            <w:rPr>
              <w:rFonts w:hint="eastAsia" w:ascii="宋体" w:hAnsi="宋体" w:eastAsia="宋体" w:cs="宋体"/>
              <w:bCs/>
              <w:color w:val="auto"/>
              <w:szCs w:val="24"/>
              <w:highlight w:val="none"/>
              <w:lang w:val="zh-CN"/>
            </w:rPr>
            <w:t>银行</w:t>
          </w:r>
          <w:r>
            <w:rPr>
              <w:rFonts w:hint="eastAsia" w:ascii="宋体" w:hAnsi="宋体" w:eastAsia="宋体" w:cs="宋体"/>
              <w:bCs/>
              <w:color w:val="auto"/>
              <w:szCs w:val="24"/>
              <w:highlight w:val="none"/>
              <w:lang w:val="zh-CN" w:eastAsia="zh-CN"/>
            </w:rPr>
            <w:t>保函</w:t>
          </w:r>
          <w:r>
            <w:rPr>
              <w:rFonts w:hint="eastAsia" w:ascii="宋体" w:hAnsi="宋体" w:eastAsia="宋体" w:cs="宋体"/>
              <w:bCs/>
              <w:color w:val="auto"/>
              <w:szCs w:val="21"/>
              <w:highlight w:val="none"/>
              <w:lang w:val="zh-CN" w:eastAsia="zh-CN"/>
            </w:rPr>
            <w:t>/</w:t>
          </w:r>
          <w:r>
            <w:rPr>
              <w:rFonts w:hint="eastAsia" w:ascii="宋体" w:hAnsi="宋体" w:eastAsia="宋体" w:cs="宋体"/>
              <w:bCs/>
              <w:color w:val="auto"/>
              <w:szCs w:val="21"/>
              <w:highlight w:val="none"/>
              <w:lang w:val="zh-CN"/>
            </w:rPr>
            <w:t>保险保单</w:t>
          </w:r>
          <w:r>
            <w:rPr>
              <w:rFonts w:hint="eastAsia" w:ascii="宋体" w:hAnsi="宋体" w:eastAsia="宋体" w:cs="宋体"/>
              <w:bCs/>
              <w:color w:val="auto"/>
              <w:szCs w:val="21"/>
              <w:highlight w:val="none"/>
              <w:lang w:val="zh-CN" w:eastAsia="zh-CN"/>
            </w:rPr>
            <w:t>/</w:t>
          </w:r>
          <w:r>
            <w:rPr>
              <w:rFonts w:hint="eastAsia" w:ascii="宋体" w:hAnsi="宋体" w:eastAsia="宋体" w:cs="宋体"/>
              <w:bCs/>
              <w:color w:val="auto"/>
              <w:szCs w:val="21"/>
              <w:highlight w:val="none"/>
              <w:lang w:val="zh-CN"/>
            </w:rPr>
            <w:t>担保保函</w:t>
          </w:r>
          <w:r>
            <w:rPr>
              <w:rFonts w:hint="eastAsia" w:ascii="宋体" w:hAnsi="宋体" w:eastAsia="宋体" w:cs="宋体"/>
              <w:bCs/>
              <w:color w:val="auto"/>
              <w:szCs w:val="24"/>
              <w:highlight w:val="none"/>
              <w:lang w:val="zh-CN" w:eastAsia="zh-CN"/>
            </w:rPr>
            <w:t>）</w:t>
          </w:r>
          <w:r>
            <w:rPr>
              <w:color w:val="auto"/>
              <w:highlight w:val="none"/>
            </w:rPr>
            <w:tab/>
          </w:r>
          <w:r>
            <w:rPr>
              <w:color w:val="auto"/>
              <w:highlight w:val="none"/>
            </w:rPr>
            <w:fldChar w:fldCharType="begin"/>
          </w:r>
          <w:r>
            <w:rPr>
              <w:color w:val="auto"/>
              <w:highlight w:val="none"/>
            </w:rPr>
            <w:instrText xml:space="preserve"> PAGEREF _Toc17817 \h </w:instrText>
          </w:r>
          <w:r>
            <w:rPr>
              <w:color w:val="auto"/>
              <w:highlight w:val="none"/>
            </w:rPr>
            <w:fldChar w:fldCharType="separate"/>
          </w:r>
          <w:r>
            <w:rPr>
              <w:color w:val="auto"/>
              <w:highlight w:val="none"/>
            </w:rPr>
            <w:t>200</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C7F5E0E">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_Toc32285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w:t>
          </w:r>
          <w:r>
            <w:rPr>
              <w:rFonts w:hint="eastAsia" w:ascii="宋体" w:hAnsi="宋体" w:eastAsia="宋体" w:cs="宋体"/>
              <w:bCs/>
              <w:color w:val="auto"/>
              <w:szCs w:val="24"/>
              <w:highlight w:val="none"/>
              <w:lang w:val="zh-CN"/>
            </w:rPr>
            <w:t>七</w:t>
          </w:r>
          <w:r>
            <w:rPr>
              <w:rFonts w:hint="eastAsia" w:ascii="宋体" w:hAnsi="宋体" w:eastAsia="宋体" w:cs="宋体"/>
              <w:bCs/>
              <w:color w:val="auto"/>
              <w:szCs w:val="24"/>
              <w:highlight w:val="none"/>
              <w:lang w:val="zh-CN" w:eastAsia="zh-CN"/>
            </w:rPr>
            <w:t>）资格审查资料</w:t>
          </w:r>
          <w:r>
            <w:rPr>
              <w:color w:val="auto"/>
              <w:highlight w:val="none"/>
            </w:rPr>
            <w:tab/>
          </w:r>
          <w:r>
            <w:rPr>
              <w:color w:val="auto"/>
              <w:highlight w:val="none"/>
            </w:rPr>
            <w:fldChar w:fldCharType="begin"/>
          </w:r>
          <w:r>
            <w:rPr>
              <w:color w:val="auto"/>
              <w:highlight w:val="none"/>
            </w:rPr>
            <w:instrText xml:space="preserve"> PAGEREF _Toc32285 \h </w:instrText>
          </w:r>
          <w:r>
            <w:rPr>
              <w:color w:val="auto"/>
              <w:highlight w:val="none"/>
            </w:rPr>
            <w:fldChar w:fldCharType="separate"/>
          </w:r>
          <w:r>
            <w:rPr>
              <w:color w:val="auto"/>
              <w:highlight w:val="none"/>
            </w:rPr>
            <w:t>201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2FA70EE">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_Toc6376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rPr>
            <w:t>（八）</w:t>
          </w:r>
          <w:r>
            <w:rPr>
              <w:rFonts w:hint="eastAsia" w:ascii="宋体" w:hAnsi="宋体" w:eastAsia="宋体" w:cs="宋体"/>
              <w:bCs/>
              <w:color w:val="auto"/>
              <w:szCs w:val="24"/>
              <w:highlight w:val="none"/>
              <w:lang w:val="zh-CN" w:eastAsia="zh-CN"/>
            </w:rPr>
            <w:t>其他材料</w:t>
          </w:r>
          <w:r>
            <w:rPr>
              <w:color w:val="auto"/>
              <w:highlight w:val="none"/>
            </w:rPr>
            <w:tab/>
          </w:r>
          <w:r>
            <w:rPr>
              <w:color w:val="auto"/>
              <w:highlight w:val="none"/>
            </w:rPr>
            <w:fldChar w:fldCharType="begin"/>
          </w:r>
          <w:r>
            <w:rPr>
              <w:color w:val="auto"/>
              <w:highlight w:val="none"/>
            </w:rPr>
            <w:instrText xml:space="preserve"> PAGEREF _Toc6376 \h </w:instrText>
          </w:r>
          <w:r>
            <w:rPr>
              <w:color w:val="auto"/>
              <w:highlight w:val="none"/>
            </w:rPr>
            <w:fldChar w:fldCharType="separate"/>
          </w:r>
          <w:r>
            <w:rPr>
              <w:color w:val="auto"/>
              <w:highlight w:val="none"/>
            </w:rPr>
            <w:t>211</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7BDAE45">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_Toc8691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rPr>
            <w:t>（九）财务会计报表</w:t>
          </w:r>
          <w:r>
            <w:rPr>
              <w:color w:val="auto"/>
              <w:highlight w:val="none"/>
            </w:rPr>
            <w:tab/>
          </w:r>
          <w:r>
            <w:rPr>
              <w:color w:val="auto"/>
              <w:highlight w:val="none"/>
            </w:rPr>
            <w:fldChar w:fldCharType="begin"/>
          </w:r>
          <w:r>
            <w:rPr>
              <w:color w:val="auto"/>
              <w:highlight w:val="none"/>
            </w:rPr>
            <w:instrText xml:space="preserve"> PAGEREF _Toc8691 \h </w:instrText>
          </w:r>
          <w:r>
            <w:rPr>
              <w:color w:val="auto"/>
              <w:highlight w:val="none"/>
            </w:rPr>
            <w:fldChar w:fldCharType="separate"/>
          </w:r>
          <w:r>
            <w:rPr>
              <w:color w:val="auto"/>
              <w:highlight w:val="none"/>
            </w:rPr>
            <w:t>212</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B9AFFBF">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_Toc18239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rPr>
            <w:t>第二部分、投标报价表</w:t>
          </w:r>
          <w:r>
            <w:rPr>
              <w:color w:val="auto"/>
              <w:highlight w:val="none"/>
            </w:rPr>
            <w:tab/>
          </w:r>
          <w:r>
            <w:rPr>
              <w:color w:val="auto"/>
              <w:highlight w:val="none"/>
            </w:rPr>
            <w:fldChar w:fldCharType="begin"/>
          </w:r>
          <w:r>
            <w:rPr>
              <w:color w:val="auto"/>
              <w:highlight w:val="none"/>
            </w:rPr>
            <w:instrText xml:space="preserve"> PAGEREF _Toc18239 \h </w:instrText>
          </w:r>
          <w:r>
            <w:rPr>
              <w:color w:val="auto"/>
              <w:highlight w:val="none"/>
            </w:rPr>
            <w:fldChar w:fldCharType="separate"/>
          </w:r>
          <w:r>
            <w:rPr>
              <w:color w:val="auto"/>
              <w:highlight w:val="none"/>
            </w:rPr>
            <w:t>213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4471B2FA">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_Toc28675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zh-CN" w:eastAsia="zh-CN"/>
            </w:rPr>
            <w:t>（一）投标一览表</w:t>
          </w:r>
          <w:r>
            <w:rPr>
              <w:color w:val="auto"/>
              <w:highlight w:val="none"/>
            </w:rPr>
            <w:tab/>
          </w:r>
          <w:r>
            <w:rPr>
              <w:color w:val="auto"/>
              <w:highlight w:val="none"/>
            </w:rPr>
            <w:fldChar w:fldCharType="begin"/>
          </w:r>
          <w:r>
            <w:rPr>
              <w:color w:val="auto"/>
              <w:highlight w:val="none"/>
            </w:rPr>
            <w:instrText xml:space="preserve"> PAGEREF _Toc28675 \h </w:instrText>
          </w:r>
          <w:r>
            <w:rPr>
              <w:color w:val="auto"/>
              <w:highlight w:val="none"/>
            </w:rPr>
            <w:fldChar w:fldCharType="separate"/>
          </w:r>
          <w:r>
            <w:rPr>
              <w:color w:val="auto"/>
              <w:highlight w:val="none"/>
            </w:rPr>
            <w:t>213</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FBFB8F9">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_Toc24050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4"/>
              <w:highlight w:val="none"/>
              <w:lang w:val="en-US" w:eastAsia="zh-CN"/>
            </w:rPr>
            <w:t>（二）分项报价表</w:t>
          </w:r>
          <w:r>
            <w:rPr>
              <w:color w:val="auto"/>
              <w:highlight w:val="none"/>
            </w:rPr>
            <w:tab/>
          </w:r>
          <w:r>
            <w:rPr>
              <w:color w:val="auto"/>
              <w:highlight w:val="none"/>
            </w:rPr>
            <w:fldChar w:fldCharType="begin"/>
          </w:r>
          <w:r>
            <w:rPr>
              <w:color w:val="auto"/>
              <w:highlight w:val="none"/>
            </w:rPr>
            <w:instrText xml:space="preserve"> PAGEREF _Toc24050 \h </w:instrText>
          </w:r>
          <w:r>
            <w:rPr>
              <w:color w:val="auto"/>
              <w:highlight w:val="none"/>
            </w:rPr>
            <w:fldChar w:fldCharType="separate"/>
          </w:r>
          <w:r>
            <w:rPr>
              <w:color w:val="auto"/>
              <w:highlight w:val="none"/>
            </w:rPr>
            <w:t>214</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5580D29">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_Toc1250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rPr>
            <w:t>第三部分</w:t>
          </w:r>
          <w:r>
            <w:rPr>
              <w:rFonts w:hint="eastAsia" w:ascii="宋体" w:hAnsi="宋体" w:eastAsia="宋体" w:cs="宋体"/>
              <w:bCs/>
              <w:color w:val="auto"/>
              <w:szCs w:val="28"/>
              <w:highlight w:val="none"/>
              <w:lang w:val="zh-CN" w:eastAsia="zh-CN"/>
            </w:rPr>
            <w:t>、技术文件</w:t>
          </w:r>
          <w:r>
            <w:rPr>
              <w:color w:val="auto"/>
              <w:highlight w:val="none"/>
            </w:rPr>
            <w:tab/>
          </w:r>
          <w:r>
            <w:rPr>
              <w:color w:val="auto"/>
              <w:highlight w:val="none"/>
            </w:rPr>
            <w:fldChar w:fldCharType="begin"/>
          </w:r>
          <w:r>
            <w:rPr>
              <w:color w:val="auto"/>
              <w:highlight w:val="none"/>
            </w:rPr>
            <w:instrText xml:space="preserve"> PAGEREF _Toc1250 \h </w:instrText>
          </w:r>
          <w:r>
            <w:rPr>
              <w:color w:val="auto"/>
              <w:highlight w:val="none"/>
            </w:rPr>
            <w:fldChar w:fldCharType="separate"/>
          </w:r>
          <w:r>
            <w:rPr>
              <w:color w:val="auto"/>
              <w:highlight w:val="none"/>
            </w:rPr>
            <w:t>215</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0F55F0C5">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_Toc393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color w:val="auto"/>
              <w:kern w:val="0"/>
              <w:szCs w:val="28"/>
              <w:highlight w:val="none"/>
            </w:rPr>
            <w:t>1</w:t>
          </w:r>
          <w:r>
            <w:rPr>
              <w:rFonts w:hint="eastAsia" w:ascii="宋体" w:hAnsi="宋体" w:eastAsia="宋体" w:cs="宋体"/>
              <w:color w:val="auto"/>
              <w:kern w:val="0"/>
              <w:szCs w:val="28"/>
              <w:highlight w:val="none"/>
              <w:lang w:eastAsia="zh-CN"/>
            </w:rPr>
            <w:t>.</w:t>
          </w:r>
          <w:r>
            <w:rPr>
              <w:rFonts w:hint="eastAsia" w:ascii="宋体" w:hAnsi="宋体" w:eastAsia="宋体" w:cs="宋体"/>
              <w:color w:val="auto"/>
              <w:kern w:val="0"/>
              <w:szCs w:val="28"/>
              <w:highlight w:val="none"/>
            </w:rPr>
            <w:t>★项要求响应/偏离对照表</w:t>
          </w:r>
          <w:r>
            <w:rPr>
              <w:color w:val="auto"/>
              <w:highlight w:val="none"/>
            </w:rPr>
            <w:tab/>
          </w:r>
          <w:r>
            <w:rPr>
              <w:color w:val="auto"/>
              <w:highlight w:val="none"/>
            </w:rPr>
            <w:fldChar w:fldCharType="begin"/>
          </w:r>
          <w:r>
            <w:rPr>
              <w:color w:val="auto"/>
              <w:highlight w:val="none"/>
            </w:rPr>
            <w:instrText xml:space="preserve"> PAGEREF _Toc393 \h </w:instrText>
          </w:r>
          <w:r>
            <w:rPr>
              <w:color w:val="auto"/>
              <w:highlight w:val="none"/>
            </w:rPr>
            <w:fldChar w:fldCharType="separate"/>
          </w:r>
          <w:r>
            <w:rPr>
              <w:color w:val="auto"/>
              <w:highlight w:val="none"/>
            </w:rPr>
            <w:t>215</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1028F326">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_Toc11292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cs="宋体"/>
              <w:color w:val="auto"/>
              <w:kern w:val="0"/>
              <w:szCs w:val="28"/>
              <w:highlight w:val="none"/>
              <w:lang w:val="en-US" w:eastAsia="zh-CN"/>
            </w:rPr>
            <w:t>2</w:t>
          </w:r>
          <w:r>
            <w:rPr>
              <w:rFonts w:hint="eastAsia" w:ascii="宋体" w:hAnsi="宋体" w:eastAsia="宋体" w:cs="宋体"/>
              <w:color w:val="auto"/>
              <w:kern w:val="0"/>
              <w:szCs w:val="28"/>
              <w:highlight w:val="none"/>
              <w:lang w:val="en-US" w:eastAsia="zh-CN"/>
            </w:rPr>
            <w:t>.</w:t>
          </w:r>
          <w:r>
            <w:rPr>
              <w:rFonts w:hint="eastAsia" w:ascii="宋体" w:hAnsi="宋体" w:eastAsia="宋体" w:cs="宋体"/>
              <w:color w:val="auto"/>
              <w:szCs w:val="28"/>
              <w:highlight w:val="none"/>
            </w:rPr>
            <w:t>非</w:t>
          </w:r>
          <w:r>
            <w:rPr>
              <w:rFonts w:hint="eastAsia" w:ascii="宋体" w:hAnsi="宋体" w:eastAsia="宋体" w:cs="宋体"/>
              <w:color w:val="auto"/>
              <w:kern w:val="0"/>
              <w:szCs w:val="28"/>
              <w:highlight w:val="none"/>
            </w:rPr>
            <w:t>★</w:t>
          </w:r>
          <w:r>
            <w:rPr>
              <w:rFonts w:hint="eastAsia" w:ascii="宋体" w:hAnsi="宋体" w:eastAsia="宋体" w:cs="宋体"/>
              <w:color w:val="auto"/>
              <w:szCs w:val="28"/>
              <w:highlight w:val="none"/>
            </w:rPr>
            <w:t>项</w:t>
          </w:r>
          <w:r>
            <w:rPr>
              <w:rFonts w:hint="eastAsia" w:ascii="宋体" w:hAnsi="宋体" w:eastAsia="宋体" w:cs="宋体"/>
              <w:color w:val="auto"/>
              <w:kern w:val="0"/>
              <w:szCs w:val="28"/>
              <w:highlight w:val="none"/>
            </w:rPr>
            <w:t>技术规格响应/偏离对照表</w:t>
          </w:r>
          <w:r>
            <w:rPr>
              <w:color w:val="auto"/>
              <w:highlight w:val="none"/>
            </w:rPr>
            <w:tab/>
          </w:r>
          <w:r>
            <w:rPr>
              <w:color w:val="auto"/>
              <w:highlight w:val="none"/>
            </w:rPr>
            <w:fldChar w:fldCharType="begin"/>
          </w:r>
          <w:r>
            <w:rPr>
              <w:color w:val="auto"/>
              <w:highlight w:val="none"/>
            </w:rPr>
            <w:instrText xml:space="preserve"> PAGEREF _Toc11292 \h </w:instrText>
          </w:r>
          <w:r>
            <w:rPr>
              <w:color w:val="auto"/>
              <w:highlight w:val="none"/>
            </w:rPr>
            <w:fldChar w:fldCharType="separate"/>
          </w:r>
          <w:r>
            <w:rPr>
              <w:color w:val="auto"/>
              <w:highlight w:val="none"/>
            </w:rPr>
            <w:t>216</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872C24A">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_Toc11263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cs="宋体"/>
              <w:color w:val="auto"/>
              <w:kern w:val="0"/>
              <w:szCs w:val="28"/>
              <w:highlight w:val="none"/>
              <w:lang w:val="en-US" w:eastAsia="zh-CN"/>
            </w:rPr>
            <w:t>3</w:t>
          </w:r>
          <w:r>
            <w:rPr>
              <w:rFonts w:hint="eastAsia" w:ascii="宋体" w:hAnsi="宋体" w:eastAsia="宋体" w:cs="宋体"/>
              <w:color w:val="auto"/>
              <w:kern w:val="0"/>
              <w:szCs w:val="28"/>
              <w:highlight w:val="none"/>
              <w:lang w:val="en-US" w:eastAsia="zh-CN"/>
            </w:rPr>
            <w:t>.</w:t>
          </w:r>
          <w:r>
            <w:rPr>
              <w:rFonts w:hint="eastAsia" w:ascii="宋体" w:hAnsi="宋体" w:eastAsia="宋体" w:cs="宋体"/>
              <w:color w:val="auto"/>
              <w:kern w:val="0"/>
              <w:szCs w:val="28"/>
              <w:highlight w:val="none"/>
            </w:rPr>
            <w:t>服务要求响应/偏离对照表</w:t>
          </w:r>
          <w:r>
            <w:rPr>
              <w:color w:val="auto"/>
              <w:highlight w:val="none"/>
            </w:rPr>
            <w:tab/>
          </w:r>
          <w:r>
            <w:rPr>
              <w:color w:val="auto"/>
              <w:highlight w:val="none"/>
            </w:rPr>
            <w:fldChar w:fldCharType="begin"/>
          </w:r>
          <w:r>
            <w:rPr>
              <w:color w:val="auto"/>
              <w:highlight w:val="none"/>
            </w:rPr>
            <w:instrText xml:space="preserve"> PAGEREF _Toc11263 \h </w:instrText>
          </w:r>
          <w:r>
            <w:rPr>
              <w:color w:val="auto"/>
              <w:highlight w:val="none"/>
            </w:rPr>
            <w:fldChar w:fldCharType="separate"/>
          </w:r>
          <w:r>
            <w:rPr>
              <w:color w:val="auto"/>
              <w:highlight w:val="none"/>
            </w:rPr>
            <w:t>217</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4AB6486">
          <w:pPr>
            <w:pStyle w:val="8"/>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_Toc18929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cs="宋体"/>
              <w:color w:val="auto"/>
              <w:kern w:val="0"/>
              <w:szCs w:val="28"/>
              <w:highlight w:val="none"/>
              <w:lang w:val="en-US" w:eastAsia="zh-CN"/>
            </w:rPr>
            <w:t>4</w:t>
          </w:r>
          <w:r>
            <w:rPr>
              <w:rFonts w:hint="eastAsia" w:ascii="宋体" w:hAnsi="宋体" w:eastAsia="宋体" w:cs="宋体"/>
              <w:color w:val="auto"/>
              <w:kern w:val="0"/>
              <w:szCs w:val="28"/>
              <w:highlight w:val="none"/>
              <w:lang w:val="en-US" w:eastAsia="zh-CN"/>
            </w:rPr>
            <w:t>.技术服务方案</w:t>
          </w:r>
          <w:r>
            <w:rPr>
              <w:color w:val="auto"/>
              <w:highlight w:val="none"/>
            </w:rPr>
            <w:tab/>
          </w:r>
          <w:r>
            <w:rPr>
              <w:color w:val="auto"/>
              <w:highlight w:val="none"/>
            </w:rPr>
            <w:fldChar w:fldCharType="begin"/>
          </w:r>
          <w:r>
            <w:rPr>
              <w:color w:val="auto"/>
              <w:highlight w:val="none"/>
            </w:rPr>
            <w:instrText xml:space="preserve"> PAGEREF _Toc18929 \h </w:instrText>
          </w:r>
          <w:r>
            <w:rPr>
              <w:color w:val="auto"/>
              <w:highlight w:val="none"/>
            </w:rPr>
            <w:fldChar w:fldCharType="separate"/>
          </w:r>
          <w:r>
            <w:rPr>
              <w:color w:val="auto"/>
              <w:highlight w:val="none"/>
            </w:rPr>
            <w:t>218</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6DFE231A">
          <w:pPr>
            <w:pStyle w:val="12"/>
            <w:tabs>
              <w:tab w:val="right" w:leader="dot" w:pos="9027"/>
            </w:tabs>
            <w:rPr>
              <w:color w:val="auto"/>
              <w:highlight w:val="none"/>
            </w:rPr>
          </w:pPr>
          <w:r>
            <w:rPr>
              <w:rFonts w:hint="eastAsia" w:ascii="Calibri" w:hAnsi="Calibri" w:eastAsia="宋体" w:cs="Times New Roman"/>
              <w:color w:val="auto"/>
              <w:kern w:val="0"/>
              <w:szCs w:val="24"/>
              <w:highlight w:val="none"/>
              <w:lang w:val="en-US" w:eastAsia="zh-CN" w:bidi="ar-SA"/>
            </w:rPr>
            <w:fldChar w:fldCharType="begin"/>
          </w:r>
          <w:r>
            <w:rPr>
              <w:rFonts w:hint="eastAsia" w:ascii="Calibri" w:hAnsi="Calibri" w:eastAsia="宋体" w:cs="Times New Roman"/>
              <w:color w:val="auto"/>
              <w:kern w:val="0"/>
              <w:szCs w:val="24"/>
              <w:highlight w:val="none"/>
              <w:lang w:val="en-US" w:eastAsia="zh-CN" w:bidi="ar-SA"/>
            </w:rPr>
            <w:instrText xml:space="preserve"> HYPERLINK \l _Toc506 </w:instrText>
          </w:r>
          <w:r>
            <w:rPr>
              <w:rFonts w:hint="eastAsia" w:ascii="Calibri" w:hAnsi="Calibri" w:eastAsia="宋体" w:cs="Times New Roman"/>
              <w:color w:val="auto"/>
              <w:kern w:val="0"/>
              <w:szCs w:val="24"/>
              <w:highlight w:val="none"/>
              <w:lang w:val="en-US" w:eastAsia="zh-CN" w:bidi="ar-SA"/>
            </w:rPr>
            <w:fldChar w:fldCharType="separate"/>
          </w:r>
          <w:r>
            <w:rPr>
              <w:rFonts w:hint="eastAsia" w:ascii="宋体" w:hAnsi="宋体" w:eastAsia="宋体" w:cs="宋体"/>
              <w:bCs/>
              <w:color w:val="auto"/>
              <w:szCs w:val="28"/>
              <w:highlight w:val="none"/>
              <w:lang w:val="zh-CN"/>
            </w:rPr>
            <w:t>第四部分</w:t>
          </w:r>
          <w:r>
            <w:rPr>
              <w:rFonts w:hint="eastAsia" w:ascii="宋体" w:hAnsi="宋体" w:eastAsia="宋体" w:cs="宋体"/>
              <w:bCs/>
              <w:color w:val="auto"/>
              <w:szCs w:val="28"/>
              <w:highlight w:val="none"/>
              <w:lang w:val="zh-CN" w:eastAsia="zh-CN"/>
            </w:rPr>
            <w:t>、</w:t>
          </w:r>
          <w:r>
            <w:rPr>
              <w:rFonts w:hint="eastAsia" w:ascii="宋体" w:hAnsi="宋体" w:eastAsia="宋体" w:cs="宋体"/>
              <w:bCs/>
              <w:color w:val="auto"/>
              <w:szCs w:val="28"/>
              <w:highlight w:val="none"/>
              <w:lang w:val="zh-CN"/>
            </w:rPr>
            <w:t>其他材料</w:t>
          </w:r>
          <w:r>
            <w:rPr>
              <w:color w:val="auto"/>
              <w:highlight w:val="none"/>
            </w:rPr>
            <w:tab/>
          </w:r>
          <w:r>
            <w:rPr>
              <w:color w:val="auto"/>
              <w:highlight w:val="none"/>
            </w:rPr>
            <w:fldChar w:fldCharType="begin"/>
          </w:r>
          <w:r>
            <w:rPr>
              <w:color w:val="auto"/>
              <w:highlight w:val="none"/>
            </w:rPr>
            <w:instrText xml:space="preserve"> PAGEREF _Toc506 \h </w:instrText>
          </w:r>
          <w:r>
            <w:rPr>
              <w:color w:val="auto"/>
              <w:highlight w:val="none"/>
            </w:rPr>
            <w:fldChar w:fldCharType="separate"/>
          </w:r>
          <w:r>
            <w:rPr>
              <w:color w:val="auto"/>
              <w:highlight w:val="none"/>
            </w:rPr>
            <w:t>219</w:t>
          </w:r>
          <w:r>
            <w:rPr>
              <w:color w:val="auto"/>
              <w:highlight w:val="none"/>
            </w:rPr>
            <w:fldChar w:fldCharType="end"/>
          </w:r>
          <w:r>
            <w:rPr>
              <w:rFonts w:hint="eastAsia" w:ascii="Calibri" w:hAnsi="Calibri" w:eastAsia="宋体" w:cs="Times New Roman"/>
              <w:color w:val="auto"/>
              <w:kern w:val="0"/>
              <w:szCs w:val="24"/>
              <w:highlight w:val="none"/>
              <w:lang w:val="en-US" w:eastAsia="zh-CN" w:bidi="ar-SA"/>
            </w:rPr>
            <w:fldChar w:fldCharType="end"/>
          </w:r>
        </w:p>
        <w:p w14:paraId="392C6598">
          <w:pPr>
            <w:pStyle w:val="2"/>
            <w:rPr>
              <w:rFonts w:hint="eastAsia" w:ascii="Calibri" w:hAnsi="Calibri" w:eastAsia="宋体" w:cs="Times New Roman"/>
              <w:color w:val="auto"/>
              <w:kern w:val="0"/>
              <w:sz w:val="20"/>
              <w:szCs w:val="24"/>
              <w:highlight w:val="none"/>
              <w:lang w:val="en-US" w:eastAsia="zh-CN" w:bidi="ar-SA"/>
            </w:rPr>
          </w:pPr>
          <w:r>
            <w:rPr>
              <w:rFonts w:hint="eastAsia" w:ascii="Calibri" w:hAnsi="Calibri" w:eastAsia="宋体" w:cs="Times New Roman"/>
              <w:color w:val="auto"/>
              <w:kern w:val="0"/>
              <w:szCs w:val="24"/>
              <w:highlight w:val="none"/>
              <w:lang w:val="en-US" w:eastAsia="zh-CN" w:bidi="ar-SA"/>
            </w:rPr>
            <w:fldChar w:fldCharType="end"/>
          </w:r>
        </w:p>
      </w:sdtContent>
    </w:sdt>
    <w:p w14:paraId="29621A96">
      <w:pPr>
        <w:pStyle w:val="2"/>
        <w:rPr>
          <w:rFonts w:hint="eastAsia" w:ascii="Calibri" w:hAnsi="Calibri" w:eastAsia="宋体" w:cs="Times New Roman"/>
          <w:color w:val="auto"/>
          <w:kern w:val="0"/>
          <w:sz w:val="20"/>
          <w:szCs w:val="24"/>
          <w:highlight w:val="none"/>
          <w:lang w:val="en-US" w:eastAsia="zh-CN" w:bidi="ar-SA"/>
        </w:rPr>
      </w:pPr>
    </w:p>
    <w:p w14:paraId="02F643CB">
      <w:pPr>
        <w:pStyle w:val="4"/>
        <w:spacing w:line="360" w:lineRule="auto"/>
        <w:jc w:val="center"/>
        <w:rPr>
          <w:rFonts w:hint="eastAsia" w:ascii="宋体" w:hAnsi="宋体" w:eastAsia="宋体" w:cs="宋体"/>
          <w:color w:val="auto"/>
          <w:sz w:val="32"/>
          <w:szCs w:val="20"/>
          <w:highlight w:val="none"/>
          <w:lang w:val="zh-CN" w:eastAsia="zh-CN"/>
        </w:rPr>
        <w:sectPr>
          <w:pgSz w:w="11907" w:h="16840"/>
          <w:pgMar w:top="1080" w:right="1440" w:bottom="1080" w:left="1440" w:header="851" w:footer="992" w:gutter="0"/>
          <w:cols w:space="425" w:num="1"/>
          <w:docGrid w:linePitch="312" w:charSpace="0"/>
        </w:sectPr>
      </w:pPr>
    </w:p>
    <w:p w14:paraId="0BF77199">
      <w:pPr>
        <w:pStyle w:val="4"/>
        <w:spacing w:line="360" w:lineRule="auto"/>
        <w:jc w:val="center"/>
        <w:rPr>
          <w:rFonts w:hint="eastAsia" w:ascii="宋体" w:hAnsi="宋体" w:eastAsia="宋体" w:cs="宋体"/>
          <w:bCs/>
          <w:i/>
          <w:color w:val="auto"/>
          <w:kern w:val="44"/>
          <w:sz w:val="32"/>
          <w:szCs w:val="44"/>
          <w:highlight w:val="none"/>
          <w:lang w:val="zh-CN"/>
        </w:rPr>
      </w:pPr>
      <w:bookmarkStart w:id="1" w:name="_Toc11372"/>
      <w:r>
        <w:rPr>
          <w:rFonts w:hint="eastAsia" w:ascii="宋体" w:hAnsi="宋体" w:eastAsia="宋体" w:cs="宋体"/>
          <w:color w:val="auto"/>
          <w:sz w:val="32"/>
          <w:szCs w:val="20"/>
          <w:highlight w:val="none"/>
          <w:lang w:val="zh-CN" w:eastAsia="zh-CN"/>
        </w:rPr>
        <w:t>第一章 招标公告</w:t>
      </w:r>
      <w:bookmarkEnd w:id="1"/>
    </w:p>
    <w:p w14:paraId="6022ACBB">
      <w:pPr>
        <w:wordWrap w:val="0"/>
        <w:spacing w:line="360" w:lineRule="auto"/>
        <w:jc w:val="center"/>
        <w:rPr>
          <w:rFonts w:hint="eastAsia" w:ascii="宋体" w:hAnsi="宋体" w:eastAsia="宋体" w:cs="宋体"/>
          <w:color w:val="auto"/>
          <w:sz w:val="30"/>
          <w:szCs w:val="30"/>
          <w:highlight w:val="none"/>
        </w:rPr>
      </w:pPr>
      <w:r>
        <w:rPr>
          <w:rFonts w:hint="eastAsia" w:ascii="宋体" w:hAnsi="宋体" w:cs="宋体"/>
          <w:color w:val="auto"/>
          <w:sz w:val="30"/>
          <w:szCs w:val="30"/>
          <w:highlight w:val="none"/>
          <w:u w:val="single"/>
          <w:lang w:eastAsia="zh-CN"/>
        </w:rPr>
        <w:t>2026年湖北省城镇社会保障卡金融服务合作项目</w:t>
      </w:r>
      <w:r>
        <w:rPr>
          <w:rFonts w:hint="eastAsia" w:ascii="宋体" w:hAnsi="宋体" w:eastAsia="宋体" w:cs="宋体"/>
          <w:color w:val="auto"/>
          <w:sz w:val="30"/>
          <w:szCs w:val="30"/>
          <w:highlight w:val="none"/>
        </w:rPr>
        <w:t>（项目名称）</w:t>
      </w:r>
      <w:r>
        <w:rPr>
          <w:rFonts w:hint="eastAsia" w:ascii="宋体" w:hAnsi="宋体" w:eastAsia="宋体" w:cs="宋体"/>
          <w:color w:val="auto"/>
          <w:sz w:val="30"/>
          <w:szCs w:val="30"/>
          <w:highlight w:val="none"/>
          <w:u w:val="single"/>
        </w:rPr>
        <w:t xml:space="preserve"> </w:t>
      </w:r>
      <w:r>
        <w:rPr>
          <w:rFonts w:hint="eastAsia" w:ascii="宋体" w:hAnsi="宋体" w:cs="宋体"/>
          <w:color w:val="auto"/>
          <w:sz w:val="30"/>
          <w:szCs w:val="30"/>
          <w:highlight w:val="none"/>
          <w:u w:val="single"/>
          <w:lang w:eastAsia="zh-CN"/>
        </w:rPr>
        <w:t>2026年湖北省城镇社会保障卡金融服务合作项目</w:t>
      </w:r>
      <w:r>
        <w:rPr>
          <w:rFonts w:hint="eastAsia" w:ascii="宋体" w:hAnsi="宋体" w:eastAsia="宋体" w:cs="宋体"/>
          <w:color w:val="auto"/>
          <w:sz w:val="30"/>
          <w:szCs w:val="30"/>
          <w:highlight w:val="none"/>
        </w:rPr>
        <w:t>（标段/包名称）</w:t>
      </w:r>
    </w:p>
    <w:p w14:paraId="07AD035F">
      <w:pPr>
        <w:wordWrap w:val="0"/>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招标公告</w:t>
      </w:r>
    </w:p>
    <w:p w14:paraId="5BCC5382">
      <w:pPr>
        <w:wordWrap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招标编号：</w:t>
      </w:r>
      <w:r>
        <w:rPr>
          <w:rFonts w:hint="eastAsia" w:ascii="宋体" w:hAnsi="宋体" w:eastAsia="宋体" w:cs="宋体"/>
          <w:color w:val="auto"/>
          <w:szCs w:val="21"/>
          <w:highlight w:val="none"/>
          <w:u w:val="single"/>
        </w:rPr>
        <w:t xml:space="preserve">        </w:t>
      </w:r>
    </w:p>
    <w:p w14:paraId="363851B6">
      <w:pPr>
        <w:keepNext/>
        <w:keepLines/>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2" w:name="_Toc495388658"/>
      <w:bookmarkStart w:id="3" w:name="_Toc4443"/>
      <w:bookmarkStart w:id="4" w:name="_Toc468288574"/>
      <w:r>
        <w:rPr>
          <w:rFonts w:hint="eastAsia" w:ascii="宋体" w:hAnsi="宋体" w:eastAsia="宋体" w:cs="宋体"/>
          <w:bCs/>
          <w:color w:val="auto"/>
          <w:kern w:val="0"/>
          <w:sz w:val="28"/>
          <w:szCs w:val="32"/>
          <w:highlight w:val="none"/>
          <w:lang w:val="zh-CN" w:eastAsia="zh-CN"/>
        </w:rPr>
        <w:t>1．招标条件</w:t>
      </w:r>
      <w:bookmarkEnd w:id="2"/>
      <w:bookmarkEnd w:id="3"/>
      <w:bookmarkEnd w:id="4"/>
    </w:p>
    <w:p w14:paraId="15781DF6">
      <w:pPr>
        <w:wordWrap w:val="0"/>
        <w:spacing w:line="440" w:lineRule="exact"/>
        <w:ind w:firstLine="420" w:firstLineChars="200"/>
        <w:jc w:val="left"/>
        <w:rPr>
          <w:rFonts w:hint="eastAsia" w:ascii="宋体" w:hAnsi="宋体" w:eastAsia="宋体" w:cs="宋体"/>
          <w:color w:val="auto"/>
          <w:highlight w:val="none"/>
        </w:rPr>
      </w:pPr>
      <w:bookmarkStart w:id="5" w:name="_Toc468288575"/>
      <w:bookmarkStart w:id="6" w:name="_Toc495388659"/>
      <w:r>
        <w:rPr>
          <w:rFonts w:hint="eastAsia" w:ascii="宋体" w:hAnsi="宋体" w:eastAsia="宋体" w:cs="宋体"/>
          <w:color w:val="auto"/>
          <w:kern w:val="0"/>
          <w:szCs w:val="21"/>
          <w:highlight w:val="none"/>
          <w:u w:val="single"/>
          <w:lang w:val="zh-CN" w:eastAsia="zh-CN"/>
        </w:rPr>
        <w:t>本招标项目2026年湖北省城镇社会保障卡金融服务合作项目已由中国工商银行湖北省分行财务审查委员会秘书处以工银鄂个金请示〔2026〕2号批准建设，项目业主为中国工商银行股份有限公司湖北省分行,建设资金来自自筹。项目出资比例为自筹资金：100.0%招标人为中国工商银行股份有限公司湖北省分行，招标代理机构为北京北卫旭博工程咨询有限公司。项目已具备招标条件，现对该项目进行公开招标。</w:t>
      </w:r>
    </w:p>
    <w:p w14:paraId="1B7A67A3">
      <w:pPr>
        <w:keepNext/>
        <w:keepLines/>
        <w:wordWrap w:val="0"/>
        <w:spacing w:line="440" w:lineRule="exact"/>
        <w:outlineLvl w:val="1"/>
        <w:rPr>
          <w:rFonts w:hint="eastAsia" w:ascii="宋体" w:hAnsi="宋体" w:eastAsia="宋体" w:cs="宋体"/>
          <w:bCs/>
          <w:color w:val="auto"/>
          <w:kern w:val="0"/>
          <w:sz w:val="28"/>
          <w:szCs w:val="32"/>
          <w:highlight w:val="none"/>
          <w:lang w:val="zh-CN"/>
        </w:rPr>
      </w:pPr>
      <w:bookmarkStart w:id="7" w:name="_Toc1840"/>
      <w:r>
        <w:rPr>
          <w:rFonts w:hint="eastAsia" w:ascii="宋体" w:hAnsi="宋体" w:eastAsia="宋体" w:cs="宋体"/>
          <w:bCs/>
          <w:color w:val="auto"/>
          <w:kern w:val="0"/>
          <w:sz w:val="28"/>
          <w:szCs w:val="32"/>
          <w:highlight w:val="none"/>
          <w:lang w:val="zh-CN" w:eastAsia="zh-CN"/>
        </w:rPr>
        <w:t>2．项目概况与招标</w:t>
      </w:r>
      <w:bookmarkEnd w:id="5"/>
      <w:r>
        <w:rPr>
          <w:rFonts w:hint="eastAsia" w:ascii="宋体" w:hAnsi="宋体" w:eastAsia="宋体" w:cs="宋体"/>
          <w:bCs/>
          <w:color w:val="auto"/>
          <w:kern w:val="0"/>
          <w:sz w:val="28"/>
          <w:szCs w:val="32"/>
          <w:highlight w:val="none"/>
          <w:lang w:val="zh-CN"/>
        </w:rPr>
        <w:t>范围</w:t>
      </w:r>
      <w:bookmarkEnd w:id="6"/>
      <w:bookmarkEnd w:id="7"/>
    </w:p>
    <w:p w14:paraId="4B410AA7">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2.1项目概况：</w:t>
      </w:r>
      <w:r>
        <w:rPr>
          <w:rFonts w:hint="eastAsia" w:ascii="宋体" w:hAnsi="宋体" w:cs="宋体"/>
          <w:color w:val="auto"/>
          <w:kern w:val="0"/>
          <w:szCs w:val="21"/>
          <w:highlight w:val="none"/>
          <w:u w:val="single"/>
          <w:lang w:val="zh-CN" w:eastAsia="zh-CN"/>
        </w:rPr>
        <w:t>2026年湖北省城镇社会保障卡金融服务合作项目</w:t>
      </w:r>
      <w:r>
        <w:rPr>
          <w:rFonts w:hint="eastAsia" w:ascii="宋体" w:hAnsi="宋体" w:eastAsia="宋体" w:cs="宋体"/>
          <w:color w:val="auto"/>
          <w:kern w:val="0"/>
          <w:szCs w:val="21"/>
          <w:highlight w:val="none"/>
          <w:u w:val="single"/>
          <w:lang w:val="zh-CN" w:eastAsia="zh-CN"/>
        </w:rPr>
        <w:t>拟建设湖北省数智人社“一卡通”一体化平台——社会保险全险种一体化系统，用以支撑社会保险全险种业务经办和公共服务，对现有社保系统进行整体重构，依托省人社一体化平台，将险种和业务融合，建设社保一体化系统，实现社保“四全十统一”，“四全”为全险合一、全库集中、全域通办和全局管控；“十统一”为统一基金财务、统一权限管理、统一运维管理、统一电子档案、统一监控分析、统一智能应用、统一移动办公、统一信息推送、统一数据共享、统一外部对接。</w:t>
      </w:r>
    </w:p>
    <w:p w14:paraId="7114AD7E">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2.2招标</w:t>
      </w:r>
      <w:r>
        <w:rPr>
          <w:rFonts w:hint="eastAsia" w:ascii="宋体" w:hAnsi="宋体" w:eastAsia="宋体" w:cs="宋体"/>
          <w:color w:val="auto"/>
          <w:kern w:val="0"/>
          <w:szCs w:val="21"/>
          <w:highlight w:val="none"/>
          <w:lang w:val="zh-CN"/>
        </w:rPr>
        <w:t>范围</w:t>
      </w:r>
      <w:r>
        <w:rPr>
          <w:rFonts w:hint="eastAsia" w:ascii="宋体" w:hAnsi="宋体" w:eastAsia="宋体" w:cs="宋体"/>
          <w:color w:val="auto"/>
          <w:kern w:val="0"/>
          <w:szCs w:val="21"/>
          <w:highlight w:val="none"/>
          <w:lang w:val="zh-CN" w:eastAsia="zh-CN"/>
        </w:rPr>
        <w:t>：</w:t>
      </w:r>
      <w:r>
        <w:rPr>
          <w:rFonts w:hint="eastAsia" w:ascii="宋体" w:hAnsi="宋体" w:eastAsia="宋体" w:cs="宋体"/>
          <w:color w:val="auto"/>
          <w:kern w:val="0"/>
          <w:szCs w:val="21"/>
          <w:highlight w:val="none"/>
          <w:u w:val="single"/>
          <w:lang w:val="zh-CN" w:eastAsia="zh-CN"/>
        </w:rPr>
        <w:t>采购社会保险全险种一体化系统1套，系统具体包括参保登记、缴费认定、信息维护、养老待遇、工伤（职业伤害）待遇、失业待遇、职业年金、代发待遇、关系转移、基金财务、部级报表、查询打印、稽核内控、劳动能力鉴定、工伤认定（职业伤害确认、工伤预防）、参数维护和管理支撑等模块，以及相关配套子系统对接改造，完成人社部社保全险种业务中台实施对接。</w:t>
      </w:r>
    </w:p>
    <w:p w14:paraId="6B995925">
      <w:pPr>
        <w:keepNext/>
        <w:keepLines/>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8" w:name="_Toc468288576"/>
      <w:bookmarkStart w:id="9" w:name="_Toc25019"/>
      <w:bookmarkStart w:id="10" w:name="_Toc495388660"/>
      <w:r>
        <w:rPr>
          <w:rFonts w:hint="eastAsia" w:ascii="宋体" w:hAnsi="宋体" w:eastAsia="宋体" w:cs="宋体"/>
          <w:bCs/>
          <w:color w:val="auto"/>
          <w:kern w:val="0"/>
          <w:sz w:val="28"/>
          <w:szCs w:val="32"/>
          <w:highlight w:val="none"/>
          <w:lang w:val="zh-CN" w:eastAsia="zh-CN"/>
        </w:rPr>
        <w:t>3．投标人资格要求</w:t>
      </w:r>
      <w:bookmarkEnd w:id="8"/>
      <w:bookmarkEnd w:id="9"/>
      <w:bookmarkEnd w:id="10"/>
    </w:p>
    <w:p w14:paraId="37110312">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3.1本次招标要求投标人须具备</w:t>
      </w:r>
    </w:p>
    <w:p w14:paraId="66413367">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eastAsia="宋体" w:cs="宋体"/>
          <w:color w:val="auto"/>
          <w:kern w:val="0"/>
          <w:szCs w:val="21"/>
          <w:highlight w:val="none"/>
          <w:u w:val="single"/>
          <w:lang w:val="zh-CN" w:eastAsia="zh-CN"/>
        </w:rPr>
        <w:t>1.具有独立承担民事责任的法人或具备国家认可经营资格的其他组织。</w:t>
      </w:r>
    </w:p>
    <w:p w14:paraId="6265FBF9">
      <w:pPr>
        <w:wordWrap w:val="0"/>
        <w:spacing w:line="440" w:lineRule="exact"/>
        <w:ind w:firstLine="424" w:firstLineChars="202"/>
        <w:jc w:val="left"/>
        <w:rPr>
          <w:rFonts w:hint="eastAsia" w:ascii="宋体" w:hAnsi="宋体" w:eastAsia="宋体" w:cs="宋体"/>
          <w:color w:val="auto"/>
          <w:kern w:val="0"/>
          <w:szCs w:val="21"/>
          <w:highlight w:val="none"/>
          <w:u w:val="single"/>
          <w:lang w:val="en-US"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2</w:t>
      </w:r>
      <w:r>
        <w:rPr>
          <w:rFonts w:hint="eastAsia" w:ascii="宋体" w:hAnsi="宋体" w:eastAsia="宋体" w:cs="宋体"/>
          <w:color w:val="auto"/>
          <w:kern w:val="0"/>
          <w:szCs w:val="21"/>
          <w:highlight w:val="none"/>
          <w:u w:val="single"/>
          <w:lang w:val="en-US" w:eastAsia="zh-CN"/>
        </w:rPr>
        <w:t>.业绩要求：自2023年1月1日（以合同签订时间为准）以来，投标人在至少具备一个类似合同金额不少于1000万元（含）的大型软件开发项目业绩。（提供加盖公章的相关合同原件扫描件，需包含合同首页、签署盖章页、合同金额页、关键内容页）</w:t>
      </w:r>
      <w:r>
        <w:rPr>
          <w:rFonts w:hint="eastAsia" w:ascii="宋体" w:hAnsi="宋体" w:cs="宋体"/>
          <w:color w:val="auto"/>
          <w:kern w:val="0"/>
          <w:szCs w:val="21"/>
          <w:highlight w:val="none"/>
          <w:u w:val="single"/>
          <w:lang w:val="en-US" w:eastAsia="zh-CN"/>
        </w:rPr>
        <w:t>。</w:t>
      </w:r>
    </w:p>
    <w:p w14:paraId="57A88241">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3</w:t>
      </w:r>
      <w:r>
        <w:rPr>
          <w:rFonts w:hint="eastAsia" w:ascii="宋体" w:hAnsi="宋体" w:eastAsia="宋体" w:cs="宋体"/>
          <w:color w:val="auto"/>
          <w:kern w:val="0"/>
          <w:szCs w:val="21"/>
          <w:highlight w:val="none"/>
          <w:u w:val="single"/>
          <w:lang w:val="zh-CN" w:eastAsia="zh-CN"/>
        </w:rPr>
        <w:t>.投标人近三年内（2023年1月1日至本项目投标截止时间以来，对于成立不足3年的公司则自成立之日起至本项目投标截止时间以来），在经营活动中没有重大违法和不良记录（需提供承诺书）：</w:t>
      </w:r>
    </w:p>
    <w:p w14:paraId="34DE34B6">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zh-CN" w:eastAsia="zh-CN"/>
        </w:rPr>
        <w:t>（1）未被依法暂停或者取消投标资格，且在限制投标期限内的；</w:t>
      </w:r>
    </w:p>
    <w:p w14:paraId="7CD439CF">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zh-CN" w:eastAsia="zh-CN"/>
        </w:rPr>
        <w:t>（2）没有被责令停产停业、暂扣或者吊销许可证、暂扣或者吊销执照，未被列入经营异常；</w:t>
      </w:r>
    </w:p>
    <w:p w14:paraId="74741379">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zh-CN" w:eastAsia="zh-CN"/>
        </w:rPr>
        <w:t>（3）未处于进入清算程序，或被宣告破产，或其他丧失履约能力的情形；</w:t>
      </w:r>
    </w:p>
    <w:p w14:paraId="4F7D35BA">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zh-CN" w:eastAsia="zh-CN"/>
        </w:rPr>
        <w:t>（4）投标人及其法定代表人无行贿犯罪行为。</w:t>
      </w:r>
    </w:p>
    <w:p w14:paraId="19BEF715">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zh-CN" w:eastAsia="zh-CN"/>
        </w:rPr>
        <w:t>（5）企业无其他不良记录和重大负面舆情，无失信记录、无行贿记录，严重违法失信企业黑名单当中。</w:t>
      </w:r>
    </w:p>
    <w:p w14:paraId="36F30087">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4</w:t>
      </w:r>
      <w:r>
        <w:rPr>
          <w:rFonts w:hint="eastAsia" w:ascii="宋体" w:hAnsi="宋体" w:eastAsia="宋体" w:cs="宋体"/>
          <w:color w:val="auto"/>
          <w:kern w:val="0"/>
          <w:szCs w:val="21"/>
          <w:highlight w:val="none"/>
          <w:u w:val="single"/>
          <w:lang w:val="zh-CN" w:eastAsia="zh-CN"/>
        </w:rPr>
        <w:t>.具有良好的商业信誉和健全的财务会计制度，具有足够的经济实力，提供近三年度(2022、2023、2024年度或2023、2024、2025年度)经审计的财务报告。（对于成立不足3年的公司，则提供公司自成立之日起至今的相关资料）</w:t>
      </w:r>
    </w:p>
    <w:p w14:paraId="2E398337">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5</w:t>
      </w:r>
      <w:r>
        <w:rPr>
          <w:rFonts w:hint="eastAsia" w:ascii="宋体" w:hAnsi="宋体" w:eastAsia="宋体" w:cs="宋体"/>
          <w:color w:val="auto"/>
          <w:kern w:val="0"/>
          <w:szCs w:val="21"/>
          <w:highlight w:val="none"/>
          <w:u w:val="single"/>
          <w:lang w:val="zh-CN" w:eastAsia="zh-CN"/>
        </w:rPr>
        <w:t>.具有依法缴纳税收的良好记录，提供近一年内连续3个月的依法缴纳税收的证明（零申报的必须提供零申报证明）；具有依法缴纳社会保障资金的良好记录，提供近一年内连续3个月的依法缴纳社会保险的证明。</w:t>
      </w:r>
    </w:p>
    <w:p w14:paraId="66B1B924">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6</w:t>
      </w:r>
      <w:r>
        <w:rPr>
          <w:rFonts w:hint="eastAsia" w:ascii="宋体" w:hAnsi="宋体" w:eastAsia="宋体" w:cs="宋体"/>
          <w:color w:val="auto"/>
          <w:kern w:val="0"/>
          <w:szCs w:val="21"/>
          <w:highlight w:val="none"/>
          <w:u w:val="single"/>
          <w:lang w:val="zh-CN" w:eastAsia="zh-CN"/>
        </w:rPr>
        <w:t>.未被“信用中国（www.creditchina.gov.cn）”列入失信被执行人名单、重大税收违法失信主体，在“信用中国（www.creditchina.gov.cn）”行政处罚信息中无违反《中华人民共和国招标投标法》、《中华人民共和国政府采购法》等相关法律法规的行政处罚，未被“中国政府采购网（www.ccgp.gov.cn）”列入政府采购严重违法失信行为记录名单。</w:t>
      </w:r>
    </w:p>
    <w:p w14:paraId="650B2CFD">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7</w:t>
      </w:r>
      <w:r>
        <w:rPr>
          <w:rFonts w:hint="eastAsia" w:ascii="宋体" w:hAnsi="宋体" w:eastAsia="宋体" w:cs="宋体"/>
          <w:color w:val="auto"/>
          <w:kern w:val="0"/>
          <w:szCs w:val="21"/>
          <w:highlight w:val="none"/>
          <w:u w:val="single"/>
          <w:lang w:val="zh-CN" w:eastAsia="zh-CN"/>
        </w:rPr>
        <w:t>.单位负责人为同一人或者存在直接控股、管理关系的不同投标人，不得参加本项目同一合同项下的招标活动。</w:t>
      </w:r>
    </w:p>
    <w:p w14:paraId="76A3C01E">
      <w:pPr>
        <w:wordWrap w:val="0"/>
        <w:spacing w:line="440" w:lineRule="exact"/>
        <w:ind w:firstLine="424" w:firstLineChars="202"/>
        <w:jc w:val="left"/>
        <w:rPr>
          <w:rFonts w:hint="eastAsia" w:ascii="宋体" w:hAnsi="宋体" w:eastAsia="宋体" w:cs="宋体"/>
          <w:color w:val="auto"/>
          <w:kern w:val="0"/>
          <w:szCs w:val="21"/>
          <w:highlight w:val="none"/>
          <w:u w:val="singl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8</w:t>
      </w:r>
      <w:r>
        <w:rPr>
          <w:rFonts w:hint="eastAsia" w:ascii="宋体" w:hAnsi="宋体" w:eastAsia="宋体" w:cs="宋体"/>
          <w:color w:val="auto"/>
          <w:kern w:val="0"/>
          <w:szCs w:val="21"/>
          <w:highlight w:val="none"/>
          <w:u w:val="single"/>
          <w:lang w:val="zh-CN" w:eastAsia="zh-CN"/>
        </w:rPr>
        <w:t>.在最近三年内（2023年01月01日至今）与中国工商银行的项目合作过程中，没有出现重大合同违约、泄露商业秘密或技术秘密、涉“虚列支出、套取费用”等事件，并且未被列入《中国工商银行不良行为投标人禁入名单管理办法》的禁入名单或中国工商银行负面投标人清单（需提供承诺书）；</w:t>
      </w:r>
    </w:p>
    <w:p w14:paraId="4BFE7215">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u w:val="single"/>
          <w:lang w:val="en-US" w:eastAsia="zh-CN"/>
        </w:rPr>
        <w:t>3.1.</w:t>
      </w:r>
      <w:r>
        <w:rPr>
          <w:rFonts w:hint="eastAsia" w:ascii="宋体" w:hAnsi="宋体" w:cs="宋体"/>
          <w:color w:val="auto"/>
          <w:kern w:val="0"/>
          <w:szCs w:val="21"/>
          <w:highlight w:val="none"/>
          <w:u w:val="single"/>
          <w:lang w:val="en-US" w:eastAsia="zh-CN"/>
        </w:rPr>
        <w:t>9</w:t>
      </w:r>
      <w:r>
        <w:rPr>
          <w:rFonts w:hint="eastAsia" w:ascii="宋体" w:hAnsi="宋体" w:eastAsia="宋体" w:cs="宋体"/>
          <w:color w:val="auto"/>
          <w:kern w:val="0"/>
          <w:szCs w:val="21"/>
          <w:highlight w:val="none"/>
          <w:u w:val="single"/>
          <w:lang w:val="zh-CN" w:eastAsia="zh-CN"/>
        </w:rPr>
        <w:t>.投标人应能够开具增值税专用发票，提供已开具的增值税专用发票以证明。</w:t>
      </w:r>
    </w:p>
    <w:p w14:paraId="15E4DC80">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3.2本次招标</w:t>
      </w:r>
      <w:r>
        <w:rPr>
          <w:rFonts w:hint="eastAsia" w:ascii="宋体" w:hAnsi="宋体" w:eastAsia="宋体" w:cs="宋体"/>
          <w:color w:val="auto"/>
          <w:kern w:val="0"/>
          <w:szCs w:val="21"/>
          <w:highlight w:val="none"/>
          <w:u w:val="single"/>
          <w:lang w:val="en-US" w:eastAsia="zh-CN"/>
        </w:rPr>
        <w:t>不接受</w:t>
      </w:r>
      <w:r>
        <w:rPr>
          <w:rFonts w:hint="eastAsia" w:ascii="宋体" w:hAnsi="宋体" w:eastAsia="宋体" w:cs="宋体"/>
          <w:color w:val="auto"/>
          <w:kern w:val="0"/>
          <w:szCs w:val="21"/>
          <w:highlight w:val="none"/>
          <w:lang w:val="zh-CN" w:eastAsia="zh-CN"/>
        </w:rPr>
        <w:t>（接受或不接受）联合体投标。联合体投标的，应满足下列要求：</w:t>
      </w:r>
      <w:r>
        <w:rPr>
          <w:rFonts w:hint="eastAsia" w:ascii="宋体" w:hAnsi="宋体" w:eastAsia="宋体" w:cs="宋体"/>
          <w:color w:val="auto"/>
          <w:kern w:val="0"/>
          <w:szCs w:val="21"/>
          <w:highlight w:val="none"/>
          <w:u w:val="single"/>
          <w:lang w:val="zh-CN" w:eastAsia="zh-CN"/>
        </w:rPr>
        <w:t xml:space="preserve">  </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lang w:val="zh-CN" w:eastAsia="zh-CN"/>
        </w:rPr>
        <w:t xml:space="preserve"> </w:t>
      </w:r>
      <w:r>
        <w:rPr>
          <w:rFonts w:hint="eastAsia" w:ascii="宋体" w:hAnsi="宋体" w:eastAsia="宋体" w:cs="宋体"/>
          <w:color w:val="auto"/>
          <w:kern w:val="0"/>
          <w:szCs w:val="21"/>
          <w:highlight w:val="none"/>
          <w:lang w:val="zh-CN" w:eastAsia="zh-CN"/>
        </w:rPr>
        <w:t>。</w:t>
      </w:r>
    </w:p>
    <w:p w14:paraId="4BFA686A">
      <w:pPr>
        <w:wordWrap w:val="0"/>
        <w:spacing w:line="440" w:lineRule="exact"/>
        <w:ind w:firstLine="424" w:firstLineChars="202"/>
        <w:jc w:val="left"/>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4"/>
          <w:highlight w:val="none"/>
          <w:lang w:val="zh-CN" w:eastAsia="zh-CN"/>
        </w:rPr>
        <w:t xml:space="preserve">3.3 </w:t>
      </w:r>
      <w:r>
        <w:rPr>
          <w:rFonts w:hint="eastAsia" w:ascii="宋体" w:hAnsi="宋体" w:eastAsia="宋体" w:cs="宋体"/>
          <w:color w:val="auto"/>
          <w:kern w:val="0"/>
          <w:szCs w:val="21"/>
          <w:highlight w:val="none"/>
          <w:lang w:val="zh-CN"/>
        </w:rPr>
        <w:t>其它：</w:t>
      </w:r>
      <w:r>
        <w:rPr>
          <w:rFonts w:hint="eastAsia" w:ascii="宋体" w:hAnsi="宋体" w:eastAsia="宋体" w:cs="宋体"/>
          <w:color w:val="auto"/>
          <w:kern w:val="0"/>
          <w:szCs w:val="24"/>
          <w:highlight w:val="none"/>
          <w:u w:val="single"/>
          <w:lang w:val="zh-CN" w:eastAsia="zh-CN"/>
        </w:rPr>
        <w:t xml:space="preserve"> </w:t>
      </w:r>
      <w:r>
        <w:rPr>
          <w:rFonts w:hint="eastAsia" w:ascii="宋体" w:hAnsi="宋体" w:cs="宋体"/>
          <w:color w:val="auto"/>
          <w:kern w:val="0"/>
          <w:szCs w:val="24"/>
          <w:highlight w:val="none"/>
          <w:u w:val="single"/>
          <w:lang w:val="en-US" w:eastAsia="zh-CN"/>
        </w:rPr>
        <w:t xml:space="preserve"> </w:t>
      </w:r>
      <w:r>
        <w:rPr>
          <w:rFonts w:hint="eastAsia" w:ascii="宋体" w:hAnsi="宋体" w:eastAsia="宋体" w:cs="宋体"/>
          <w:color w:val="auto"/>
          <w:kern w:val="0"/>
          <w:szCs w:val="24"/>
          <w:highlight w:val="none"/>
          <w:u w:val="single"/>
          <w:lang w:val="en-US" w:eastAsia="zh-CN"/>
        </w:rPr>
        <w:t>/</w:t>
      </w:r>
      <w:r>
        <w:rPr>
          <w:rFonts w:hint="eastAsia" w:ascii="宋体" w:hAnsi="宋体" w:eastAsia="宋体" w:cs="宋体"/>
          <w:color w:val="auto"/>
          <w:kern w:val="0"/>
          <w:szCs w:val="24"/>
          <w:highlight w:val="none"/>
          <w:u w:val="single"/>
          <w:lang w:val="zh-CN" w:eastAsia="zh-CN"/>
        </w:rPr>
        <w:t xml:space="preserve"> </w:t>
      </w:r>
      <w:r>
        <w:rPr>
          <w:rFonts w:hint="eastAsia" w:ascii="宋体" w:hAnsi="宋体" w:eastAsia="宋体" w:cs="宋体"/>
          <w:color w:val="auto"/>
          <w:kern w:val="0"/>
          <w:szCs w:val="24"/>
          <w:highlight w:val="none"/>
          <w:lang w:val="zh-CN" w:eastAsia="zh-CN"/>
        </w:rPr>
        <w:t xml:space="preserve"> 。</w:t>
      </w:r>
    </w:p>
    <w:p w14:paraId="6A002FAC">
      <w:pPr>
        <w:keepNext/>
        <w:keepLines/>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11" w:name="_Toc24616"/>
      <w:bookmarkStart w:id="12" w:name="_Toc468288577"/>
      <w:bookmarkStart w:id="13" w:name="_Toc495388661"/>
      <w:r>
        <w:rPr>
          <w:rFonts w:hint="eastAsia" w:ascii="宋体" w:hAnsi="宋体" w:eastAsia="宋体" w:cs="宋体"/>
          <w:bCs/>
          <w:color w:val="auto"/>
          <w:kern w:val="0"/>
          <w:sz w:val="28"/>
          <w:szCs w:val="32"/>
          <w:highlight w:val="none"/>
          <w:lang w:val="zh-CN" w:eastAsia="zh-CN"/>
        </w:rPr>
        <w:t>4．招标文件的获取</w:t>
      </w:r>
      <w:bookmarkEnd w:id="11"/>
      <w:bookmarkEnd w:id="12"/>
      <w:bookmarkEnd w:id="13"/>
    </w:p>
    <w:p w14:paraId="6A5B03CB">
      <w:pPr>
        <w:spacing w:after="156" w:afterLines="50" w:line="460" w:lineRule="exact"/>
        <w:ind w:firstLine="437"/>
        <w:rPr>
          <w:rFonts w:hint="eastAsia" w:ascii="宋体" w:hAnsi="宋体" w:eastAsia="宋体" w:cs="宋体"/>
          <w:color w:val="auto"/>
          <w:szCs w:val="24"/>
          <w:highlight w:val="none"/>
        </w:rPr>
      </w:pPr>
      <w:r>
        <w:rPr>
          <w:rFonts w:hint="eastAsia" w:ascii="宋体" w:hAnsi="宋体" w:eastAsia="宋体" w:cs="宋体"/>
          <w:color w:val="auto"/>
          <w:szCs w:val="24"/>
          <w:highlight w:val="none"/>
        </w:rPr>
        <w:t>4.1 凡有意参加投标者，应当在湖北省电子招投标交易平台（以下简称“电子交易平台”，下同）（网址：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"http://www.hbbidcloud.com"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rPr>
        <w:t>www.hbbidcloud.com</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）进行注册登记，并办理CA数字证书。具体操作参见《“电子交易平台”—办事指南—交易主体注册登记指南》。</w:t>
      </w:r>
    </w:p>
    <w:p w14:paraId="05A35EDC">
      <w:pPr>
        <w:spacing w:after="156" w:afterLines="50" w:line="460" w:lineRule="exact"/>
        <w:ind w:firstLine="437"/>
        <w:rPr>
          <w:rFonts w:hint="eastAsia" w:ascii="宋体" w:hAnsi="宋体" w:eastAsia="宋体" w:cs="宋体"/>
          <w:color w:val="auto"/>
          <w:szCs w:val="24"/>
          <w:highlight w:val="none"/>
        </w:rPr>
      </w:pPr>
      <w:r>
        <w:rPr>
          <w:rFonts w:hint="eastAsia" w:ascii="宋体" w:hAnsi="宋体" w:eastAsia="宋体" w:cs="宋体"/>
          <w:color w:val="auto"/>
          <w:szCs w:val="24"/>
          <w:highlight w:val="none"/>
        </w:rPr>
        <w:t>4.2 完成注册登记后，请于</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日至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日24：00时止（北京时间、下同），通过互联网使用CA数字证书登录“电子交易平台”，</w:t>
      </w:r>
      <w:r>
        <w:rPr>
          <w:rFonts w:hint="eastAsia" w:ascii="宋体" w:hAnsi="宋体" w:eastAsia="宋体" w:cs="宋体"/>
          <w:color w:val="auto"/>
          <w:kern w:val="0"/>
          <w:szCs w:val="21"/>
          <w:highlight w:val="none"/>
        </w:rPr>
        <w:t>在所投标段（包）</w:t>
      </w:r>
      <w:r>
        <w:rPr>
          <w:rFonts w:hint="eastAsia" w:ascii="宋体" w:hAnsi="宋体" w:eastAsia="宋体" w:cs="宋体"/>
          <w:color w:val="auto"/>
          <w:szCs w:val="24"/>
          <w:highlight w:val="none"/>
        </w:rPr>
        <w:t>免费下载招标文件</w:t>
      </w:r>
      <w:r>
        <w:rPr>
          <w:rFonts w:hint="eastAsia" w:ascii="宋体" w:hAnsi="宋体" w:eastAsia="宋体" w:cs="宋体"/>
          <w:color w:val="auto"/>
          <w:highlight w:val="none"/>
        </w:rPr>
        <w:t>（具体操作参见“电子交易平台”—办事指南—招标（资审）文件下载指南）</w:t>
      </w:r>
      <w:r>
        <w:rPr>
          <w:rFonts w:hint="eastAsia" w:ascii="宋体" w:hAnsi="宋体" w:eastAsia="宋体" w:cs="宋体"/>
          <w:color w:val="auto"/>
          <w:szCs w:val="24"/>
          <w:highlight w:val="none"/>
        </w:rPr>
        <w:t>。联合体投标的，由联合体牵头人下载招标文件。未按规定从“电子交易平台”下载招标文件的，其投标将被否决。</w:t>
      </w:r>
    </w:p>
    <w:p w14:paraId="798C1A28">
      <w:pPr>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14" w:name="_Toc495388662"/>
      <w:bookmarkStart w:id="15" w:name="_Toc13347"/>
      <w:bookmarkStart w:id="16" w:name="_Toc468288578"/>
      <w:r>
        <w:rPr>
          <w:rFonts w:hint="eastAsia" w:ascii="宋体" w:hAnsi="宋体" w:eastAsia="宋体" w:cs="宋体"/>
          <w:bCs/>
          <w:color w:val="auto"/>
          <w:kern w:val="0"/>
          <w:sz w:val="28"/>
          <w:szCs w:val="32"/>
          <w:highlight w:val="none"/>
          <w:lang w:val="zh-CN" w:eastAsia="zh-CN"/>
        </w:rPr>
        <w:t>5．投标文件的递交</w:t>
      </w:r>
      <w:bookmarkEnd w:id="14"/>
      <w:bookmarkEnd w:id="15"/>
      <w:bookmarkEnd w:id="16"/>
    </w:p>
    <w:p w14:paraId="75FEBC7D">
      <w:pPr>
        <w:spacing w:after="156" w:afterLines="50" w:line="460" w:lineRule="exact"/>
        <w:ind w:firstLine="437"/>
        <w:rPr>
          <w:rFonts w:hint="eastAsia" w:ascii="宋体" w:hAnsi="宋体" w:eastAsia="宋体" w:cs="宋体"/>
          <w:color w:val="auto"/>
          <w:szCs w:val="24"/>
          <w:highlight w:val="none"/>
          <w:bdr w:val="single" w:color="auto" w:sz="4" w:space="0"/>
        </w:rPr>
      </w:pPr>
      <w:r>
        <w:rPr>
          <w:rFonts w:hint="eastAsia" w:ascii="宋体" w:hAnsi="宋体" w:eastAsia="宋体" w:cs="宋体"/>
          <w:color w:val="auto"/>
          <w:szCs w:val="24"/>
          <w:highlight w:val="none"/>
        </w:rPr>
        <w:t>5.1 投标文件递交截止时间为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日</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时</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分。</w:t>
      </w:r>
    </w:p>
    <w:p w14:paraId="476F4819">
      <w:pPr>
        <w:spacing w:after="156" w:afterLines="50" w:line="460" w:lineRule="exact"/>
        <w:ind w:firstLine="437"/>
        <w:rPr>
          <w:rFonts w:hint="eastAsia" w:ascii="宋体" w:hAnsi="宋体" w:eastAsia="宋体" w:cs="宋体"/>
          <w:color w:val="auto"/>
          <w:szCs w:val="24"/>
          <w:highlight w:val="none"/>
        </w:rPr>
      </w:pPr>
      <w:r>
        <w:rPr>
          <w:rFonts w:hint="eastAsia" w:ascii="宋体" w:hAnsi="宋体" w:eastAsia="宋体" w:cs="宋体"/>
          <w:color w:val="auto"/>
          <w:szCs w:val="24"/>
          <w:highlight w:val="none"/>
        </w:rPr>
        <w:t>5.2 投标人应当在投标截止时间前，通过互联网使用CA数字证书登录“电子交易平台”，选择所投标段（包）将</w:t>
      </w:r>
      <w:r>
        <w:rPr>
          <w:rFonts w:hint="eastAsia" w:ascii="宋体" w:hAnsi="宋体" w:eastAsia="宋体" w:cs="宋体"/>
          <w:b/>
          <w:color w:val="auto"/>
          <w:szCs w:val="24"/>
          <w:highlight w:val="none"/>
        </w:rPr>
        <w:t>加密的电子投标文件</w:t>
      </w:r>
      <w:r>
        <w:rPr>
          <w:rFonts w:hint="eastAsia" w:ascii="宋体" w:hAnsi="宋体" w:eastAsia="宋体" w:cs="宋体"/>
          <w:color w:val="auto"/>
          <w:szCs w:val="24"/>
          <w:highlight w:val="none"/>
        </w:rPr>
        <w:t>上传。投标人完成投标文件上传后，“电子交易平台”即时向投标人发出电子签收凭证，递交时间以电子签收凭证载明的传输完成时间为准。逾期未完成上传或未加密的电子投标文件，招标人（“电子交易平台”）将拒收。</w:t>
      </w:r>
    </w:p>
    <w:p w14:paraId="6376E727">
      <w:pPr>
        <w:keepNext/>
        <w:keepLines/>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17" w:name="_Toc495388663"/>
      <w:bookmarkStart w:id="18" w:name="_Toc7710"/>
      <w:bookmarkStart w:id="19" w:name="_Toc468288579"/>
      <w:r>
        <w:rPr>
          <w:rFonts w:hint="eastAsia" w:ascii="宋体" w:hAnsi="宋体" w:eastAsia="宋体" w:cs="宋体"/>
          <w:bCs/>
          <w:color w:val="auto"/>
          <w:kern w:val="0"/>
          <w:sz w:val="28"/>
          <w:szCs w:val="32"/>
          <w:highlight w:val="none"/>
          <w:lang w:val="zh-CN" w:eastAsia="zh-CN"/>
        </w:rPr>
        <w:t>6．发布公告的媒介</w:t>
      </w:r>
      <w:bookmarkEnd w:id="17"/>
      <w:bookmarkEnd w:id="18"/>
      <w:bookmarkEnd w:id="19"/>
    </w:p>
    <w:p w14:paraId="14DF6751">
      <w:pPr>
        <w:spacing w:line="440" w:lineRule="exact"/>
        <w:ind w:firstLine="437"/>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本次招标公告同时在</w:t>
      </w:r>
      <w:r>
        <w:rPr>
          <w:rFonts w:hint="eastAsia" w:ascii="宋体" w:hAnsi="宋体" w:eastAsia="宋体" w:cs="宋体"/>
          <w:color w:val="auto"/>
          <w:szCs w:val="24"/>
          <w:highlight w:val="none"/>
          <w:u w:val="single"/>
        </w:rPr>
        <w:t>湖北省公共资源交易电子服务系统（网址：www.hbggzyfwpt.cn）</w:t>
      </w:r>
      <w:r>
        <w:rPr>
          <w:rFonts w:hint="eastAsia" w:ascii="宋体" w:hAnsi="宋体" w:eastAsia="宋体" w:cs="宋体"/>
          <w:color w:val="auto"/>
          <w:szCs w:val="24"/>
          <w:highlight w:val="none"/>
        </w:rPr>
        <w:t xml:space="preserve">        (发布公告的媒介名称)上发布。</w:t>
      </w:r>
    </w:p>
    <w:p w14:paraId="68D2FA7C">
      <w:pPr>
        <w:wordWrap w:val="0"/>
        <w:spacing w:line="440" w:lineRule="exact"/>
        <w:jc w:val="left"/>
        <w:rPr>
          <w:rFonts w:hint="eastAsia" w:ascii="宋体" w:hAnsi="宋体" w:eastAsia="宋体" w:cs="宋体"/>
          <w:color w:val="auto"/>
          <w:highlight w:val="none"/>
        </w:rPr>
      </w:pPr>
      <w:r>
        <w:rPr>
          <w:rFonts w:hint="eastAsia" w:ascii="宋体" w:hAnsi="宋体" w:eastAsia="宋体" w:cs="宋体"/>
          <w:bCs/>
          <w:color w:val="auto"/>
          <w:kern w:val="0"/>
          <w:sz w:val="28"/>
          <w:szCs w:val="32"/>
          <w:highlight w:val="none"/>
          <w:lang w:val="zh-CN" w:eastAsia="zh-CN"/>
        </w:rPr>
        <w:t>7．</w:t>
      </w:r>
      <w:r>
        <w:rPr>
          <w:rFonts w:hint="eastAsia" w:ascii="宋体" w:hAnsi="宋体" w:eastAsia="宋体" w:cs="宋体"/>
          <w:bCs/>
          <w:color w:val="auto"/>
          <w:kern w:val="0"/>
          <w:sz w:val="28"/>
          <w:szCs w:val="32"/>
          <w:highlight w:val="none"/>
          <w:lang w:val="zh-CN"/>
        </w:rPr>
        <w:t>其它：</w:t>
      </w:r>
      <w:r>
        <w:rPr>
          <w:rFonts w:hint="eastAsia" w:ascii="宋体" w:hAnsi="宋体" w:eastAsia="宋体" w:cs="宋体"/>
          <w:color w:val="auto"/>
          <w:kern w:val="0"/>
          <w:szCs w:val="21"/>
          <w:highlight w:val="none"/>
          <w:u w:val="single"/>
          <w:lang w:val="zh-CN" w:eastAsia="zh-CN"/>
        </w:rPr>
        <w:t>本项目不属于依法必须进行招标的项目，也不属于政府采购项目，为招标人自行招标的项目。</w:t>
      </w:r>
    </w:p>
    <w:p w14:paraId="2B8A6B69">
      <w:pPr>
        <w:keepNext/>
        <w:keepLines/>
        <w:wordWrap w:val="0"/>
        <w:spacing w:line="440" w:lineRule="exact"/>
        <w:outlineLvl w:val="1"/>
        <w:rPr>
          <w:rFonts w:hint="eastAsia" w:ascii="宋体" w:hAnsi="宋体" w:eastAsia="宋体" w:cs="宋体"/>
          <w:bCs/>
          <w:color w:val="auto"/>
          <w:kern w:val="0"/>
          <w:sz w:val="28"/>
          <w:szCs w:val="32"/>
          <w:highlight w:val="none"/>
          <w:lang w:val="zh-CN" w:eastAsia="zh-CN"/>
        </w:rPr>
      </w:pPr>
      <w:bookmarkStart w:id="20" w:name="_Toc495388664"/>
      <w:bookmarkStart w:id="21" w:name="_Toc468288580"/>
      <w:bookmarkStart w:id="22" w:name="_Toc29528"/>
      <w:r>
        <w:rPr>
          <w:rFonts w:hint="eastAsia" w:ascii="宋体" w:hAnsi="宋体" w:eastAsia="宋体" w:cs="宋体"/>
          <w:bCs/>
          <w:color w:val="auto"/>
          <w:kern w:val="0"/>
          <w:sz w:val="28"/>
          <w:szCs w:val="32"/>
          <w:highlight w:val="none"/>
          <w:lang w:val="zh-CN"/>
        </w:rPr>
        <w:t>8</w:t>
      </w:r>
      <w:r>
        <w:rPr>
          <w:rFonts w:hint="eastAsia" w:ascii="宋体" w:hAnsi="宋体" w:eastAsia="宋体" w:cs="宋体"/>
          <w:bCs/>
          <w:color w:val="auto"/>
          <w:kern w:val="0"/>
          <w:sz w:val="28"/>
          <w:szCs w:val="32"/>
          <w:highlight w:val="none"/>
          <w:lang w:val="zh-CN" w:eastAsia="zh-CN"/>
        </w:rPr>
        <w:t>．联系方式</w:t>
      </w:r>
      <w:bookmarkEnd w:id="20"/>
      <w:bookmarkEnd w:id="21"/>
      <w:bookmarkEnd w:id="22"/>
    </w:p>
    <w:tbl>
      <w:tblPr>
        <w:tblStyle w:val="15"/>
        <w:tblW w:w="9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9"/>
        <w:gridCol w:w="4800"/>
      </w:tblGrid>
      <w:tr w14:paraId="27C0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559" w:type="dxa"/>
            <w:tcBorders>
              <w:top w:val="nil"/>
              <w:left w:val="nil"/>
              <w:bottom w:val="nil"/>
              <w:right w:val="nil"/>
            </w:tcBorders>
            <w:vAlign w:val="center"/>
          </w:tcPr>
          <w:p w14:paraId="2CFBD909">
            <w:pPr>
              <w:keepNext w:val="0"/>
              <w:keepLines w:val="0"/>
              <w:pageBreakBefore w:val="0"/>
              <w:widowControl w:val="0"/>
              <w:kinsoku/>
              <w:wordWrap/>
              <w:overflowPunct/>
              <w:topLinePunct w:val="0"/>
              <w:autoSpaceDE/>
              <w:autoSpaceDN/>
              <w:bidi w:val="0"/>
              <w:adjustRightInd/>
              <w:snapToGrid/>
              <w:spacing w:line="240" w:lineRule="auto"/>
              <w:ind w:left="1008" w:hanging="1008" w:hangingChars="48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招 标 人：</w:t>
            </w:r>
            <w:r>
              <w:rPr>
                <w:rFonts w:hint="eastAsia" w:ascii="宋体" w:hAnsi="宋体" w:eastAsia="宋体" w:cs="宋体"/>
                <w:color w:val="auto"/>
                <w:szCs w:val="24"/>
                <w:highlight w:val="none"/>
                <w:u w:val="single"/>
              </w:rPr>
              <w:t>中国工商银行股份有限公司湖北省分行</w:t>
            </w:r>
          </w:p>
        </w:tc>
        <w:tc>
          <w:tcPr>
            <w:tcW w:w="4800" w:type="dxa"/>
            <w:tcBorders>
              <w:top w:val="nil"/>
              <w:left w:val="nil"/>
              <w:bottom w:val="nil"/>
              <w:right w:val="nil"/>
            </w:tcBorders>
            <w:vAlign w:val="center"/>
          </w:tcPr>
          <w:p w14:paraId="05C39295">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招标代理机构：</w:t>
            </w:r>
            <w:r>
              <w:rPr>
                <w:rFonts w:hint="eastAsia" w:ascii="宋体" w:hAnsi="宋体" w:eastAsia="宋体" w:cs="宋体"/>
                <w:color w:val="auto"/>
                <w:szCs w:val="24"/>
                <w:highlight w:val="none"/>
                <w:u w:val="single"/>
              </w:rPr>
              <w:t>北京北卫旭博工程咨询有限公司</w:t>
            </w:r>
          </w:p>
        </w:tc>
      </w:tr>
      <w:tr w14:paraId="5406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559" w:type="dxa"/>
            <w:tcBorders>
              <w:top w:val="nil"/>
              <w:left w:val="nil"/>
              <w:bottom w:val="nil"/>
              <w:right w:val="nil"/>
            </w:tcBorders>
            <w:vAlign w:val="center"/>
          </w:tcPr>
          <w:p w14:paraId="6E5B08A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地    址：</w:t>
            </w:r>
            <w:r>
              <w:rPr>
                <w:rFonts w:hint="eastAsia" w:ascii="宋体" w:hAnsi="宋体" w:eastAsia="宋体" w:cs="宋体"/>
                <w:color w:val="auto"/>
                <w:szCs w:val="24"/>
                <w:highlight w:val="none"/>
                <w:u w:val="single"/>
              </w:rPr>
              <w:t>武汉市武昌区中北路31号</w:t>
            </w:r>
          </w:p>
        </w:tc>
        <w:tc>
          <w:tcPr>
            <w:tcW w:w="4800" w:type="dxa"/>
            <w:tcBorders>
              <w:top w:val="nil"/>
              <w:left w:val="nil"/>
              <w:bottom w:val="nil"/>
              <w:right w:val="nil"/>
            </w:tcBorders>
            <w:vAlign w:val="center"/>
          </w:tcPr>
          <w:p w14:paraId="7E473867">
            <w:pPr>
              <w:keepNext w:val="0"/>
              <w:keepLines w:val="0"/>
              <w:pageBreakBefore w:val="0"/>
              <w:widowControl w:val="0"/>
              <w:kinsoku/>
              <w:wordWrap/>
              <w:overflowPunct/>
              <w:topLinePunct w:val="0"/>
              <w:autoSpaceDE/>
              <w:autoSpaceDN/>
              <w:bidi w:val="0"/>
              <w:adjustRightInd/>
              <w:snapToGrid/>
              <w:spacing w:line="240" w:lineRule="auto"/>
              <w:ind w:left="1050" w:hanging="1050" w:hangingChars="50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地    址：</w:t>
            </w:r>
            <w:r>
              <w:rPr>
                <w:rFonts w:hint="eastAsia" w:ascii="宋体" w:hAnsi="宋体" w:eastAsia="宋体" w:cs="宋体"/>
                <w:color w:val="auto"/>
                <w:szCs w:val="24"/>
                <w:highlight w:val="none"/>
                <w:u w:val="single"/>
              </w:rPr>
              <w:t>武汉市武昌区中北路龙源国际广场B座901室</w:t>
            </w:r>
          </w:p>
        </w:tc>
      </w:tr>
      <w:tr w14:paraId="10FA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65F2CA93">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邮    编：</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77FF0E2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邮    编：</w:t>
            </w:r>
            <w:r>
              <w:rPr>
                <w:rFonts w:hint="eastAsia" w:ascii="宋体" w:hAnsi="宋体" w:eastAsia="宋体" w:cs="宋体"/>
                <w:color w:val="auto"/>
                <w:szCs w:val="24"/>
                <w:highlight w:val="none"/>
                <w:u w:val="single"/>
              </w:rPr>
              <w:t xml:space="preserve">                         </w:t>
            </w:r>
          </w:p>
        </w:tc>
      </w:tr>
      <w:tr w14:paraId="4553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559" w:type="dxa"/>
            <w:tcBorders>
              <w:top w:val="nil"/>
              <w:left w:val="nil"/>
              <w:bottom w:val="nil"/>
              <w:right w:val="nil"/>
            </w:tcBorders>
            <w:vAlign w:val="center"/>
          </w:tcPr>
          <w:p w14:paraId="7169B863">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lang w:eastAsia="zh-CN"/>
              </w:rPr>
            </w:pPr>
            <w:r>
              <w:rPr>
                <w:rFonts w:hint="eastAsia" w:ascii="宋体" w:hAnsi="宋体" w:eastAsia="宋体" w:cs="宋体"/>
                <w:color w:val="auto"/>
                <w:szCs w:val="24"/>
                <w:highlight w:val="none"/>
              </w:rPr>
              <w:t>联 系 人：</w:t>
            </w:r>
            <w:r>
              <w:rPr>
                <w:rFonts w:hint="eastAsia" w:ascii="宋体" w:hAnsi="宋体" w:cs="宋体"/>
                <w:color w:val="auto"/>
                <w:szCs w:val="24"/>
                <w:highlight w:val="none"/>
                <w:u w:val="single"/>
                <w:lang w:eastAsia="zh-CN"/>
              </w:rPr>
              <w:t>代文</w:t>
            </w:r>
          </w:p>
        </w:tc>
        <w:tc>
          <w:tcPr>
            <w:tcW w:w="4800" w:type="dxa"/>
            <w:tcBorders>
              <w:top w:val="nil"/>
              <w:left w:val="nil"/>
              <w:bottom w:val="nil"/>
              <w:right w:val="nil"/>
            </w:tcBorders>
            <w:vAlign w:val="center"/>
          </w:tcPr>
          <w:p w14:paraId="5689ABEE">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联 系 人：</w:t>
            </w:r>
            <w:r>
              <w:rPr>
                <w:rFonts w:hint="eastAsia" w:ascii="宋体" w:hAnsi="宋体" w:eastAsia="宋体" w:cs="宋体"/>
                <w:color w:val="auto"/>
                <w:szCs w:val="24"/>
                <w:highlight w:val="none"/>
                <w:u w:val="single"/>
              </w:rPr>
              <w:t>罗旭影、段正陶、张露、李晨、宋丹雨</w:t>
            </w:r>
          </w:p>
        </w:tc>
      </w:tr>
      <w:tr w14:paraId="68E1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1EC2B8E3">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电    话：</w:t>
            </w:r>
            <w:r>
              <w:rPr>
                <w:rFonts w:hint="eastAsia" w:ascii="宋体" w:hAnsi="宋体" w:eastAsia="宋体" w:cs="宋体"/>
                <w:color w:val="auto"/>
                <w:szCs w:val="24"/>
                <w:highlight w:val="none"/>
                <w:u w:val="single"/>
              </w:rPr>
              <w:t>027-69908633</w:t>
            </w:r>
          </w:p>
        </w:tc>
        <w:tc>
          <w:tcPr>
            <w:tcW w:w="4800" w:type="dxa"/>
            <w:tcBorders>
              <w:top w:val="nil"/>
              <w:left w:val="nil"/>
              <w:bottom w:val="nil"/>
              <w:right w:val="nil"/>
            </w:tcBorders>
            <w:vAlign w:val="center"/>
          </w:tcPr>
          <w:p w14:paraId="6EF84B87">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电    话：</w:t>
            </w:r>
            <w:r>
              <w:rPr>
                <w:rFonts w:hint="eastAsia" w:ascii="宋体" w:hAnsi="宋体" w:eastAsia="宋体" w:cs="宋体"/>
                <w:color w:val="auto"/>
                <w:szCs w:val="24"/>
                <w:highlight w:val="none"/>
                <w:u w:val="single"/>
              </w:rPr>
              <w:t>027-87312626/15527298866</w:t>
            </w:r>
          </w:p>
        </w:tc>
      </w:tr>
      <w:tr w14:paraId="0805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5A85A1F5">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传    真：</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4249D49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传    真：</w:t>
            </w:r>
            <w:r>
              <w:rPr>
                <w:rFonts w:hint="eastAsia" w:ascii="宋体" w:hAnsi="宋体" w:eastAsia="宋体" w:cs="宋体"/>
                <w:color w:val="auto"/>
                <w:szCs w:val="24"/>
                <w:highlight w:val="none"/>
                <w:u w:val="single"/>
              </w:rPr>
              <w:t xml:space="preserve">                         </w:t>
            </w:r>
          </w:p>
        </w:tc>
      </w:tr>
      <w:tr w14:paraId="46EA1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10C8DAE6">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电子邮件：</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683FE92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电子邮件：</w:t>
            </w:r>
            <w:r>
              <w:rPr>
                <w:rFonts w:hint="eastAsia" w:ascii="宋体" w:hAnsi="宋体" w:eastAsia="宋体" w:cs="宋体"/>
                <w:color w:val="auto"/>
                <w:szCs w:val="24"/>
                <w:highlight w:val="none"/>
                <w:u w:val="single"/>
              </w:rPr>
              <w:t xml:space="preserve">                         </w:t>
            </w:r>
          </w:p>
        </w:tc>
      </w:tr>
      <w:tr w14:paraId="019FD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13851FE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网    址：</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0F1325BD">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网    址：</w:t>
            </w:r>
            <w:r>
              <w:rPr>
                <w:rFonts w:hint="eastAsia" w:ascii="宋体" w:hAnsi="宋体" w:eastAsia="宋体" w:cs="宋体"/>
                <w:color w:val="auto"/>
                <w:szCs w:val="24"/>
                <w:highlight w:val="none"/>
                <w:u w:val="single"/>
              </w:rPr>
              <w:t xml:space="preserve">                         </w:t>
            </w:r>
          </w:p>
        </w:tc>
      </w:tr>
      <w:tr w14:paraId="5A474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4559" w:type="dxa"/>
            <w:tcBorders>
              <w:top w:val="nil"/>
              <w:left w:val="nil"/>
              <w:bottom w:val="nil"/>
              <w:right w:val="nil"/>
            </w:tcBorders>
            <w:vAlign w:val="center"/>
          </w:tcPr>
          <w:p w14:paraId="6D7764C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开户银行：</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3F3CB27C">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开户银行：</w:t>
            </w:r>
            <w:r>
              <w:rPr>
                <w:rFonts w:hint="eastAsia" w:ascii="宋体" w:hAnsi="宋体" w:eastAsia="宋体" w:cs="宋体"/>
                <w:color w:val="auto"/>
                <w:szCs w:val="24"/>
                <w:highlight w:val="none"/>
                <w:u w:val="single"/>
              </w:rPr>
              <w:t xml:space="preserve">                         </w:t>
            </w:r>
          </w:p>
        </w:tc>
      </w:tr>
      <w:tr w14:paraId="4378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4559" w:type="dxa"/>
            <w:tcBorders>
              <w:top w:val="nil"/>
              <w:left w:val="nil"/>
              <w:bottom w:val="nil"/>
              <w:right w:val="nil"/>
            </w:tcBorders>
            <w:vAlign w:val="center"/>
          </w:tcPr>
          <w:p w14:paraId="0FB06E9D">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账    号：</w:t>
            </w:r>
            <w:r>
              <w:rPr>
                <w:rFonts w:hint="eastAsia" w:ascii="宋体" w:hAnsi="宋体" w:eastAsia="宋体" w:cs="宋体"/>
                <w:color w:val="auto"/>
                <w:szCs w:val="24"/>
                <w:highlight w:val="none"/>
                <w:u w:val="single"/>
              </w:rPr>
              <w:t xml:space="preserve">                         </w:t>
            </w:r>
          </w:p>
        </w:tc>
        <w:tc>
          <w:tcPr>
            <w:tcW w:w="4800" w:type="dxa"/>
            <w:tcBorders>
              <w:top w:val="nil"/>
              <w:left w:val="nil"/>
              <w:bottom w:val="nil"/>
              <w:right w:val="nil"/>
            </w:tcBorders>
            <w:vAlign w:val="center"/>
          </w:tcPr>
          <w:p w14:paraId="67C76F39">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账    号：</w:t>
            </w:r>
            <w:r>
              <w:rPr>
                <w:rFonts w:hint="eastAsia" w:ascii="宋体" w:hAnsi="宋体" w:eastAsia="宋体" w:cs="宋体"/>
                <w:color w:val="auto"/>
                <w:szCs w:val="24"/>
                <w:highlight w:val="none"/>
                <w:u w:val="single"/>
              </w:rPr>
              <w:t xml:space="preserve">                         </w:t>
            </w:r>
          </w:p>
        </w:tc>
      </w:tr>
    </w:tbl>
    <w:p w14:paraId="678E412D">
      <w:pPr>
        <w:wordWrap w:val="0"/>
        <w:spacing w:line="400" w:lineRule="exact"/>
        <w:ind w:firstLine="420" w:firstLineChars="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2026</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E99B76E">
      <w:pPr>
        <w:rPr>
          <w:rFonts w:hint="eastAsia" w:ascii="宋体" w:hAnsi="宋体" w:eastAsia="宋体" w:cs="宋体"/>
          <w:color w:val="auto"/>
          <w:sz w:val="32"/>
          <w:szCs w:val="20"/>
          <w:highlight w:val="none"/>
          <w:lang w:val="en-US" w:eastAsia="zh-CN"/>
        </w:rPr>
      </w:pPr>
      <w:bookmarkStart w:id="23" w:name="_Toc10793"/>
      <w:bookmarkStart w:id="24" w:name="_Toc15734"/>
      <w:bookmarkStart w:id="25" w:name="_Toc24780"/>
      <w:r>
        <w:rPr>
          <w:rFonts w:hint="eastAsia" w:ascii="宋体" w:hAnsi="宋体" w:eastAsia="宋体" w:cs="宋体"/>
          <w:color w:val="auto"/>
          <w:sz w:val="32"/>
          <w:szCs w:val="20"/>
          <w:highlight w:val="none"/>
          <w:lang w:val="en-US" w:eastAsia="zh-CN"/>
        </w:rPr>
        <w:br w:type="page"/>
      </w:r>
    </w:p>
    <w:p w14:paraId="6D449850">
      <w:pPr>
        <w:pStyle w:val="4"/>
        <w:spacing w:line="360" w:lineRule="auto"/>
        <w:jc w:val="center"/>
        <w:rPr>
          <w:rFonts w:hint="eastAsia" w:ascii="宋体" w:hAnsi="宋体" w:eastAsia="宋体" w:cs="宋体"/>
          <w:color w:val="auto"/>
          <w:sz w:val="32"/>
          <w:szCs w:val="20"/>
          <w:highlight w:val="none"/>
          <w:lang w:val="en-US" w:eastAsia="zh-CN"/>
        </w:rPr>
      </w:pPr>
      <w:bookmarkStart w:id="26" w:name="_Toc11098"/>
      <w:r>
        <w:rPr>
          <w:rFonts w:hint="eastAsia" w:ascii="宋体" w:hAnsi="宋体" w:eastAsia="宋体" w:cs="宋体"/>
          <w:color w:val="auto"/>
          <w:sz w:val="32"/>
          <w:szCs w:val="20"/>
          <w:highlight w:val="none"/>
          <w:lang w:val="en-US" w:eastAsia="zh-CN"/>
        </w:rPr>
        <w:t>第二章  投标人须知</w:t>
      </w:r>
      <w:bookmarkEnd w:id="23"/>
      <w:bookmarkEnd w:id="24"/>
      <w:bookmarkEnd w:id="25"/>
      <w:bookmarkEnd w:id="26"/>
    </w:p>
    <w:p w14:paraId="47E36FA2">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color w:val="auto"/>
          <w:sz w:val="28"/>
          <w:szCs w:val="28"/>
          <w:highlight w:val="none"/>
          <w:lang w:val="en-US" w:eastAsia="zh-CN"/>
        </w:rPr>
      </w:pPr>
      <w:bookmarkStart w:id="27" w:name="_Toc18611"/>
      <w:bookmarkStart w:id="28" w:name="_Toc29515"/>
      <w:bookmarkStart w:id="29" w:name="_Toc26140"/>
      <w:bookmarkStart w:id="30" w:name="_Toc11912"/>
      <w:r>
        <w:rPr>
          <w:rFonts w:hint="eastAsia" w:ascii="宋体" w:hAnsi="宋体" w:eastAsia="宋体" w:cs="宋体"/>
          <w:b/>
          <w:color w:val="auto"/>
          <w:sz w:val="28"/>
          <w:szCs w:val="28"/>
          <w:highlight w:val="none"/>
          <w:lang w:val="en-US" w:eastAsia="zh-CN"/>
        </w:rPr>
        <w:t>投标人须知前附表</w:t>
      </w:r>
      <w:bookmarkEnd w:id="27"/>
      <w:bookmarkEnd w:id="28"/>
      <w:bookmarkEnd w:id="29"/>
      <w:bookmarkEnd w:id="30"/>
    </w:p>
    <w:p w14:paraId="0A3CA9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投标人应仔细阅读本招标文件的第二章“投标人须知”，下面所列资料是对“投标人须知”的具体补充和说明。如有矛盾，应以本表为准。</w:t>
      </w:r>
    </w:p>
    <w:p w14:paraId="1B4CA3EC">
      <w:pPr>
        <w:pStyle w:val="5"/>
        <w:spacing w:before="120" w:after="120" w:line="360" w:lineRule="auto"/>
        <w:jc w:val="center"/>
        <w:textAlignment w:val="center"/>
        <w:outlineLvl w:val="9"/>
        <w:rPr>
          <w:rFonts w:hint="eastAsia" w:ascii="宋体" w:hAnsi="宋体" w:eastAsia="宋体" w:cs="宋体"/>
          <w:color w:val="auto"/>
          <w:sz w:val="28"/>
          <w:szCs w:val="28"/>
          <w:highlight w:val="none"/>
          <w:lang w:val="zh-CN"/>
        </w:rPr>
      </w:pPr>
      <w:bookmarkStart w:id="31" w:name="_Toc21316"/>
      <w:bookmarkStart w:id="32" w:name="_Toc25244"/>
      <w:bookmarkStart w:id="33" w:name="_Toc15059"/>
      <w:bookmarkStart w:id="34" w:name="_Toc30218"/>
      <w:bookmarkStart w:id="35" w:name="_Toc20944"/>
      <w:bookmarkStart w:id="36" w:name="_Toc90539538"/>
      <w:bookmarkStart w:id="37" w:name="_Toc879"/>
      <w:bookmarkStart w:id="38" w:name="_Toc25992"/>
      <w:bookmarkStart w:id="39" w:name="_Toc3546"/>
      <w:r>
        <w:rPr>
          <w:rFonts w:hint="eastAsia" w:ascii="宋体" w:hAnsi="宋体" w:eastAsia="宋体" w:cs="宋体"/>
          <w:color w:val="auto"/>
          <w:sz w:val="28"/>
          <w:szCs w:val="28"/>
          <w:highlight w:val="none"/>
        </w:rPr>
        <w:t>《投标人须知前附表》</w:t>
      </w:r>
      <w:bookmarkEnd w:id="31"/>
      <w:bookmarkEnd w:id="32"/>
      <w:bookmarkEnd w:id="33"/>
      <w:bookmarkEnd w:id="34"/>
      <w:bookmarkEnd w:id="35"/>
      <w:bookmarkEnd w:id="36"/>
      <w:bookmarkEnd w:id="37"/>
      <w:bookmarkEnd w:id="38"/>
      <w:bookmarkEnd w:id="39"/>
    </w:p>
    <w:tbl>
      <w:tblPr>
        <w:tblStyle w:val="14"/>
        <w:tblW w:w="995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937"/>
        <w:gridCol w:w="1935"/>
        <w:gridCol w:w="7078"/>
      </w:tblGrid>
      <w:tr w14:paraId="09F946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65" w:hRule="atLeast"/>
          <w:tblHeader/>
          <w:jc w:val="center"/>
        </w:trPr>
        <w:tc>
          <w:tcPr>
            <w:tcW w:w="937" w:type="dxa"/>
            <w:tcBorders>
              <w:bottom w:val="single" w:color="auto" w:sz="12" w:space="0"/>
            </w:tcBorders>
            <w:shd w:val="clear" w:color="auto" w:fill="F1F1F1"/>
            <w:noWrap w:val="0"/>
            <w:vAlign w:val="center"/>
          </w:tcPr>
          <w:p w14:paraId="5695A9F5">
            <w:pPr>
              <w:autoSpaceDE w:val="0"/>
              <w:autoSpaceDN w:val="0"/>
              <w:adjustRightInd w:val="0"/>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条款号</w:t>
            </w:r>
          </w:p>
        </w:tc>
        <w:tc>
          <w:tcPr>
            <w:tcW w:w="1935" w:type="dxa"/>
            <w:tcBorders>
              <w:bottom w:val="single" w:color="auto" w:sz="12" w:space="0"/>
            </w:tcBorders>
            <w:shd w:val="clear" w:color="auto" w:fill="F1F1F1"/>
            <w:noWrap w:val="0"/>
            <w:vAlign w:val="center"/>
          </w:tcPr>
          <w:p w14:paraId="3B7F78FD">
            <w:pPr>
              <w:autoSpaceDE w:val="0"/>
              <w:autoSpaceDN w:val="0"/>
              <w:adjustRightInd w:val="0"/>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7078" w:type="dxa"/>
            <w:tcBorders>
              <w:bottom w:val="single" w:color="auto" w:sz="12" w:space="0"/>
            </w:tcBorders>
            <w:shd w:val="clear" w:color="auto" w:fill="F1F1F1"/>
            <w:noWrap w:val="0"/>
            <w:vAlign w:val="center"/>
          </w:tcPr>
          <w:p w14:paraId="574D4839">
            <w:pPr>
              <w:autoSpaceDE w:val="0"/>
              <w:autoSpaceDN w:val="0"/>
              <w:adjustRightInd w:val="0"/>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内容</w:t>
            </w:r>
          </w:p>
        </w:tc>
      </w:tr>
      <w:tr w14:paraId="04343B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40" w:hRule="atLeast"/>
          <w:jc w:val="center"/>
        </w:trPr>
        <w:tc>
          <w:tcPr>
            <w:tcW w:w="937" w:type="dxa"/>
            <w:tcBorders>
              <w:top w:val="single" w:color="auto" w:sz="12" w:space="0"/>
            </w:tcBorders>
            <w:noWrap w:val="0"/>
            <w:vAlign w:val="center"/>
          </w:tcPr>
          <w:p w14:paraId="1915907E">
            <w:pPr>
              <w:pStyle w:val="13"/>
              <w:widowControl w:val="0"/>
              <w:autoSpaceDE w:val="0"/>
              <w:autoSpaceDN w:val="0"/>
              <w:adjustRightInd w:val="0"/>
              <w:spacing w:before="0" w:beforeAutospacing="0" w:after="0" w:afterAutospacing="0" w:line="24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2.1</w:t>
            </w:r>
          </w:p>
        </w:tc>
        <w:tc>
          <w:tcPr>
            <w:tcW w:w="1935" w:type="dxa"/>
            <w:tcBorders>
              <w:top w:val="single" w:color="auto" w:sz="12" w:space="0"/>
            </w:tcBorders>
            <w:noWrap w:val="0"/>
            <w:vAlign w:val="center"/>
          </w:tcPr>
          <w:p w14:paraId="1CAB84D0">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招标人</w:t>
            </w:r>
          </w:p>
        </w:tc>
        <w:tc>
          <w:tcPr>
            <w:tcW w:w="7078" w:type="dxa"/>
            <w:tcBorders>
              <w:top w:val="single" w:color="auto" w:sz="12" w:space="0"/>
            </w:tcBorders>
            <w:noWrap w:val="0"/>
            <w:vAlign w:val="center"/>
          </w:tcPr>
          <w:p w14:paraId="5BC55C7D">
            <w:pPr>
              <w:widowControl w:val="0"/>
              <w:wordWrap/>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中国工商银行股份有限公司湖北省分行</w:t>
            </w:r>
          </w:p>
        </w:tc>
      </w:tr>
      <w:tr w14:paraId="398CA0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40" w:hRule="atLeast"/>
          <w:jc w:val="center"/>
        </w:trPr>
        <w:tc>
          <w:tcPr>
            <w:tcW w:w="937" w:type="dxa"/>
            <w:noWrap w:val="0"/>
            <w:vAlign w:val="center"/>
          </w:tcPr>
          <w:p w14:paraId="23C52F11">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935" w:type="dxa"/>
            <w:noWrap w:val="0"/>
            <w:vAlign w:val="center"/>
          </w:tcPr>
          <w:p w14:paraId="0FA0D417">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招标代理机构</w:t>
            </w:r>
          </w:p>
        </w:tc>
        <w:tc>
          <w:tcPr>
            <w:tcW w:w="7078" w:type="dxa"/>
            <w:noWrap w:val="0"/>
            <w:vAlign w:val="center"/>
          </w:tcPr>
          <w:p w14:paraId="0D1667DA">
            <w:pPr>
              <w:autoSpaceDE w:val="0"/>
              <w:autoSpaceDN w:val="0"/>
              <w:adjustRightInd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北京北卫旭博</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咨询</w:t>
            </w:r>
            <w:r>
              <w:rPr>
                <w:rFonts w:hint="eastAsia" w:ascii="宋体" w:hAnsi="宋体" w:eastAsia="宋体" w:cs="宋体"/>
                <w:color w:val="auto"/>
                <w:sz w:val="24"/>
                <w:szCs w:val="24"/>
                <w:highlight w:val="none"/>
                <w:lang w:val="zh-CN"/>
              </w:rPr>
              <w:t>有限公司</w:t>
            </w:r>
          </w:p>
        </w:tc>
      </w:tr>
      <w:tr w14:paraId="799386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40" w:hRule="atLeast"/>
          <w:jc w:val="center"/>
        </w:trPr>
        <w:tc>
          <w:tcPr>
            <w:tcW w:w="937" w:type="dxa"/>
            <w:noWrap w:val="0"/>
            <w:vAlign w:val="center"/>
          </w:tcPr>
          <w:p w14:paraId="77FEE46E">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935" w:type="dxa"/>
            <w:noWrap w:val="0"/>
            <w:vAlign w:val="center"/>
          </w:tcPr>
          <w:p w14:paraId="0A9CCB51">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合格的投标人</w:t>
            </w:r>
          </w:p>
        </w:tc>
        <w:tc>
          <w:tcPr>
            <w:tcW w:w="7078" w:type="dxa"/>
            <w:noWrap w:val="0"/>
            <w:vAlign w:val="center"/>
          </w:tcPr>
          <w:p w14:paraId="39A6FD60">
            <w:pPr>
              <w:pStyle w:val="13"/>
              <w:widowControl w:val="0"/>
              <w:autoSpaceDE w:val="0"/>
              <w:autoSpaceDN w:val="0"/>
              <w:adjustRightInd w:val="0"/>
              <w:spacing w:before="0" w:beforeAutospacing="0" w:after="0" w:afterAutospacing="0" w:line="24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kern w:val="2"/>
                <w:sz w:val="24"/>
                <w:szCs w:val="24"/>
                <w:highlight w:val="none"/>
                <w:lang w:val="zh-CN" w:eastAsia="zh-CN" w:bidi="ar-SA"/>
              </w:rPr>
              <w:t>详见第一章第</w:t>
            </w:r>
            <w:r>
              <w:rPr>
                <w:rFonts w:hint="eastAsia" w:ascii="宋体" w:hAnsi="宋体" w:eastAsia="宋体" w:cs="宋体"/>
                <w:color w:val="auto"/>
                <w:kern w:val="2"/>
                <w:sz w:val="24"/>
                <w:szCs w:val="24"/>
                <w:highlight w:val="none"/>
                <w:lang w:val="en-US" w:eastAsia="zh-CN" w:bidi="ar-SA"/>
              </w:rPr>
              <w:t>三</w:t>
            </w:r>
            <w:r>
              <w:rPr>
                <w:rFonts w:hint="eastAsia" w:ascii="宋体" w:hAnsi="宋体" w:eastAsia="宋体" w:cs="宋体"/>
                <w:color w:val="auto"/>
                <w:kern w:val="2"/>
                <w:sz w:val="24"/>
                <w:szCs w:val="24"/>
                <w:highlight w:val="none"/>
                <w:lang w:val="zh-CN" w:eastAsia="zh-CN" w:bidi="ar-SA"/>
              </w:rPr>
              <w:t>款、</w:t>
            </w:r>
            <w:r>
              <w:rPr>
                <w:rFonts w:hint="eastAsia" w:ascii="宋体" w:hAnsi="宋体" w:eastAsia="宋体" w:cs="宋体"/>
                <w:color w:val="auto"/>
                <w:kern w:val="2"/>
                <w:sz w:val="24"/>
                <w:szCs w:val="24"/>
                <w:highlight w:val="none"/>
                <w:lang w:val="en-US" w:eastAsia="zh-CN" w:bidi="ar-SA"/>
              </w:rPr>
              <w:t>第四款和第五款</w:t>
            </w:r>
            <w:r>
              <w:rPr>
                <w:rFonts w:hint="eastAsia" w:ascii="宋体" w:hAnsi="宋体" w:eastAsia="宋体" w:cs="宋体"/>
                <w:color w:val="auto"/>
                <w:kern w:val="2"/>
                <w:sz w:val="24"/>
                <w:szCs w:val="24"/>
                <w:highlight w:val="none"/>
                <w:lang w:val="zh-CN" w:eastAsia="zh-CN" w:bidi="ar-SA"/>
              </w:rPr>
              <w:t>相关要求</w:t>
            </w:r>
          </w:p>
        </w:tc>
      </w:tr>
      <w:tr w14:paraId="24543B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665E8DDB">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p>
        </w:tc>
        <w:tc>
          <w:tcPr>
            <w:tcW w:w="1935" w:type="dxa"/>
            <w:noWrap w:val="0"/>
            <w:vAlign w:val="center"/>
          </w:tcPr>
          <w:p w14:paraId="2BACEEC9">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招标代理服务费</w:t>
            </w:r>
          </w:p>
        </w:tc>
        <w:tc>
          <w:tcPr>
            <w:tcW w:w="7078" w:type="dxa"/>
            <w:noWrap w:val="0"/>
            <w:vAlign w:val="center"/>
          </w:tcPr>
          <w:p w14:paraId="75C52AC5">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招标代理服务费:</w:t>
            </w:r>
          </w:p>
          <w:p w14:paraId="1F8E0EA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根</w:t>
            </w:r>
            <w:r>
              <w:rPr>
                <w:rFonts w:hint="eastAsia" w:ascii="宋体" w:hAnsi="宋体" w:eastAsia="宋体" w:cs="宋体"/>
                <w:color w:val="auto"/>
                <w:spacing w:val="9"/>
                <w:sz w:val="24"/>
                <w:szCs w:val="24"/>
                <w:highlight w:val="none"/>
              </w:rPr>
              <w:t>据</w:t>
            </w:r>
            <w:r>
              <w:rPr>
                <w:rFonts w:hint="eastAsia" w:ascii="宋体" w:hAnsi="宋体" w:eastAsia="宋体" w:cs="宋体"/>
                <w:color w:val="auto"/>
                <w:spacing w:val="9"/>
                <w:sz w:val="24"/>
                <w:szCs w:val="24"/>
                <w:highlight w:val="none"/>
                <w:lang w:eastAsia="zh-CN"/>
              </w:rPr>
              <w:t>招标</w:t>
            </w:r>
            <w:r>
              <w:rPr>
                <w:rFonts w:hint="eastAsia" w:ascii="宋体" w:hAnsi="宋体" w:eastAsia="宋体" w:cs="宋体"/>
                <w:color w:val="auto"/>
                <w:spacing w:val="9"/>
                <w:sz w:val="24"/>
                <w:szCs w:val="24"/>
                <w:highlight w:val="none"/>
              </w:rPr>
              <w:t>人和</w:t>
            </w:r>
            <w:r>
              <w:rPr>
                <w:rFonts w:hint="eastAsia" w:ascii="宋体" w:hAnsi="宋体" w:eastAsia="宋体" w:cs="宋体"/>
                <w:color w:val="auto"/>
                <w:spacing w:val="9"/>
                <w:sz w:val="24"/>
                <w:szCs w:val="24"/>
                <w:highlight w:val="none"/>
                <w:lang w:eastAsia="zh-CN"/>
              </w:rPr>
              <w:t>招标</w:t>
            </w:r>
            <w:r>
              <w:rPr>
                <w:rFonts w:hint="eastAsia" w:ascii="宋体" w:hAnsi="宋体" w:eastAsia="宋体" w:cs="宋体"/>
                <w:color w:val="auto"/>
                <w:spacing w:val="9"/>
                <w:sz w:val="24"/>
                <w:szCs w:val="24"/>
                <w:highlight w:val="none"/>
              </w:rPr>
              <w:t>代理机构签署的委托代理协议书约定：</w:t>
            </w:r>
          </w:p>
          <w:p w14:paraId="67C53AF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6"/>
                <w:position w:val="4"/>
                <w:sz w:val="24"/>
                <w:szCs w:val="24"/>
                <w:highlight w:val="none"/>
                <w:lang w:eastAsia="zh-CN"/>
              </w:rPr>
              <w:t>（</w:t>
            </w:r>
            <w:r>
              <w:rPr>
                <w:rFonts w:hint="eastAsia" w:ascii="宋体" w:hAnsi="宋体" w:eastAsia="宋体" w:cs="宋体"/>
                <w:color w:val="auto"/>
                <w:spacing w:val="16"/>
                <w:position w:val="4"/>
                <w:sz w:val="24"/>
                <w:szCs w:val="24"/>
                <w:highlight w:val="none"/>
              </w:rPr>
              <w:t>1</w:t>
            </w:r>
            <w:r>
              <w:rPr>
                <w:rFonts w:hint="eastAsia" w:ascii="宋体" w:hAnsi="宋体" w:eastAsia="宋体" w:cs="宋体"/>
                <w:color w:val="auto"/>
                <w:spacing w:val="16"/>
                <w:position w:val="4"/>
                <w:sz w:val="24"/>
                <w:szCs w:val="24"/>
                <w:highlight w:val="none"/>
                <w:lang w:eastAsia="zh-CN"/>
              </w:rPr>
              <w:t>）</w:t>
            </w:r>
            <w:r>
              <w:rPr>
                <w:rFonts w:hint="eastAsia" w:ascii="宋体" w:hAnsi="宋体" w:eastAsia="宋体" w:cs="宋体"/>
                <w:color w:val="auto"/>
                <w:spacing w:val="8"/>
                <w:position w:val="4"/>
                <w:sz w:val="24"/>
                <w:szCs w:val="24"/>
                <w:highlight w:val="none"/>
                <w:lang w:eastAsia="zh-CN"/>
              </w:rPr>
              <w:t>招标</w:t>
            </w:r>
            <w:r>
              <w:rPr>
                <w:rFonts w:hint="eastAsia" w:ascii="宋体" w:hAnsi="宋体" w:eastAsia="宋体" w:cs="宋体"/>
                <w:color w:val="auto"/>
                <w:spacing w:val="8"/>
                <w:position w:val="4"/>
                <w:sz w:val="24"/>
                <w:szCs w:val="24"/>
                <w:highlight w:val="none"/>
              </w:rPr>
              <w:t>代理服务费由</w:t>
            </w:r>
            <w:r>
              <w:rPr>
                <w:rFonts w:hint="eastAsia" w:ascii="宋体" w:hAnsi="宋体" w:eastAsia="宋体" w:cs="宋体"/>
                <w:color w:val="auto"/>
                <w:spacing w:val="8"/>
                <w:position w:val="4"/>
                <w:sz w:val="24"/>
                <w:szCs w:val="24"/>
                <w:highlight w:val="none"/>
                <w:lang w:eastAsia="zh-CN"/>
              </w:rPr>
              <w:t>☑中标投标人</w:t>
            </w:r>
            <w:r>
              <w:rPr>
                <w:rFonts w:hint="eastAsia" w:ascii="宋体" w:hAnsi="宋体" w:eastAsia="宋体" w:cs="宋体"/>
                <w:color w:val="auto"/>
                <w:spacing w:val="8"/>
                <w:position w:val="4"/>
                <w:sz w:val="24"/>
                <w:szCs w:val="24"/>
                <w:highlight w:val="none"/>
              </w:rPr>
              <w:t xml:space="preserve">支付  </w:t>
            </w:r>
            <w:r>
              <w:rPr>
                <w:rFonts w:hint="eastAsia" w:ascii="宋体" w:hAnsi="宋体" w:eastAsia="宋体" w:cs="宋体"/>
                <w:color w:val="auto"/>
                <w:spacing w:val="8"/>
                <w:position w:val="4"/>
                <w:sz w:val="24"/>
                <w:szCs w:val="24"/>
                <w:highlight w:val="none"/>
                <w:lang w:eastAsia="zh-CN"/>
              </w:rPr>
              <w:t>□</w:t>
            </w:r>
            <w:r>
              <w:rPr>
                <w:rFonts w:hint="eastAsia" w:ascii="宋体" w:hAnsi="宋体" w:eastAsia="宋体" w:cs="宋体"/>
                <w:color w:val="auto"/>
                <w:spacing w:val="8"/>
                <w:position w:val="4"/>
                <w:sz w:val="24"/>
                <w:szCs w:val="24"/>
                <w:highlight w:val="none"/>
              </w:rPr>
              <w:t>由</w:t>
            </w:r>
            <w:r>
              <w:rPr>
                <w:rFonts w:hint="eastAsia" w:ascii="宋体" w:hAnsi="宋体" w:eastAsia="宋体" w:cs="宋体"/>
                <w:color w:val="auto"/>
                <w:spacing w:val="8"/>
                <w:position w:val="4"/>
                <w:sz w:val="24"/>
                <w:szCs w:val="24"/>
                <w:highlight w:val="none"/>
                <w:lang w:eastAsia="zh-CN"/>
              </w:rPr>
              <w:t>招标</w:t>
            </w:r>
            <w:r>
              <w:rPr>
                <w:rFonts w:hint="eastAsia" w:ascii="宋体" w:hAnsi="宋体" w:eastAsia="宋体" w:cs="宋体"/>
                <w:color w:val="auto"/>
                <w:spacing w:val="8"/>
                <w:position w:val="4"/>
                <w:sz w:val="24"/>
                <w:szCs w:val="24"/>
                <w:highlight w:val="none"/>
              </w:rPr>
              <w:t>人支付</w:t>
            </w:r>
          </w:p>
          <w:p w14:paraId="3D26141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16"/>
                <w:position w:val="4"/>
                <w:sz w:val="24"/>
                <w:szCs w:val="24"/>
                <w:highlight w:val="none"/>
                <w:lang w:eastAsia="zh-CN"/>
              </w:rPr>
            </w:pPr>
            <w:r>
              <w:rPr>
                <w:rFonts w:hint="eastAsia" w:ascii="宋体" w:hAnsi="宋体" w:eastAsia="宋体" w:cs="宋体"/>
                <w:color w:val="auto"/>
                <w:spacing w:val="16"/>
                <w:position w:val="4"/>
                <w:sz w:val="24"/>
                <w:szCs w:val="24"/>
                <w:highlight w:val="none"/>
                <w:lang w:eastAsia="zh-CN"/>
              </w:rPr>
              <w:t>（2）支付</w:t>
            </w:r>
            <w:r>
              <w:rPr>
                <w:rFonts w:hint="eastAsia" w:ascii="宋体" w:hAnsi="宋体" w:eastAsia="宋体" w:cs="宋体"/>
                <w:color w:val="auto"/>
                <w:spacing w:val="16"/>
                <w:position w:val="4"/>
                <w:sz w:val="24"/>
                <w:szCs w:val="24"/>
                <w:highlight w:val="none"/>
                <w:lang w:val="en-US" w:eastAsia="zh-CN"/>
              </w:rPr>
              <w:t>金额</w:t>
            </w:r>
            <w:r>
              <w:rPr>
                <w:rFonts w:hint="eastAsia" w:ascii="宋体" w:hAnsi="宋体" w:eastAsia="宋体" w:cs="宋体"/>
                <w:color w:val="auto"/>
                <w:spacing w:val="16"/>
                <w:position w:val="4"/>
                <w:sz w:val="24"/>
                <w:szCs w:val="24"/>
                <w:highlight w:val="none"/>
                <w:lang w:eastAsia="zh-CN"/>
              </w:rPr>
              <w:t>：</w:t>
            </w:r>
            <w:r>
              <w:rPr>
                <w:rFonts w:hint="eastAsia" w:ascii="宋体" w:hAnsi="宋体" w:eastAsia="宋体" w:cs="宋体"/>
                <w:color w:val="auto"/>
                <w:spacing w:val="16"/>
                <w:position w:val="4"/>
                <w:sz w:val="24"/>
                <w:highlight w:val="none"/>
              </w:rPr>
              <w:t>参照国家发展计划委员会计价格[2002]1980号和发改办价格[2003]857号文件规定标准打</w:t>
            </w:r>
            <w:r>
              <w:rPr>
                <w:rFonts w:hint="eastAsia" w:ascii="宋体" w:hAnsi="宋体" w:eastAsia="宋体" w:cs="宋体"/>
                <w:color w:val="auto"/>
                <w:spacing w:val="16"/>
                <w:position w:val="4"/>
                <w:sz w:val="24"/>
                <w:highlight w:val="none"/>
                <w:lang w:eastAsia="zh-CN"/>
              </w:rPr>
              <w:t>七</w:t>
            </w:r>
            <w:r>
              <w:rPr>
                <w:rFonts w:hint="eastAsia" w:ascii="宋体" w:hAnsi="宋体" w:eastAsia="宋体" w:cs="宋体"/>
                <w:color w:val="auto"/>
                <w:spacing w:val="16"/>
                <w:position w:val="4"/>
                <w:sz w:val="24"/>
                <w:highlight w:val="none"/>
              </w:rPr>
              <w:t>折向</w:t>
            </w:r>
            <w:r>
              <w:rPr>
                <w:rFonts w:hint="eastAsia" w:ascii="宋体" w:hAnsi="宋体" w:eastAsia="宋体" w:cs="宋体"/>
                <w:color w:val="auto"/>
                <w:spacing w:val="16"/>
                <w:position w:val="4"/>
                <w:sz w:val="24"/>
                <w:highlight w:val="none"/>
                <w:lang w:val="en-US" w:eastAsia="zh-CN"/>
              </w:rPr>
              <w:t>中标人</w:t>
            </w:r>
            <w:r>
              <w:rPr>
                <w:rFonts w:hint="eastAsia" w:ascii="宋体" w:hAnsi="宋体" w:eastAsia="宋体" w:cs="宋体"/>
                <w:color w:val="auto"/>
                <w:spacing w:val="16"/>
                <w:position w:val="4"/>
                <w:sz w:val="24"/>
                <w:highlight w:val="none"/>
              </w:rPr>
              <w:t>收取。</w:t>
            </w:r>
          </w:p>
          <w:p w14:paraId="16FC6D2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16"/>
                <w:position w:val="4"/>
                <w:sz w:val="24"/>
                <w:szCs w:val="24"/>
                <w:highlight w:val="none"/>
                <w:lang w:eastAsia="zh-CN"/>
              </w:rPr>
            </w:pPr>
            <w:r>
              <w:rPr>
                <w:rFonts w:hint="eastAsia" w:ascii="宋体" w:hAnsi="宋体" w:eastAsia="宋体" w:cs="宋体"/>
                <w:color w:val="auto"/>
                <w:spacing w:val="16"/>
                <w:position w:val="4"/>
                <w:sz w:val="24"/>
                <w:szCs w:val="24"/>
                <w:highlight w:val="none"/>
                <w:lang w:eastAsia="zh-CN"/>
              </w:rPr>
              <w:t>（3）支付时间：招标</w:t>
            </w:r>
            <w:r>
              <w:rPr>
                <w:rFonts w:hint="eastAsia" w:ascii="宋体" w:hAnsi="宋体" w:eastAsia="宋体" w:cs="宋体"/>
                <w:color w:val="auto"/>
                <w:spacing w:val="16"/>
                <w:position w:val="4"/>
                <w:sz w:val="24"/>
                <w:szCs w:val="24"/>
                <w:highlight w:val="none"/>
                <w:lang w:val="en-US" w:eastAsia="zh-CN"/>
              </w:rPr>
              <w:t>过程中所产生的所有</w:t>
            </w:r>
            <w:r>
              <w:rPr>
                <w:rFonts w:hint="eastAsia" w:ascii="宋体" w:hAnsi="宋体" w:eastAsia="宋体" w:cs="宋体"/>
                <w:color w:val="auto"/>
                <w:spacing w:val="16"/>
                <w:position w:val="4"/>
                <w:sz w:val="24"/>
                <w:szCs w:val="24"/>
                <w:highlight w:val="none"/>
                <w:lang w:eastAsia="zh-CN"/>
              </w:rPr>
              <w:t>服务费</w:t>
            </w:r>
            <w:r>
              <w:rPr>
                <w:rFonts w:hint="eastAsia" w:ascii="宋体" w:hAnsi="宋体" w:eastAsia="宋体" w:cs="宋体"/>
                <w:color w:val="auto"/>
                <w:spacing w:val="16"/>
                <w:position w:val="4"/>
                <w:sz w:val="24"/>
                <w:szCs w:val="24"/>
                <w:highlight w:val="none"/>
                <w:lang w:val="en-US" w:eastAsia="zh-CN"/>
              </w:rPr>
              <w:t>均</w:t>
            </w:r>
            <w:r>
              <w:rPr>
                <w:rFonts w:hint="eastAsia" w:ascii="宋体" w:hAnsi="宋体" w:eastAsia="宋体" w:cs="宋体"/>
                <w:color w:val="auto"/>
                <w:spacing w:val="16"/>
                <w:position w:val="4"/>
                <w:sz w:val="24"/>
                <w:szCs w:val="24"/>
                <w:highlight w:val="none"/>
                <w:lang w:eastAsia="zh-CN"/>
              </w:rPr>
              <w:t>由中标投标人在领取中标通知书时，向代理机构支付。</w:t>
            </w:r>
          </w:p>
          <w:p w14:paraId="7E9F31B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16"/>
                <w:position w:val="4"/>
                <w:sz w:val="24"/>
                <w:szCs w:val="24"/>
                <w:highlight w:val="none"/>
                <w:lang w:eastAsia="zh-CN"/>
              </w:rPr>
            </w:pPr>
            <w:r>
              <w:rPr>
                <w:rFonts w:hint="eastAsia" w:ascii="宋体" w:hAnsi="宋体" w:eastAsia="宋体" w:cs="宋体"/>
                <w:color w:val="auto"/>
                <w:spacing w:val="16"/>
                <w:position w:val="4"/>
                <w:sz w:val="24"/>
                <w:szCs w:val="24"/>
                <w:highlight w:val="none"/>
                <w:lang w:eastAsia="zh-CN"/>
              </w:rPr>
              <w:t>（4）支付方式：银行转账、微信、支付宝等。</w:t>
            </w:r>
          </w:p>
          <w:p w14:paraId="1FBF3B1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spacing w:val="16"/>
                <w:position w:val="4"/>
                <w:sz w:val="24"/>
                <w:szCs w:val="24"/>
                <w:highlight w:val="none"/>
                <w:lang w:eastAsia="zh-CN"/>
              </w:rPr>
            </w:pPr>
            <w:r>
              <w:rPr>
                <w:rFonts w:hint="eastAsia" w:ascii="宋体" w:hAnsi="宋体" w:eastAsia="宋体" w:cs="宋体"/>
                <w:color w:val="auto"/>
                <w:spacing w:val="16"/>
                <w:position w:val="4"/>
                <w:sz w:val="24"/>
                <w:szCs w:val="24"/>
                <w:highlight w:val="none"/>
                <w:lang w:eastAsia="zh-CN"/>
              </w:rPr>
              <w:t>（5）银行账户信息</w:t>
            </w:r>
          </w:p>
          <w:p w14:paraId="429018EA">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户    名：北京北卫旭博工程咨询有限公司湖北分公司</w:t>
            </w:r>
          </w:p>
          <w:p w14:paraId="3D968552">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 户 行：工商银行武汉黄鹤楼支行</w:t>
            </w:r>
          </w:p>
          <w:p w14:paraId="1B83CBA1">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行    号：102521000669</w:t>
            </w:r>
          </w:p>
          <w:p w14:paraId="36685AD1">
            <w:pPr>
              <w:keepNext w:val="0"/>
              <w:keepLines w:val="0"/>
              <w:pageBreakBefore w:val="0"/>
              <w:widowControl w:val="0"/>
              <w:kinsoku/>
              <w:wordWrap/>
              <w:overflowPunct/>
              <w:topLinePunct w:val="0"/>
              <w:autoSpaceDE/>
              <w:autoSpaceDN/>
              <w:bidi w:val="0"/>
              <w:adjustRightInd/>
              <w:snapToGrid/>
              <w:spacing w:line="240" w:lineRule="auto"/>
              <w:ind w:left="0" w:leftChars="0" w:right="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号：3202016009200325087</w:t>
            </w:r>
          </w:p>
        </w:tc>
      </w:tr>
      <w:tr w14:paraId="081E96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26C7A8B4">
            <w:pPr>
              <w:autoSpaceDE w:val="0"/>
              <w:autoSpaceDN w:val="0"/>
              <w:adjustRightInd w:val="0"/>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1</w:t>
            </w:r>
          </w:p>
        </w:tc>
        <w:tc>
          <w:tcPr>
            <w:tcW w:w="1935" w:type="dxa"/>
            <w:noWrap w:val="0"/>
            <w:vAlign w:val="center"/>
          </w:tcPr>
          <w:p w14:paraId="1054EFC1">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现场踏勘及答疑会</w:t>
            </w:r>
          </w:p>
        </w:tc>
        <w:tc>
          <w:tcPr>
            <w:tcW w:w="7078" w:type="dxa"/>
            <w:noWrap w:val="0"/>
            <w:vAlign w:val="center"/>
          </w:tcPr>
          <w:p w14:paraId="17263923">
            <w:pPr>
              <w:autoSpaceDE w:val="0"/>
              <w:autoSpaceDN w:val="0"/>
              <w:adjustRightInd w:val="0"/>
              <w:spacing w:line="240" w:lineRule="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none"/>
                <w:lang w:val="en-US" w:eastAsia="zh-CN" w:bidi="ar-SA"/>
              </w:rPr>
              <w:t>/</w:t>
            </w:r>
          </w:p>
        </w:tc>
      </w:tr>
      <w:tr w14:paraId="64A15C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3D854B35">
            <w:pPr>
              <w:autoSpaceDE w:val="0"/>
              <w:autoSpaceDN w:val="0"/>
              <w:adjustRightInd w:val="0"/>
              <w:spacing w:line="240" w:lineRule="auto"/>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1.1</w:t>
            </w:r>
          </w:p>
        </w:tc>
        <w:tc>
          <w:tcPr>
            <w:tcW w:w="1935" w:type="dxa"/>
            <w:noWrap w:val="0"/>
            <w:vAlign w:val="center"/>
          </w:tcPr>
          <w:p w14:paraId="593A2F4B">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提疑截止时间</w:t>
            </w:r>
          </w:p>
        </w:tc>
        <w:tc>
          <w:tcPr>
            <w:tcW w:w="7078" w:type="dxa"/>
            <w:noWrap w:val="0"/>
            <w:vAlign w:val="center"/>
          </w:tcPr>
          <w:p w14:paraId="6CCAFAE5">
            <w:pPr>
              <w:autoSpaceDE w:val="0"/>
              <w:autoSpaceDN w:val="0"/>
              <w:adjustRightInd w:val="0"/>
              <w:spacing w:line="240" w:lineRule="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rPr>
              <w:t>2026年   月   日   时   分</w:t>
            </w:r>
            <w:r>
              <w:rPr>
                <w:rFonts w:hint="eastAsia" w:ascii="宋体" w:hAnsi="宋体" w:cs="宋体"/>
                <w:color w:val="auto"/>
                <w:sz w:val="24"/>
                <w:szCs w:val="24"/>
                <w:highlight w:val="none"/>
                <w:lang w:val="en-US" w:eastAsia="zh-CN"/>
              </w:rPr>
              <w:t>（</w:t>
            </w:r>
            <w:r>
              <w:rPr>
                <w:rFonts w:hint="eastAsia" w:ascii="宋体" w:hAnsi="宋体" w:eastAsia="宋体" w:cs="宋体"/>
                <w:color w:val="auto"/>
                <w:kern w:val="0"/>
                <w:sz w:val="24"/>
                <w:szCs w:val="24"/>
                <w:highlight w:val="none"/>
              </w:rPr>
              <w:t>投标截止时间10日前提出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w:t>
            </w:r>
          </w:p>
        </w:tc>
      </w:tr>
      <w:tr w14:paraId="423B4E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6251B8D9">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p>
        </w:tc>
        <w:tc>
          <w:tcPr>
            <w:tcW w:w="1935" w:type="dxa"/>
            <w:noWrap w:val="0"/>
            <w:vAlign w:val="center"/>
          </w:tcPr>
          <w:p w14:paraId="38566CDE">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招标文件中要求提供的其他资料</w:t>
            </w:r>
          </w:p>
        </w:tc>
        <w:tc>
          <w:tcPr>
            <w:tcW w:w="7078" w:type="dxa"/>
            <w:noWrap w:val="0"/>
            <w:vAlign w:val="center"/>
          </w:tcPr>
          <w:p w14:paraId="1D8BE599">
            <w:pPr>
              <w:autoSpaceDE w:val="0"/>
              <w:autoSpaceDN w:val="0"/>
              <w:adjustRightInd w:val="0"/>
              <w:spacing w:line="24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snapToGrid w:val="0"/>
                <w:color w:val="auto"/>
                <w:kern w:val="0"/>
                <w:sz w:val="24"/>
                <w:szCs w:val="24"/>
                <w:highlight w:val="none"/>
                <w:lang w:val="zh-CN"/>
              </w:rPr>
              <w:t>包括但不限于：如技术</w:t>
            </w:r>
            <w:r>
              <w:rPr>
                <w:rFonts w:hint="eastAsia" w:ascii="宋体" w:hAnsi="宋体" w:eastAsia="宋体" w:cs="宋体"/>
                <w:snapToGrid w:val="0"/>
                <w:color w:val="auto"/>
                <w:kern w:val="0"/>
                <w:sz w:val="24"/>
                <w:szCs w:val="24"/>
                <w:highlight w:val="none"/>
              </w:rPr>
              <w:t>服务</w:t>
            </w:r>
            <w:r>
              <w:rPr>
                <w:rFonts w:hint="eastAsia" w:ascii="宋体" w:hAnsi="宋体" w:eastAsia="宋体" w:cs="宋体"/>
                <w:snapToGrid w:val="0"/>
                <w:color w:val="auto"/>
                <w:kern w:val="0"/>
                <w:sz w:val="24"/>
                <w:szCs w:val="24"/>
                <w:highlight w:val="none"/>
                <w:lang w:val="zh-CN"/>
              </w:rPr>
              <w:t>说明、服务方案、</w:t>
            </w:r>
            <w:r>
              <w:rPr>
                <w:rFonts w:hint="eastAsia" w:ascii="宋体" w:hAnsi="宋体" w:eastAsia="宋体" w:cs="宋体"/>
                <w:snapToGrid w:val="0"/>
                <w:color w:val="auto"/>
                <w:kern w:val="0"/>
                <w:sz w:val="24"/>
                <w:szCs w:val="24"/>
                <w:highlight w:val="none"/>
              </w:rPr>
              <w:t>人员安排、入场设备、</w:t>
            </w:r>
            <w:r>
              <w:rPr>
                <w:rFonts w:hint="eastAsia" w:ascii="宋体" w:hAnsi="宋体" w:eastAsia="宋体" w:cs="宋体"/>
                <w:snapToGrid w:val="0"/>
                <w:color w:val="auto"/>
                <w:kern w:val="0"/>
                <w:sz w:val="24"/>
                <w:szCs w:val="24"/>
                <w:highlight w:val="none"/>
                <w:lang w:val="zh-CN"/>
              </w:rPr>
              <w:t>服务承诺、保障措施、违约罚则等相关资料。</w:t>
            </w:r>
          </w:p>
        </w:tc>
      </w:tr>
      <w:tr w14:paraId="2EA4E2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cantSplit/>
          <w:trHeight w:val="252" w:hRule="atLeast"/>
          <w:jc w:val="center"/>
        </w:trPr>
        <w:tc>
          <w:tcPr>
            <w:tcW w:w="937" w:type="dxa"/>
            <w:noWrap w:val="0"/>
            <w:vAlign w:val="center"/>
          </w:tcPr>
          <w:p w14:paraId="27FCDF35">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935" w:type="dxa"/>
            <w:noWrap w:val="0"/>
            <w:vAlign w:val="center"/>
          </w:tcPr>
          <w:p w14:paraId="02FAA5D1">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报价方式</w:t>
            </w:r>
          </w:p>
        </w:tc>
        <w:tc>
          <w:tcPr>
            <w:tcW w:w="7078" w:type="dxa"/>
            <w:noWrap w:val="0"/>
            <w:vAlign w:val="top"/>
          </w:tcPr>
          <w:p w14:paraId="7E962F9A">
            <w:pPr>
              <w:widowControl/>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详见招标文件第三章“采购需求”</w:t>
            </w:r>
          </w:p>
        </w:tc>
      </w:tr>
      <w:tr w14:paraId="15036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32" w:hRule="atLeast"/>
          <w:jc w:val="center"/>
        </w:trPr>
        <w:tc>
          <w:tcPr>
            <w:tcW w:w="937" w:type="dxa"/>
            <w:noWrap w:val="0"/>
            <w:vAlign w:val="center"/>
          </w:tcPr>
          <w:p w14:paraId="1E3229D2">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1935" w:type="dxa"/>
            <w:noWrap w:val="0"/>
            <w:vAlign w:val="center"/>
          </w:tcPr>
          <w:p w14:paraId="06F019BF">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备选方案</w:t>
            </w:r>
          </w:p>
        </w:tc>
        <w:tc>
          <w:tcPr>
            <w:tcW w:w="7078" w:type="dxa"/>
            <w:noWrap w:val="0"/>
            <w:vAlign w:val="center"/>
          </w:tcPr>
          <w:p w14:paraId="43866C97">
            <w:pPr>
              <w:autoSpaceDE w:val="0"/>
              <w:autoSpaceDN w:val="0"/>
              <w:adjustRightInd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本次招标</w:t>
            </w:r>
            <w:r>
              <w:rPr>
                <w:rFonts w:hint="eastAsia" w:ascii="宋体" w:hAnsi="宋体" w:eastAsia="宋体" w:cs="宋体"/>
                <w:color w:val="auto"/>
                <w:sz w:val="24"/>
                <w:szCs w:val="24"/>
                <w:highlight w:val="none"/>
                <w:u w:val="single"/>
                <w:lang w:val="zh-CN"/>
              </w:rPr>
              <w:t>不接受</w:t>
            </w:r>
            <w:r>
              <w:rPr>
                <w:rFonts w:hint="eastAsia" w:ascii="宋体" w:hAnsi="宋体" w:eastAsia="宋体" w:cs="宋体"/>
                <w:color w:val="auto"/>
                <w:sz w:val="24"/>
                <w:szCs w:val="24"/>
                <w:highlight w:val="none"/>
                <w:lang w:val="zh-CN"/>
              </w:rPr>
              <w:t>备选方案。</w:t>
            </w:r>
          </w:p>
        </w:tc>
      </w:tr>
      <w:tr w14:paraId="448203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08" w:hRule="atLeast"/>
          <w:jc w:val="center"/>
        </w:trPr>
        <w:tc>
          <w:tcPr>
            <w:tcW w:w="937" w:type="dxa"/>
            <w:noWrap w:val="0"/>
            <w:vAlign w:val="center"/>
          </w:tcPr>
          <w:p w14:paraId="502D73EA">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935" w:type="dxa"/>
            <w:noWrap w:val="0"/>
            <w:vAlign w:val="center"/>
          </w:tcPr>
          <w:p w14:paraId="57B2337E">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联合体</w:t>
            </w:r>
          </w:p>
        </w:tc>
        <w:tc>
          <w:tcPr>
            <w:tcW w:w="7078" w:type="dxa"/>
            <w:noWrap w:val="0"/>
            <w:vAlign w:val="center"/>
          </w:tcPr>
          <w:p w14:paraId="214A59FF">
            <w:pPr>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zh-CN"/>
              </w:rPr>
              <w:t>本次招标</w:t>
            </w:r>
            <w:r>
              <w:rPr>
                <w:rFonts w:hint="eastAsia" w:ascii="宋体" w:hAnsi="宋体" w:eastAsia="宋体" w:cs="宋体"/>
                <w:color w:val="auto"/>
                <w:sz w:val="24"/>
                <w:szCs w:val="24"/>
                <w:highlight w:val="none"/>
                <w:u w:val="single"/>
              </w:rPr>
              <w:t>不</w:t>
            </w:r>
            <w:r>
              <w:rPr>
                <w:rFonts w:hint="eastAsia" w:ascii="宋体" w:hAnsi="宋体" w:eastAsia="宋体" w:cs="宋体"/>
                <w:color w:val="auto"/>
                <w:sz w:val="24"/>
                <w:szCs w:val="24"/>
                <w:highlight w:val="none"/>
                <w:u w:val="single"/>
                <w:lang w:val="zh-CN"/>
              </w:rPr>
              <w:t>接受</w:t>
            </w:r>
            <w:r>
              <w:rPr>
                <w:rFonts w:hint="eastAsia" w:ascii="宋体" w:hAnsi="宋体" w:eastAsia="宋体" w:cs="宋体"/>
                <w:color w:val="auto"/>
                <w:sz w:val="24"/>
                <w:szCs w:val="24"/>
                <w:highlight w:val="none"/>
              </w:rPr>
              <w:t>联合体投标。</w:t>
            </w:r>
          </w:p>
        </w:tc>
      </w:tr>
      <w:tr w14:paraId="115AA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39280199">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14.1</w:t>
            </w:r>
          </w:p>
        </w:tc>
        <w:tc>
          <w:tcPr>
            <w:tcW w:w="1935" w:type="dxa"/>
            <w:noWrap w:val="0"/>
            <w:vAlign w:val="center"/>
          </w:tcPr>
          <w:p w14:paraId="531ACC8E">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应提交的其它资格证明文件</w:t>
            </w:r>
          </w:p>
        </w:tc>
        <w:tc>
          <w:tcPr>
            <w:tcW w:w="7078" w:type="dxa"/>
            <w:noWrap w:val="0"/>
            <w:vAlign w:val="center"/>
          </w:tcPr>
          <w:p w14:paraId="39E83558">
            <w:pPr>
              <w:autoSpaceDE w:val="0"/>
              <w:autoSpaceDN w:val="0"/>
              <w:adjustRightInd w:val="0"/>
              <w:snapToGrid w:val="0"/>
              <w:spacing w:beforeLines="10" w:afterLines="10" w:line="240" w:lineRule="auto"/>
              <w:ind w:right="21" w:rightChars="10"/>
              <w:jc w:val="left"/>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详见第一章招标公告第三款、第四款。</w:t>
            </w:r>
          </w:p>
        </w:tc>
      </w:tr>
      <w:tr w14:paraId="78CB64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870" w:hRule="atLeast"/>
          <w:jc w:val="center"/>
        </w:trPr>
        <w:tc>
          <w:tcPr>
            <w:tcW w:w="937" w:type="dxa"/>
            <w:noWrap w:val="0"/>
            <w:vAlign w:val="center"/>
          </w:tcPr>
          <w:p w14:paraId="4BB4BF73">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w:t>
            </w:r>
          </w:p>
        </w:tc>
        <w:tc>
          <w:tcPr>
            <w:tcW w:w="1935" w:type="dxa"/>
            <w:noWrap w:val="0"/>
            <w:vAlign w:val="center"/>
          </w:tcPr>
          <w:p w14:paraId="30ED626D">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证明投标内容符合招标文件要求的文件和招标文件规定的其他资料</w:t>
            </w:r>
          </w:p>
        </w:tc>
        <w:tc>
          <w:tcPr>
            <w:tcW w:w="7078" w:type="dxa"/>
            <w:noWrap w:val="0"/>
            <w:vAlign w:val="center"/>
          </w:tcPr>
          <w:p w14:paraId="24CA4C1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章中《与本次招标有关的技术文件》相关内容。</w:t>
            </w:r>
          </w:p>
        </w:tc>
      </w:tr>
      <w:tr w14:paraId="00901E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4" w:hRule="atLeast"/>
          <w:jc w:val="center"/>
        </w:trPr>
        <w:tc>
          <w:tcPr>
            <w:tcW w:w="937" w:type="dxa"/>
            <w:noWrap w:val="0"/>
            <w:vAlign w:val="center"/>
          </w:tcPr>
          <w:p w14:paraId="58532885">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w:t>
            </w:r>
          </w:p>
        </w:tc>
        <w:tc>
          <w:tcPr>
            <w:tcW w:w="1935" w:type="dxa"/>
            <w:noWrap w:val="0"/>
            <w:vAlign w:val="center"/>
          </w:tcPr>
          <w:p w14:paraId="10BD124F">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投标保证金</w:t>
            </w:r>
          </w:p>
        </w:tc>
        <w:tc>
          <w:tcPr>
            <w:tcW w:w="7078" w:type="dxa"/>
            <w:shd w:val="clear" w:color="auto" w:fill="auto"/>
            <w:noWrap w:val="0"/>
            <w:vAlign w:val="center"/>
          </w:tcPr>
          <w:p w14:paraId="7B75243B">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不提交</w:t>
            </w:r>
          </w:p>
          <w:p w14:paraId="68EC61B9">
            <w:pPr>
              <w:adjustRightInd w:val="0"/>
              <w:snapToGrid w:val="0"/>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p>
          <w:p w14:paraId="26566616">
            <w:pPr>
              <w:widowControl/>
              <w:wordWrap w:val="0"/>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1.递交截止时间（到账时间）：同本标段（包）投标截止时间。</w:t>
            </w:r>
          </w:p>
          <w:p w14:paraId="3754E19B">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2.金额：</w:t>
            </w:r>
          </w:p>
          <w:p w14:paraId="1B07D801">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3.形式及递交方</w:t>
            </w:r>
            <w:r>
              <w:rPr>
                <w:rFonts w:hint="eastAsia" w:ascii="宋体" w:hAnsi="宋体" w:eastAsia="宋体" w:cs="宋体"/>
                <w:color w:val="auto"/>
                <w:sz w:val="24"/>
                <w:szCs w:val="24"/>
                <w:highlight w:val="none"/>
              </w:rPr>
              <w:t>式</w:t>
            </w:r>
            <w:r>
              <w:rPr>
                <w:rFonts w:hint="eastAsia" w:ascii="宋体" w:hAnsi="宋体" w:eastAsia="宋体" w:cs="宋体"/>
                <w:color w:val="auto"/>
                <w:kern w:val="0"/>
                <w:sz w:val="24"/>
                <w:szCs w:val="24"/>
                <w:highlight w:val="none"/>
              </w:rPr>
              <w:t>：</w:t>
            </w:r>
          </w:p>
          <w:p w14:paraId="2BEC7D38">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□银行保函、保险公司保单、担保公司保函形式之一：按第  章投标文件格式（X）投标保证金（银行保函/保险保单/担保保函）要求；</w:t>
            </w:r>
          </w:p>
          <w:p w14:paraId="488C4C9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□现金形式（包括现钞、银行汇票、银行电汇、支票）：</w:t>
            </w:r>
          </w:p>
          <w:p w14:paraId="07040D02">
            <w:pPr>
              <w:widowControl/>
              <w:spacing w:line="240" w:lineRule="auto"/>
              <w:ind w:left="239" w:leftChars="114"/>
              <w:jc w:val="left"/>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必须从投标人的基本账户汇至招标人指定的账户及账号</w:t>
            </w:r>
            <w:r>
              <w:rPr>
                <w:rFonts w:hint="eastAsia" w:ascii="宋体" w:hAnsi="宋体" w:eastAsia="宋体" w:cs="宋体"/>
                <w:color w:val="auto"/>
                <w:kern w:val="0"/>
                <w:sz w:val="24"/>
                <w:szCs w:val="24"/>
                <w:highlight w:val="none"/>
              </w:rPr>
              <w:t>。</w:t>
            </w:r>
            <w:r>
              <w:rPr>
                <w:rFonts w:hint="eastAsia" w:ascii="宋体" w:hAnsi="宋体" w:eastAsia="宋体" w:cs="宋体"/>
                <w:b/>
                <w:color w:val="auto"/>
                <w:kern w:val="0"/>
                <w:sz w:val="24"/>
                <w:szCs w:val="24"/>
                <w:highlight w:val="none"/>
              </w:rPr>
              <w:t>多标段（包）投标的，投标人应按下列要求将投标保证金分别汇至各个标段（包）对应的账号。</w:t>
            </w:r>
          </w:p>
          <w:p w14:paraId="6F554D3B">
            <w:pPr>
              <w:widowControl/>
              <w:spacing w:line="240" w:lineRule="auto"/>
              <w:ind w:left="239" w:leftChars="114"/>
              <w:jc w:val="left"/>
              <w:rPr>
                <w:rFonts w:hint="eastAsia" w:ascii="宋体" w:hAnsi="宋体" w:eastAsia="宋体" w:cs="宋体"/>
                <w:color w:val="auto"/>
                <w:kern w:val="0"/>
                <w:sz w:val="24"/>
                <w:szCs w:val="24"/>
                <w:highlight w:val="none"/>
              </w:rPr>
            </w:pPr>
          </w:p>
          <w:p w14:paraId="3F89FB90">
            <w:pPr>
              <w:widowControl/>
              <w:spacing w:line="240" w:lineRule="auto"/>
              <w:ind w:left="239" w:leftChars="114"/>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招标人指定收取投标保证金的帐户信息如下：</w:t>
            </w:r>
          </w:p>
          <w:p w14:paraId="5082A345">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标段（包）编号：_____________________</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rPr>
              <w:t>_________；</w:t>
            </w:r>
          </w:p>
          <w:p w14:paraId="4238176C">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标段（包）名称：_____________________</w:t>
            </w:r>
            <w:r>
              <w:rPr>
                <w:rFonts w:hint="eastAsia" w:ascii="宋体" w:hAnsi="宋体" w:eastAsia="宋体" w:cs="宋体"/>
                <w:b/>
                <w:color w:val="auto"/>
                <w:kern w:val="0"/>
                <w:sz w:val="24"/>
                <w:szCs w:val="24"/>
                <w:highlight w:val="none"/>
                <w:u w:val="single"/>
              </w:rPr>
              <w:t xml:space="preserve">  </w:t>
            </w:r>
            <w:r>
              <w:rPr>
                <w:rFonts w:hint="eastAsia" w:ascii="宋体" w:hAnsi="宋体" w:eastAsia="宋体" w:cs="宋体"/>
                <w:b/>
                <w:color w:val="auto"/>
                <w:kern w:val="0"/>
                <w:sz w:val="24"/>
                <w:szCs w:val="24"/>
                <w:highlight w:val="none"/>
              </w:rPr>
              <w:t>_________；</w:t>
            </w:r>
          </w:p>
          <w:p w14:paraId="22911215">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保证金账号：______________________________；</w:t>
            </w:r>
          </w:p>
          <w:p w14:paraId="32E9FA6A">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保证金金额：______________________________；</w:t>
            </w:r>
          </w:p>
          <w:p w14:paraId="3D0FC51A">
            <w:pPr>
              <w:widowControl/>
              <w:spacing w:line="240" w:lineRule="auto"/>
              <w:ind w:left="239" w:leftChars="114"/>
              <w:jc w:val="left"/>
              <w:rPr>
                <w:rFonts w:hint="eastAsia" w:ascii="宋体" w:hAnsi="宋体" w:eastAsia="宋体" w:cs="宋体"/>
                <w:b/>
                <w:color w:val="auto"/>
                <w:kern w:val="0"/>
                <w:sz w:val="24"/>
                <w:szCs w:val="24"/>
                <w:highlight w:val="none"/>
              </w:rPr>
            </w:pPr>
          </w:p>
          <w:p w14:paraId="3CD4BBC3">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账户名称：湖北省公共资源交易中心 </w:t>
            </w:r>
          </w:p>
          <w:p w14:paraId="7B7A61E7">
            <w:pPr>
              <w:widowControl/>
              <w:spacing w:line="240" w:lineRule="auto"/>
              <w:ind w:left="239" w:leftChars="114"/>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开户银行：中国建设银行股份有限公司武汉东湖支行</w:t>
            </w:r>
          </w:p>
          <w:p w14:paraId="53A3E873">
            <w:pPr>
              <w:widowControl/>
              <w:spacing w:line="240" w:lineRule="auto"/>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4.特别提示。</w:t>
            </w:r>
            <w:r>
              <w:rPr>
                <w:rFonts w:hint="eastAsia" w:ascii="宋体" w:hAnsi="宋体" w:eastAsia="宋体" w:cs="宋体"/>
                <w:b/>
                <w:color w:val="auto"/>
                <w:kern w:val="0"/>
                <w:sz w:val="24"/>
                <w:szCs w:val="24"/>
                <w:highlight w:val="none"/>
              </w:rPr>
              <w:t>投标保证金收款将以投标人办理交易主体注册登记所填基本账户信息为准，若投标人汇款账户与注册登记时的基本账户信息不相符，其汇款将自动退回，由此造成投标保证金递交失败的责任由投标人自行承担。</w:t>
            </w:r>
          </w:p>
          <w:p w14:paraId="43FB5AAA">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汇款成功后，投标人使用CA数字证书登录“电子交易平台”（网址：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"http://www.hbbidcloud.com"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www.hbbidcloud.com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kern w:val="0"/>
                <w:sz w:val="24"/>
                <w:szCs w:val="24"/>
                <w:highlight w:val="none"/>
              </w:rPr>
              <w:t>）,进入“保证金缴纳情况查询”菜单可查询相应标段（包）保证金缴纳的情况。</w:t>
            </w:r>
          </w:p>
          <w:p w14:paraId="48572A89">
            <w:pPr>
              <w:spacing w:line="240" w:lineRule="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4"/>
                <w:szCs w:val="24"/>
                <w:highlight w:val="none"/>
              </w:rPr>
              <w:t>湖北省公共资源交易中心投标保证金服务咨询电话：027-86629932</w:t>
            </w:r>
          </w:p>
        </w:tc>
      </w:tr>
      <w:tr w14:paraId="19837B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24" w:hRule="atLeast"/>
          <w:jc w:val="center"/>
        </w:trPr>
        <w:tc>
          <w:tcPr>
            <w:tcW w:w="937" w:type="dxa"/>
            <w:noWrap w:val="0"/>
            <w:vAlign w:val="center"/>
          </w:tcPr>
          <w:p w14:paraId="1A652AF5">
            <w:pPr>
              <w:autoSpaceDE w:val="0"/>
              <w:autoSpaceDN w:val="0"/>
              <w:adjustRightInd w:val="0"/>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16.3</w:t>
            </w:r>
          </w:p>
        </w:tc>
        <w:tc>
          <w:tcPr>
            <w:tcW w:w="1935" w:type="dxa"/>
            <w:noWrap w:val="0"/>
            <w:vAlign w:val="center"/>
          </w:tcPr>
          <w:p w14:paraId="58906C42">
            <w:pPr>
              <w:spacing w:line="240" w:lineRule="auto"/>
              <w:jc w:val="center"/>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退还投标保证金</w:t>
            </w:r>
          </w:p>
          <w:p w14:paraId="71B8A163">
            <w:pPr>
              <w:spacing w:line="240" w:lineRule="auto"/>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sz w:val="24"/>
                <w:szCs w:val="24"/>
                <w:highlight w:val="none"/>
              </w:rPr>
              <w:t>及利息</w:t>
            </w:r>
          </w:p>
        </w:tc>
        <w:tc>
          <w:tcPr>
            <w:tcW w:w="7078" w:type="dxa"/>
            <w:shd w:val="clear" w:color="auto" w:fill="auto"/>
            <w:noWrap w:val="0"/>
            <w:vAlign w:val="center"/>
          </w:tcPr>
          <w:p w14:paraId="787A0572">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计息标准：人民银行同期活期存款利率（注：银行保函不计利息）</w:t>
            </w:r>
          </w:p>
          <w:p w14:paraId="4FDA151D">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计息时间：投标保证金到账之日至退还的前一日</w:t>
            </w:r>
          </w:p>
          <w:p w14:paraId="290390A8">
            <w:pPr>
              <w:spacing w:line="240" w:lineRule="auto"/>
              <w:ind w:left="1050" w:hanging="1200" w:hangingChars="5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退还办法：</w:t>
            </w:r>
            <w:r>
              <w:rPr>
                <w:rFonts w:hint="eastAsia" w:ascii="宋体" w:hAnsi="宋体" w:eastAsia="宋体" w:cs="宋体"/>
                <w:color w:val="auto"/>
                <w:kern w:val="0"/>
                <w:sz w:val="24"/>
                <w:szCs w:val="24"/>
                <w:highlight w:val="none"/>
              </w:rPr>
              <w:t>评标结果公示期满后次日，非中标候选人的投</w:t>
            </w:r>
          </w:p>
          <w:p w14:paraId="7EF40060">
            <w:pPr>
              <w:spacing w:line="240" w:lineRule="auto"/>
              <w:ind w:left="1050" w:hanging="1200" w:hangingChars="5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标保证金按原路径自动退回；中标通知书发放（打印）日，</w:t>
            </w:r>
          </w:p>
          <w:p w14:paraId="62226241">
            <w:pPr>
              <w:spacing w:line="240" w:lineRule="auto"/>
              <w:ind w:left="1050" w:hanging="1200" w:hangingChars="5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第二、三名中标候选人的投标保证金按原路径自动退回；</w:t>
            </w:r>
          </w:p>
          <w:p w14:paraId="65E61B77">
            <w:pPr>
              <w:spacing w:line="240" w:lineRule="auto"/>
              <w:ind w:left="1050" w:hanging="1200" w:hangingChars="5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合同备案次日，中标人的投标保证金按原路径自动退回。</w:t>
            </w:r>
          </w:p>
          <w:p w14:paraId="57861EC1">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rPr>
              <w:t>特别说明</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上述几种情况，投标保证金的退还无需招标人或招标代理机构提交申请，遇特殊情况不能及时退还的，招标人或招标代理机构将及时通过“省电子交易平台”“投标保证金管理”</w:t>
            </w:r>
            <w:r>
              <w:rPr>
                <w:rFonts w:hint="eastAsia" w:ascii="宋体" w:hAnsi="宋体" w:eastAsia="宋体" w:cs="宋体"/>
                <w:color w:val="auto"/>
                <w:sz w:val="24"/>
                <w:szCs w:val="24"/>
                <w:highlight w:val="none"/>
              </w:rPr>
              <w:t>菜单</w:t>
            </w:r>
            <w:r>
              <w:rPr>
                <w:rFonts w:hint="eastAsia" w:ascii="宋体" w:hAnsi="宋体" w:eastAsia="宋体" w:cs="宋体"/>
                <w:color w:val="auto"/>
                <w:kern w:val="0"/>
                <w:sz w:val="24"/>
                <w:szCs w:val="24"/>
                <w:highlight w:val="none"/>
              </w:rPr>
              <w:t>提交书面情况说明（详见投标保证金收退指南）。</w:t>
            </w:r>
          </w:p>
        </w:tc>
      </w:tr>
      <w:tr w14:paraId="657DCA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27" w:hRule="atLeast"/>
          <w:jc w:val="center"/>
        </w:trPr>
        <w:tc>
          <w:tcPr>
            <w:tcW w:w="937" w:type="dxa"/>
            <w:noWrap w:val="0"/>
            <w:vAlign w:val="center"/>
          </w:tcPr>
          <w:p w14:paraId="5FFD668F">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1935" w:type="dxa"/>
            <w:noWrap w:val="0"/>
            <w:vAlign w:val="center"/>
          </w:tcPr>
          <w:p w14:paraId="43A73A9A">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投标有效期</w:t>
            </w:r>
          </w:p>
        </w:tc>
        <w:tc>
          <w:tcPr>
            <w:tcW w:w="7078" w:type="dxa"/>
            <w:noWrap w:val="0"/>
            <w:vAlign w:val="center"/>
          </w:tcPr>
          <w:p w14:paraId="59021009">
            <w:pPr>
              <w:autoSpaceDE w:val="0"/>
              <w:autoSpaceDN w:val="0"/>
              <w:adjustRightInd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本次招标项目</w:t>
            </w:r>
            <w:r>
              <w:rPr>
                <w:rFonts w:hint="eastAsia" w:ascii="宋体" w:hAnsi="宋体" w:eastAsia="宋体" w:cs="宋体"/>
                <w:snapToGrid w:val="0"/>
                <w:color w:val="auto"/>
                <w:kern w:val="0"/>
                <w:sz w:val="24"/>
                <w:szCs w:val="24"/>
                <w:highlight w:val="none"/>
                <w:lang w:val="zh-CN"/>
              </w:rPr>
              <w:t>投标有效期为</w:t>
            </w:r>
            <w:r>
              <w:rPr>
                <w:rFonts w:hint="eastAsia" w:ascii="宋体" w:hAnsi="宋体" w:eastAsia="宋体" w:cs="宋体"/>
                <w:snapToGrid w:val="0"/>
                <w:color w:val="auto"/>
                <w:kern w:val="0"/>
                <w:sz w:val="24"/>
                <w:szCs w:val="24"/>
                <w:highlight w:val="none"/>
                <w:u w:val="single"/>
                <w:lang w:val="en-US" w:eastAsia="zh-CN"/>
              </w:rPr>
              <w:t>90</w:t>
            </w:r>
            <w:r>
              <w:rPr>
                <w:rFonts w:hint="eastAsia" w:ascii="宋体" w:hAnsi="宋体" w:eastAsia="宋体" w:cs="宋体"/>
                <w:snapToGrid w:val="0"/>
                <w:color w:val="auto"/>
                <w:kern w:val="0"/>
                <w:sz w:val="24"/>
                <w:szCs w:val="24"/>
                <w:highlight w:val="none"/>
                <w:lang w:val="zh-CN"/>
              </w:rPr>
              <w:t>日历天。</w:t>
            </w:r>
          </w:p>
        </w:tc>
      </w:tr>
      <w:tr w14:paraId="672018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534" w:hRule="atLeast"/>
          <w:jc w:val="center"/>
        </w:trPr>
        <w:tc>
          <w:tcPr>
            <w:tcW w:w="937" w:type="dxa"/>
            <w:noWrap w:val="0"/>
            <w:vAlign w:val="center"/>
          </w:tcPr>
          <w:p w14:paraId="458D2528">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w:t>
            </w:r>
          </w:p>
        </w:tc>
        <w:tc>
          <w:tcPr>
            <w:tcW w:w="1935" w:type="dxa"/>
            <w:noWrap w:val="0"/>
            <w:vAlign w:val="center"/>
          </w:tcPr>
          <w:p w14:paraId="4DC50B98">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中标人需提供的投标文件数量及要求</w:t>
            </w:r>
          </w:p>
        </w:tc>
        <w:tc>
          <w:tcPr>
            <w:tcW w:w="7078" w:type="dxa"/>
            <w:noWrap w:val="0"/>
            <w:vAlign w:val="center"/>
          </w:tcPr>
          <w:p w14:paraId="6FC8565A">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投标文件纸质版：正本一份，副本</w:t>
            </w:r>
            <w:r>
              <w:rPr>
                <w:rFonts w:hint="eastAsia" w:ascii="宋体" w:hAnsi="宋体" w:eastAsia="宋体" w:cs="宋体"/>
                <w:color w:val="auto"/>
                <w:kern w:val="0"/>
                <w:sz w:val="24"/>
                <w:szCs w:val="24"/>
                <w:highlight w:val="none"/>
                <w:lang w:val="en-US" w:eastAsia="zh-CN"/>
              </w:rPr>
              <w:t>二</w:t>
            </w:r>
            <w:r>
              <w:rPr>
                <w:rFonts w:hint="eastAsia" w:ascii="宋体" w:hAnsi="宋体" w:eastAsia="宋体" w:cs="宋体"/>
                <w:color w:val="auto"/>
                <w:kern w:val="0"/>
                <w:sz w:val="24"/>
                <w:szCs w:val="24"/>
                <w:highlight w:val="none"/>
              </w:rPr>
              <w:t>份，</w:t>
            </w:r>
            <w:r>
              <w:rPr>
                <w:rFonts w:hint="eastAsia" w:ascii="宋体" w:hAnsi="宋体" w:eastAsia="宋体" w:cs="宋体"/>
                <w:color w:val="auto"/>
                <w:kern w:val="0"/>
                <w:sz w:val="24"/>
                <w:szCs w:val="24"/>
                <w:highlight w:val="none"/>
                <w:lang w:val="en-US" w:eastAsia="zh-CN"/>
              </w:rPr>
              <w:t>U盘一份</w:t>
            </w:r>
            <w:r>
              <w:rPr>
                <w:rFonts w:hint="eastAsia" w:ascii="宋体" w:hAnsi="宋体" w:eastAsia="宋体" w:cs="宋体"/>
                <w:color w:val="auto"/>
                <w:kern w:val="0"/>
                <w:sz w:val="24"/>
                <w:szCs w:val="24"/>
                <w:highlight w:val="none"/>
              </w:rPr>
              <w:t>。</w:t>
            </w:r>
          </w:p>
          <w:p w14:paraId="0E00121F">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投标文件电子版：一份（U盘形式）</w:t>
            </w:r>
          </w:p>
          <w:p w14:paraId="1027A081">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投标文件电子版内容：与正本保持一致</w:t>
            </w:r>
          </w:p>
          <w:p w14:paraId="1BFBEDF4">
            <w:pPr>
              <w:autoSpaceDE w:val="0"/>
              <w:autoSpaceDN w:val="0"/>
              <w:adjustRightInd w:val="0"/>
              <w:snapToGrid w:val="0"/>
              <w:spacing w:beforeLines="10" w:afterLines="10" w:line="240" w:lineRule="auto"/>
              <w:ind w:right="21" w:rightChars="10"/>
              <w:jc w:val="left"/>
              <w:rPr>
                <w:rFonts w:hint="eastAsia" w:ascii="宋体" w:hAnsi="宋体" w:eastAsia="宋体" w:cs="宋体"/>
                <w:snapToGrid w:val="0"/>
                <w:color w:val="auto"/>
                <w:kern w:val="0"/>
                <w:sz w:val="24"/>
                <w:szCs w:val="24"/>
                <w:highlight w:val="none"/>
              </w:rPr>
            </w:pPr>
            <w:r>
              <w:rPr>
                <w:rFonts w:hint="eastAsia" w:ascii="宋体" w:hAnsi="宋体" w:eastAsia="宋体" w:cs="宋体"/>
                <w:color w:val="auto"/>
                <w:kern w:val="0"/>
                <w:sz w:val="24"/>
                <w:szCs w:val="24"/>
                <w:highlight w:val="none"/>
              </w:rPr>
              <w:t>投标文件电子版格式：PDF格式（正本扫描件）</w:t>
            </w:r>
            <w:r>
              <w:rPr>
                <w:rFonts w:hint="eastAsia" w:ascii="宋体" w:hAnsi="宋体" w:eastAsia="宋体" w:cs="宋体"/>
                <w:color w:val="auto"/>
                <w:kern w:val="0"/>
                <w:sz w:val="24"/>
                <w:szCs w:val="24"/>
                <w:highlight w:val="none"/>
                <w:lang w:eastAsia="zh-CN"/>
              </w:rPr>
              <w:t>和</w:t>
            </w:r>
            <w:r>
              <w:rPr>
                <w:rFonts w:hint="eastAsia" w:ascii="宋体" w:hAnsi="宋体" w:eastAsia="宋体" w:cs="宋体"/>
                <w:color w:val="auto"/>
                <w:kern w:val="0"/>
                <w:sz w:val="24"/>
                <w:szCs w:val="24"/>
                <w:highlight w:val="none"/>
                <w:lang w:val="en-US" w:eastAsia="zh-CN"/>
              </w:rPr>
              <w:t>word版本(与正本保持一致)</w:t>
            </w:r>
          </w:p>
        </w:tc>
      </w:tr>
      <w:tr w14:paraId="024FBC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54" w:hRule="atLeast"/>
          <w:jc w:val="center"/>
        </w:trPr>
        <w:tc>
          <w:tcPr>
            <w:tcW w:w="937" w:type="dxa"/>
            <w:noWrap w:val="0"/>
            <w:vAlign w:val="center"/>
          </w:tcPr>
          <w:p w14:paraId="34CB34D1">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23.1</w:t>
            </w:r>
          </w:p>
        </w:tc>
        <w:tc>
          <w:tcPr>
            <w:tcW w:w="1935" w:type="dxa"/>
            <w:noWrap w:val="0"/>
            <w:vAlign w:val="center"/>
          </w:tcPr>
          <w:p w14:paraId="0ADE0C94">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开标时间和</w:t>
            </w:r>
          </w:p>
          <w:p w14:paraId="1C5B78A6">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组织开标地点</w:t>
            </w:r>
          </w:p>
        </w:tc>
        <w:tc>
          <w:tcPr>
            <w:tcW w:w="7078" w:type="dxa"/>
            <w:noWrap w:val="0"/>
            <w:vAlign w:val="center"/>
          </w:tcPr>
          <w:p w14:paraId="18EE3D0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开标时间：同投标截止时间</w:t>
            </w:r>
          </w:p>
          <w:p w14:paraId="7C9C368D">
            <w:pPr>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组织开标地点：武汉市武昌区中北路252号普提金商务中心A座10楼湖北省公共资源交易中心</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号开标厅。此地点仅为招标代理公司使用，投标人不需要到达现场。</w:t>
            </w:r>
          </w:p>
        </w:tc>
      </w:tr>
      <w:tr w14:paraId="1EEDA3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54" w:hRule="atLeast"/>
          <w:jc w:val="center"/>
        </w:trPr>
        <w:tc>
          <w:tcPr>
            <w:tcW w:w="937" w:type="dxa"/>
            <w:noWrap w:val="0"/>
            <w:vAlign w:val="center"/>
          </w:tcPr>
          <w:p w14:paraId="1ABFC86C">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24.2.1（5）</w:t>
            </w:r>
          </w:p>
        </w:tc>
        <w:tc>
          <w:tcPr>
            <w:tcW w:w="1935" w:type="dxa"/>
            <w:noWrap w:val="0"/>
            <w:vAlign w:val="center"/>
          </w:tcPr>
          <w:p w14:paraId="60FD2483">
            <w:pPr>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rPr>
              <w:t>解密时间</w:t>
            </w:r>
          </w:p>
        </w:tc>
        <w:tc>
          <w:tcPr>
            <w:tcW w:w="7078" w:type="dxa"/>
            <w:noWrap w:val="0"/>
            <w:vAlign w:val="center"/>
          </w:tcPr>
          <w:p w14:paraId="03CBCD7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招标人发出解密提示后30分钟内</w:t>
            </w:r>
          </w:p>
        </w:tc>
      </w:tr>
      <w:tr w14:paraId="61499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15" w:hRule="atLeast"/>
          <w:jc w:val="center"/>
        </w:trPr>
        <w:tc>
          <w:tcPr>
            <w:tcW w:w="937" w:type="dxa"/>
            <w:noWrap w:val="0"/>
            <w:vAlign w:val="center"/>
          </w:tcPr>
          <w:p w14:paraId="7A43C35A">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935" w:type="dxa"/>
            <w:noWrap w:val="0"/>
            <w:vAlign w:val="center"/>
          </w:tcPr>
          <w:p w14:paraId="368DED70">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评标委员会的组成</w:t>
            </w:r>
          </w:p>
        </w:tc>
        <w:tc>
          <w:tcPr>
            <w:tcW w:w="7078" w:type="dxa"/>
            <w:noWrap w:val="0"/>
            <w:vAlign w:val="center"/>
          </w:tcPr>
          <w:p w14:paraId="409A2E09">
            <w:pPr>
              <w:autoSpaceDE w:val="0"/>
              <w:autoSpaceDN w:val="0"/>
              <w:adjustRightInd w:val="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评标委员会由招标人的代表（</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val="zh-CN"/>
              </w:rPr>
              <w:t>）和有关技术、经济等方面的专家组成，成员人数为</w:t>
            </w:r>
            <w:r>
              <w:rPr>
                <w:rFonts w:hint="eastAsia" w:ascii="宋体" w:hAnsi="宋体" w:cs="宋体"/>
                <w:color w:val="auto"/>
                <w:sz w:val="24"/>
                <w:szCs w:val="24"/>
                <w:highlight w:val="none"/>
                <w:lang w:val="en-US" w:eastAsia="zh-CN"/>
              </w:rPr>
              <w:t>七</w:t>
            </w:r>
            <w:r>
              <w:rPr>
                <w:rFonts w:hint="eastAsia" w:ascii="宋体" w:hAnsi="宋体" w:eastAsia="宋体" w:cs="宋体"/>
                <w:color w:val="auto"/>
                <w:sz w:val="24"/>
                <w:szCs w:val="24"/>
                <w:highlight w:val="none"/>
                <w:lang w:val="zh-CN"/>
              </w:rPr>
              <w:t>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zh-CN"/>
              </w:rPr>
              <w:t>以上单数，其中技术、经济等方面的专家不得少于成员总数的三分之二。</w:t>
            </w:r>
          </w:p>
          <w:p w14:paraId="44AA818C">
            <w:pPr>
              <w:autoSpaceDE w:val="0"/>
              <w:autoSpaceDN w:val="0"/>
              <w:adjustRightInd w:val="0"/>
              <w:spacing w:line="240" w:lineRule="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color w:val="auto"/>
                <w:sz w:val="24"/>
                <w:szCs w:val="24"/>
                <w:highlight w:val="none"/>
              </w:rPr>
              <w:t>评标专家确定方式：从湖北省综合评标专家总库相应专业中随机抽取产生。</w:t>
            </w:r>
          </w:p>
        </w:tc>
      </w:tr>
      <w:tr w14:paraId="4B4AF1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154" w:hRule="atLeast"/>
          <w:jc w:val="center"/>
        </w:trPr>
        <w:tc>
          <w:tcPr>
            <w:tcW w:w="937" w:type="dxa"/>
            <w:noWrap w:val="0"/>
            <w:vAlign w:val="center"/>
          </w:tcPr>
          <w:p w14:paraId="10E00B5E">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w:t>
            </w:r>
          </w:p>
        </w:tc>
        <w:tc>
          <w:tcPr>
            <w:tcW w:w="1935" w:type="dxa"/>
            <w:noWrap w:val="0"/>
            <w:vAlign w:val="center"/>
          </w:tcPr>
          <w:p w14:paraId="034396FD">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评标办法</w:t>
            </w:r>
          </w:p>
        </w:tc>
        <w:tc>
          <w:tcPr>
            <w:tcW w:w="7078" w:type="dxa"/>
            <w:noWrap w:val="0"/>
            <w:vAlign w:val="center"/>
          </w:tcPr>
          <w:p w14:paraId="61941079">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综合评分法</w:t>
            </w:r>
          </w:p>
        </w:tc>
      </w:tr>
      <w:tr w14:paraId="7FD847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572" w:hRule="atLeast"/>
          <w:jc w:val="center"/>
        </w:trPr>
        <w:tc>
          <w:tcPr>
            <w:tcW w:w="937" w:type="dxa"/>
            <w:noWrap w:val="0"/>
            <w:vAlign w:val="center"/>
          </w:tcPr>
          <w:p w14:paraId="48DC71B7">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w:t>
            </w:r>
          </w:p>
        </w:tc>
        <w:tc>
          <w:tcPr>
            <w:tcW w:w="1935" w:type="dxa"/>
            <w:noWrap w:val="0"/>
            <w:vAlign w:val="center"/>
          </w:tcPr>
          <w:p w14:paraId="634A683A">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中标人确定方式</w:t>
            </w:r>
          </w:p>
        </w:tc>
        <w:tc>
          <w:tcPr>
            <w:tcW w:w="7078" w:type="dxa"/>
            <w:noWrap w:val="0"/>
            <w:vAlign w:val="center"/>
          </w:tcPr>
          <w:p w14:paraId="2DB8B85E">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评标委员会根据综合得分排名由高到低的顺序，按综合排名顺序推荐候选人名单。</w:t>
            </w:r>
          </w:p>
        </w:tc>
      </w:tr>
      <w:tr w14:paraId="3D37E0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37" w:type="dxa"/>
            <w:noWrap w:val="0"/>
            <w:vAlign w:val="center"/>
          </w:tcPr>
          <w:p w14:paraId="6E64FCB8">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w:t>
            </w:r>
          </w:p>
        </w:tc>
        <w:tc>
          <w:tcPr>
            <w:tcW w:w="1935" w:type="dxa"/>
            <w:noWrap w:val="0"/>
            <w:vAlign w:val="center"/>
          </w:tcPr>
          <w:p w14:paraId="6B7E9607">
            <w:pPr>
              <w:autoSpaceDE w:val="0"/>
              <w:autoSpaceDN w:val="0"/>
              <w:adjustRightInd w:val="0"/>
              <w:snapToGrid w:val="0"/>
              <w:spacing w:beforeLines="10" w:afterLines="10" w:line="240" w:lineRule="auto"/>
              <w:ind w:right="21" w:rightChars="10"/>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接收异议函的方式、联系部门、联系电话和通讯地址</w:t>
            </w:r>
          </w:p>
        </w:tc>
        <w:tc>
          <w:tcPr>
            <w:tcW w:w="7078" w:type="dxa"/>
            <w:noWrap w:val="0"/>
            <w:vAlign w:val="center"/>
          </w:tcPr>
          <w:p w14:paraId="0B439D0A">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投标人或者其他利害关系人对招标文件（包括对招标文件澄清和修改的内容）有异议的，应当在投标人须知前附表规定的投标截止时间10日前提出。招标人自收到异议之日起3日内作出答复；作出答复前，招标人将暂停招标投标活动。逾期提出的，招标人可不予受理。异议与答复应通过“电子交易平台”在“异议与答复”菜单以书面形式完成。</w:t>
            </w:r>
          </w:p>
          <w:p w14:paraId="66A265D9">
            <w:pPr>
              <w:autoSpaceDE w:val="0"/>
              <w:autoSpaceDN w:val="0"/>
              <w:adjustRightInd w:val="0"/>
              <w:snapToGrid w:val="0"/>
              <w:spacing w:beforeLines="10" w:afterLines="10" w:line="240" w:lineRule="auto"/>
              <w:ind w:right="21" w:rightChars="1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投标人在法定</w:t>
            </w:r>
            <w:r>
              <w:rPr>
                <w:rFonts w:hint="eastAsia" w:ascii="宋体" w:hAnsi="宋体" w:eastAsia="宋体" w:cs="宋体"/>
                <w:color w:val="auto"/>
                <w:kern w:val="0"/>
                <w:sz w:val="24"/>
                <w:szCs w:val="24"/>
                <w:highlight w:val="none"/>
                <w:lang w:eastAsia="zh-CN"/>
              </w:rPr>
              <w:t>异议</w:t>
            </w:r>
            <w:r>
              <w:rPr>
                <w:rFonts w:hint="eastAsia" w:ascii="宋体" w:hAnsi="宋体" w:eastAsia="宋体" w:cs="宋体"/>
                <w:color w:val="auto"/>
                <w:kern w:val="0"/>
                <w:sz w:val="24"/>
                <w:szCs w:val="24"/>
                <w:highlight w:val="none"/>
              </w:rPr>
              <w:t>期内应一次性提出针对</w:t>
            </w:r>
            <w:r>
              <w:rPr>
                <w:rFonts w:hint="eastAsia" w:ascii="宋体" w:hAnsi="宋体" w:eastAsia="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程序环节的</w:t>
            </w:r>
            <w:r>
              <w:rPr>
                <w:rFonts w:hint="eastAsia" w:ascii="宋体" w:hAnsi="宋体" w:eastAsia="宋体" w:cs="宋体"/>
                <w:color w:val="auto"/>
                <w:kern w:val="0"/>
                <w:sz w:val="24"/>
                <w:szCs w:val="24"/>
                <w:highlight w:val="none"/>
                <w:lang w:eastAsia="zh-CN"/>
              </w:rPr>
              <w:t>异议</w:t>
            </w:r>
            <w:r>
              <w:rPr>
                <w:rFonts w:hint="eastAsia" w:ascii="宋体" w:hAnsi="宋体" w:eastAsia="宋体" w:cs="宋体"/>
                <w:color w:val="auto"/>
                <w:kern w:val="0"/>
                <w:sz w:val="24"/>
                <w:szCs w:val="24"/>
                <w:highlight w:val="none"/>
              </w:rPr>
              <w:t>。</w:t>
            </w:r>
          </w:p>
        </w:tc>
      </w:tr>
      <w:tr w14:paraId="5F2C3D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276" w:hRule="atLeast"/>
          <w:jc w:val="center"/>
        </w:trPr>
        <w:tc>
          <w:tcPr>
            <w:tcW w:w="937" w:type="dxa"/>
            <w:noWrap w:val="0"/>
            <w:vAlign w:val="center"/>
          </w:tcPr>
          <w:p w14:paraId="22CA69A7">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935" w:type="dxa"/>
            <w:noWrap w:val="0"/>
            <w:vAlign w:val="center"/>
          </w:tcPr>
          <w:p w14:paraId="5E5F5A2C">
            <w:pPr>
              <w:autoSpaceDE w:val="0"/>
              <w:autoSpaceDN w:val="0"/>
              <w:adjustRightInd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履约保证金</w:t>
            </w:r>
          </w:p>
        </w:tc>
        <w:tc>
          <w:tcPr>
            <w:tcW w:w="7078" w:type="dxa"/>
            <w:noWrap w:val="0"/>
            <w:vAlign w:val="center"/>
          </w:tcPr>
          <w:p w14:paraId="1736D6E4">
            <w:pPr>
              <w:pStyle w:val="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p w14:paraId="422490EA">
            <w:pPr>
              <w:pStyle w:val="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14:paraId="03DF3B36">
            <w:pPr>
              <w:pStyle w:val="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履约保证金的形式：</w:t>
            </w:r>
            <w:r>
              <w:rPr>
                <w:rFonts w:hint="eastAsia" w:ascii="宋体" w:hAnsi="宋体" w:eastAsia="宋体" w:cs="宋体"/>
                <w:color w:val="auto"/>
                <w:sz w:val="24"/>
                <w:szCs w:val="24"/>
                <w:highlight w:val="none"/>
                <w:u w:val="none"/>
              </w:rPr>
              <w:t>不可变更、不可撤销、见索即付的独立</w:t>
            </w:r>
            <w:r>
              <w:rPr>
                <w:rFonts w:hint="eastAsia" w:ascii="宋体" w:hAnsi="宋体" w:eastAsia="宋体" w:cs="宋体"/>
                <w:color w:val="auto"/>
                <w:sz w:val="24"/>
                <w:szCs w:val="24"/>
                <w:highlight w:val="none"/>
                <w:u w:val="none"/>
                <w:lang w:val="en-US" w:eastAsia="zh-CN"/>
              </w:rPr>
              <w:t>银行</w:t>
            </w:r>
            <w:r>
              <w:rPr>
                <w:rFonts w:hint="eastAsia" w:ascii="宋体" w:hAnsi="宋体" w:eastAsia="宋体" w:cs="宋体"/>
                <w:color w:val="auto"/>
                <w:sz w:val="24"/>
                <w:szCs w:val="24"/>
                <w:highlight w:val="none"/>
                <w:u w:val="none"/>
              </w:rPr>
              <w:t>保函</w:t>
            </w:r>
          </w:p>
          <w:p w14:paraId="77971403">
            <w:pPr>
              <w:pStyle w:val="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履约担保金额：合同总价的5%</w:t>
            </w:r>
            <w:bookmarkStart w:id="531" w:name="_GoBack"/>
            <w:bookmarkEnd w:id="531"/>
          </w:p>
          <w:p w14:paraId="05B62C38">
            <w:pPr>
              <w:pStyle w:val="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履约保函的期限：有效截止日期为</w:t>
            </w: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rPr>
              <w:t>验收合格之日后</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日。</w:t>
            </w:r>
          </w:p>
        </w:tc>
      </w:tr>
      <w:tr w14:paraId="53B31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937" w:type="dxa"/>
            <w:noWrap w:val="0"/>
            <w:vAlign w:val="center"/>
          </w:tcPr>
          <w:p w14:paraId="0D004EF5">
            <w:pPr>
              <w:spacing w:line="24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p>
        </w:tc>
        <w:tc>
          <w:tcPr>
            <w:tcW w:w="1935" w:type="dxa"/>
            <w:noWrap w:val="0"/>
            <w:vAlign w:val="center"/>
          </w:tcPr>
          <w:p w14:paraId="0B9E7FFB">
            <w:pPr>
              <w:autoSpaceDE w:val="0"/>
              <w:autoSpaceDN w:val="0"/>
              <w:adjustRightInd w:val="0"/>
              <w:spacing w:line="240" w:lineRule="auto"/>
              <w:jc w:val="center"/>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其他要求</w:t>
            </w:r>
          </w:p>
        </w:tc>
        <w:tc>
          <w:tcPr>
            <w:tcW w:w="7078" w:type="dxa"/>
            <w:noWrap w:val="0"/>
            <w:vAlign w:val="center"/>
          </w:tcPr>
          <w:p w14:paraId="128CA815">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招标文件所有技术及商务要求所发生的一切费用均包含在投标报价中。对于</w:t>
            </w:r>
            <w:r>
              <w:rPr>
                <w:rFonts w:hint="eastAsia" w:ascii="宋体" w:hAnsi="宋体" w:eastAsia="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人提出的技术</w:t>
            </w:r>
            <w:r>
              <w:rPr>
                <w:rFonts w:hint="eastAsia" w:ascii="宋体" w:hAnsi="宋体" w:eastAsia="宋体" w:cs="宋体"/>
                <w:color w:val="auto"/>
                <w:kern w:val="0"/>
                <w:sz w:val="24"/>
                <w:szCs w:val="24"/>
                <w:highlight w:val="none"/>
                <w:lang w:eastAsia="zh-CN"/>
              </w:rPr>
              <w:t>指导、区域调度</w:t>
            </w:r>
            <w:r>
              <w:rPr>
                <w:rFonts w:hint="eastAsia" w:ascii="宋体" w:hAnsi="宋体" w:eastAsia="宋体" w:cs="宋体"/>
                <w:color w:val="auto"/>
                <w:kern w:val="0"/>
                <w:sz w:val="24"/>
                <w:szCs w:val="24"/>
                <w:highlight w:val="none"/>
              </w:rPr>
              <w:t>和</w:t>
            </w:r>
            <w:r>
              <w:rPr>
                <w:rFonts w:hint="eastAsia" w:ascii="宋体" w:hAnsi="宋体" w:eastAsia="宋体" w:cs="宋体"/>
                <w:color w:val="auto"/>
                <w:kern w:val="0"/>
                <w:sz w:val="24"/>
                <w:szCs w:val="24"/>
                <w:highlight w:val="none"/>
                <w:lang w:eastAsia="zh-CN"/>
              </w:rPr>
              <w:t>合理</w:t>
            </w:r>
            <w:r>
              <w:rPr>
                <w:rFonts w:hint="eastAsia" w:ascii="宋体" w:hAnsi="宋体" w:eastAsia="宋体" w:cs="宋体"/>
                <w:color w:val="auto"/>
                <w:kern w:val="0"/>
                <w:sz w:val="24"/>
                <w:szCs w:val="24"/>
                <w:highlight w:val="none"/>
              </w:rPr>
              <w:t>要求，中标人必须无条件服从并完成有关工作，不再另计费用。</w:t>
            </w:r>
          </w:p>
          <w:p w14:paraId="1502D443">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strike w:val="0"/>
                <w:dstrike w:val="0"/>
                <w:color w:val="auto"/>
                <w:kern w:val="0"/>
                <w:sz w:val="24"/>
                <w:szCs w:val="24"/>
                <w:highlight w:val="none"/>
                <w:lang w:val="en-US" w:eastAsia="zh-CN"/>
              </w:rPr>
              <w:t>2.本项目未经招标人</w:t>
            </w:r>
            <w:r>
              <w:rPr>
                <w:rFonts w:hint="eastAsia" w:ascii="宋体" w:hAnsi="宋体" w:eastAsia="宋体" w:cs="宋体"/>
                <w:color w:val="auto"/>
                <w:kern w:val="0"/>
                <w:sz w:val="24"/>
                <w:szCs w:val="24"/>
                <w:highlight w:val="none"/>
                <w:lang w:val="en-US" w:eastAsia="zh-CN"/>
              </w:rPr>
              <w:t>的书面允许，中标人不得随意私自分包转包</w:t>
            </w:r>
            <w:r>
              <w:rPr>
                <w:rFonts w:hint="eastAsia" w:ascii="宋体" w:hAnsi="宋体" w:eastAsia="宋体" w:cs="宋体"/>
                <w:strike w:val="0"/>
                <w:dstrike w:val="0"/>
                <w:color w:val="auto"/>
                <w:kern w:val="0"/>
                <w:sz w:val="24"/>
                <w:szCs w:val="24"/>
                <w:highlight w:val="none"/>
                <w:lang w:val="en-US" w:eastAsia="zh-CN"/>
              </w:rPr>
              <w:t>。</w:t>
            </w:r>
          </w:p>
        </w:tc>
      </w:tr>
    </w:tbl>
    <w:p w14:paraId="1988BC7D">
      <w:pPr>
        <w:rPr>
          <w:rFonts w:hint="eastAsia" w:ascii="宋体" w:hAnsi="宋体" w:eastAsia="宋体" w:cs="宋体"/>
          <w:color w:val="auto"/>
          <w:sz w:val="24"/>
          <w:szCs w:val="24"/>
          <w:highlight w:val="none"/>
        </w:rPr>
      </w:pPr>
      <w:bookmarkStart w:id="40" w:name="_Toc494528928"/>
      <w:bookmarkStart w:id="41" w:name="_Toc495388835"/>
      <w:bookmarkStart w:id="42" w:name="_Toc90539539"/>
      <w:bookmarkStart w:id="43" w:name="_Toc5773"/>
      <w:r>
        <w:rPr>
          <w:rFonts w:hint="eastAsia" w:ascii="宋体" w:hAnsi="宋体" w:eastAsia="宋体" w:cs="宋体"/>
          <w:color w:val="auto"/>
          <w:sz w:val="24"/>
          <w:szCs w:val="24"/>
          <w:highlight w:val="none"/>
        </w:rPr>
        <w:br w:type="page"/>
      </w:r>
    </w:p>
    <w:p w14:paraId="3FB3FE17">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lang w:val="zh-CN"/>
        </w:rPr>
      </w:pPr>
      <w:bookmarkStart w:id="44" w:name="_Toc29062"/>
      <w:bookmarkStart w:id="45" w:name="_Toc448"/>
      <w:bookmarkStart w:id="46" w:name="_Toc6972"/>
      <w:bookmarkStart w:id="47" w:name="_Toc11095"/>
      <w:bookmarkStart w:id="48" w:name="_Toc22542"/>
      <w:bookmarkStart w:id="49" w:name="_Toc9072"/>
      <w:r>
        <w:rPr>
          <w:rFonts w:hint="eastAsia" w:ascii="宋体" w:hAnsi="宋体" w:eastAsia="宋体" w:cs="宋体"/>
          <w:b/>
          <w:bCs/>
          <w:color w:val="auto"/>
          <w:sz w:val="24"/>
          <w:szCs w:val="24"/>
          <w:highlight w:val="none"/>
        </w:rPr>
        <w:t>投标人须知</w:t>
      </w:r>
      <w:bookmarkEnd w:id="40"/>
      <w:bookmarkEnd w:id="41"/>
      <w:bookmarkEnd w:id="42"/>
      <w:bookmarkEnd w:id="43"/>
      <w:bookmarkEnd w:id="44"/>
      <w:bookmarkEnd w:id="45"/>
      <w:bookmarkEnd w:id="46"/>
      <w:bookmarkEnd w:id="47"/>
      <w:bookmarkEnd w:id="48"/>
      <w:bookmarkEnd w:id="49"/>
    </w:p>
    <w:p w14:paraId="4CE0B80E">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50" w:name="_Toc27936"/>
      <w:bookmarkStart w:id="51" w:name="_Toc90539540"/>
      <w:bookmarkStart w:id="52" w:name="_Toc494528929"/>
      <w:bookmarkStart w:id="53" w:name="_Toc14254"/>
      <w:bookmarkStart w:id="54" w:name="_Toc5845"/>
      <w:bookmarkStart w:id="55" w:name="_Toc29655"/>
      <w:bookmarkStart w:id="56" w:name="_Toc495388836"/>
      <w:bookmarkStart w:id="57" w:name="_Toc8832"/>
      <w:r>
        <w:rPr>
          <w:rFonts w:hint="eastAsia" w:ascii="宋体" w:hAnsi="宋体" w:eastAsia="宋体" w:cs="宋体"/>
          <w:b/>
          <w:bCs/>
          <w:color w:val="auto"/>
          <w:sz w:val="24"/>
          <w:szCs w:val="24"/>
          <w:highlight w:val="none"/>
        </w:rPr>
        <w:t>一、总则</w:t>
      </w:r>
      <w:bookmarkEnd w:id="50"/>
      <w:bookmarkEnd w:id="51"/>
      <w:bookmarkEnd w:id="52"/>
      <w:bookmarkEnd w:id="53"/>
      <w:bookmarkEnd w:id="54"/>
      <w:bookmarkEnd w:id="55"/>
      <w:bookmarkEnd w:id="56"/>
      <w:bookmarkEnd w:id="57"/>
    </w:p>
    <w:p w14:paraId="4BCF1282">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58" w:name="_Toc495388837"/>
      <w:bookmarkStart w:id="59" w:name="_Toc90539541"/>
      <w:bookmarkStart w:id="60" w:name="_Toc494528930"/>
      <w:bookmarkStart w:id="61" w:name="_Toc7688"/>
      <w:r>
        <w:rPr>
          <w:rFonts w:hint="eastAsia" w:ascii="宋体" w:hAnsi="宋体" w:eastAsia="宋体" w:cs="宋体"/>
          <w:b/>
          <w:snapToGrid w:val="0"/>
          <w:color w:val="auto"/>
          <w:kern w:val="0"/>
          <w:sz w:val="24"/>
          <w:szCs w:val="24"/>
          <w:highlight w:val="none"/>
          <w:lang w:val="zh-CN" w:eastAsia="zh-CN" w:bidi="ar-SA"/>
        </w:rPr>
        <w:t>1.</w:t>
      </w:r>
      <w:r>
        <w:rPr>
          <w:rFonts w:hint="eastAsia" w:ascii="宋体" w:hAnsi="宋体" w:eastAsia="宋体" w:cs="宋体"/>
          <w:b/>
          <w:snapToGrid w:val="0"/>
          <w:color w:val="auto"/>
          <w:kern w:val="0"/>
          <w:sz w:val="24"/>
          <w:szCs w:val="24"/>
          <w:highlight w:val="none"/>
          <w:lang w:val="zh-CN"/>
        </w:rPr>
        <w:t>适用范围</w:t>
      </w:r>
      <w:bookmarkEnd w:id="58"/>
      <w:bookmarkEnd w:id="59"/>
      <w:bookmarkEnd w:id="60"/>
      <w:bookmarkEnd w:id="61"/>
    </w:p>
    <w:p w14:paraId="159E41C2">
      <w:pPr>
        <w:widowControl w:val="0"/>
        <w:numPr>
          <w:ilvl w:val="0"/>
          <w:numId w:val="0"/>
        </w:numPr>
        <w:tabs>
          <w:tab w:val="left" w:pos="525"/>
        </w:tabs>
        <w:wordWrap/>
        <w:autoSpaceDE w:val="0"/>
        <w:autoSpaceDN w:val="0"/>
        <w:adjustRightInd w:val="0"/>
        <w:snapToGrid/>
        <w:spacing w:line="360" w:lineRule="auto"/>
        <w:ind w:left="0" w:leftChars="0" w:firstLine="420" w:firstLineChars="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w:t>
      </w:r>
      <w:r>
        <w:rPr>
          <w:rFonts w:hint="eastAsia" w:ascii="宋体" w:hAnsi="宋体" w:eastAsia="宋体" w:cs="宋体"/>
          <w:snapToGrid w:val="0"/>
          <w:color w:val="auto"/>
          <w:kern w:val="0"/>
          <w:sz w:val="24"/>
          <w:szCs w:val="24"/>
          <w:highlight w:val="none"/>
          <w:lang w:val="zh-CN"/>
        </w:rPr>
        <w:t>本招标文件适用于本次公开招标中所述项目的招标。</w:t>
      </w:r>
    </w:p>
    <w:p w14:paraId="1B35F52F">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62" w:name="_Toc22745"/>
      <w:bookmarkStart w:id="63" w:name="_Toc90539542"/>
      <w:bookmarkStart w:id="64" w:name="_Toc494528931"/>
      <w:bookmarkStart w:id="65" w:name="_Toc495388838"/>
      <w:r>
        <w:rPr>
          <w:rFonts w:hint="eastAsia" w:ascii="宋体" w:hAnsi="宋体" w:eastAsia="宋体" w:cs="宋体"/>
          <w:b/>
          <w:snapToGrid w:val="0"/>
          <w:color w:val="auto"/>
          <w:kern w:val="0"/>
          <w:sz w:val="24"/>
          <w:szCs w:val="24"/>
          <w:highlight w:val="none"/>
          <w:lang w:val="zh-CN" w:eastAsia="zh-CN" w:bidi="ar-SA"/>
        </w:rPr>
        <w:t>2.</w:t>
      </w:r>
      <w:r>
        <w:rPr>
          <w:rFonts w:hint="eastAsia" w:ascii="宋体" w:hAnsi="宋体" w:eastAsia="宋体" w:cs="宋体"/>
          <w:b/>
          <w:snapToGrid w:val="0"/>
          <w:color w:val="auto"/>
          <w:kern w:val="0"/>
          <w:sz w:val="24"/>
          <w:szCs w:val="24"/>
          <w:highlight w:val="none"/>
          <w:lang w:val="zh-CN"/>
        </w:rPr>
        <w:t>定义</w:t>
      </w:r>
      <w:bookmarkEnd w:id="62"/>
      <w:bookmarkEnd w:id="63"/>
      <w:bookmarkEnd w:id="64"/>
      <w:bookmarkEnd w:id="65"/>
    </w:p>
    <w:p w14:paraId="32EDBF78">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2.1</w:t>
      </w:r>
      <w:r>
        <w:rPr>
          <w:rFonts w:hint="eastAsia" w:ascii="宋体" w:hAnsi="宋体" w:eastAsia="宋体" w:cs="宋体"/>
          <w:snapToGrid w:val="0"/>
          <w:color w:val="auto"/>
          <w:kern w:val="0"/>
          <w:sz w:val="24"/>
          <w:szCs w:val="24"/>
          <w:highlight w:val="none"/>
          <w:lang w:val="zh-CN"/>
        </w:rPr>
        <w:t>“招标人”:本次招标的招标人见《投标人须知前附表》。</w:t>
      </w:r>
    </w:p>
    <w:p w14:paraId="17CBC608">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2.2</w:t>
      </w:r>
      <w:r>
        <w:rPr>
          <w:rFonts w:hint="eastAsia" w:ascii="宋体" w:hAnsi="宋体" w:eastAsia="宋体" w:cs="宋体"/>
          <w:snapToGrid w:val="0"/>
          <w:color w:val="auto"/>
          <w:kern w:val="0"/>
          <w:sz w:val="24"/>
          <w:szCs w:val="24"/>
          <w:highlight w:val="none"/>
          <w:lang w:val="zh-CN"/>
        </w:rPr>
        <w:t>“监管部门”:本次招标的监管部门见《投标人须知前附表》。</w:t>
      </w:r>
    </w:p>
    <w:p w14:paraId="1BF472B3">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2.3</w:t>
      </w:r>
      <w:r>
        <w:rPr>
          <w:rFonts w:hint="eastAsia" w:ascii="宋体" w:hAnsi="宋体" w:eastAsia="宋体" w:cs="宋体"/>
          <w:snapToGrid w:val="0"/>
          <w:color w:val="auto"/>
          <w:kern w:val="0"/>
          <w:sz w:val="24"/>
          <w:szCs w:val="24"/>
          <w:highlight w:val="none"/>
          <w:lang w:val="zh-CN"/>
        </w:rPr>
        <w:t>“招标代理机构”:本次招标的招标代理机构为北京北卫旭博工程咨询有限公司。</w:t>
      </w:r>
    </w:p>
    <w:p w14:paraId="63F36978">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2.4</w:t>
      </w:r>
      <w:r>
        <w:rPr>
          <w:rFonts w:hint="eastAsia" w:ascii="宋体" w:hAnsi="宋体" w:eastAsia="宋体" w:cs="宋体"/>
          <w:snapToGrid w:val="0"/>
          <w:color w:val="auto"/>
          <w:kern w:val="0"/>
          <w:sz w:val="24"/>
          <w:szCs w:val="24"/>
          <w:highlight w:val="none"/>
          <w:lang w:val="zh-CN"/>
        </w:rPr>
        <w:t>“投标人”：</w:t>
      </w:r>
      <w:r>
        <w:rPr>
          <w:rFonts w:hint="eastAsia" w:ascii="宋体" w:hAnsi="宋体" w:eastAsia="宋体" w:cs="宋体"/>
          <w:snapToGrid w:val="0"/>
          <w:color w:val="auto"/>
          <w:kern w:val="0"/>
          <w:sz w:val="24"/>
          <w:szCs w:val="24"/>
          <w:highlight w:val="none"/>
        </w:rPr>
        <w:t>是指响应招标、参加投标竞争的法人</w:t>
      </w:r>
      <w:r>
        <w:rPr>
          <w:rFonts w:hint="eastAsia" w:ascii="宋体" w:hAnsi="宋体" w:eastAsia="宋体" w:cs="宋体"/>
          <w:snapToGrid w:val="0"/>
          <w:color w:val="auto"/>
          <w:kern w:val="0"/>
          <w:sz w:val="24"/>
          <w:szCs w:val="24"/>
          <w:highlight w:val="none"/>
          <w:lang w:val="en-US" w:eastAsia="zh-CN"/>
        </w:rPr>
        <w:t>组织</w:t>
      </w:r>
      <w:r>
        <w:rPr>
          <w:rFonts w:hint="eastAsia" w:ascii="宋体" w:hAnsi="宋体" w:eastAsia="宋体" w:cs="宋体"/>
          <w:snapToGrid w:val="0"/>
          <w:color w:val="auto"/>
          <w:kern w:val="0"/>
          <w:sz w:val="24"/>
          <w:szCs w:val="24"/>
          <w:highlight w:val="none"/>
        </w:rPr>
        <w:t>。</w:t>
      </w:r>
    </w:p>
    <w:p w14:paraId="475F0770">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（1）单位负责人为同一人或者存在直接控股、管理关系的不同投标人，不得参加同一合同项下的投标。</w:t>
      </w:r>
    </w:p>
    <w:p w14:paraId="60A480AB">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）总公司已参与本次投标，其分支机构不得参与投标。</w:t>
      </w:r>
    </w:p>
    <w:p w14:paraId="25CA00BB">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）国家法律法规对市场准入有要求的还应符合相关规定。</w:t>
      </w:r>
    </w:p>
    <w:p w14:paraId="2B4180CE">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2.5</w:t>
      </w:r>
      <w:r>
        <w:rPr>
          <w:rFonts w:hint="eastAsia" w:ascii="宋体" w:hAnsi="宋体" w:eastAsia="宋体" w:cs="宋体"/>
          <w:color w:val="auto"/>
          <w:kern w:val="0"/>
          <w:sz w:val="24"/>
          <w:szCs w:val="24"/>
          <w:highlight w:val="none"/>
        </w:rPr>
        <w:t>“中标人”是指经评标委员会评审推荐，</w:t>
      </w:r>
      <w:r>
        <w:rPr>
          <w:rFonts w:hint="eastAsia" w:ascii="宋体" w:hAnsi="宋体" w:eastAsia="宋体" w:cs="宋体"/>
          <w:color w:val="auto"/>
          <w:kern w:val="0"/>
          <w:sz w:val="24"/>
          <w:szCs w:val="24"/>
          <w:highlight w:val="none"/>
          <w:lang w:eastAsia="zh-CN"/>
        </w:rPr>
        <w:t>招标</w:t>
      </w:r>
      <w:r>
        <w:rPr>
          <w:rFonts w:hint="eastAsia" w:ascii="宋体" w:hAnsi="宋体" w:eastAsia="宋体" w:cs="宋体"/>
          <w:color w:val="auto"/>
          <w:kern w:val="0"/>
          <w:sz w:val="24"/>
          <w:szCs w:val="24"/>
          <w:highlight w:val="none"/>
        </w:rPr>
        <w:t>人授予</w:t>
      </w:r>
      <w:r>
        <w:rPr>
          <w:rFonts w:hint="eastAsia" w:ascii="宋体" w:hAnsi="宋体" w:eastAsia="宋体" w:cs="宋体"/>
          <w:color w:val="auto"/>
          <w:kern w:val="0"/>
          <w:sz w:val="24"/>
          <w:szCs w:val="24"/>
          <w:highlight w:val="none"/>
          <w:lang w:eastAsia="zh-CN"/>
        </w:rPr>
        <w:t>合同</w:t>
      </w:r>
      <w:r>
        <w:rPr>
          <w:rFonts w:hint="eastAsia" w:ascii="宋体" w:hAnsi="宋体" w:eastAsia="宋体" w:cs="宋体"/>
          <w:color w:val="auto"/>
          <w:kern w:val="0"/>
          <w:sz w:val="24"/>
          <w:szCs w:val="24"/>
          <w:highlight w:val="none"/>
        </w:rPr>
        <w:t>的投标人。</w:t>
      </w:r>
    </w:p>
    <w:p w14:paraId="5A808E1C">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66" w:name="_Toc495388839"/>
      <w:bookmarkStart w:id="67" w:name="_Toc494528932"/>
      <w:bookmarkStart w:id="68" w:name="_Toc6519"/>
      <w:bookmarkStart w:id="69" w:name="_Toc90539543"/>
      <w:r>
        <w:rPr>
          <w:rFonts w:hint="eastAsia" w:ascii="宋体" w:hAnsi="宋体" w:eastAsia="宋体" w:cs="宋体"/>
          <w:b/>
          <w:snapToGrid w:val="0"/>
          <w:color w:val="auto"/>
          <w:kern w:val="0"/>
          <w:sz w:val="24"/>
          <w:szCs w:val="24"/>
          <w:highlight w:val="none"/>
          <w:lang w:val="zh-CN" w:eastAsia="zh-CN" w:bidi="ar-SA"/>
        </w:rPr>
        <w:t>3.</w:t>
      </w:r>
      <w:r>
        <w:rPr>
          <w:rFonts w:hint="eastAsia" w:ascii="宋体" w:hAnsi="宋体" w:eastAsia="宋体" w:cs="宋体"/>
          <w:b/>
          <w:snapToGrid w:val="0"/>
          <w:color w:val="auto"/>
          <w:kern w:val="0"/>
          <w:sz w:val="24"/>
          <w:szCs w:val="24"/>
          <w:highlight w:val="none"/>
          <w:lang w:val="zh-CN"/>
        </w:rPr>
        <w:t>服务</w:t>
      </w:r>
      <w:bookmarkEnd w:id="66"/>
      <w:bookmarkEnd w:id="67"/>
      <w:bookmarkEnd w:id="68"/>
      <w:bookmarkEnd w:id="69"/>
    </w:p>
    <w:p w14:paraId="6D7E1583">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3.1</w:t>
      </w:r>
      <w:r>
        <w:rPr>
          <w:rFonts w:hint="eastAsia" w:ascii="宋体" w:hAnsi="宋体" w:eastAsia="宋体" w:cs="宋体"/>
          <w:snapToGrid w:val="0"/>
          <w:color w:val="auto"/>
          <w:kern w:val="0"/>
          <w:sz w:val="24"/>
          <w:szCs w:val="24"/>
          <w:highlight w:val="none"/>
          <w:lang w:val="en-US" w:eastAsia="zh-CN"/>
        </w:rPr>
        <w:t>本次招标</w:t>
      </w:r>
      <w:r>
        <w:rPr>
          <w:rFonts w:hint="eastAsia" w:ascii="宋体" w:hAnsi="宋体" w:eastAsia="宋体" w:cs="宋体"/>
          <w:snapToGrid w:val="0"/>
          <w:color w:val="auto"/>
          <w:kern w:val="0"/>
          <w:sz w:val="24"/>
          <w:szCs w:val="24"/>
          <w:highlight w:val="none"/>
          <w:lang w:val="zh-CN"/>
        </w:rPr>
        <w:t>“服务”是指</w:t>
      </w:r>
      <w:r>
        <w:rPr>
          <w:rFonts w:hint="eastAsia" w:ascii="宋体" w:hAnsi="宋体" w:eastAsia="宋体" w:cs="宋体"/>
          <w:color w:val="auto"/>
          <w:sz w:val="24"/>
          <w:szCs w:val="24"/>
          <w:highlight w:val="none"/>
          <w:lang w:val="en-US" w:eastAsia="zh-CN"/>
        </w:rPr>
        <w:t>法律法规及政策规定、人民法院、仲裁机关等及招标人要求由招标人委托的个人信贷档案资料录入服务</w:t>
      </w:r>
      <w:r>
        <w:rPr>
          <w:rFonts w:hint="eastAsia" w:ascii="宋体" w:hAnsi="宋体" w:eastAsia="宋体" w:cs="宋体"/>
          <w:snapToGrid w:val="0"/>
          <w:color w:val="auto"/>
          <w:kern w:val="0"/>
          <w:sz w:val="24"/>
          <w:szCs w:val="24"/>
          <w:highlight w:val="none"/>
          <w:lang w:val="zh-CN"/>
        </w:rPr>
        <w:t>。</w:t>
      </w:r>
    </w:p>
    <w:p w14:paraId="2ACA05CF">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70" w:name="_Toc90539544"/>
      <w:bookmarkStart w:id="71" w:name="_Toc14173"/>
      <w:bookmarkStart w:id="72" w:name="_Toc495388840"/>
      <w:bookmarkStart w:id="73" w:name="_Toc494528933"/>
      <w:r>
        <w:rPr>
          <w:rFonts w:hint="eastAsia" w:ascii="宋体" w:hAnsi="宋体" w:eastAsia="宋体" w:cs="宋体"/>
          <w:b/>
          <w:snapToGrid w:val="0"/>
          <w:color w:val="auto"/>
          <w:kern w:val="0"/>
          <w:sz w:val="24"/>
          <w:szCs w:val="24"/>
          <w:highlight w:val="none"/>
          <w:lang w:val="zh-CN" w:eastAsia="zh-CN" w:bidi="ar-SA"/>
        </w:rPr>
        <w:t>4.</w:t>
      </w:r>
      <w:r>
        <w:rPr>
          <w:rFonts w:hint="eastAsia" w:ascii="宋体" w:hAnsi="宋体" w:eastAsia="宋体" w:cs="宋体"/>
          <w:b/>
          <w:snapToGrid w:val="0"/>
          <w:color w:val="auto"/>
          <w:kern w:val="0"/>
          <w:sz w:val="24"/>
          <w:szCs w:val="24"/>
          <w:highlight w:val="none"/>
          <w:lang w:val="zh-CN"/>
        </w:rPr>
        <w:t>投标费用</w:t>
      </w:r>
      <w:bookmarkEnd w:id="70"/>
      <w:bookmarkEnd w:id="71"/>
      <w:bookmarkEnd w:id="72"/>
      <w:bookmarkEnd w:id="73"/>
    </w:p>
    <w:p w14:paraId="2B9FE5FC">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4.1</w:t>
      </w:r>
      <w:r>
        <w:rPr>
          <w:rFonts w:hint="eastAsia" w:ascii="宋体" w:hAnsi="宋体" w:eastAsia="宋体" w:cs="宋体"/>
          <w:snapToGrid w:val="0"/>
          <w:color w:val="auto"/>
          <w:kern w:val="0"/>
          <w:sz w:val="24"/>
          <w:szCs w:val="24"/>
          <w:highlight w:val="none"/>
          <w:lang w:val="zh-CN"/>
        </w:rPr>
        <w:t>投标人应承担所有与准备和参加投标有关的费用。不论投标的结果如何，招标人和招标代理机构均无义务和责任承担该费用。</w:t>
      </w:r>
    </w:p>
    <w:p w14:paraId="43955505">
      <w:pPr>
        <w:widowControl w:val="0"/>
        <w:numPr>
          <w:ilvl w:val="1"/>
          <w:numId w:val="0"/>
        </w:numPr>
        <w:tabs>
          <w:tab w:val="left" w:pos="525"/>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4.2</w:t>
      </w:r>
      <w:r>
        <w:rPr>
          <w:rFonts w:hint="eastAsia" w:ascii="宋体" w:hAnsi="宋体" w:eastAsia="宋体" w:cs="宋体"/>
          <w:snapToGrid w:val="0"/>
          <w:color w:val="auto"/>
          <w:kern w:val="0"/>
          <w:sz w:val="24"/>
          <w:szCs w:val="24"/>
          <w:highlight w:val="none"/>
          <w:lang w:val="zh-CN"/>
        </w:rPr>
        <w:t>服务费：中标人须在领取《中标通知书》的同时向招标代理机构支付服务费。服务费相关规定见《投标人须知前附表》。</w:t>
      </w:r>
    </w:p>
    <w:p w14:paraId="5F9466DD">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74" w:name="_Toc494528934"/>
      <w:bookmarkStart w:id="75" w:name="_Toc26011"/>
      <w:bookmarkStart w:id="76" w:name="_Toc19569"/>
      <w:bookmarkStart w:id="77" w:name="_Toc90539545"/>
      <w:bookmarkStart w:id="78" w:name="_Toc10985"/>
      <w:bookmarkStart w:id="79" w:name="_Toc11619"/>
      <w:bookmarkStart w:id="80" w:name="_Toc18835"/>
      <w:bookmarkStart w:id="81" w:name="_Toc495388841"/>
      <w:r>
        <w:rPr>
          <w:rFonts w:hint="eastAsia" w:ascii="宋体" w:hAnsi="宋体" w:eastAsia="宋体" w:cs="宋体"/>
          <w:b/>
          <w:bCs/>
          <w:color w:val="auto"/>
          <w:sz w:val="24"/>
          <w:szCs w:val="24"/>
          <w:highlight w:val="none"/>
        </w:rPr>
        <w:t>二、招标文件</w:t>
      </w:r>
      <w:bookmarkEnd w:id="74"/>
      <w:bookmarkEnd w:id="75"/>
      <w:bookmarkEnd w:id="76"/>
      <w:bookmarkEnd w:id="77"/>
      <w:bookmarkEnd w:id="78"/>
      <w:bookmarkEnd w:id="79"/>
      <w:bookmarkEnd w:id="80"/>
      <w:bookmarkEnd w:id="81"/>
    </w:p>
    <w:p w14:paraId="3E9C13AA">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82" w:name="_Toc3459"/>
      <w:bookmarkStart w:id="83" w:name="_Toc495388842"/>
      <w:bookmarkStart w:id="84" w:name="_Toc494528935"/>
      <w:bookmarkStart w:id="85" w:name="_Toc90539546"/>
      <w:r>
        <w:rPr>
          <w:rFonts w:hint="eastAsia" w:ascii="宋体" w:hAnsi="宋体" w:eastAsia="宋体" w:cs="宋体"/>
          <w:b/>
          <w:snapToGrid w:val="0"/>
          <w:color w:val="auto"/>
          <w:kern w:val="0"/>
          <w:sz w:val="24"/>
          <w:szCs w:val="24"/>
          <w:highlight w:val="none"/>
          <w:lang w:val="zh-CN" w:eastAsia="zh-CN" w:bidi="ar-SA"/>
        </w:rPr>
        <w:t>5.</w:t>
      </w:r>
      <w:r>
        <w:rPr>
          <w:rFonts w:hint="eastAsia" w:ascii="宋体" w:hAnsi="宋体" w:eastAsia="宋体" w:cs="宋体"/>
          <w:b/>
          <w:snapToGrid w:val="0"/>
          <w:color w:val="auto"/>
          <w:kern w:val="0"/>
          <w:sz w:val="24"/>
          <w:szCs w:val="24"/>
          <w:highlight w:val="none"/>
          <w:lang w:val="zh-CN"/>
        </w:rPr>
        <w:t>招标文件的构成</w:t>
      </w:r>
      <w:bookmarkEnd w:id="82"/>
      <w:bookmarkEnd w:id="83"/>
      <w:bookmarkEnd w:id="84"/>
      <w:bookmarkEnd w:id="85"/>
    </w:p>
    <w:p w14:paraId="3D18EDC0">
      <w:pPr>
        <w:widowControl w:val="0"/>
        <w:numPr>
          <w:ilvl w:val="1"/>
          <w:numId w:val="1"/>
        </w:numPr>
        <w:tabs>
          <w:tab w:val="left" w:pos="525"/>
          <w:tab w:val="clear" w:pos="360"/>
        </w:tabs>
        <w:wordWrap/>
        <w:autoSpaceDE w:val="0"/>
        <w:autoSpaceDN w:val="0"/>
        <w:adjustRightInd w:val="0"/>
        <w:spacing w:line="360" w:lineRule="auto"/>
        <w:ind w:left="0" w:leftChars="0" w:firstLine="420" w:firstLineChars="175"/>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本招标文件包括：</w:t>
      </w:r>
    </w:p>
    <w:p w14:paraId="62976CFE">
      <w:pPr>
        <w:widowControl w:val="0"/>
        <w:numPr>
          <w:ilvl w:val="0"/>
          <w:numId w:val="2"/>
        </w:numPr>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招标公告</w:t>
      </w:r>
    </w:p>
    <w:p w14:paraId="0EC39C98">
      <w:pPr>
        <w:widowControl w:val="0"/>
        <w:numPr>
          <w:ilvl w:val="0"/>
          <w:numId w:val="0"/>
        </w:numPr>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（2）投标人须知</w:t>
      </w:r>
    </w:p>
    <w:p w14:paraId="09B4CDEC">
      <w:pPr>
        <w:widowControl w:val="0"/>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（3）招标需求</w:t>
      </w:r>
    </w:p>
    <w:p w14:paraId="34EBFFFD">
      <w:pPr>
        <w:widowControl w:val="0"/>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（4）评标方法、步骤、标准</w:t>
      </w:r>
    </w:p>
    <w:p w14:paraId="0F27FCE8">
      <w:pPr>
        <w:widowControl w:val="0"/>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（5）协议文本</w:t>
      </w:r>
    </w:p>
    <w:p w14:paraId="7313F757">
      <w:pPr>
        <w:widowControl w:val="0"/>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（6）投标文件格式</w:t>
      </w:r>
    </w:p>
    <w:p w14:paraId="2CAC15A5">
      <w:pPr>
        <w:widowControl w:val="0"/>
        <w:tabs>
          <w:tab w:val="left" w:pos="525"/>
        </w:tabs>
        <w:wordWrap/>
        <w:autoSpaceDE w:val="0"/>
        <w:autoSpaceDN w:val="0"/>
        <w:adjustRightInd w:val="0"/>
        <w:spacing w:line="360" w:lineRule="auto"/>
        <w:ind w:firstLine="240" w:firstLineChars="1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（7）</w:t>
      </w:r>
      <w:r>
        <w:rPr>
          <w:rFonts w:hint="eastAsia" w:ascii="宋体" w:hAnsi="宋体" w:eastAsia="宋体" w:cs="宋体"/>
          <w:snapToGrid w:val="0"/>
          <w:color w:val="auto"/>
          <w:kern w:val="0"/>
          <w:sz w:val="24"/>
          <w:szCs w:val="24"/>
          <w:highlight w:val="none"/>
          <w:lang w:val="en-US" w:eastAsia="zh-CN"/>
        </w:rPr>
        <w:t>其他</w:t>
      </w:r>
      <w:r>
        <w:rPr>
          <w:rFonts w:hint="eastAsia" w:ascii="宋体" w:hAnsi="宋体" w:eastAsia="宋体" w:cs="宋体"/>
          <w:snapToGrid w:val="0"/>
          <w:color w:val="auto"/>
          <w:kern w:val="0"/>
          <w:sz w:val="24"/>
          <w:szCs w:val="24"/>
          <w:highlight w:val="none"/>
          <w:lang w:val="zh-CN"/>
        </w:rPr>
        <w:t>（如有）</w:t>
      </w:r>
    </w:p>
    <w:p w14:paraId="32C7B9E9">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86" w:name="_Toc90539547"/>
      <w:bookmarkStart w:id="87" w:name="_Toc24217"/>
      <w:bookmarkStart w:id="88" w:name="_Toc494528936"/>
      <w:bookmarkStart w:id="89" w:name="_Toc495388843"/>
      <w:r>
        <w:rPr>
          <w:rFonts w:hint="eastAsia" w:ascii="宋体" w:hAnsi="宋体" w:eastAsia="宋体" w:cs="宋体"/>
          <w:b/>
          <w:snapToGrid w:val="0"/>
          <w:color w:val="auto"/>
          <w:kern w:val="0"/>
          <w:sz w:val="24"/>
          <w:szCs w:val="24"/>
          <w:highlight w:val="none"/>
          <w:lang w:val="zh-CN" w:eastAsia="zh-CN" w:bidi="ar-SA"/>
        </w:rPr>
        <w:t>6.</w:t>
      </w:r>
      <w:r>
        <w:rPr>
          <w:rFonts w:hint="eastAsia" w:ascii="宋体" w:hAnsi="宋体" w:eastAsia="宋体" w:cs="宋体"/>
          <w:b/>
          <w:snapToGrid w:val="0"/>
          <w:color w:val="auto"/>
          <w:kern w:val="0"/>
          <w:sz w:val="24"/>
          <w:szCs w:val="24"/>
          <w:highlight w:val="none"/>
          <w:lang w:val="zh-CN"/>
        </w:rPr>
        <w:t>现场踏勘及答疑会</w:t>
      </w:r>
      <w:bookmarkEnd w:id="86"/>
      <w:bookmarkEnd w:id="87"/>
      <w:bookmarkEnd w:id="88"/>
      <w:bookmarkEnd w:id="89"/>
    </w:p>
    <w:p w14:paraId="5E7AEDDA">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6.1</w:t>
      </w:r>
      <w:r>
        <w:rPr>
          <w:rFonts w:hint="eastAsia" w:ascii="宋体" w:hAnsi="宋体" w:eastAsia="宋体" w:cs="宋体"/>
          <w:snapToGrid w:val="0"/>
          <w:color w:val="auto"/>
          <w:kern w:val="0"/>
          <w:sz w:val="24"/>
          <w:szCs w:val="24"/>
          <w:highlight w:val="none"/>
          <w:lang w:val="en-US" w:eastAsia="zh-CN"/>
        </w:rPr>
        <w:t>不安排现场踏勘及答疑会</w:t>
      </w:r>
      <w:r>
        <w:rPr>
          <w:rFonts w:hint="eastAsia" w:ascii="宋体" w:hAnsi="宋体" w:eastAsia="宋体" w:cs="宋体"/>
          <w:snapToGrid w:val="0"/>
          <w:color w:val="auto"/>
          <w:kern w:val="0"/>
          <w:sz w:val="24"/>
          <w:szCs w:val="24"/>
          <w:highlight w:val="none"/>
          <w:lang w:val="zh-CN"/>
        </w:rPr>
        <w:t>。</w:t>
      </w:r>
    </w:p>
    <w:p w14:paraId="783F4E58">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90" w:name="_Toc11993"/>
      <w:bookmarkStart w:id="91" w:name="_Toc494528937"/>
      <w:bookmarkStart w:id="92" w:name="_Toc90539548"/>
      <w:bookmarkStart w:id="93" w:name="_Toc495388844"/>
      <w:r>
        <w:rPr>
          <w:rFonts w:hint="eastAsia" w:ascii="宋体" w:hAnsi="宋体" w:eastAsia="宋体" w:cs="宋体"/>
          <w:b/>
          <w:snapToGrid w:val="0"/>
          <w:color w:val="auto"/>
          <w:kern w:val="0"/>
          <w:sz w:val="24"/>
          <w:szCs w:val="24"/>
          <w:highlight w:val="none"/>
          <w:lang w:val="zh-CN" w:eastAsia="zh-CN" w:bidi="ar-SA"/>
        </w:rPr>
        <w:t>7.</w:t>
      </w:r>
      <w:r>
        <w:rPr>
          <w:rFonts w:hint="eastAsia" w:ascii="宋体" w:hAnsi="宋体" w:eastAsia="宋体" w:cs="宋体"/>
          <w:b/>
          <w:snapToGrid w:val="0"/>
          <w:color w:val="auto"/>
          <w:kern w:val="0"/>
          <w:sz w:val="24"/>
          <w:szCs w:val="24"/>
          <w:highlight w:val="none"/>
          <w:lang w:val="zh-CN"/>
        </w:rPr>
        <w:t>澄清修改</w:t>
      </w:r>
      <w:bookmarkEnd w:id="90"/>
      <w:bookmarkEnd w:id="91"/>
      <w:bookmarkEnd w:id="92"/>
      <w:bookmarkEnd w:id="93"/>
    </w:p>
    <w:p w14:paraId="1A704AEB">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7.1</w:t>
      </w:r>
      <w:r>
        <w:rPr>
          <w:rFonts w:hint="eastAsia" w:ascii="宋体" w:hAnsi="宋体" w:eastAsia="宋体" w:cs="宋体"/>
          <w:snapToGrid w:val="0"/>
          <w:color w:val="auto"/>
          <w:kern w:val="0"/>
          <w:sz w:val="24"/>
          <w:szCs w:val="24"/>
          <w:highlight w:val="none"/>
          <w:lang w:val="zh-CN" w:eastAsia="zh-CN" w:bidi="ar-SA"/>
        </w:rPr>
        <w:t>招标文件的澄清</w:t>
      </w:r>
    </w:p>
    <w:p w14:paraId="77329E98">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7.1.1</w:t>
      </w:r>
      <w:r>
        <w:rPr>
          <w:rFonts w:hint="eastAsia" w:ascii="宋体" w:hAnsi="宋体" w:eastAsia="宋体" w:cs="宋体"/>
          <w:snapToGrid w:val="0"/>
          <w:color w:val="auto"/>
          <w:kern w:val="0"/>
          <w:sz w:val="24"/>
          <w:szCs w:val="24"/>
          <w:highlight w:val="none"/>
          <w:lang w:val="zh-CN" w:eastAsia="zh-CN" w:bidi="ar-SA"/>
        </w:rPr>
        <w:t>投标人应仔细阅读和检查招标文件的全部内容。如对招标文件有任何疑问，应在投标人须知前附表规定的时间前，使用CA数字证书登录“电子交易平台”，在“投标答疑”菜单以书面形式要求招标人对招标文件予以澄清。</w:t>
      </w:r>
    </w:p>
    <w:p w14:paraId="1BB05D69">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7.1.2</w:t>
      </w:r>
      <w:r>
        <w:rPr>
          <w:rFonts w:hint="eastAsia" w:ascii="宋体" w:hAnsi="宋体" w:eastAsia="宋体" w:cs="宋体"/>
          <w:snapToGrid w:val="0"/>
          <w:color w:val="auto"/>
          <w:kern w:val="0"/>
          <w:sz w:val="24"/>
          <w:szCs w:val="24"/>
          <w:highlight w:val="none"/>
          <w:lang w:val="zh-CN" w:eastAsia="zh-CN" w:bidi="ar-SA"/>
        </w:rPr>
        <w:t>招标人对招标文件的澄清通过“电子交易平台”发出，但不指明澄清问题的来源。如果澄清通知发出的时间距投标人须知前附表规定的投标截止时间不足15日，并且澄清的内容影响投标文件编制的，相应延长投标截止时间。</w:t>
      </w:r>
    </w:p>
    <w:p w14:paraId="2039B035">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bidi="ar-SA"/>
        </w:rPr>
        <w:t>7.1.3</w:t>
      </w:r>
      <w:r>
        <w:rPr>
          <w:rFonts w:hint="eastAsia" w:ascii="宋体" w:hAnsi="宋体" w:eastAsia="宋体" w:cs="宋体"/>
          <w:snapToGrid w:val="0"/>
          <w:color w:val="auto"/>
          <w:kern w:val="0"/>
          <w:sz w:val="24"/>
          <w:szCs w:val="24"/>
          <w:highlight w:val="none"/>
          <w:lang w:val="zh-CN" w:eastAsia="zh-CN" w:bidi="ar-SA"/>
        </w:rPr>
        <w:t>投标人应实时关注“电子交易台”上发出的澄清通知，因投标人自身原因未及时获知澄清内容而导致的任何后果将由投标人自行承担。</w:t>
      </w:r>
    </w:p>
    <w:p w14:paraId="38BD78DA">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7.2</w:t>
      </w:r>
      <w:r>
        <w:rPr>
          <w:rFonts w:hint="eastAsia" w:ascii="宋体" w:hAnsi="宋体" w:eastAsia="宋体" w:cs="宋体"/>
          <w:snapToGrid w:val="0"/>
          <w:color w:val="auto"/>
          <w:kern w:val="0"/>
          <w:sz w:val="24"/>
          <w:szCs w:val="24"/>
          <w:highlight w:val="none"/>
          <w:lang w:val="zh-CN" w:eastAsia="zh-CN" w:bidi="ar-SA"/>
        </w:rPr>
        <w:t>招标文件的修改</w:t>
      </w:r>
    </w:p>
    <w:p w14:paraId="593D352E">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7.2.1</w:t>
      </w:r>
      <w:r>
        <w:rPr>
          <w:rFonts w:hint="eastAsia" w:ascii="宋体" w:hAnsi="宋体" w:eastAsia="宋体" w:cs="宋体"/>
          <w:snapToGrid w:val="0"/>
          <w:color w:val="auto"/>
          <w:kern w:val="0"/>
          <w:sz w:val="24"/>
          <w:szCs w:val="24"/>
          <w:highlight w:val="none"/>
          <w:lang w:val="zh-CN" w:eastAsia="zh-CN" w:bidi="ar-SA"/>
        </w:rPr>
        <w:t>招标人可以书面形式修改招标文件，并通过“电子交易平台”发出。如果修改通知发出的时间距投标人须知前附表规定的投标截止时间不足15日，并且修改的内容影响投标文件编制的，相应延长投标截止时间。</w:t>
      </w:r>
    </w:p>
    <w:p w14:paraId="4B8A4A0E">
      <w:pPr>
        <w:widowControl w:val="0"/>
        <w:numPr>
          <w:ilvl w:val="1"/>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7.2.2</w:t>
      </w:r>
      <w:r>
        <w:rPr>
          <w:rFonts w:hint="eastAsia" w:ascii="宋体" w:hAnsi="宋体" w:eastAsia="宋体" w:cs="宋体"/>
          <w:snapToGrid w:val="0"/>
          <w:color w:val="auto"/>
          <w:kern w:val="0"/>
          <w:sz w:val="24"/>
          <w:szCs w:val="24"/>
          <w:highlight w:val="none"/>
          <w:lang w:val="zh-CN" w:eastAsia="zh-CN" w:bidi="ar-SA"/>
        </w:rPr>
        <w:t>投标人应实时关注“电子交易平台”上发出的修改通知，因投标人自身原因未及时获知修改内容而导致的任何后果将由投标人自行承担。</w:t>
      </w:r>
    </w:p>
    <w:p w14:paraId="63624354">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94" w:name="_Toc494528938"/>
      <w:bookmarkStart w:id="95" w:name="_Toc90539549"/>
      <w:bookmarkStart w:id="96" w:name="_Toc30496"/>
      <w:bookmarkStart w:id="97" w:name="_Toc495388845"/>
      <w:bookmarkStart w:id="98" w:name="_Toc10160"/>
      <w:bookmarkStart w:id="99" w:name="_Toc31015"/>
      <w:bookmarkStart w:id="100" w:name="_Toc22974"/>
      <w:bookmarkStart w:id="101" w:name="_Toc11315"/>
      <w:r>
        <w:rPr>
          <w:rFonts w:hint="eastAsia" w:ascii="宋体" w:hAnsi="宋体" w:eastAsia="宋体" w:cs="宋体"/>
          <w:b/>
          <w:bCs/>
          <w:color w:val="auto"/>
          <w:sz w:val="24"/>
          <w:szCs w:val="24"/>
          <w:highlight w:val="none"/>
        </w:rPr>
        <w:t>三、投标文件</w:t>
      </w:r>
      <w:bookmarkEnd w:id="94"/>
      <w:bookmarkEnd w:id="95"/>
      <w:bookmarkEnd w:id="96"/>
      <w:bookmarkEnd w:id="97"/>
      <w:bookmarkEnd w:id="98"/>
      <w:bookmarkEnd w:id="99"/>
      <w:bookmarkEnd w:id="100"/>
      <w:bookmarkEnd w:id="101"/>
    </w:p>
    <w:p w14:paraId="145875CE">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02" w:name="_Toc495388846"/>
      <w:bookmarkStart w:id="103" w:name="_Toc90539550"/>
      <w:bookmarkStart w:id="104" w:name="_Toc494528939"/>
      <w:bookmarkStart w:id="105" w:name="_Toc5010"/>
      <w:r>
        <w:rPr>
          <w:rFonts w:hint="eastAsia" w:ascii="宋体" w:hAnsi="宋体" w:eastAsia="宋体" w:cs="宋体"/>
          <w:b/>
          <w:snapToGrid w:val="0"/>
          <w:color w:val="auto"/>
          <w:kern w:val="0"/>
          <w:sz w:val="24"/>
          <w:szCs w:val="24"/>
          <w:highlight w:val="none"/>
          <w:lang w:val="zh-CN" w:eastAsia="zh-CN" w:bidi="ar-SA"/>
        </w:rPr>
        <w:t>8.</w:t>
      </w:r>
      <w:r>
        <w:rPr>
          <w:rFonts w:hint="eastAsia" w:ascii="宋体" w:hAnsi="宋体" w:eastAsia="宋体" w:cs="宋体"/>
          <w:b/>
          <w:snapToGrid w:val="0"/>
          <w:color w:val="auto"/>
          <w:kern w:val="0"/>
          <w:sz w:val="24"/>
          <w:szCs w:val="24"/>
          <w:highlight w:val="none"/>
          <w:lang w:val="zh-CN"/>
        </w:rPr>
        <w:t>投标的语言</w:t>
      </w:r>
      <w:bookmarkEnd w:id="102"/>
      <w:bookmarkEnd w:id="103"/>
      <w:bookmarkEnd w:id="104"/>
      <w:bookmarkEnd w:id="105"/>
    </w:p>
    <w:p w14:paraId="40D72BF6">
      <w:pPr>
        <w:widowControl w:val="0"/>
        <w:numPr>
          <w:ilvl w:val="0"/>
          <w:numId w:val="0"/>
        </w:numPr>
        <w:tabs>
          <w:tab w:val="left" w:pos="52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投标人提交的投标文件以及投标人与招标代理机构或招标人就有关投标的所有来往函电均应使用中文。</w:t>
      </w:r>
    </w:p>
    <w:p w14:paraId="3F5073BF">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06" w:name="_Toc494528940"/>
      <w:bookmarkStart w:id="107" w:name="_Toc495388847"/>
      <w:bookmarkStart w:id="108" w:name="_Toc90539551"/>
      <w:bookmarkStart w:id="109" w:name="_Toc20030"/>
      <w:r>
        <w:rPr>
          <w:rFonts w:hint="eastAsia" w:ascii="宋体" w:hAnsi="宋体" w:eastAsia="宋体" w:cs="宋体"/>
          <w:b/>
          <w:snapToGrid w:val="0"/>
          <w:color w:val="auto"/>
          <w:kern w:val="0"/>
          <w:sz w:val="24"/>
          <w:szCs w:val="24"/>
          <w:highlight w:val="none"/>
          <w:lang w:val="zh-CN" w:eastAsia="zh-CN" w:bidi="ar-SA"/>
        </w:rPr>
        <w:t>9.</w:t>
      </w:r>
      <w:r>
        <w:rPr>
          <w:rFonts w:hint="eastAsia" w:ascii="宋体" w:hAnsi="宋体" w:eastAsia="宋体" w:cs="宋体"/>
          <w:b/>
          <w:snapToGrid w:val="0"/>
          <w:color w:val="auto"/>
          <w:kern w:val="0"/>
          <w:sz w:val="24"/>
          <w:szCs w:val="24"/>
          <w:highlight w:val="none"/>
          <w:lang w:val="zh-CN"/>
        </w:rPr>
        <w:t>投标文件的构成</w:t>
      </w:r>
      <w:bookmarkEnd w:id="106"/>
      <w:bookmarkEnd w:id="107"/>
      <w:bookmarkEnd w:id="108"/>
      <w:bookmarkEnd w:id="109"/>
    </w:p>
    <w:p w14:paraId="26D3A121">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9.1</w:t>
      </w:r>
      <w:r>
        <w:rPr>
          <w:rFonts w:hint="eastAsia" w:ascii="宋体" w:hAnsi="宋体" w:eastAsia="宋体" w:cs="宋体"/>
          <w:snapToGrid w:val="0"/>
          <w:color w:val="auto"/>
          <w:kern w:val="0"/>
          <w:sz w:val="24"/>
          <w:szCs w:val="24"/>
          <w:highlight w:val="none"/>
          <w:lang w:val="zh-CN"/>
        </w:rPr>
        <w:t>投标人编制的投标文件</w:t>
      </w:r>
      <w:r>
        <w:rPr>
          <w:rFonts w:hint="eastAsia" w:ascii="宋体" w:hAnsi="宋体" w:eastAsia="宋体" w:cs="宋体"/>
          <w:snapToGrid w:val="0"/>
          <w:color w:val="auto"/>
          <w:kern w:val="0"/>
          <w:sz w:val="24"/>
          <w:szCs w:val="24"/>
          <w:highlight w:val="none"/>
          <w:lang w:val="en-US" w:eastAsia="zh-CN"/>
        </w:rPr>
        <w:t>参考第四章要求，</w:t>
      </w:r>
      <w:r>
        <w:rPr>
          <w:rFonts w:hint="eastAsia" w:ascii="宋体" w:hAnsi="宋体" w:eastAsia="宋体" w:cs="宋体"/>
          <w:snapToGrid w:val="0"/>
          <w:color w:val="auto"/>
          <w:kern w:val="0"/>
          <w:sz w:val="24"/>
          <w:szCs w:val="24"/>
          <w:highlight w:val="none"/>
          <w:lang w:val="zh-CN"/>
        </w:rPr>
        <w:t>但不少于本文件第六章格式要求中规定提供的内容。</w:t>
      </w:r>
    </w:p>
    <w:p w14:paraId="6AED5AB3">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9.2</w:t>
      </w:r>
      <w:r>
        <w:rPr>
          <w:rFonts w:hint="eastAsia" w:ascii="宋体" w:hAnsi="宋体" w:eastAsia="宋体" w:cs="宋体"/>
          <w:snapToGrid w:val="0"/>
          <w:color w:val="auto"/>
          <w:kern w:val="0"/>
          <w:sz w:val="24"/>
          <w:szCs w:val="24"/>
          <w:highlight w:val="none"/>
          <w:lang w:val="zh-CN"/>
        </w:rPr>
        <w:t>招标文件中要求提供的其他资料见《投标人须知前附表》。</w:t>
      </w:r>
    </w:p>
    <w:p w14:paraId="6F5629C5">
      <w:pPr>
        <w:widowControl w:val="0"/>
        <w:numPr>
          <w:ilvl w:val="3"/>
          <w:numId w:val="0"/>
        </w:numPr>
        <w:tabs>
          <w:tab w:val="left" w:pos="420"/>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10" w:name="_Toc90539552"/>
      <w:bookmarkStart w:id="111" w:name="_Toc24239"/>
      <w:bookmarkStart w:id="112" w:name="_Toc495388848"/>
      <w:bookmarkStart w:id="113" w:name="_Toc494528941"/>
      <w:r>
        <w:rPr>
          <w:rFonts w:hint="eastAsia" w:ascii="宋体" w:hAnsi="宋体" w:eastAsia="宋体" w:cs="宋体"/>
          <w:b/>
          <w:snapToGrid w:val="0"/>
          <w:color w:val="auto"/>
          <w:kern w:val="0"/>
          <w:sz w:val="24"/>
          <w:szCs w:val="24"/>
          <w:highlight w:val="none"/>
          <w:lang w:val="zh-CN" w:eastAsia="zh-CN" w:bidi="ar-SA"/>
        </w:rPr>
        <w:t>10.</w:t>
      </w:r>
      <w:r>
        <w:rPr>
          <w:rFonts w:hint="eastAsia" w:ascii="宋体" w:hAnsi="宋体" w:eastAsia="宋体" w:cs="宋体"/>
          <w:b/>
          <w:snapToGrid w:val="0"/>
          <w:color w:val="auto"/>
          <w:kern w:val="0"/>
          <w:sz w:val="24"/>
          <w:szCs w:val="24"/>
          <w:highlight w:val="none"/>
          <w:lang w:val="zh-CN"/>
        </w:rPr>
        <w:t>投标文件编制</w:t>
      </w:r>
      <w:bookmarkEnd w:id="110"/>
      <w:bookmarkEnd w:id="111"/>
      <w:bookmarkEnd w:id="112"/>
      <w:bookmarkEnd w:id="113"/>
    </w:p>
    <w:p w14:paraId="3A9F02CF">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10.1</w:t>
      </w:r>
      <w:r>
        <w:rPr>
          <w:rFonts w:hint="eastAsia" w:ascii="宋体" w:hAnsi="宋体" w:eastAsia="宋体" w:cs="宋体"/>
          <w:snapToGrid w:val="0"/>
          <w:color w:val="auto"/>
          <w:kern w:val="0"/>
          <w:sz w:val="24"/>
          <w:szCs w:val="24"/>
          <w:highlight w:val="none"/>
          <w:lang w:val="zh-CN" w:eastAsia="zh-CN" w:bidi="ar-SA"/>
        </w:rPr>
        <w:t>投标文件应按本招标文件“投标文件格式”进行编写，如有必要，可以增加附页，作为投标文件的组成部分。其中，投标函附录（如有）在满足招标文件实质性要求的基础上，可以提出比招标文件要求更有利于招标人的承诺。</w:t>
      </w:r>
    </w:p>
    <w:p w14:paraId="5F631E7B">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10.2</w:t>
      </w:r>
      <w:r>
        <w:rPr>
          <w:rFonts w:hint="eastAsia" w:ascii="宋体" w:hAnsi="宋体" w:eastAsia="宋体" w:cs="宋体"/>
          <w:snapToGrid w:val="0"/>
          <w:color w:val="auto"/>
          <w:kern w:val="0"/>
          <w:sz w:val="24"/>
          <w:szCs w:val="24"/>
          <w:highlight w:val="none"/>
          <w:lang w:val="zh-CN" w:eastAsia="zh-CN" w:bidi="ar-SA"/>
        </w:rPr>
        <w:t>投标文件应当对招标文件有关履约期限、投标有效期、质量要求、发包人要求、招标范围等实质性内容作出响应。</w:t>
      </w:r>
    </w:p>
    <w:p w14:paraId="1A19E74A">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10.3</w:t>
      </w:r>
      <w:r>
        <w:rPr>
          <w:rFonts w:hint="eastAsia" w:ascii="宋体" w:hAnsi="宋体" w:eastAsia="宋体" w:cs="宋体"/>
          <w:snapToGrid w:val="0"/>
          <w:color w:val="auto"/>
          <w:kern w:val="0"/>
          <w:sz w:val="24"/>
          <w:szCs w:val="24"/>
          <w:highlight w:val="none"/>
          <w:lang w:val="zh-CN" w:eastAsia="zh-CN" w:bidi="ar-SA"/>
        </w:rPr>
        <w:t>电子投标文件制作</w:t>
      </w:r>
    </w:p>
    <w:p w14:paraId="13683CE5">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（1）电子投标文件由投标人使用“电子交易平台”自带的“投标文件制作工具”制作生成。</w:t>
      </w:r>
    </w:p>
    <w:p w14:paraId="788A2C31">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（2）投标人在编制电子投标文件时应当建立分级目录，并按照标签提示导入相关内容。</w:t>
      </w:r>
    </w:p>
    <w:p w14:paraId="2F4881F6">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3）电子投标文件中的证明资料的“复印件”均为“原件的扫描件”，应从“电子交易平台”交易主体诚信库中选择，交易主体诚信库中没有的“复印件”，应以附件形式直接导入，未标示“复印件”的证明资料均应直接制作生成。</w:t>
      </w:r>
    </w:p>
    <w:p w14:paraId="14B569E4">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（4）投标文件格式文件要求“盖单位章”的地方，投标人应使用CA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0299C8FE">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（5）电子投标文件制作完成后，将生成一份加密的电子投标文件（后缀名为.HBSTF）和一份不加密的电子投标文件（后缀名为.NHBSTF）。</w:t>
      </w:r>
    </w:p>
    <w:p w14:paraId="6BA0898C">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（6）电子投标文件制作的具体方法详见“投标文件制作工具”中的帮助文档。</w:t>
      </w:r>
    </w:p>
    <w:p w14:paraId="6EC2083F">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bidi="ar-SA"/>
        </w:rPr>
        <w:t>10.4</w:t>
      </w:r>
      <w:r>
        <w:rPr>
          <w:rFonts w:hint="eastAsia" w:ascii="宋体" w:hAnsi="宋体" w:eastAsia="宋体" w:cs="宋体"/>
          <w:snapToGrid w:val="0"/>
          <w:color w:val="auto"/>
          <w:kern w:val="0"/>
          <w:sz w:val="24"/>
          <w:szCs w:val="24"/>
          <w:highlight w:val="none"/>
          <w:lang w:val="zh-CN" w:eastAsia="zh-CN" w:bidi="ar-SA"/>
        </w:rPr>
        <w:t>投标文件为加密电子投标文件一份。</w:t>
      </w:r>
    </w:p>
    <w:p w14:paraId="3AF03D0B">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14" w:name="_Toc494528942"/>
      <w:bookmarkStart w:id="115" w:name="_Toc16690"/>
      <w:bookmarkStart w:id="116" w:name="_Toc90539553"/>
      <w:bookmarkStart w:id="117" w:name="_Toc495388849"/>
      <w:r>
        <w:rPr>
          <w:rFonts w:hint="eastAsia" w:ascii="宋体" w:hAnsi="宋体" w:eastAsia="宋体" w:cs="宋体"/>
          <w:b/>
          <w:snapToGrid w:val="0"/>
          <w:color w:val="auto"/>
          <w:kern w:val="0"/>
          <w:sz w:val="24"/>
          <w:szCs w:val="24"/>
          <w:highlight w:val="none"/>
          <w:lang w:val="zh-CN" w:eastAsia="zh-CN" w:bidi="ar-SA"/>
        </w:rPr>
        <w:t>11.</w:t>
      </w:r>
      <w:r>
        <w:rPr>
          <w:rFonts w:hint="eastAsia" w:ascii="宋体" w:hAnsi="宋体" w:eastAsia="宋体" w:cs="宋体"/>
          <w:b/>
          <w:snapToGrid w:val="0"/>
          <w:color w:val="auto"/>
          <w:kern w:val="0"/>
          <w:sz w:val="24"/>
          <w:szCs w:val="24"/>
          <w:highlight w:val="none"/>
          <w:lang w:val="zh-CN"/>
        </w:rPr>
        <w:t>投标报价</w:t>
      </w:r>
      <w:bookmarkEnd w:id="114"/>
      <w:bookmarkEnd w:id="115"/>
      <w:bookmarkEnd w:id="116"/>
      <w:bookmarkEnd w:id="117"/>
    </w:p>
    <w:p w14:paraId="2BF141DB">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11.1</w:t>
      </w:r>
      <w:r>
        <w:rPr>
          <w:rFonts w:hint="eastAsia" w:ascii="宋体" w:hAnsi="宋体" w:eastAsia="宋体" w:cs="宋体"/>
          <w:snapToGrid w:val="0"/>
          <w:color w:val="auto"/>
          <w:kern w:val="0"/>
          <w:sz w:val="24"/>
          <w:szCs w:val="24"/>
          <w:highlight w:val="none"/>
          <w:lang w:val="zh-CN"/>
        </w:rPr>
        <w:t>投标人的报价均应以人民币进行报价。</w:t>
      </w:r>
    </w:p>
    <w:p w14:paraId="18539145">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11.2</w:t>
      </w:r>
      <w:r>
        <w:rPr>
          <w:rFonts w:hint="eastAsia" w:ascii="宋体" w:hAnsi="宋体" w:eastAsia="宋体" w:cs="宋体"/>
          <w:snapToGrid w:val="0"/>
          <w:color w:val="auto"/>
          <w:kern w:val="0"/>
          <w:sz w:val="24"/>
          <w:szCs w:val="24"/>
          <w:highlight w:val="none"/>
          <w:lang w:val="zh-CN"/>
        </w:rPr>
        <w:t>投标人应按照本招标文件</w:t>
      </w:r>
      <w:r>
        <w:rPr>
          <w:rFonts w:hint="eastAsia" w:ascii="宋体" w:hAnsi="宋体" w:eastAsia="宋体" w:cs="宋体"/>
          <w:snapToGrid w:val="0"/>
          <w:color w:val="auto"/>
          <w:kern w:val="0"/>
          <w:sz w:val="24"/>
          <w:szCs w:val="24"/>
          <w:highlight w:val="none"/>
        </w:rPr>
        <w:t>规定的报价方式</w:t>
      </w:r>
      <w:r>
        <w:rPr>
          <w:rFonts w:hint="eastAsia" w:ascii="宋体" w:hAnsi="宋体" w:eastAsia="宋体" w:cs="宋体"/>
          <w:snapToGrid w:val="0"/>
          <w:color w:val="auto"/>
          <w:kern w:val="0"/>
          <w:sz w:val="24"/>
          <w:szCs w:val="24"/>
          <w:highlight w:val="none"/>
          <w:lang w:val="zh-CN"/>
        </w:rPr>
        <w:t>进行报价，</w:t>
      </w:r>
      <w:r>
        <w:rPr>
          <w:rFonts w:hint="eastAsia" w:ascii="宋体" w:hAnsi="宋体" w:eastAsia="宋体" w:cs="宋体"/>
          <w:snapToGrid w:val="0"/>
          <w:color w:val="auto"/>
          <w:kern w:val="0"/>
          <w:sz w:val="24"/>
          <w:szCs w:val="24"/>
          <w:highlight w:val="none"/>
        </w:rPr>
        <w:t>具体报价方式</w:t>
      </w:r>
      <w:r>
        <w:rPr>
          <w:rFonts w:hint="eastAsia" w:ascii="宋体" w:hAnsi="宋体" w:eastAsia="宋体" w:cs="宋体"/>
          <w:snapToGrid w:val="0"/>
          <w:color w:val="auto"/>
          <w:kern w:val="0"/>
          <w:sz w:val="24"/>
          <w:szCs w:val="24"/>
          <w:highlight w:val="none"/>
          <w:lang w:val="zh-CN"/>
        </w:rPr>
        <w:t>见《投标人须知前附表》。投标总价中不得包含招标文件要求以外的内容，否则，在评标时不予核减。投标总价中也不得缺漏招标文件所要求的内容，否则，其投标将被视为无效投标。</w:t>
      </w:r>
    </w:p>
    <w:p w14:paraId="3FCA8ADD">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11.3</w:t>
      </w:r>
      <w:r>
        <w:rPr>
          <w:rFonts w:hint="eastAsia" w:ascii="宋体" w:hAnsi="宋体" w:eastAsia="宋体" w:cs="宋体"/>
          <w:snapToGrid w:val="0"/>
          <w:color w:val="auto"/>
          <w:kern w:val="0"/>
          <w:sz w:val="24"/>
          <w:szCs w:val="24"/>
          <w:highlight w:val="none"/>
          <w:lang w:val="zh-CN"/>
        </w:rPr>
        <w:t>投标人应根据本招标文件的规定和要求、市场价格水平及其走势、投标人的管理水平、投标人的方案和由这些因素决定的投标人之于本项目的成本水平等提出自己的报价。报价应合理，并包含完成本招标文件招标需求全部内容的所有费用，所有根据本招标文件或其它原因应由投标人支付的税款和其他应交纳的费用都应包括在投标人提交的投标报价中。</w:t>
      </w:r>
    </w:p>
    <w:p w14:paraId="1F93852C">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11.4</w:t>
      </w:r>
      <w:r>
        <w:rPr>
          <w:rFonts w:hint="eastAsia" w:ascii="宋体" w:hAnsi="宋体" w:eastAsia="宋体" w:cs="宋体"/>
          <w:snapToGrid w:val="0"/>
          <w:color w:val="auto"/>
          <w:kern w:val="0"/>
          <w:sz w:val="24"/>
          <w:szCs w:val="24"/>
          <w:highlight w:val="none"/>
          <w:lang w:val="zh-CN"/>
        </w:rPr>
        <w:t>投标人在投标文件中注明免费的项目将视为包含在投标总价中。</w:t>
      </w:r>
    </w:p>
    <w:p w14:paraId="22E9EC32">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11.5</w:t>
      </w:r>
      <w:r>
        <w:rPr>
          <w:rFonts w:hint="eastAsia" w:ascii="宋体" w:hAnsi="宋体" w:eastAsia="宋体" w:cs="宋体"/>
          <w:snapToGrid w:val="0"/>
          <w:color w:val="auto"/>
          <w:kern w:val="0"/>
          <w:sz w:val="24"/>
          <w:szCs w:val="24"/>
          <w:highlight w:val="none"/>
          <w:lang w:val="zh-CN"/>
        </w:rPr>
        <w:t>每一种招标内容只允许有一个</w:t>
      </w:r>
      <w:r>
        <w:rPr>
          <w:rFonts w:hint="eastAsia" w:ascii="宋体" w:hAnsi="宋体" w:eastAsia="宋体" w:cs="宋体"/>
          <w:snapToGrid w:val="0"/>
          <w:color w:val="auto"/>
          <w:kern w:val="0"/>
          <w:sz w:val="24"/>
          <w:szCs w:val="24"/>
          <w:highlight w:val="none"/>
          <w:lang w:val="en-US" w:eastAsia="zh-CN"/>
        </w:rPr>
        <w:t>最高</w:t>
      </w:r>
      <w:r>
        <w:rPr>
          <w:rFonts w:hint="eastAsia" w:ascii="宋体" w:hAnsi="宋体" w:eastAsia="宋体" w:cs="宋体"/>
          <w:snapToGrid w:val="0"/>
          <w:color w:val="auto"/>
          <w:kern w:val="0"/>
          <w:sz w:val="24"/>
          <w:szCs w:val="24"/>
          <w:highlight w:val="none"/>
          <w:lang w:val="zh-CN"/>
        </w:rPr>
        <w:t>报价，否则其投标将被视为无效投标。</w:t>
      </w:r>
    </w:p>
    <w:p w14:paraId="39D60FD7">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18" w:name="_Toc90539554"/>
      <w:bookmarkStart w:id="119" w:name="_Toc7833"/>
      <w:bookmarkStart w:id="120" w:name="_Toc495388850"/>
      <w:bookmarkStart w:id="121" w:name="_Toc494528943"/>
      <w:r>
        <w:rPr>
          <w:rFonts w:hint="eastAsia" w:ascii="宋体" w:hAnsi="宋体" w:eastAsia="宋体" w:cs="宋体"/>
          <w:b/>
          <w:snapToGrid w:val="0"/>
          <w:color w:val="auto"/>
          <w:kern w:val="0"/>
          <w:sz w:val="24"/>
          <w:szCs w:val="24"/>
          <w:highlight w:val="none"/>
          <w:lang w:val="zh-CN" w:eastAsia="zh-CN" w:bidi="ar-SA"/>
        </w:rPr>
        <w:t>12.</w:t>
      </w:r>
      <w:r>
        <w:rPr>
          <w:rFonts w:hint="eastAsia" w:ascii="宋体" w:hAnsi="宋体" w:eastAsia="宋体" w:cs="宋体"/>
          <w:b/>
          <w:snapToGrid w:val="0"/>
          <w:color w:val="auto"/>
          <w:kern w:val="0"/>
          <w:sz w:val="24"/>
          <w:szCs w:val="24"/>
          <w:highlight w:val="none"/>
          <w:lang w:val="zh-CN"/>
        </w:rPr>
        <w:t>备选方案</w:t>
      </w:r>
      <w:bookmarkEnd w:id="118"/>
      <w:bookmarkEnd w:id="119"/>
      <w:bookmarkEnd w:id="120"/>
      <w:bookmarkEnd w:id="121"/>
    </w:p>
    <w:p w14:paraId="55BF1139">
      <w:pPr>
        <w:widowControl w:val="0"/>
        <w:numPr>
          <w:ilvl w:val="1"/>
          <w:numId w:val="0"/>
        </w:numPr>
        <w:tabs>
          <w:tab w:val="left" w:pos="525"/>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12.1</w:t>
      </w:r>
      <w:r>
        <w:rPr>
          <w:rFonts w:hint="eastAsia" w:ascii="宋体" w:hAnsi="宋体" w:eastAsia="宋体" w:cs="宋体"/>
          <w:color w:val="auto"/>
          <w:sz w:val="24"/>
          <w:szCs w:val="24"/>
          <w:highlight w:val="none"/>
        </w:rPr>
        <w:t>本次招标</w:t>
      </w:r>
      <w:r>
        <w:rPr>
          <w:rFonts w:hint="eastAsia" w:ascii="宋体" w:hAnsi="宋体" w:eastAsia="宋体" w:cs="宋体"/>
          <w:snapToGrid w:val="0"/>
          <w:color w:val="auto"/>
          <w:kern w:val="0"/>
          <w:sz w:val="24"/>
          <w:szCs w:val="24"/>
          <w:highlight w:val="none"/>
          <w:lang w:val="zh-CN"/>
        </w:rPr>
        <w:t>不接受备选方案，若在投标文件中提交了备选方案，其投标将被视为无效投标。</w:t>
      </w:r>
    </w:p>
    <w:p w14:paraId="10E32A1F">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22" w:name="_Toc30274"/>
      <w:bookmarkStart w:id="123" w:name="_Toc494528944"/>
      <w:bookmarkStart w:id="124" w:name="_Toc495388851"/>
      <w:bookmarkStart w:id="125" w:name="_Toc90539555"/>
      <w:r>
        <w:rPr>
          <w:rFonts w:hint="eastAsia" w:ascii="宋体" w:hAnsi="宋体" w:eastAsia="宋体" w:cs="宋体"/>
          <w:b/>
          <w:snapToGrid w:val="0"/>
          <w:color w:val="auto"/>
          <w:kern w:val="0"/>
          <w:sz w:val="24"/>
          <w:szCs w:val="24"/>
          <w:highlight w:val="none"/>
          <w:lang w:val="zh-CN" w:eastAsia="zh-CN" w:bidi="ar-SA"/>
        </w:rPr>
        <w:t>13.</w:t>
      </w:r>
      <w:r>
        <w:rPr>
          <w:rFonts w:hint="eastAsia" w:ascii="宋体" w:hAnsi="宋体" w:eastAsia="宋体" w:cs="宋体"/>
          <w:b/>
          <w:snapToGrid w:val="0"/>
          <w:color w:val="auto"/>
          <w:kern w:val="0"/>
          <w:sz w:val="24"/>
          <w:szCs w:val="24"/>
          <w:highlight w:val="none"/>
          <w:lang w:val="zh-CN"/>
        </w:rPr>
        <w:t>联合体投标</w:t>
      </w:r>
      <w:bookmarkEnd w:id="122"/>
      <w:bookmarkEnd w:id="123"/>
      <w:bookmarkEnd w:id="124"/>
      <w:bookmarkEnd w:id="125"/>
    </w:p>
    <w:p w14:paraId="125E5CA7">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13.1</w:t>
      </w:r>
      <w:r>
        <w:rPr>
          <w:rFonts w:hint="eastAsia" w:ascii="宋体" w:hAnsi="宋体" w:eastAsia="宋体" w:cs="宋体"/>
          <w:snapToGrid w:val="0"/>
          <w:color w:val="auto"/>
          <w:kern w:val="0"/>
          <w:sz w:val="24"/>
          <w:szCs w:val="24"/>
          <w:highlight w:val="none"/>
          <w:lang w:val="zh-CN"/>
        </w:rPr>
        <w:t>本次招标</w:t>
      </w:r>
      <w:r>
        <w:rPr>
          <w:rFonts w:hint="eastAsia" w:ascii="宋体" w:hAnsi="宋体" w:eastAsia="宋体" w:cs="宋体"/>
          <w:snapToGrid w:val="0"/>
          <w:color w:val="auto"/>
          <w:kern w:val="0"/>
          <w:sz w:val="24"/>
          <w:szCs w:val="24"/>
          <w:highlight w:val="none"/>
          <w:lang w:val="en-US" w:eastAsia="zh-CN"/>
        </w:rPr>
        <w:t>不接受</w:t>
      </w:r>
      <w:r>
        <w:rPr>
          <w:rFonts w:hint="eastAsia" w:ascii="宋体" w:hAnsi="宋体" w:eastAsia="宋体" w:cs="宋体"/>
          <w:snapToGrid w:val="0"/>
          <w:color w:val="auto"/>
          <w:kern w:val="0"/>
          <w:sz w:val="24"/>
          <w:szCs w:val="24"/>
          <w:highlight w:val="none"/>
          <w:lang w:val="zh-CN"/>
        </w:rPr>
        <w:t>联合体投标。</w:t>
      </w:r>
    </w:p>
    <w:p w14:paraId="453F6A10">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26" w:name="_Toc494528945"/>
      <w:bookmarkStart w:id="127" w:name="_Toc90539556"/>
      <w:bookmarkStart w:id="128" w:name="_Toc495388852"/>
      <w:bookmarkStart w:id="129" w:name="_Toc25494"/>
      <w:r>
        <w:rPr>
          <w:rFonts w:hint="eastAsia" w:ascii="宋体" w:hAnsi="宋体" w:eastAsia="宋体" w:cs="宋体"/>
          <w:b/>
          <w:snapToGrid w:val="0"/>
          <w:color w:val="auto"/>
          <w:kern w:val="0"/>
          <w:sz w:val="24"/>
          <w:szCs w:val="24"/>
          <w:highlight w:val="none"/>
          <w:lang w:val="zh-CN" w:eastAsia="zh-CN" w:bidi="ar-SA"/>
        </w:rPr>
        <w:t>14.</w:t>
      </w:r>
      <w:r>
        <w:rPr>
          <w:rFonts w:hint="eastAsia" w:ascii="宋体" w:hAnsi="宋体" w:eastAsia="宋体" w:cs="宋体"/>
          <w:b/>
          <w:snapToGrid w:val="0"/>
          <w:color w:val="auto"/>
          <w:kern w:val="0"/>
          <w:sz w:val="24"/>
          <w:szCs w:val="24"/>
          <w:highlight w:val="none"/>
          <w:lang w:val="zh-CN"/>
        </w:rPr>
        <w:t>投标人应当提交的证明文件</w:t>
      </w:r>
      <w:bookmarkEnd w:id="126"/>
      <w:bookmarkEnd w:id="127"/>
      <w:bookmarkEnd w:id="128"/>
      <w:bookmarkEnd w:id="129"/>
    </w:p>
    <w:p w14:paraId="4EAF9FE5">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14.1</w:t>
      </w:r>
      <w:r>
        <w:rPr>
          <w:rFonts w:hint="eastAsia" w:ascii="宋体" w:hAnsi="宋体" w:eastAsia="宋体" w:cs="宋体"/>
          <w:snapToGrid w:val="0"/>
          <w:color w:val="auto"/>
          <w:kern w:val="0"/>
          <w:sz w:val="24"/>
          <w:szCs w:val="24"/>
          <w:highlight w:val="none"/>
          <w:lang w:val="zh-CN"/>
        </w:rPr>
        <w:t>投标人应提交证明其有资格参加投标，</w:t>
      </w:r>
      <w:r>
        <w:rPr>
          <w:rFonts w:hint="eastAsia" w:ascii="宋体" w:hAnsi="宋体" w:eastAsia="宋体" w:cs="宋体"/>
          <w:snapToGrid w:val="0"/>
          <w:color w:val="auto"/>
          <w:kern w:val="0"/>
          <w:sz w:val="24"/>
          <w:szCs w:val="24"/>
          <w:highlight w:val="none"/>
        </w:rPr>
        <w:t>且</w:t>
      </w:r>
      <w:r>
        <w:rPr>
          <w:rFonts w:hint="eastAsia" w:ascii="宋体" w:hAnsi="宋体" w:eastAsia="宋体" w:cs="宋体"/>
          <w:snapToGrid w:val="0"/>
          <w:color w:val="auto"/>
          <w:kern w:val="0"/>
          <w:sz w:val="24"/>
          <w:szCs w:val="24"/>
          <w:highlight w:val="none"/>
          <w:lang w:val="zh-CN"/>
        </w:rPr>
        <w:t>信誉良好</w:t>
      </w:r>
      <w:r>
        <w:rPr>
          <w:rFonts w:hint="eastAsia" w:ascii="宋体" w:hAnsi="宋体" w:eastAsia="宋体" w:cs="宋体"/>
          <w:snapToGrid w:val="0"/>
          <w:color w:val="auto"/>
          <w:kern w:val="0"/>
          <w:sz w:val="24"/>
          <w:szCs w:val="24"/>
          <w:highlight w:val="none"/>
        </w:rPr>
        <w:t>的</w:t>
      </w:r>
      <w:r>
        <w:rPr>
          <w:rFonts w:hint="eastAsia" w:ascii="宋体" w:hAnsi="宋体" w:eastAsia="宋体" w:cs="宋体"/>
          <w:snapToGrid w:val="0"/>
          <w:color w:val="auto"/>
          <w:kern w:val="0"/>
          <w:sz w:val="24"/>
          <w:szCs w:val="24"/>
          <w:highlight w:val="none"/>
          <w:lang w:val="zh-CN"/>
        </w:rPr>
        <w:t>证明文件，</w:t>
      </w:r>
      <w:r>
        <w:rPr>
          <w:rFonts w:hint="eastAsia" w:ascii="宋体" w:hAnsi="宋体" w:eastAsia="宋体" w:cs="宋体"/>
          <w:snapToGrid w:val="0"/>
          <w:color w:val="auto"/>
          <w:kern w:val="0"/>
          <w:sz w:val="24"/>
          <w:szCs w:val="24"/>
          <w:highlight w:val="none"/>
        </w:rPr>
        <w:t>具体</w:t>
      </w:r>
      <w:r>
        <w:rPr>
          <w:rFonts w:hint="eastAsia" w:ascii="宋体" w:hAnsi="宋体" w:eastAsia="宋体" w:cs="宋体"/>
          <w:snapToGrid w:val="0"/>
          <w:color w:val="auto"/>
          <w:kern w:val="0"/>
          <w:sz w:val="24"/>
          <w:szCs w:val="24"/>
          <w:highlight w:val="none"/>
          <w:lang w:val="zh-CN"/>
        </w:rPr>
        <w:t>见《投标人须知前附表》。</w:t>
      </w:r>
    </w:p>
    <w:p w14:paraId="13A01718">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14.2</w:t>
      </w:r>
      <w:r>
        <w:rPr>
          <w:rFonts w:hint="eastAsia" w:ascii="宋体" w:hAnsi="宋体" w:eastAsia="宋体" w:cs="宋体"/>
          <w:snapToGrid w:val="0"/>
          <w:color w:val="auto"/>
          <w:kern w:val="0"/>
          <w:sz w:val="24"/>
          <w:szCs w:val="24"/>
          <w:highlight w:val="none"/>
          <w:lang w:val="zh-CN"/>
        </w:rPr>
        <w:t>除本须知14.1要求的资格证明文件外，如国家法律法规对市场准入有要求的还应提交相关资格证明文件。</w:t>
      </w:r>
    </w:p>
    <w:p w14:paraId="5E98348A">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14.3</w:t>
      </w:r>
      <w:r>
        <w:rPr>
          <w:rFonts w:hint="eastAsia" w:ascii="宋体" w:hAnsi="宋体" w:eastAsia="宋体" w:cs="宋体"/>
          <w:snapToGrid w:val="0"/>
          <w:color w:val="auto"/>
          <w:kern w:val="0"/>
          <w:sz w:val="24"/>
          <w:szCs w:val="24"/>
          <w:highlight w:val="none"/>
          <w:lang w:val="zh-CN"/>
        </w:rPr>
        <w:t>证明材料仅限于投标人单位本身，股东单位和子公司的材料不能作为证明材料，但投标人单位母公司</w:t>
      </w:r>
      <w:r>
        <w:rPr>
          <w:rFonts w:hint="eastAsia" w:ascii="宋体" w:hAnsi="宋体" w:eastAsia="宋体" w:cs="宋体"/>
          <w:snapToGrid w:val="0"/>
          <w:color w:val="auto"/>
          <w:kern w:val="0"/>
          <w:sz w:val="24"/>
          <w:szCs w:val="24"/>
          <w:highlight w:val="none"/>
          <w:lang w:val="en-US" w:eastAsia="zh-CN"/>
        </w:rPr>
        <w:t>或分支机构</w:t>
      </w:r>
      <w:r>
        <w:rPr>
          <w:rFonts w:hint="eastAsia" w:ascii="宋体" w:hAnsi="宋体" w:eastAsia="宋体" w:cs="宋体"/>
          <w:snapToGrid w:val="0"/>
          <w:color w:val="auto"/>
          <w:kern w:val="0"/>
          <w:sz w:val="24"/>
          <w:szCs w:val="24"/>
          <w:highlight w:val="none"/>
          <w:lang w:val="zh-CN"/>
        </w:rPr>
        <w:t>的材料可作为证明材料。</w:t>
      </w:r>
    </w:p>
    <w:p w14:paraId="211437B0">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14.4投标人应具备承担本标段服务工作的资质条件、能力和信誉。</w:t>
      </w:r>
    </w:p>
    <w:p w14:paraId="0B3EB9F5">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（1）资质要求：见投标人须知附录一；</w:t>
      </w:r>
    </w:p>
    <w:p w14:paraId="7CA110FD">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（2）财务要求：见投标人须知附录一；</w:t>
      </w:r>
    </w:p>
    <w:p w14:paraId="1E93C90A">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（3）信誉要求：见投标人须知附录一；</w:t>
      </w:r>
    </w:p>
    <w:p w14:paraId="3D057450">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（4）其他要求：见投标人须知附录一。</w:t>
      </w:r>
    </w:p>
    <w:p w14:paraId="69EAB0B5">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14.5投标人须知前附表规定接受联合体投标的，联合体除应符合本章第14.4项和投标人须知前附表的要求外，还应遵守以下规定：</w:t>
      </w:r>
    </w:p>
    <w:p w14:paraId="2C751E4E">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（1）联合体各方应按招标文件提供的格式签订联合体协议书，明确联合体牵头人和各方权利义务，并承诺就中标项目向招标人承担连带责任；</w:t>
      </w:r>
    </w:p>
    <w:p w14:paraId="564070F3">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（2）由同一专业的单位组成的联合体，按照资质等级较低的单位确定资质等级；</w:t>
      </w:r>
    </w:p>
    <w:p w14:paraId="674C7196">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（3）联合体各方不得再以自己名义单独或参加其他联合体在同一标段中投标，否则各相关投标均无效。</w:t>
      </w:r>
    </w:p>
    <w:p w14:paraId="752514C6">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14.6投标人(包括联合体各成员)不得存在下列情形之一：</w:t>
      </w:r>
    </w:p>
    <w:p w14:paraId="15B9DBB9">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（1）为招标人不具有独立法人资格的附属机构(单位)；</w:t>
      </w:r>
    </w:p>
    <w:p w14:paraId="4557B312">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（2）与招标人存在利害关系且可能影响招标公正性；</w:t>
      </w:r>
    </w:p>
    <w:p w14:paraId="1BE383AA">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（3）与本标段的其他投标人同为一个单位负责人；</w:t>
      </w:r>
    </w:p>
    <w:p w14:paraId="5D897772">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（4）与本标段的其他投标人存在控股、管理关系；</w:t>
      </w:r>
    </w:p>
    <w:p w14:paraId="03109BCE">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（5）为本标段的代建人；</w:t>
      </w:r>
    </w:p>
    <w:p w14:paraId="49E63893">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（6）为本标段的招标代理机构；</w:t>
      </w:r>
    </w:p>
    <w:p w14:paraId="1E9DADE2">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（7）与本标段的代建人或招标代理机构同为一个法定代表人；</w:t>
      </w:r>
    </w:p>
    <w:p w14:paraId="3F7AE30E">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（8）与本标段的代建人或招标代理机构存在控股或参股关系；</w:t>
      </w:r>
    </w:p>
    <w:p w14:paraId="1856D3CA">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（9）被依法暂停或取消招标项目所在地的投标资格且处于有效期内；</w:t>
      </w:r>
    </w:p>
    <w:p w14:paraId="41807887">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（10）被责令停产停业、暂扣或吊销许可证、暂扣或吊销执照；</w:t>
      </w:r>
    </w:p>
    <w:p w14:paraId="52056CBB">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（11）进入清算程序，或被宣告破产，或其他丧失履约能力的情形；</w:t>
      </w:r>
    </w:p>
    <w:p w14:paraId="28B73605">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（12）在国家企业信用信息公示系统(http://www.gsxt.gov.cn/)中被列入严重违法失信企业名单；</w:t>
      </w:r>
    </w:p>
    <w:p w14:paraId="35CAEEA2">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（13）在“信用中国”网站(http://www.creditchina.gov.cn/)或“中国执行信息公开 网”</w:t>
      </w:r>
    </w:p>
    <w:p w14:paraId="3C333D7F">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（http://zxgk.court.gov.cn/shixin/）中被列入失信被执行人名单；</w:t>
      </w:r>
    </w:p>
    <w:p w14:paraId="76F98AF3">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（14）投标人或其法定代表人、拟委任的项目负责人在近三年内有行贿犯罪行为的；</w:t>
      </w:r>
    </w:p>
    <w:p w14:paraId="40B2F0DE">
      <w:pPr>
        <w:widowControl w:val="0"/>
        <w:numPr>
          <w:ilvl w:val="1"/>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（15）法律法规或投标人须知前附表规定的其他情形。</w:t>
      </w:r>
    </w:p>
    <w:p w14:paraId="457A7CB1">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30" w:name="_Toc13022"/>
      <w:bookmarkStart w:id="131" w:name="_Toc494528946"/>
      <w:bookmarkStart w:id="132" w:name="_Toc495388853"/>
      <w:bookmarkStart w:id="133" w:name="_Toc90539557"/>
      <w:r>
        <w:rPr>
          <w:rFonts w:hint="eastAsia" w:ascii="宋体" w:hAnsi="宋体" w:eastAsia="宋体" w:cs="宋体"/>
          <w:b/>
          <w:snapToGrid w:val="0"/>
          <w:color w:val="auto"/>
          <w:kern w:val="0"/>
          <w:sz w:val="24"/>
          <w:szCs w:val="24"/>
          <w:highlight w:val="none"/>
          <w:lang w:val="zh-CN" w:eastAsia="zh-CN" w:bidi="ar-SA"/>
        </w:rPr>
        <w:t>15.</w:t>
      </w:r>
      <w:r>
        <w:rPr>
          <w:rFonts w:hint="eastAsia" w:ascii="宋体" w:hAnsi="宋体" w:eastAsia="宋体" w:cs="宋体"/>
          <w:b/>
          <w:snapToGrid w:val="0"/>
          <w:color w:val="auto"/>
          <w:kern w:val="0"/>
          <w:sz w:val="24"/>
          <w:szCs w:val="24"/>
          <w:highlight w:val="none"/>
          <w:lang w:val="zh-CN"/>
        </w:rPr>
        <w:t>其他</w:t>
      </w:r>
      <w:r>
        <w:rPr>
          <w:rFonts w:hint="eastAsia" w:ascii="宋体" w:hAnsi="宋体" w:eastAsia="宋体" w:cs="宋体"/>
          <w:b/>
          <w:snapToGrid w:val="0"/>
          <w:color w:val="auto"/>
          <w:kern w:val="0"/>
          <w:sz w:val="24"/>
          <w:szCs w:val="24"/>
          <w:highlight w:val="none"/>
          <w:u w:val="none"/>
          <w:lang w:val="zh-CN"/>
        </w:rPr>
        <w:t>资料</w:t>
      </w:r>
      <w:bookmarkEnd w:id="130"/>
      <w:bookmarkEnd w:id="131"/>
      <w:bookmarkEnd w:id="132"/>
      <w:bookmarkEnd w:id="133"/>
    </w:p>
    <w:p w14:paraId="38DD3305">
      <w:pPr>
        <w:widowControl w:val="0"/>
        <w:numPr>
          <w:ilvl w:val="1"/>
          <w:numId w:val="3"/>
        </w:numPr>
        <w:tabs>
          <w:tab w:val="left" w:pos="0"/>
          <w:tab w:val="left" w:pos="1060"/>
          <w:tab w:val="clear" w:pos="465"/>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u w:val="none"/>
          <w:lang w:val="zh-CN"/>
        </w:rPr>
        <w:t>证明投标内容符合招标文件要求的文件和招标文件规定的其他资料，具体要求见《投标人须知前附表》。</w:t>
      </w:r>
    </w:p>
    <w:p w14:paraId="0E79DB63">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u w:val="none"/>
          <w:lang w:val="zh-CN"/>
        </w:rPr>
      </w:pPr>
      <w:bookmarkStart w:id="134" w:name="_Toc495388854"/>
      <w:bookmarkStart w:id="135" w:name="_Toc25263"/>
      <w:bookmarkStart w:id="136" w:name="_Toc90539558"/>
      <w:bookmarkStart w:id="137" w:name="_Toc494528947"/>
      <w:r>
        <w:rPr>
          <w:rFonts w:hint="eastAsia" w:ascii="宋体" w:hAnsi="宋体" w:eastAsia="宋体" w:cs="宋体"/>
          <w:b/>
          <w:snapToGrid w:val="0"/>
          <w:color w:val="auto"/>
          <w:kern w:val="0"/>
          <w:sz w:val="24"/>
          <w:szCs w:val="24"/>
          <w:highlight w:val="none"/>
          <w:lang w:val="zh-CN" w:eastAsia="zh-CN" w:bidi="ar-SA"/>
        </w:rPr>
        <w:t>16.</w:t>
      </w:r>
      <w:r>
        <w:rPr>
          <w:rFonts w:hint="eastAsia" w:ascii="宋体" w:hAnsi="宋体" w:eastAsia="宋体" w:cs="宋体"/>
          <w:b/>
          <w:snapToGrid w:val="0"/>
          <w:color w:val="auto"/>
          <w:kern w:val="0"/>
          <w:sz w:val="24"/>
          <w:szCs w:val="24"/>
          <w:highlight w:val="none"/>
          <w:u w:val="none"/>
          <w:lang w:val="zh-CN"/>
        </w:rPr>
        <w:t>投标保证金</w:t>
      </w:r>
      <w:bookmarkEnd w:id="134"/>
      <w:bookmarkEnd w:id="135"/>
      <w:bookmarkEnd w:id="136"/>
      <w:bookmarkEnd w:id="137"/>
    </w:p>
    <w:p w14:paraId="7D124FEC">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en-US" w:eastAsia="zh-CN"/>
        </w:rPr>
        <w:t>16.1</w:t>
      </w:r>
      <w:r>
        <w:rPr>
          <w:rFonts w:hint="eastAsia" w:ascii="宋体" w:hAnsi="宋体" w:eastAsia="宋体" w:cs="宋体"/>
          <w:b w:val="0"/>
          <w:bCs w:val="0"/>
          <w:snapToGrid w:val="0"/>
          <w:color w:val="auto"/>
          <w:kern w:val="0"/>
          <w:sz w:val="24"/>
          <w:szCs w:val="24"/>
          <w:highlight w:val="none"/>
          <w:u w:val="none"/>
          <w:lang w:val="zh-CN"/>
        </w:rPr>
        <w:t xml:space="preserve"> 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700E41DC">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en-US" w:eastAsia="zh-CN"/>
        </w:rPr>
        <w:t>16.2</w:t>
      </w:r>
      <w:r>
        <w:rPr>
          <w:rFonts w:hint="eastAsia" w:ascii="宋体" w:hAnsi="宋体" w:eastAsia="宋体" w:cs="宋体"/>
          <w:b w:val="0"/>
          <w:bCs w:val="0"/>
          <w:snapToGrid w:val="0"/>
          <w:color w:val="auto"/>
          <w:kern w:val="0"/>
          <w:sz w:val="24"/>
          <w:szCs w:val="24"/>
          <w:highlight w:val="none"/>
          <w:u w:val="none"/>
          <w:lang w:val="zh-CN"/>
        </w:rPr>
        <w:t>投标人不按本章相关条款要求提交投标保证金的，其投标将被否决。</w:t>
      </w:r>
    </w:p>
    <w:p w14:paraId="1DEF8C4A">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en-US" w:eastAsia="zh-CN"/>
        </w:rPr>
        <w:t>16.3</w:t>
      </w:r>
      <w:r>
        <w:rPr>
          <w:rFonts w:hint="eastAsia" w:ascii="宋体" w:hAnsi="宋体" w:eastAsia="宋体" w:cs="宋体"/>
          <w:b w:val="0"/>
          <w:bCs w:val="0"/>
          <w:snapToGrid w:val="0"/>
          <w:color w:val="auto"/>
          <w:kern w:val="0"/>
          <w:sz w:val="24"/>
          <w:szCs w:val="24"/>
          <w:highlight w:val="none"/>
          <w:u w:val="none"/>
          <w:lang w:val="zh-CN"/>
        </w:rPr>
        <w:t>评标结果公示期满后次日，非中标候选人的投标保证金按原路径自动退回；中标通知书发放（打印）日，第二、三名中标候选人的投标保证金按原路径自动退回；合同备案次日，中标人的投标保证金按原路径自动退回。招标人同时退还投标保证金的银行同期存款利息。投标保证金及利息的计息标准见投标人须知前附表。</w:t>
      </w:r>
    </w:p>
    <w:p w14:paraId="014BD207">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en-US" w:eastAsia="zh-CN"/>
        </w:rPr>
        <w:t>16.4</w:t>
      </w:r>
      <w:r>
        <w:rPr>
          <w:rFonts w:hint="eastAsia" w:ascii="宋体" w:hAnsi="宋体" w:eastAsia="宋体" w:cs="宋体"/>
          <w:b w:val="0"/>
          <w:bCs w:val="0"/>
          <w:snapToGrid w:val="0"/>
          <w:color w:val="auto"/>
          <w:kern w:val="0"/>
          <w:sz w:val="24"/>
          <w:szCs w:val="24"/>
          <w:highlight w:val="none"/>
          <w:u w:val="none"/>
          <w:lang w:val="zh-CN"/>
        </w:rPr>
        <w:t xml:space="preserve">有下列情形之一的，投标保证金将不予退还： </w:t>
      </w:r>
    </w:p>
    <w:p w14:paraId="269D2E37">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zh-CN"/>
        </w:rPr>
        <w:t>（1）投标人在规定的投标有效期内撤销或修改其投标文件；</w:t>
      </w:r>
    </w:p>
    <w:p w14:paraId="6FA12580">
      <w:pPr>
        <w:widowControl w:val="0"/>
        <w:tabs>
          <w:tab w:val="left" w:pos="360"/>
        </w:tabs>
        <w:wordWrap/>
        <w:autoSpaceDE w:val="0"/>
        <w:autoSpaceDN w:val="0"/>
        <w:adjustRightInd w:val="0"/>
        <w:spacing w:line="360" w:lineRule="auto"/>
        <w:ind w:firstLine="360" w:firstLineChars="150"/>
        <w:jc w:val="left"/>
        <w:textAlignment w:val="auto"/>
        <w:rPr>
          <w:rFonts w:hint="eastAsia" w:ascii="宋体" w:hAnsi="宋体" w:eastAsia="宋体" w:cs="宋体"/>
          <w:b w:val="0"/>
          <w:bCs w:val="0"/>
          <w:snapToGrid w:val="0"/>
          <w:color w:val="auto"/>
          <w:kern w:val="0"/>
          <w:sz w:val="24"/>
          <w:szCs w:val="24"/>
          <w:highlight w:val="none"/>
          <w:u w:val="none"/>
          <w:lang w:val="zh-CN"/>
        </w:rPr>
      </w:pPr>
      <w:r>
        <w:rPr>
          <w:rFonts w:hint="eastAsia" w:ascii="宋体" w:hAnsi="宋体" w:eastAsia="宋体" w:cs="宋体"/>
          <w:b w:val="0"/>
          <w:bCs w:val="0"/>
          <w:snapToGrid w:val="0"/>
          <w:color w:val="auto"/>
          <w:kern w:val="0"/>
          <w:sz w:val="24"/>
          <w:szCs w:val="24"/>
          <w:highlight w:val="none"/>
          <w:u w:val="none"/>
          <w:lang w:val="zh-CN"/>
        </w:rPr>
        <w:t>（2）中标人在收到中标通知书后，无正当理由拒签合同、在签订合同时向招标人提出附加条件或未按招标文件规定提交履约担保。</w:t>
      </w:r>
    </w:p>
    <w:p w14:paraId="3D1D31D8">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u w:val="none"/>
          <w:lang w:val="zh-CN"/>
        </w:rPr>
      </w:pPr>
      <w:bookmarkStart w:id="138" w:name="_Toc494528948"/>
      <w:bookmarkStart w:id="139" w:name="_Toc4079"/>
      <w:bookmarkStart w:id="140" w:name="_Toc495388855"/>
      <w:bookmarkStart w:id="141" w:name="_Toc90539559"/>
      <w:r>
        <w:rPr>
          <w:rFonts w:hint="eastAsia" w:ascii="宋体" w:hAnsi="宋体" w:eastAsia="宋体" w:cs="宋体"/>
          <w:b/>
          <w:snapToGrid w:val="0"/>
          <w:color w:val="auto"/>
          <w:kern w:val="0"/>
          <w:sz w:val="24"/>
          <w:szCs w:val="24"/>
          <w:highlight w:val="none"/>
          <w:lang w:val="zh-CN" w:eastAsia="zh-CN" w:bidi="ar-SA"/>
        </w:rPr>
        <w:t>17.</w:t>
      </w:r>
      <w:r>
        <w:rPr>
          <w:rFonts w:hint="eastAsia" w:ascii="宋体" w:hAnsi="宋体" w:eastAsia="宋体" w:cs="宋体"/>
          <w:b/>
          <w:snapToGrid w:val="0"/>
          <w:color w:val="auto"/>
          <w:kern w:val="0"/>
          <w:sz w:val="24"/>
          <w:szCs w:val="24"/>
          <w:highlight w:val="none"/>
          <w:u w:val="none"/>
          <w:lang w:val="zh-CN"/>
        </w:rPr>
        <w:t>投标有效期</w:t>
      </w:r>
      <w:bookmarkEnd w:id="138"/>
      <w:bookmarkEnd w:id="139"/>
      <w:bookmarkEnd w:id="140"/>
      <w:bookmarkEnd w:id="141"/>
    </w:p>
    <w:p w14:paraId="7C89EF61">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17.1</w:t>
      </w:r>
      <w:r>
        <w:rPr>
          <w:rFonts w:hint="eastAsia" w:ascii="宋体" w:hAnsi="宋体" w:eastAsia="宋体" w:cs="宋体"/>
          <w:snapToGrid w:val="0"/>
          <w:color w:val="auto"/>
          <w:kern w:val="0"/>
          <w:sz w:val="24"/>
          <w:szCs w:val="24"/>
          <w:highlight w:val="none"/>
          <w:u w:val="none"/>
          <w:lang w:val="zh-CN"/>
        </w:rPr>
        <w:t>投标有效期从提交投标文件的截止之日起算，本次招标投标有效期见《投标人须知前附表》，投标人承诺的投标有效期不足的，其投标将被视为无效投标。</w:t>
      </w:r>
    </w:p>
    <w:p w14:paraId="5938A9EB">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17.2</w:t>
      </w:r>
      <w:r>
        <w:rPr>
          <w:rFonts w:hint="eastAsia" w:ascii="宋体" w:hAnsi="宋体" w:eastAsia="宋体" w:cs="宋体"/>
          <w:snapToGrid w:val="0"/>
          <w:color w:val="auto"/>
          <w:kern w:val="0"/>
          <w:sz w:val="24"/>
          <w:szCs w:val="24"/>
          <w:highlight w:val="none"/>
          <w:u w:val="none"/>
          <w:lang w:val="zh-CN"/>
        </w:rPr>
        <w:t>特殊情况下，在原投标有效期截止之前，招标代理机构或招标人可要求投标人延长投标有效期。需要延长投标有效期时，招标人及招标代理机构将以书面形式通知所有获取招标文件的投标人，投标人应以书面形式答复是否同意延长投标有效期。投标人同意延长的，其投标保证金的有效期相应延长，但不得要求或被允许修改或撤销其投标文件；投标人拒绝延长的，其投标在原投标有效期满后将不再有效，投标人有权收回其投标保证金。</w:t>
      </w:r>
    </w:p>
    <w:p w14:paraId="27AE68FF">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u w:val="none"/>
          <w:lang w:val="en-US" w:eastAsia="zh-CN"/>
        </w:rPr>
      </w:pPr>
      <w:bookmarkStart w:id="142" w:name="_Toc495388856"/>
      <w:bookmarkStart w:id="143" w:name="_Toc90539560"/>
      <w:bookmarkStart w:id="144" w:name="_Toc20744"/>
      <w:bookmarkStart w:id="145" w:name="_Toc494528949"/>
      <w:r>
        <w:rPr>
          <w:rFonts w:hint="eastAsia" w:ascii="宋体" w:hAnsi="宋体" w:eastAsia="宋体" w:cs="宋体"/>
          <w:b/>
          <w:snapToGrid w:val="0"/>
          <w:color w:val="auto"/>
          <w:kern w:val="0"/>
          <w:sz w:val="24"/>
          <w:szCs w:val="24"/>
          <w:highlight w:val="none"/>
          <w:lang w:val="zh-CN" w:eastAsia="zh-CN" w:bidi="ar-SA"/>
        </w:rPr>
        <w:t>18.</w:t>
      </w:r>
      <w:r>
        <w:rPr>
          <w:rFonts w:hint="eastAsia" w:ascii="宋体" w:hAnsi="宋体" w:eastAsia="宋体" w:cs="宋体"/>
          <w:b/>
          <w:snapToGrid w:val="0"/>
          <w:color w:val="auto"/>
          <w:kern w:val="0"/>
          <w:sz w:val="24"/>
          <w:szCs w:val="24"/>
          <w:highlight w:val="none"/>
          <w:lang w:val="en-US" w:eastAsia="zh-CN" w:bidi="ar-SA"/>
        </w:rPr>
        <w:t>中标人需提供的</w:t>
      </w:r>
      <w:r>
        <w:rPr>
          <w:rFonts w:hint="eastAsia" w:ascii="宋体" w:hAnsi="宋体" w:eastAsia="宋体" w:cs="宋体"/>
          <w:b/>
          <w:snapToGrid w:val="0"/>
          <w:color w:val="auto"/>
          <w:kern w:val="0"/>
          <w:sz w:val="24"/>
          <w:szCs w:val="24"/>
          <w:highlight w:val="none"/>
          <w:u w:val="none"/>
          <w:lang w:val="zh-CN"/>
        </w:rPr>
        <w:t>投标文件数量</w:t>
      </w:r>
      <w:bookmarkEnd w:id="142"/>
      <w:bookmarkEnd w:id="143"/>
      <w:bookmarkEnd w:id="144"/>
      <w:bookmarkEnd w:id="145"/>
      <w:r>
        <w:rPr>
          <w:rFonts w:hint="eastAsia" w:ascii="宋体" w:hAnsi="宋体" w:eastAsia="宋体" w:cs="宋体"/>
          <w:b/>
          <w:snapToGrid w:val="0"/>
          <w:color w:val="auto"/>
          <w:kern w:val="0"/>
          <w:sz w:val="24"/>
          <w:szCs w:val="24"/>
          <w:highlight w:val="none"/>
          <w:u w:val="none"/>
          <w:lang w:val="en-US" w:eastAsia="zh-CN"/>
        </w:rPr>
        <w:t>及要求</w:t>
      </w:r>
    </w:p>
    <w:p w14:paraId="750E6A73">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18.1</w:t>
      </w:r>
      <w:r>
        <w:rPr>
          <w:rFonts w:hint="eastAsia" w:ascii="宋体" w:hAnsi="宋体" w:eastAsia="宋体" w:cs="宋体"/>
          <w:snapToGrid w:val="0"/>
          <w:color w:val="auto"/>
          <w:kern w:val="0"/>
          <w:sz w:val="24"/>
          <w:szCs w:val="24"/>
          <w:highlight w:val="none"/>
          <w:u w:val="none"/>
          <w:lang w:val="zh-CN"/>
        </w:rPr>
        <w:t>投标人提交的投标文件应包括正本、副本及完整的电子文档。本次招标投标人提交投标文件的正、副本和电子文档的数量见《投标须知前附表》。</w:t>
      </w:r>
    </w:p>
    <w:p w14:paraId="1B05D296">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18.2</w:t>
      </w:r>
      <w:r>
        <w:rPr>
          <w:rFonts w:hint="eastAsia" w:ascii="宋体" w:hAnsi="宋体" w:eastAsia="宋体" w:cs="宋体"/>
          <w:snapToGrid w:val="0"/>
          <w:color w:val="auto"/>
          <w:kern w:val="0"/>
          <w:sz w:val="24"/>
          <w:szCs w:val="24"/>
          <w:highlight w:val="none"/>
          <w:u w:val="none"/>
          <w:lang w:val="zh-CN"/>
        </w:rPr>
        <w:t>每套投标文件须清楚地标明“正本”、“副本”，投标文件的副本可采用正本的复印件，若副本与正本不符，以正本为准；电子文档与纸质文件不符，以纸质文件为准。</w:t>
      </w:r>
    </w:p>
    <w:p w14:paraId="12491E00">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18.3</w:t>
      </w:r>
      <w:r>
        <w:rPr>
          <w:rFonts w:hint="eastAsia" w:ascii="宋体" w:hAnsi="宋体" w:eastAsia="宋体" w:cs="宋体"/>
          <w:snapToGrid w:val="0"/>
          <w:color w:val="auto"/>
          <w:kern w:val="0"/>
          <w:sz w:val="24"/>
          <w:szCs w:val="24"/>
          <w:highlight w:val="none"/>
          <w:u w:val="none"/>
          <w:lang w:val="zh-CN"/>
        </w:rPr>
        <w:t>投标文件应该编制目录和页码。正本需打印或用不褪色墨水书写，由授权代表签字的，投标文件中应提交《法定代表人授权书》。</w:t>
      </w:r>
    </w:p>
    <w:p w14:paraId="08E266CE">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u w:val="none"/>
          <w:lang w:val="zh-CN"/>
        </w:rPr>
      </w:pPr>
      <w:r>
        <w:rPr>
          <w:rFonts w:hint="eastAsia" w:ascii="宋体" w:hAnsi="宋体" w:eastAsia="宋体" w:cs="宋体"/>
          <w:snapToGrid w:val="0"/>
          <w:color w:val="auto"/>
          <w:kern w:val="0"/>
          <w:sz w:val="24"/>
          <w:szCs w:val="24"/>
          <w:highlight w:val="none"/>
          <w:lang w:val="zh-CN" w:eastAsia="zh-CN" w:bidi="ar-SA"/>
        </w:rPr>
        <w:t>18.4</w:t>
      </w:r>
      <w:r>
        <w:rPr>
          <w:rFonts w:hint="eastAsia" w:ascii="宋体" w:hAnsi="宋体" w:eastAsia="宋体" w:cs="宋体"/>
          <w:snapToGrid w:val="0"/>
          <w:color w:val="auto"/>
          <w:kern w:val="0"/>
          <w:sz w:val="24"/>
          <w:szCs w:val="24"/>
          <w:highlight w:val="none"/>
          <w:u w:val="none"/>
          <w:lang w:val="zh-CN"/>
        </w:rPr>
        <w:t>投标文件中的任何行间插字、涂改和增删，必须由法定代表人或委托代理人在旁边签字方才有效。</w:t>
      </w:r>
    </w:p>
    <w:p w14:paraId="249EF0EA">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146" w:name="_Toc495388857"/>
      <w:bookmarkStart w:id="147" w:name="_Toc10690"/>
      <w:bookmarkStart w:id="148" w:name="_Toc30311"/>
      <w:bookmarkStart w:id="149" w:name="_Toc494528950"/>
      <w:bookmarkStart w:id="150" w:name="_Toc19477"/>
      <w:bookmarkStart w:id="151" w:name="_Toc90539561"/>
      <w:bookmarkStart w:id="152" w:name="_Toc9861"/>
      <w:bookmarkStart w:id="153" w:name="_Toc20940"/>
      <w:r>
        <w:rPr>
          <w:rFonts w:hint="eastAsia" w:ascii="宋体" w:hAnsi="宋体" w:eastAsia="宋体" w:cs="宋体"/>
          <w:b/>
          <w:bCs/>
          <w:color w:val="auto"/>
          <w:sz w:val="24"/>
          <w:szCs w:val="24"/>
          <w:highlight w:val="none"/>
        </w:rPr>
        <w:t>四、投标文件的递交</w:t>
      </w:r>
      <w:bookmarkEnd w:id="146"/>
      <w:bookmarkEnd w:id="147"/>
      <w:bookmarkEnd w:id="148"/>
      <w:bookmarkEnd w:id="149"/>
      <w:bookmarkEnd w:id="150"/>
      <w:bookmarkEnd w:id="151"/>
      <w:bookmarkEnd w:id="152"/>
      <w:bookmarkEnd w:id="153"/>
    </w:p>
    <w:p w14:paraId="09E20A6D">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eastAsia="zh-CN"/>
        </w:rPr>
      </w:pPr>
      <w:r>
        <w:rPr>
          <w:rFonts w:hint="eastAsia" w:ascii="宋体" w:hAnsi="宋体" w:eastAsia="宋体" w:cs="宋体"/>
          <w:b/>
          <w:snapToGrid w:val="0"/>
          <w:color w:val="auto"/>
          <w:kern w:val="0"/>
          <w:sz w:val="24"/>
          <w:szCs w:val="24"/>
          <w:highlight w:val="none"/>
          <w:lang w:val="en-US" w:eastAsia="zh-CN"/>
        </w:rPr>
        <w:t>19.</w:t>
      </w:r>
      <w:r>
        <w:rPr>
          <w:rFonts w:hint="eastAsia" w:ascii="宋体" w:hAnsi="宋体" w:eastAsia="宋体" w:cs="宋体"/>
          <w:b/>
          <w:snapToGrid w:val="0"/>
          <w:color w:val="auto"/>
          <w:kern w:val="0"/>
          <w:sz w:val="24"/>
          <w:szCs w:val="24"/>
          <w:highlight w:val="none"/>
          <w:lang w:val="zh-CN" w:eastAsia="zh-CN"/>
        </w:rPr>
        <w:t>投标文件的加密</w:t>
      </w:r>
    </w:p>
    <w:p w14:paraId="391B644F">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19.1</w:t>
      </w:r>
      <w:r>
        <w:rPr>
          <w:rFonts w:hint="eastAsia" w:ascii="宋体" w:hAnsi="宋体" w:eastAsia="宋体" w:cs="宋体"/>
          <w:snapToGrid w:val="0"/>
          <w:color w:val="auto"/>
          <w:kern w:val="0"/>
          <w:sz w:val="24"/>
          <w:szCs w:val="24"/>
          <w:highlight w:val="none"/>
          <w:lang w:val="zh-CN" w:eastAsia="zh-CN" w:bidi="ar-SA"/>
        </w:rPr>
        <w:t>电子投标文件的加密</w:t>
      </w:r>
    </w:p>
    <w:p w14:paraId="3A1C6BF8">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投标人应当按照本章相关条款要求制作电子投标文件，并在投标时上传加密的电子投标文件，未加密的电子投标文件，招标人（“电子交易平台”）将拒收并提示。</w:t>
      </w:r>
    </w:p>
    <w:p w14:paraId="5C16A299">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19.2</w:t>
      </w:r>
      <w:r>
        <w:rPr>
          <w:rFonts w:hint="eastAsia" w:ascii="宋体" w:hAnsi="宋体" w:eastAsia="宋体" w:cs="宋体"/>
          <w:snapToGrid w:val="0"/>
          <w:color w:val="auto"/>
          <w:kern w:val="0"/>
          <w:sz w:val="24"/>
          <w:szCs w:val="24"/>
          <w:highlight w:val="none"/>
          <w:lang w:val="zh-CN" w:eastAsia="zh-CN" w:bidi="ar-SA"/>
        </w:rPr>
        <w:t>投标文件的递交</w:t>
      </w:r>
    </w:p>
    <w:p w14:paraId="2E0A27AF">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19.2.1</w:t>
      </w:r>
      <w:r>
        <w:rPr>
          <w:rFonts w:hint="eastAsia" w:ascii="宋体" w:hAnsi="宋体" w:eastAsia="宋体" w:cs="宋体"/>
          <w:snapToGrid w:val="0"/>
          <w:color w:val="auto"/>
          <w:kern w:val="0"/>
          <w:sz w:val="24"/>
          <w:szCs w:val="24"/>
          <w:highlight w:val="none"/>
          <w:lang w:val="zh-CN" w:eastAsia="zh-CN" w:bidi="ar-SA"/>
        </w:rPr>
        <w:t>投标人递交投标文件的截止时间（投标截止时间）：见投标人须知前附表。</w:t>
      </w:r>
    </w:p>
    <w:p w14:paraId="62CDD8E9">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19.2.2</w:t>
      </w:r>
      <w:r>
        <w:rPr>
          <w:rFonts w:hint="eastAsia" w:ascii="宋体" w:hAnsi="宋体" w:eastAsia="宋体" w:cs="宋体"/>
          <w:snapToGrid w:val="0"/>
          <w:color w:val="auto"/>
          <w:kern w:val="0"/>
          <w:sz w:val="24"/>
          <w:szCs w:val="24"/>
          <w:highlight w:val="none"/>
          <w:lang w:val="zh-CN" w:eastAsia="zh-CN" w:bidi="ar-SA"/>
        </w:rPr>
        <w:t>投标人应当在投标截止时间前，通过互联网使用CA数字证书登录“电子交易平台”，选择所投标段（包）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12A146DA">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19.2.3</w:t>
      </w:r>
      <w:r>
        <w:rPr>
          <w:rFonts w:hint="eastAsia" w:ascii="宋体" w:hAnsi="宋体" w:eastAsia="宋体" w:cs="宋体"/>
          <w:snapToGrid w:val="0"/>
          <w:color w:val="auto"/>
          <w:kern w:val="0"/>
          <w:sz w:val="24"/>
          <w:szCs w:val="24"/>
          <w:highlight w:val="none"/>
          <w:lang w:val="zh-CN" w:eastAsia="zh-CN" w:bidi="ar-SA"/>
        </w:rPr>
        <w:t>除投标人须知前附表另有规定外，投标人所递交的投标文件不予退还。</w:t>
      </w:r>
    </w:p>
    <w:p w14:paraId="4B0D08A9">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54" w:name="_Toc90539570"/>
      <w:bookmarkStart w:id="155" w:name="_Toc494528959"/>
      <w:bookmarkStart w:id="156" w:name="_Toc495388866"/>
      <w:bookmarkStart w:id="157" w:name="_Toc1320"/>
      <w:bookmarkStart w:id="158" w:name="_Toc495388859"/>
      <w:bookmarkStart w:id="159" w:name="_Toc494528952"/>
      <w:bookmarkStart w:id="160" w:name="_Toc90539563"/>
      <w:r>
        <w:rPr>
          <w:rFonts w:hint="eastAsia" w:ascii="宋体" w:hAnsi="宋体" w:eastAsia="宋体" w:cs="宋体"/>
          <w:b/>
          <w:snapToGrid w:val="0"/>
          <w:color w:val="auto"/>
          <w:kern w:val="0"/>
          <w:sz w:val="24"/>
          <w:szCs w:val="24"/>
          <w:highlight w:val="none"/>
          <w:lang w:val="zh-CN" w:eastAsia="zh-CN" w:bidi="ar-SA"/>
        </w:rPr>
        <w:t>20.</w:t>
      </w:r>
      <w:r>
        <w:rPr>
          <w:rFonts w:hint="eastAsia" w:ascii="宋体" w:hAnsi="宋体" w:eastAsia="宋体" w:cs="宋体"/>
          <w:b/>
          <w:snapToGrid w:val="0"/>
          <w:color w:val="auto"/>
          <w:kern w:val="0"/>
          <w:sz w:val="24"/>
          <w:szCs w:val="24"/>
          <w:highlight w:val="none"/>
        </w:rPr>
        <w:t>评标</w:t>
      </w:r>
      <w:bookmarkEnd w:id="154"/>
      <w:bookmarkEnd w:id="155"/>
      <w:bookmarkEnd w:id="156"/>
      <w:bookmarkEnd w:id="157"/>
    </w:p>
    <w:p w14:paraId="17473BA3">
      <w:pPr>
        <w:widowControl w:val="0"/>
        <w:numPr>
          <w:ilvl w:val="0"/>
          <w:numId w:val="0"/>
        </w:numPr>
        <w:tabs>
          <w:tab w:val="left" w:pos="525"/>
          <w:tab w:val="left" w:pos="1060"/>
        </w:tabs>
        <w:wordWrap/>
        <w:autoSpaceDE w:val="0"/>
        <w:autoSpaceDN w:val="0"/>
        <w:adjustRightInd w:val="0"/>
        <w:spacing w:line="360" w:lineRule="auto"/>
        <w:ind w:left="0" w:leftChars="0" w:firstLine="420" w:firstLineChars="175"/>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20.1</w:t>
      </w:r>
      <w:r>
        <w:rPr>
          <w:rFonts w:hint="eastAsia" w:ascii="宋体" w:hAnsi="宋体" w:eastAsia="宋体" w:cs="宋体"/>
          <w:snapToGrid w:val="0"/>
          <w:color w:val="auto"/>
          <w:kern w:val="0"/>
          <w:sz w:val="24"/>
          <w:szCs w:val="24"/>
          <w:highlight w:val="none"/>
        </w:rPr>
        <w:t>评审专家应当严格遵守评审工作纪律，按照客观、公正、审慎的原则，根据招标文件规定的评审程序、评审方法和评审标准进行独立评审，详</w:t>
      </w:r>
      <w:r>
        <w:rPr>
          <w:rFonts w:hint="eastAsia" w:ascii="宋体" w:hAnsi="宋体" w:eastAsia="宋体" w:cs="宋体"/>
          <w:snapToGrid w:val="0"/>
          <w:color w:val="auto"/>
          <w:kern w:val="0"/>
          <w:sz w:val="24"/>
          <w:szCs w:val="24"/>
          <w:highlight w:val="none"/>
          <w:lang w:val="zh-CN"/>
        </w:rPr>
        <w:t>见第四章“评标方法”。</w:t>
      </w:r>
    </w:p>
    <w:p w14:paraId="30465987">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61" w:name="_Toc29091"/>
      <w:r>
        <w:rPr>
          <w:rFonts w:hint="eastAsia" w:ascii="宋体" w:hAnsi="宋体" w:eastAsia="宋体" w:cs="宋体"/>
          <w:b/>
          <w:snapToGrid w:val="0"/>
          <w:color w:val="auto"/>
          <w:kern w:val="0"/>
          <w:sz w:val="24"/>
          <w:szCs w:val="24"/>
          <w:highlight w:val="none"/>
          <w:lang w:val="zh-CN" w:eastAsia="zh-CN" w:bidi="ar-SA"/>
        </w:rPr>
        <w:t>21.</w:t>
      </w:r>
      <w:r>
        <w:rPr>
          <w:rFonts w:hint="eastAsia" w:ascii="宋体" w:hAnsi="宋体" w:eastAsia="宋体" w:cs="宋体"/>
          <w:b/>
          <w:snapToGrid w:val="0"/>
          <w:color w:val="auto"/>
          <w:kern w:val="0"/>
          <w:sz w:val="24"/>
          <w:szCs w:val="24"/>
          <w:highlight w:val="none"/>
          <w:lang w:val="zh-CN"/>
        </w:rPr>
        <w:t>投标文件送达地点及投标截止时间</w:t>
      </w:r>
      <w:bookmarkEnd w:id="158"/>
      <w:bookmarkEnd w:id="159"/>
      <w:bookmarkEnd w:id="160"/>
      <w:bookmarkEnd w:id="161"/>
    </w:p>
    <w:p w14:paraId="506E83F9">
      <w:pPr>
        <w:widowControl w:val="0"/>
        <w:numPr>
          <w:ilvl w:val="0"/>
          <w:numId w:val="0"/>
        </w:numPr>
        <w:tabs>
          <w:tab w:val="left" w:pos="525"/>
          <w:tab w:val="left" w:pos="630"/>
          <w:tab w:val="left" w:pos="1060"/>
        </w:tabs>
        <w:wordWrap/>
        <w:autoSpaceDE w:val="0"/>
        <w:autoSpaceDN w:val="0"/>
        <w:adjustRightInd w:val="0"/>
        <w:spacing w:line="360" w:lineRule="auto"/>
        <w:ind w:left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21.1</w:t>
      </w:r>
      <w:r>
        <w:rPr>
          <w:rFonts w:hint="eastAsia" w:ascii="宋体" w:hAnsi="宋体" w:eastAsia="宋体" w:cs="宋体"/>
          <w:snapToGrid w:val="0"/>
          <w:color w:val="auto"/>
          <w:kern w:val="0"/>
          <w:sz w:val="24"/>
          <w:szCs w:val="24"/>
          <w:highlight w:val="none"/>
          <w:lang w:val="zh-CN"/>
        </w:rPr>
        <w:t>本次招标的投标文件送达地点及投标截止时间见《投标人须知前附表》。</w:t>
      </w:r>
    </w:p>
    <w:p w14:paraId="6857C0C6">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62" w:name="_Toc495388860"/>
      <w:bookmarkStart w:id="163" w:name="_Toc90539564"/>
      <w:bookmarkStart w:id="164" w:name="_Toc494528953"/>
      <w:bookmarkStart w:id="165" w:name="_Toc21250"/>
      <w:r>
        <w:rPr>
          <w:rFonts w:hint="eastAsia" w:ascii="宋体" w:hAnsi="宋体" w:eastAsia="宋体" w:cs="宋体"/>
          <w:b/>
          <w:snapToGrid w:val="0"/>
          <w:color w:val="auto"/>
          <w:kern w:val="0"/>
          <w:sz w:val="24"/>
          <w:szCs w:val="24"/>
          <w:highlight w:val="none"/>
          <w:lang w:val="zh-CN" w:eastAsia="zh-CN" w:bidi="ar-SA"/>
        </w:rPr>
        <w:t>22.</w:t>
      </w:r>
      <w:r>
        <w:rPr>
          <w:rFonts w:hint="eastAsia" w:ascii="宋体" w:hAnsi="宋体" w:eastAsia="宋体" w:cs="宋体"/>
          <w:b/>
          <w:snapToGrid w:val="0"/>
          <w:color w:val="auto"/>
          <w:kern w:val="0"/>
          <w:sz w:val="24"/>
          <w:szCs w:val="24"/>
          <w:highlight w:val="none"/>
          <w:lang w:val="zh-CN"/>
        </w:rPr>
        <w:t>迟交的投标文件</w:t>
      </w:r>
      <w:bookmarkEnd w:id="162"/>
      <w:bookmarkEnd w:id="163"/>
      <w:bookmarkEnd w:id="164"/>
      <w:bookmarkEnd w:id="165"/>
    </w:p>
    <w:p w14:paraId="159665B1">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22.1</w:t>
      </w:r>
      <w:r>
        <w:rPr>
          <w:rFonts w:hint="eastAsia" w:ascii="宋体" w:hAnsi="宋体" w:eastAsia="宋体" w:cs="宋体"/>
          <w:snapToGrid w:val="0"/>
          <w:color w:val="auto"/>
          <w:kern w:val="0"/>
          <w:sz w:val="24"/>
          <w:szCs w:val="24"/>
          <w:highlight w:val="none"/>
          <w:lang w:val="zh-CN"/>
        </w:rPr>
        <w:t>在投标截止时间以后送达的投标文件，不论何种原因，招标代理机构将拒收。</w:t>
      </w:r>
    </w:p>
    <w:p w14:paraId="63E5E79E">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66" w:name="_Toc495388861"/>
      <w:bookmarkStart w:id="167" w:name="_Toc13286"/>
      <w:bookmarkStart w:id="168" w:name="_Toc90539565"/>
      <w:bookmarkStart w:id="169" w:name="_Toc494528954"/>
      <w:r>
        <w:rPr>
          <w:rFonts w:hint="eastAsia" w:ascii="宋体" w:hAnsi="宋体" w:eastAsia="宋体" w:cs="宋体"/>
          <w:b/>
          <w:snapToGrid w:val="0"/>
          <w:color w:val="auto"/>
          <w:kern w:val="0"/>
          <w:sz w:val="24"/>
          <w:szCs w:val="24"/>
          <w:highlight w:val="none"/>
          <w:lang w:val="zh-CN" w:eastAsia="zh-CN" w:bidi="ar-SA"/>
        </w:rPr>
        <w:t>23.</w:t>
      </w:r>
      <w:r>
        <w:rPr>
          <w:rFonts w:hint="eastAsia" w:ascii="宋体" w:hAnsi="宋体" w:eastAsia="宋体" w:cs="宋体"/>
          <w:b/>
          <w:snapToGrid w:val="0"/>
          <w:color w:val="auto"/>
          <w:kern w:val="0"/>
          <w:sz w:val="24"/>
          <w:szCs w:val="24"/>
          <w:highlight w:val="none"/>
          <w:lang w:val="zh-CN"/>
        </w:rPr>
        <w:t>投标文件的修改和撤回</w:t>
      </w:r>
      <w:bookmarkEnd w:id="166"/>
      <w:bookmarkEnd w:id="167"/>
      <w:bookmarkEnd w:id="168"/>
      <w:bookmarkEnd w:id="169"/>
    </w:p>
    <w:p w14:paraId="2843C9BE">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23.1</w:t>
      </w:r>
      <w:r>
        <w:rPr>
          <w:rFonts w:hint="eastAsia" w:ascii="宋体" w:hAnsi="宋体" w:eastAsia="宋体" w:cs="宋体"/>
          <w:snapToGrid w:val="0"/>
          <w:color w:val="auto"/>
          <w:kern w:val="0"/>
          <w:sz w:val="24"/>
          <w:szCs w:val="24"/>
          <w:highlight w:val="none"/>
          <w:lang w:val="zh-CN" w:eastAsia="zh-CN" w:bidi="ar-SA"/>
        </w:rPr>
        <w:t>在规定的投标截止时间前，投标人可以修改或撤回已递交的投标文件。</w:t>
      </w:r>
    </w:p>
    <w:p w14:paraId="6ED84EC3">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23.2</w:t>
      </w:r>
      <w:r>
        <w:rPr>
          <w:rFonts w:hint="eastAsia" w:ascii="宋体" w:hAnsi="宋体" w:eastAsia="宋体" w:cs="宋体"/>
          <w:snapToGrid w:val="0"/>
          <w:color w:val="auto"/>
          <w:kern w:val="0"/>
          <w:sz w:val="24"/>
          <w:szCs w:val="24"/>
          <w:highlight w:val="none"/>
          <w:lang w:val="zh-CN" w:eastAsia="zh-CN" w:bidi="ar-SA"/>
        </w:rPr>
        <w:t>投标人撤回投标文件的，在“电子交易平台”直接进行撤回操作。</w:t>
      </w:r>
    </w:p>
    <w:p w14:paraId="28AEA243">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23.3</w:t>
      </w:r>
      <w:r>
        <w:rPr>
          <w:rFonts w:hint="eastAsia" w:ascii="宋体" w:hAnsi="宋体" w:eastAsia="宋体" w:cs="宋体"/>
          <w:snapToGrid w:val="0"/>
          <w:color w:val="auto"/>
          <w:kern w:val="0"/>
          <w:sz w:val="24"/>
          <w:szCs w:val="24"/>
          <w:highlight w:val="none"/>
          <w:lang w:val="zh-CN" w:eastAsia="zh-CN" w:bidi="ar-SA"/>
        </w:rPr>
        <w:t>投标人修改投标文件的，应当先按本章相关条款的规定撤回投标文件，再使用“投标文件制作工具”制作成完整的投标文件，并按照本章相关条款规定进行编制和递交。</w:t>
      </w:r>
    </w:p>
    <w:p w14:paraId="6A574E11">
      <w:pPr>
        <w:widowControl w:val="0"/>
        <w:numPr>
          <w:ilvl w:val="1"/>
          <w:numId w:val="0"/>
        </w:numPr>
        <w:tabs>
          <w:tab w:val="left" w:pos="525"/>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bidi="ar-SA"/>
        </w:rPr>
        <w:t>23.4</w:t>
      </w:r>
      <w:r>
        <w:rPr>
          <w:rFonts w:hint="eastAsia" w:ascii="宋体" w:hAnsi="宋体" w:eastAsia="宋体" w:cs="宋体"/>
          <w:snapToGrid w:val="0"/>
          <w:color w:val="auto"/>
          <w:kern w:val="0"/>
          <w:sz w:val="24"/>
          <w:szCs w:val="24"/>
          <w:highlight w:val="none"/>
          <w:lang w:val="zh-CN" w:eastAsia="zh-CN" w:bidi="ar-SA"/>
        </w:rPr>
        <w:t>投标人撤回投标文件的，招标人自收到撤回通知之日起5日内退还已收取的投标保证金。</w:t>
      </w:r>
    </w:p>
    <w:p w14:paraId="56B00843">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170" w:name="_Toc495388862"/>
      <w:bookmarkStart w:id="171" w:name="_Toc21990"/>
      <w:bookmarkStart w:id="172" w:name="_Toc90539566"/>
      <w:bookmarkStart w:id="173" w:name="_Toc8853"/>
      <w:bookmarkStart w:id="174" w:name="_Toc494528955"/>
      <w:bookmarkStart w:id="175" w:name="_Toc22712"/>
      <w:bookmarkStart w:id="176" w:name="_Toc18076"/>
      <w:bookmarkStart w:id="177" w:name="_Toc9438"/>
      <w:r>
        <w:rPr>
          <w:rFonts w:hint="eastAsia" w:ascii="宋体" w:hAnsi="宋体" w:eastAsia="宋体" w:cs="宋体"/>
          <w:b/>
          <w:bCs/>
          <w:color w:val="auto"/>
          <w:sz w:val="24"/>
          <w:szCs w:val="24"/>
          <w:highlight w:val="none"/>
        </w:rPr>
        <w:t>五、开标与评标</w:t>
      </w:r>
      <w:bookmarkEnd w:id="170"/>
      <w:bookmarkEnd w:id="171"/>
      <w:bookmarkEnd w:id="172"/>
      <w:bookmarkEnd w:id="173"/>
      <w:bookmarkEnd w:id="174"/>
      <w:bookmarkEnd w:id="175"/>
      <w:bookmarkEnd w:id="176"/>
      <w:bookmarkEnd w:id="177"/>
    </w:p>
    <w:p w14:paraId="5E1A6436">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78" w:name="_Toc26319"/>
      <w:bookmarkStart w:id="179" w:name="_Toc495388863"/>
      <w:bookmarkStart w:id="180" w:name="_Toc90539567"/>
      <w:bookmarkStart w:id="181" w:name="_Toc494528956"/>
      <w:r>
        <w:rPr>
          <w:rFonts w:hint="eastAsia" w:ascii="宋体" w:hAnsi="宋体" w:eastAsia="宋体" w:cs="宋体"/>
          <w:b/>
          <w:snapToGrid w:val="0"/>
          <w:color w:val="auto"/>
          <w:kern w:val="0"/>
          <w:sz w:val="24"/>
          <w:szCs w:val="24"/>
          <w:highlight w:val="none"/>
          <w:lang w:val="zh-CN" w:eastAsia="zh-CN" w:bidi="ar-SA"/>
        </w:rPr>
        <w:t>24.</w:t>
      </w:r>
      <w:r>
        <w:rPr>
          <w:rFonts w:hint="eastAsia" w:ascii="宋体" w:hAnsi="宋体" w:eastAsia="宋体" w:cs="宋体"/>
          <w:b/>
          <w:snapToGrid w:val="0"/>
          <w:color w:val="auto"/>
          <w:kern w:val="0"/>
          <w:sz w:val="24"/>
          <w:szCs w:val="24"/>
          <w:highlight w:val="none"/>
          <w:lang w:val="zh-CN"/>
        </w:rPr>
        <w:t>开标</w:t>
      </w:r>
      <w:bookmarkEnd w:id="178"/>
      <w:bookmarkEnd w:id="179"/>
      <w:bookmarkEnd w:id="180"/>
      <w:bookmarkEnd w:id="181"/>
    </w:p>
    <w:p w14:paraId="1F781FF4">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24.1开标时间和地点</w:t>
      </w:r>
    </w:p>
    <w:p w14:paraId="25005339">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24.1.1招标人在本章规定的投标截止时间（开标时间）在“电子交易平台”上公开进行开标，所有投标人均应当准时在线参加开标。</w:t>
      </w:r>
    </w:p>
    <w:p w14:paraId="0FB9C3C0">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24.1.2招标人通过互联网在投标人须知前附表规定的地点组织开标，并在投标截止时间30分钟前，使用CA数字证书登录“电子交易平台”，进入“开标大厅”选择相应标段进行签到，做好开标的准备工作。</w:t>
      </w:r>
    </w:p>
    <w:p w14:paraId="403528BA">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24.1.3投标人可在能够保证设施设备可靠、互联网畅通的任意地点，通过互联网在线参加开标。在投标截止时间前，使用加密投标文件的CA数字证书登录“电子交易平台”，进入“开标大厅”选择所投标段（包）进行签到，并实时在线关注招标人的操作情况。</w:t>
      </w:r>
    </w:p>
    <w:p w14:paraId="3E511FBA">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24.2开标程序</w:t>
      </w:r>
    </w:p>
    <w:p w14:paraId="42D3A6FB">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24.2.1主持人按下列程序在“电子交易平台”“开标大厅”进行电子开标：</w:t>
      </w:r>
    </w:p>
    <w:p w14:paraId="4EF2D980">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（1）宣布开标纪律；</w:t>
      </w:r>
    </w:p>
    <w:p w14:paraId="43027A3A">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（2）公布主持人、招标人代表、监标人等有关人员姓名； </w:t>
      </w:r>
    </w:p>
    <w:p w14:paraId="5E2496C4">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（3）公布在投标截止时间前投标文件的递交情况；</w:t>
      </w:r>
    </w:p>
    <w:p w14:paraId="01EE4484">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（4）公布投标保证金递交情况；</w:t>
      </w:r>
    </w:p>
    <w:p w14:paraId="1DE764A2">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（5）投标人根据提示在投标人须知前附表规定的时间内解密投标文件；</w:t>
      </w:r>
    </w:p>
    <w:p w14:paraId="63BD079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（6）读取已解密的投标文件的内容；</w:t>
      </w:r>
    </w:p>
    <w:p w14:paraId="46E13992">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（7）公布投标人名称、标段（包）名称、投标保证金的递交情况、投标报价及其他内容，并生成开标记录；</w:t>
      </w:r>
    </w:p>
    <w:p w14:paraId="06164830">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（8）开标结束。</w:t>
      </w:r>
    </w:p>
    <w:p w14:paraId="0A97771F">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24.2.2在本章相关条款规定的时间内，非因“电子交易平台”原因造成投标文件未解密的，视为投标人撤回投标文件。已解密的投标文件少于三个的，招标失败；已解密的投标文件不少于三个，开标继续进行。</w:t>
      </w:r>
    </w:p>
    <w:p w14:paraId="171EFE93">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24.3开标异议</w:t>
      </w:r>
    </w:p>
    <w:p w14:paraId="7FC66A7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24.3.1投标人对开标有异议的，应当在开标过程中提出；招标人当场对异议作出答复，并记入开标记录。异议与答复应通过 “开标大厅”在“异议与答复”菜单以书面形式进行。</w:t>
      </w:r>
    </w:p>
    <w:p w14:paraId="4B403931">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本处所称异议是指投标人在开标过程中对投标文件提交、投标截止时间、开标程序、开标记录以及投标人和招标人或者投标人相互之间存在利益冲突的情形等提出的质疑。</w:t>
      </w:r>
    </w:p>
    <w:p w14:paraId="0DD44A0F">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24.3.2投标人异议成立的，招标人将及时采取纠正措施，或者提交评标委员会评审确认；投标人异议不成立的，招标人将当场给予解释说明。</w:t>
      </w:r>
    </w:p>
    <w:p w14:paraId="3935BA4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24.4特殊情况的处置</w:t>
      </w:r>
    </w:p>
    <w:p w14:paraId="486F009F">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24.4.1因“电子交易平台”系统故障导致无法投标的，交易中心及时通知招标人，招标人视情况决定是否顺延投标截止时间。因投标人自身原因导致无法完成投标的，由投标人自行承担后果。</w:t>
      </w:r>
    </w:p>
    <w:p w14:paraId="5DF1F111">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24.4.2因“电子交易平台”系统故障导致无法正常开标的，招标人将暂停开标，待系统恢复正常后继续开标。</w:t>
      </w:r>
    </w:p>
    <w:p w14:paraId="5BA77452">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24.4.3“电子交易平台”系统故障是指下列情形：</w:t>
      </w:r>
    </w:p>
    <w:p w14:paraId="2A77FF28">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（1）系统服务器发生故障，无法访问或无法使用系统；</w:t>
      </w:r>
    </w:p>
    <w:p w14:paraId="7FBDEC19">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（2）系统的软件或数据库出现错误，不能进行正常操作；</w:t>
      </w:r>
    </w:p>
    <w:p w14:paraId="15656F8B">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（3）系统发现有安全漏洞，有潜在的泄密危险；</w:t>
      </w:r>
    </w:p>
    <w:p w14:paraId="5FBE2209">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（4）出现断电、断网事故；</w:t>
      </w:r>
    </w:p>
    <w:p w14:paraId="11C2BC6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（5）其他无法保证招投标过程正常进行的情形。</w:t>
      </w:r>
    </w:p>
    <w:p w14:paraId="18242A1F">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82" w:name="_Toc90539568"/>
      <w:bookmarkStart w:id="183" w:name="_Toc495388864"/>
      <w:bookmarkStart w:id="184" w:name="_Toc494528957"/>
      <w:bookmarkStart w:id="185" w:name="_Toc16518"/>
      <w:r>
        <w:rPr>
          <w:rFonts w:hint="eastAsia" w:ascii="宋体" w:hAnsi="宋体" w:eastAsia="宋体" w:cs="宋体"/>
          <w:b/>
          <w:snapToGrid w:val="0"/>
          <w:color w:val="auto"/>
          <w:kern w:val="0"/>
          <w:sz w:val="24"/>
          <w:szCs w:val="24"/>
          <w:highlight w:val="none"/>
          <w:lang w:val="zh-CN" w:eastAsia="zh-CN" w:bidi="ar-SA"/>
        </w:rPr>
        <w:t>25.</w:t>
      </w:r>
      <w:r>
        <w:rPr>
          <w:rFonts w:hint="eastAsia" w:ascii="宋体" w:hAnsi="宋体" w:eastAsia="宋体" w:cs="宋体"/>
          <w:b/>
          <w:snapToGrid w:val="0"/>
          <w:color w:val="auto"/>
          <w:kern w:val="0"/>
          <w:sz w:val="24"/>
          <w:szCs w:val="24"/>
          <w:highlight w:val="none"/>
          <w:lang w:val="zh-CN"/>
        </w:rPr>
        <w:t>评标委员会的组成和评标方法</w:t>
      </w:r>
      <w:bookmarkEnd w:id="182"/>
      <w:bookmarkEnd w:id="183"/>
      <w:bookmarkEnd w:id="184"/>
      <w:bookmarkEnd w:id="185"/>
    </w:p>
    <w:p w14:paraId="7A5E5860">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25.1</w:t>
      </w:r>
      <w:r>
        <w:rPr>
          <w:rFonts w:hint="eastAsia" w:ascii="宋体" w:hAnsi="宋体" w:eastAsia="宋体" w:cs="宋体"/>
          <w:snapToGrid w:val="0"/>
          <w:color w:val="auto"/>
          <w:kern w:val="0"/>
          <w:sz w:val="24"/>
          <w:szCs w:val="24"/>
          <w:highlight w:val="none"/>
          <w:lang w:val="zh-CN"/>
        </w:rPr>
        <w:t>评标由招标人或由招标人委托招标代理机构</w:t>
      </w:r>
      <w:r>
        <w:rPr>
          <w:rFonts w:hint="eastAsia" w:ascii="宋体" w:hAnsi="宋体" w:eastAsia="宋体" w:cs="宋体"/>
          <w:color w:val="auto"/>
          <w:sz w:val="24"/>
          <w:szCs w:val="24"/>
          <w:highlight w:val="none"/>
        </w:rPr>
        <w:t>按照有关规定</w:t>
      </w:r>
      <w:r>
        <w:rPr>
          <w:rFonts w:hint="eastAsia" w:ascii="宋体" w:hAnsi="宋体" w:eastAsia="宋体" w:cs="宋体"/>
          <w:snapToGrid w:val="0"/>
          <w:color w:val="auto"/>
          <w:kern w:val="0"/>
          <w:sz w:val="24"/>
          <w:szCs w:val="24"/>
          <w:highlight w:val="none"/>
          <w:lang w:val="zh-CN"/>
        </w:rPr>
        <w:t>组建的评标委员会负责，评标委员会专家成员依法从</w:t>
      </w:r>
      <w:r>
        <w:rPr>
          <w:rFonts w:hint="eastAsia" w:ascii="宋体" w:hAnsi="宋体" w:eastAsia="宋体" w:cs="宋体"/>
          <w:snapToGrid w:val="0"/>
          <w:color w:val="auto"/>
          <w:kern w:val="0"/>
          <w:sz w:val="24"/>
          <w:szCs w:val="24"/>
          <w:highlight w:val="none"/>
          <w:lang w:val="zh-CN" w:eastAsia="zh-CN"/>
        </w:rPr>
        <w:t>招标代理</w:t>
      </w:r>
      <w:r>
        <w:rPr>
          <w:rFonts w:hint="eastAsia" w:ascii="宋体" w:hAnsi="宋体" w:eastAsia="宋体" w:cs="宋体"/>
          <w:snapToGrid w:val="0"/>
          <w:color w:val="auto"/>
          <w:kern w:val="0"/>
          <w:sz w:val="24"/>
          <w:szCs w:val="24"/>
          <w:highlight w:val="none"/>
          <w:lang w:val="zh-CN"/>
        </w:rPr>
        <w:t>综合评标专家总库相应专业中随机抽取产生。评标委员会的组成见《投标人须知前附表》。</w:t>
      </w:r>
    </w:p>
    <w:p w14:paraId="28EB697A">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color w:val="auto"/>
          <w:sz w:val="24"/>
          <w:szCs w:val="24"/>
          <w:highlight w:val="none"/>
          <w:lang w:val="en-US" w:eastAsia="zh-CN"/>
        </w:rPr>
        <w:t>25.2</w:t>
      </w:r>
      <w:r>
        <w:rPr>
          <w:rFonts w:hint="eastAsia" w:ascii="宋体" w:hAnsi="宋体" w:eastAsia="宋体" w:cs="宋体"/>
          <w:color w:val="auto"/>
          <w:sz w:val="24"/>
          <w:szCs w:val="24"/>
          <w:highlight w:val="none"/>
        </w:rPr>
        <w:t>评标委员会设组长1名，由评标委员会全体成员共同推选产生。评标委员会</w:t>
      </w:r>
      <w:r>
        <w:rPr>
          <w:rFonts w:hint="eastAsia" w:ascii="宋体" w:hAnsi="宋体" w:eastAsia="宋体" w:cs="宋体"/>
          <w:snapToGrid w:val="0"/>
          <w:color w:val="auto"/>
          <w:kern w:val="0"/>
          <w:sz w:val="24"/>
          <w:szCs w:val="24"/>
          <w:highlight w:val="none"/>
          <w:lang w:val="zh-CN"/>
        </w:rPr>
        <w:t>组长</w:t>
      </w:r>
      <w:r>
        <w:rPr>
          <w:rFonts w:hint="eastAsia" w:ascii="宋体" w:hAnsi="宋体" w:eastAsia="宋体" w:cs="宋体"/>
          <w:color w:val="auto"/>
          <w:sz w:val="24"/>
          <w:szCs w:val="24"/>
          <w:highlight w:val="none"/>
        </w:rPr>
        <w:t>负责组织评标活动，与其他评委有同等表决权，</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人代表不得担任组长。</w:t>
      </w:r>
    </w:p>
    <w:p w14:paraId="3305B8A5">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25.3</w:t>
      </w:r>
      <w:r>
        <w:rPr>
          <w:rFonts w:hint="eastAsia" w:ascii="宋体" w:hAnsi="宋体" w:eastAsia="宋体" w:cs="宋体"/>
          <w:snapToGrid w:val="0"/>
          <w:color w:val="auto"/>
          <w:kern w:val="0"/>
          <w:sz w:val="24"/>
          <w:szCs w:val="24"/>
          <w:highlight w:val="none"/>
          <w:lang w:val="zh-CN"/>
        </w:rPr>
        <w:t>评标委员会将按照本招标文件规定的评标方法进行评标，评标采用的评标方法见《投标人须知前附表》。评标委员会发现招标文件存在歧义、重大缺陷导致评标工作无法进行，或者招标文件内容违反国家有关强制性规定的，应当停止评标工作，与招标人或者招标代理机构沟通并作书面记录。</w:t>
      </w:r>
    </w:p>
    <w:p w14:paraId="7B58DD4A">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25.4</w:t>
      </w:r>
      <w:r>
        <w:rPr>
          <w:rFonts w:hint="eastAsia" w:ascii="宋体" w:hAnsi="宋体" w:eastAsia="宋体" w:cs="宋体"/>
          <w:snapToGrid w:val="0"/>
          <w:color w:val="auto"/>
          <w:kern w:val="0"/>
          <w:sz w:val="24"/>
          <w:szCs w:val="24"/>
          <w:highlight w:val="none"/>
          <w:lang w:val="zh-CN"/>
        </w:rPr>
        <w:t>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732B02D2">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86" w:name="_Toc90539569"/>
      <w:bookmarkStart w:id="187" w:name="_Toc31359"/>
      <w:bookmarkStart w:id="188" w:name="_Toc495388865"/>
      <w:bookmarkStart w:id="189" w:name="_Toc494528958"/>
      <w:r>
        <w:rPr>
          <w:rFonts w:hint="eastAsia" w:ascii="宋体" w:hAnsi="宋体" w:eastAsia="宋体" w:cs="宋体"/>
          <w:b/>
          <w:snapToGrid w:val="0"/>
          <w:color w:val="auto"/>
          <w:kern w:val="0"/>
          <w:sz w:val="24"/>
          <w:szCs w:val="24"/>
          <w:highlight w:val="none"/>
          <w:lang w:val="zh-CN" w:eastAsia="zh-CN" w:bidi="ar-SA"/>
        </w:rPr>
        <w:t>26.</w:t>
      </w:r>
      <w:r>
        <w:rPr>
          <w:rFonts w:hint="eastAsia" w:ascii="宋体" w:hAnsi="宋体" w:eastAsia="宋体" w:cs="宋体"/>
          <w:b/>
          <w:snapToGrid w:val="0"/>
          <w:color w:val="auto"/>
          <w:kern w:val="0"/>
          <w:sz w:val="24"/>
          <w:szCs w:val="24"/>
          <w:highlight w:val="none"/>
        </w:rPr>
        <w:t>资格审查</w:t>
      </w:r>
      <w:bookmarkEnd w:id="186"/>
      <w:bookmarkEnd w:id="187"/>
      <w:bookmarkEnd w:id="188"/>
      <w:bookmarkEnd w:id="189"/>
    </w:p>
    <w:p w14:paraId="1944F0E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26.1</w:t>
      </w:r>
      <w:r>
        <w:rPr>
          <w:rFonts w:hint="eastAsia" w:ascii="宋体" w:hAnsi="宋体" w:eastAsia="宋体" w:cs="宋体"/>
          <w:snapToGrid w:val="0"/>
          <w:color w:val="auto"/>
          <w:kern w:val="0"/>
          <w:sz w:val="24"/>
          <w:szCs w:val="24"/>
          <w:highlight w:val="none"/>
        </w:rPr>
        <w:t>审查内容：</w:t>
      </w:r>
      <w:r>
        <w:rPr>
          <w:rFonts w:hint="eastAsia" w:ascii="宋体" w:hAnsi="宋体" w:eastAsia="宋体" w:cs="宋体"/>
          <w:color w:val="auto"/>
          <w:sz w:val="24"/>
          <w:highlight w:val="none"/>
        </w:rPr>
        <w:t>本项目采用的评标方法见投标人须知前附表。评标委员会按照第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章“评标办法”的规定进行评审。第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章“评标办法”没有规定的方法、评审因素和标准，不作为评标依据。</w:t>
      </w:r>
    </w:p>
    <w:p w14:paraId="4EC30D1E">
      <w:pPr>
        <w:widowControl w:val="0"/>
        <w:numPr>
          <w:ilvl w:val="0"/>
          <w:numId w:val="0"/>
        </w:numPr>
        <w:tabs>
          <w:tab w:val="left" w:pos="525"/>
          <w:tab w:val="left" w:pos="1060"/>
        </w:tabs>
        <w:wordWrap/>
        <w:autoSpaceDE w:val="0"/>
        <w:autoSpaceDN w:val="0"/>
        <w:adjustRightIn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en-US" w:eastAsia="zh-CN"/>
        </w:rPr>
        <w:t>26.2</w:t>
      </w:r>
      <w:r>
        <w:rPr>
          <w:rFonts w:hint="eastAsia" w:ascii="宋体" w:hAnsi="宋体" w:eastAsia="宋体" w:cs="宋体"/>
          <w:snapToGrid w:val="0"/>
          <w:color w:val="auto"/>
          <w:kern w:val="0"/>
          <w:sz w:val="24"/>
          <w:szCs w:val="24"/>
          <w:highlight w:val="none"/>
        </w:rPr>
        <w:t>审查结果应由审查各方签字形成报告，并将结果通报至评标委员会。</w:t>
      </w:r>
    </w:p>
    <w:p w14:paraId="528E6493">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90" w:name="_Toc90539571"/>
      <w:bookmarkStart w:id="191" w:name="_Toc29161"/>
      <w:bookmarkStart w:id="192" w:name="_Toc495388867"/>
      <w:bookmarkStart w:id="193" w:name="_Toc494528960"/>
      <w:r>
        <w:rPr>
          <w:rFonts w:hint="eastAsia" w:ascii="宋体" w:hAnsi="宋体" w:eastAsia="宋体" w:cs="宋体"/>
          <w:b/>
          <w:snapToGrid w:val="0"/>
          <w:color w:val="auto"/>
          <w:kern w:val="0"/>
          <w:sz w:val="24"/>
          <w:szCs w:val="24"/>
          <w:highlight w:val="none"/>
          <w:lang w:val="zh-CN" w:eastAsia="zh-CN" w:bidi="ar-SA"/>
        </w:rPr>
        <w:t>27.</w:t>
      </w:r>
      <w:r>
        <w:rPr>
          <w:rFonts w:hint="eastAsia" w:ascii="宋体" w:hAnsi="宋体" w:eastAsia="宋体" w:cs="宋体"/>
          <w:b/>
          <w:snapToGrid w:val="0"/>
          <w:color w:val="auto"/>
          <w:kern w:val="0"/>
          <w:sz w:val="24"/>
          <w:szCs w:val="24"/>
          <w:highlight w:val="none"/>
        </w:rPr>
        <w:t>澄清</w:t>
      </w:r>
      <w:bookmarkEnd w:id="190"/>
      <w:bookmarkEnd w:id="191"/>
      <w:bookmarkEnd w:id="192"/>
      <w:bookmarkEnd w:id="193"/>
    </w:p>
    <w:p w14:paraId="7B27D38D">
      <w:pPr>
        <w:widowControl w:val="0"/>
        <w:numPr>
          <w:ilvl w:val="1"/>
          <w:numId w:val="0"/>
        </w:numPr>
        <w:tabs>
          <w:tab w:val="left" w:pos="1060"/>
        </w:tabs>
        <w:wordWrap/>
        <w:autoSpaceDE w:val="0"/>
        <w:autoSpaceDN w:val="0"/>
        <w:adjustRightInd w:val="0"/>
        <w:spacing w:line="360" w:lineRule="auto"/>
        <w:ind w:left="5" w:leftChars="0" w:firstLine="415" w:firstLineChars="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27.1</w:t>
      </w:r>
      <w:r>
        <w:rPr>
          <w:rFonts w:hint="eastAsia" w:ascii="宋体" w:hAnsi="宋体" w:eastAsia="宋体" w:cs="宋体"/>
          <w:snapToGrid w:val="0"/>
          <w:color w:val="auto"/>
          <w:kern w:val="0"/>
          <w:sz w:val="24"/>
          <w:szCs w:val="24"/>
          <w:highlight w:val="none"/>
          <w:lang w:val="zh-CN"/>
        </w:rPr>
        <w:t>对于投标文件中含义不明确、同类问题表述不一致或者有明显文字和计算错误的内容，评标委员会应当以书面形式要求投标人作出必要的澄清、说明或者补正。</w:t>
      </w:r>
    </w:p>
    <w:p w14:paraId="33C09CF0">
      <w:pPr>
        <w:widowControl w:val="0"/>
        <w:numPr>
          <w:ilvl w:val="1"/>
          <w:numId w:val="0"/>
        </w:numPr>
        <w:tabs>
          <w:tab w:val="left" w:pos="1060"/>
        </w:tabs>
        <w:wordWrap/>
        <w:autoSpaceDE w:val="0"/>
        <w:autoSpaceDN w:val="0"/>
        <w:adjustRightInd w:val="0"/>
        <w:spacing w:line="360" w:lineRule="auto"/>
        <w:ind w:left="5" w:leftChars="0" w:firstLine="415" w:firstLineChars="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27.2</w:t>
      </w:r>
      <w:r>
        <w:rPr>
          <w:rFonts w:hint="eastAsia" w:ascii="宋体" w:hAnsi="宋体" w:eastAsia="宋体" w:cs="宋体"/>
          <w:snapToGrid w:val="0"/>
          <w:color w:val="auto"/>
          <w:kern w:val="0"/>
          <w:sz w:val="24"/>
          <w:szCs w:val="24"/>
          <w:highlight w:val="none"/>
          <w:lang w:val="zh-CN"/>
        </w:rPr>
        <w:t>投标人的澄清、说明或者补正应当采用书面形式，并加盖公章，或者由法定代表人或其授权的代表签字。投标人的澄清、说明或者补正不得超出投标文件的范围或者改变投标文件的实质性内容。</w:t>
      </w:r>
    </w:p>
    <w:p w14:paraId="4E1404C5">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194" w:name="_Toc494528961"/>
      <w:bookmarkStart w:id="195" w:name="_Toc495388868"/>
      <w:bookmarkStart w:id="196" w:name="_Toc90539572"/>
      <w:bookmarkStart w:id="197" w:name="_Toc27553"/>
      <w:r>
        <w:rPr>
          <w:rFonts w:hint="eastAsia" w:ascii="宋体" w:hAnsi="宋体" w:eastAsia="宋体" w:cs="宋体"/>
          <w:b/>
          <w:snapToGrid w:val="0"/>
          <w:color w:val="auto"/>
          <w:kern w:val="0"/>
          <w:sz w:val="24"/>
          <w:szCs w:val="24"/>
          <w:highlight w:val="none"/>
          <w:lang w:val="zh-CN" w:eastAsia="zh-CN" w:bidi="ar-SA"/>
        </w:rPr>
        <w:t>28.</w:t>
      </w:r>
      <w:r>
        <w:rPr>
          <w:rFonts w:hint="eastAsia" w:ascii="宋体" w:hAnsi="宋体" w:eastAsia="宋体" w:cs="宋体"/>
          <w:b/>
          <w:snapToGrid w:val="0"/>
          <w:color w:val="auto"/>
          <w:kern w:val="0"/>
          <w:sz w:val="24"/>
          <w:szCs w:val="24"/>
          <w:highlight w:val="none"/>
          <w:lang w:val="zh-CN"/>
        </w:rPr>
        <w:t>评标过程保密</w:t>
      </w:r>
      <w:bookmarkEnd w:id="194"/>
      <w:bookmarkEnd w:id="195"/>
      <w:bookmarkEnd w:id="196"/>
      <w:bookmarkEnd w:id="197"/>
    </w:p>
    <w:p w14:paraId="6255B9EA">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28.1</w:t>
      </w:r>
      <w:r>
        <w:rPr>
          <w:rFonts w:hint="eastAsia" w:ascii="宋体" w:hAnsi="宋体" w:eastAsia="宋体" w:cs="宋体"/>
          <w:snapToGrid w:val="0"/>
          <w:color w:val="auto"/>
          <w:kern w:val="0"/>
          <w:sz w:val="24"/>
          <w:szCs w:val="24"/>
          <w:highlight w:val="none"/>
          <w:lang w:val="zh-CN"/>
        </w:rPr>
        <w:t>招标人、招标代理机构应当采取必要措施，保证评标在严格保密的情况下进行。除招标人代表、评标现场组织人员外，招标人的其他工作人员以及与评标工作无关的人员不得进入评标现场。</w:t>
      </w:r>
    </w:p>
    <w:p w14:paraId="7C5CC616">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28.2</w:t>
      </w:r>
      <w:r>
        <w:rPr>
          <w:rFonts w:hint="eastAsia" w:ascii="宋体" w:hAnsi="宋体" w:eastAsia="宋体" w:cs="宋体"/>
          <w:snapToGrid w:val="0"/>
          <w:color w:val="auto"/>
          <w:kern w:val="0"/>
          <w:sz w:val="24"/>
          <w:szCs w:val="24"/>
          <w:highlight w:val="none"/>
          <w:lang w:val="zh-CN"/>
        </w:rPr>
        <w:t>有关人员对评标情况以及在评标过程中获悉的国家秘密、商业秘密负有保密责任。凡是属于审查、澄清、评价和比较投标的有关资料以及授标意向等，招标人、招标代理机构、监管人员、评标委员会及有关工作人员均不得向投标人或其它无关的人员透露。</w:t>
      </w:r>
    </w:p>
    <w:p w14:paraId="3157646F">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28.3</w:t>
      </w:r>
      <w:r>
        <w:rPr>
          <w:rFonts w:hint="eastAsia" w:ascii="宋体" w:hAnsi="宋体" w:eastAsia="宋体" w:cs="宋体"/>
          <w:snapToGrid w:val="0"/>
          <w:color w:val="auto"/>
          <w:kern w:val="0"/>
          <w:sz w:val="24"/>
          <w:szCs w:val="24"/>
          <w:highlight w:val="none"/>
          <w:lang w:val="zh-CN"/>
        </w:rPr>
        <w:t>在评标期间，投标人试图影响招标人、招标代理机构和评标委员会而获得评标信息的任何活动，都将导致其投标被否决，并承担相应的法律责任。</w:t>
      </w:r>
    </w:p>
    <w:p w14:paraId="051C026C">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lang w:val="en-US" w:eastAsia="zh-CN"/>
        </w:rPr>
      </w:pPr>
      <w:bookmarkStart w:id="198" w:name="_Toc494528962"/>
      <w:bookmarkStart w:id="199" w:name="_Toc90539573"/>
      <w:bookmarkStart w:id="200" w:name="_Toc495388869"/>
      <w:bookmarkStart w:id="201" w:name="_Toc11974"/>
      <w:bookmarkStart w:id="202" w:name="_Toc27632"/>
      <w:bookmarkStart w:id="203" w:name="_Toc3672"/>
      <w:bookmarkStart w:id="204" w:name="_Toc23222"/>
      <w:bookmarkStart w:id="205" w:name="_Toc22631"/>
      <w:r>
        <w:rPr>
          <w:rFonts w:hint="eastAsia" w:ascii="宋体" w:hAnsi="宋体" w:eastAsia="宋体" w:cs="宋体"/>
          <w:b/>
          <w:bCs/>
          <w:color w:val="auto"/>
          <w:sz w:val="24"/>
          <w:szCs w:val="24"/>
          <w:highlight w:val="none"/>
        </w:rPr>
        <w:t>六、定标与签订</w:t>
      </w:r>
      <w:bookmarkEnd w:id="198"/>
      <w:bookmarkEnd w:id="199"/>
      <w:bookmarkEnd w:id="200"/>
      <w:bookmarkEnd w:id="201"/>
      <w:r>
        <w:rPr>
          <w:rFonts w:hint="eastAsia" w:ascii="宋体" w:hAnsi="宋体" w:eastAsia="宋体" w:cs="宋体"/>
          <w:b/>
          <w:bCs/>
          <w:color w:val="auto"/>
          <w:sz w:val="24"/>
          <w:szCs w:val="24"/>
          <w:highlight w:val="none"/>
          <w:lang w:val="en-US" w:eastAsia="zh-CN"/>
        </w:rPr>
        <w:t>合同</w:t>
      </w:r>
      <w:bookmarkEnd w:id="202"/>
      <w:bookmarkEnd w:id="203"/>
      <w:bookmarkEnd w:id="204"/>
      <w:bookmarkEnd w:id="205"/>
    </w:p>
    <w:p w14:paraId="2440B1BE">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206" w:name="_Toc495388870"/>
      <w:bookmarkStart w:id="207" w:name="_Toc494528963"/>
      <w:bookmarkStart w:id="208" w:name="_Toc90539574"/>
      <w:bookmarkStart w:id="209" w:name="_Toc9184"/>
      <w:r>
        <w:rPr>
          <w:rFonts w:hint="eastAsia" w:ascii="宋体" w:hAnsi="宋体" w:eastAsia="宋体" w:cs="宋体"/>
          <w:b/>
          <w:snapToGrid w:val="0"/>
          <w:color w:val="auto"/>
          <w:kern w:val="0"/>
          <w:sz w:val="24"/>
          <w:szCs w:val="24"/>
          <w:highlight w:val="none"/>
          <w:lang w:val="zh-CN" w:eastAsia="zh-CN" w:bidi="ar-SA"/>
        </w:rPr>
        <w:t>29.</w:t>
      </w:r>
      <w:r>
        <w:rPr>
          <w:rFonts w:hint="eastAsia" w:ascii="宋体" w:hAnsi="宋体" w:eastAsia="宋体" w:cs="宋体"/>
          <w:b/>
          <w:snapToGrid w:val="0"/>
          <w:color w:val="auto"/>
          <w:kern w:val="0"/>
          <w:sz w:val="24"/>
          <w:szCs w:val="24"/>
          <w:highlight w:val="none"/>
          <w:lang w:val="zh-CN"/>
        </w:rPr>
        <w:t>定标</w:t>
      </w:r>
      <w:bookmarkEnd w:id="206"/>
      <w:bookmarkEnd w:id="207"/>
      <w:bookmarkEnd w:id="208"/>
      <w:bookmarkEnd w:id="209"/>
    </w:p>
    <w:p w14:paraId="7F6BB65D">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29.1</w:t>
      </w:r>
      <w:r>
        <w:rPr>
          <w:rFonts w:hint="eastAsia" w:ascii="宋体" w:hAnsi="宋体" w:eastAsia="宋体" w:cs="宋体"/>
          <w:snapToGrid w:val="0"/>
          <w:color w:val="auto"/>
          <w:kern w:val="0"/>
          <w:sz w:val="24"/>
          <w:szCs w:val="24"/>
          <w:highlight w:val="none"/>
          <w:lang w:val="zh-CN"/>
        </w:rPr>
        <w:t>招标代理机构应当</w:t>
      </w:r>
      <w:r>
        <w:rPr>
          <w:rFonts w:hint="eastAsia" w:ascii="宋体" w:hAnsi="宋体" w:eastAsia="宋体" w:cs="宋体"/>
          <w:snapToGrid w:val="0"/>
          <w:color w:val="auto"/>
          <w:kern w:val="0"/>
          <w:sz w:val="24"/>
          <w:szCs w:val="24"/>
          <w:highlight w:val="none"/>
          <w:lang w:val="en-US" w:eastAsia="zh-CN"/>
        </w:rPr>
        <w:t>于</w:t>
      </w:r>
      <w:r>
        <w:rPr>
          <w:rFonts w:hint="eastAsia" w:ascii="宋体" w:hAnsi="宋体" w:eastAsia="宋体" w:cs="宋体"/>
          <w:snapToGrid w:val="0"/>
          <w:color w:val="auto"/>
          <w:kern w:val="0"/>
          <w:sz w:val="24"/>
          <w:szCs w:val="24"/>
          <w:highlight w:val="none"/>
          <w:lang w:val="zh-CN"/>
        </w:rPr>
        <w:t>评标结束后</w:t>
      </w:r>
      <w:r>
        <w:rPr>
          <w:rFonts w:hint="eastAsia" w:ascii="宋体" w:hAnsi="宋体" w:eastAsia="宋体" w:cs="宋体"/>
          <w:snapToGrid w:val="0"/>
          <w:color w:val="auto"/>
          <w:kern w:val="0"/>
          <w:sz w:val="24"/>
          <w:szCs w:val="24"/>
          <w:highlight w:val="none"/>
          <w:lang w:val="en-US" w:eastAsia="zh-CN"/>
        </w:rPr>
        <w:t>在规定时间内</w:t>
      </w:r>
      <w:r>
        <w:rPr>
          <w:rFonts w:hint="eastAsia" w:ascii="宋体" w:hAnsi="宋体" w:eastAsia="宋体" w:cs="宋体"/>
          <w:snapToGrid w:val="0"/>
          <w:color w:val="auto"/>
          <w:kern w:val="0"/>
          <w:sz w:val="24"/>
          <w:szCs w:val="24"/>
          <w:highlight w:val="none"/>
          <w:lang w:val="zh-CN"/>
        </w:rPr>
        <w:t>将评标报告送招标人。</w:t>
      </w:r>
    </w:p>
    <w:p w14:paraId="1AA538D7">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29.2</w:t>
      </w:r>
      <w:r>
        <w:rPr>
          <w:rFonts w:hint="eastAsia" w:ascii="宋体" w:hAnsi="宋体" w:eastAsia="宋体" w:cs="宋体"/>
          <w:snapToGrid w:val="0"/>
          <w:color w:val="auto"/>
          <w:kern w:val="0"/>
          <w:sz w:val="24"/>
          <w:szCs w:val="24"/>
          <w:highlight w:val="none"/>
          <w:lang w:val="zh-CN"/>
        </w:rPr>
        <w:t>招标人应当自收到评标报告之日起，</w:t>
      </w:r>
      <w:r>
        <w:rPr>
          <w:rFonts w:hint="eastAsia" w:ascii="宋体" w:hAnsi="宋体" w:eastAsia="宋体" w:cs="宋体"/>
          <w:snapToGrid w:val="0"/>
          <w:color w:val="auto"/>
          <w:kern w:val="0"/>
          <w:sz w:val="24"/>
          <w:szCs w:val="24"/>
          <w:highlight w:val="none"/>
          <w:lang w:val="en-US" w:eastAsia="zh-CN"/>
        </w:rPr>
        <w:t>在规定时间内</w:t>
      </w:r>
      <w:r>
        <w:rPr>
          <w:rFonts w:hint="eastAsia" w:ascii="宋体" w:hAnsi="宋体" w:eastAsia="宋体" w:cs="宋体"/>
          <w:snapToGrid w:val="0"/>
          <w:color w:val="auto"/>
          <w:kern w:val="0"/>
          <w:sz w:val="24"/>
          <w:szCs w:val="24"/>
          <w:highlight w:val="none"/>
          <w:lang w:val="zh-CN"/>
        </w:rPr>
        <w:t>，确定的中标候选人名单中按顺序确定中标人。中标候选人并列的，由招标人或者招标人委托评标委员会按照招标文件规定的方式确定中标人。</w:t>
      </w:r>
    </w:p>
    <w:p w14:paraId="12D1F5BA">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29.3</w:t>
      </w:r>
      <w:r>
        <w:rPr>
          <w:rFonts w:hint="eastAsia" w:ascii="宋体" w:hAnsi="宋体" w:eastAsia="宋体" w:cs="宋体"/>
          <w:snapToGrid w:val="0"/>
          <w:color w:val="auto"/>
          <w:kern w:val="0"/>
          <w:sz w:val="24"/>
          <w:szCs w:val="24"/>
          <w:highlight w:val="none"/>
          <w:lang w:val="zh-CN"/>
        </w:rPr>
        <w:t>招标人在收到评标报告，</w:t>
      </w:r>
      <w:r>
        <w:rPr>
          <w:rFonts w:hint="eastAsia" w:ascii="宋体" w:hAnsi="宋体" w:eastAsia="宋体" w:cs="宋体"/>
          <w:snapToGrid w:val="0"/>
          <w:color w:val="auto"/>
          <w:kern w:val="0"/>
          <w:sz w:val="24"/>
          <w:szCs w:val="24"/>
          <w:highlight w:val="none"/>
          <w:lang w:val="en-US" w:eastAsia="zh-CN"/>
        </w:rPr>
        <w:t>在规定时间内</w:t>
      </w:r>
      <w:r>
        <w:rPr>
          <w:rFonts w:hint="eastAsia" w:ascii="宋体" w:hAnsi="宋体" w:eastAsia="宋体" w:cs="宋体"/>
          <w:snapToGrid w:val="0"/>
          <w:color w:val="auto"/>
          <w:kern w:val="0"/>
          <w:sz w:val="24"/>
          <w:szCs w:val="24"/>
          <w:highlight w:val="none"/>
          <w:lang w:val="zh-CN"/>
        </w:rPr>
        <w:t>未按评标报告推荐的中标候选人顺序确定中标人，又不能说明合法理由的，视同按评标报告推荐的顺序确定排名</w:t>
      </w:r>
      <w:r>
        <w:rPr>
          <w:rFonts w:hint="eastAsia" w:ascii="宋体" w:hAnsi="宋体" w:eastAsia="宋体" w:cs="宋体"/>
          <w:snapToGrid w:val="0"/>
          <w:color w:val="auto"/>
          <w:kern w:val="0"/>
          <w:sz w:val="24"/>
          <w:szCs w:val="24"/>
          <w:highlight w:val="none"/>
          <w:lang w:val="en-US" w:eastAsia="zh-CN"/>
        </w:rPr>
        <w:t>第一</w:t>
      </w:r>
      <w:r>
        <w:rPr>
          <w:rFonts w:hint="eastAsia" w:ascii="宋体" w:hAnsi="宋体" w:eastAsia="宋体" w:cs="宋体"/>
          <w:snapToGrid w:val="0"/>
          <w:color w:val="auto"/>
          <w:kern w:val="0"/>
          <w:sz w:val="24"/>
          <w:szCs w:val="24"/>
          <w:highlight w:val="none"/>
          <w:lang w:val="zh-CN"/>
        </w:rPr>
        <w:t>的中标候选人为中标人。中标人</w:t>
      </w:r>
      <w:r>
        <w:rPr>
          <w:rFonts w:hint="eastAsia" w:ascii="宋体" w:hAnsi="宋体" w:eastAsia="宋体" w:cs="宋体"/>
          <w:snapToGrid w:val="0"/>
          <w:color w:val="auto"/>
          <w:kern w:val="0"/>
          <w:sz w:val="24"/>
          <w:szCs w:val="24"/>
          <w:highlight w:val="none"/>
        </w:rPr>
        <w:t>确定方式</w:t>
      </w:r>
      <w:r>
        <w:rPr>
          <w:rFonts w:hint="eastAsia" w:ascii="宋体" w:hAnsi="宋体" w:eastAsia="宋体" w:cs="宋体"/>
          <w:snapToGrid w:val="0"/>
          <w:color w:val="auto"/>
          <w:kern w:val="0"/>
          <w:sz w:val="24"/>
          <w:szCs w:val="24"/>
          <w:highlight w:val="none"/>
          <w:lang w:val="zh-CN"/>
        </w:rPr>
        <w:t>见《投标人须知前附表》。</w:t>
      </w:r>
    </w:p>
    <w:p w14:paraId="1EC24B8B">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29.4</w:t>
      </w:r>
      <w:r>
        <w:rPr>
          <w:rFonts w:hint="eastAsia" w:ascii="宋体" w:hAnsi="宋体" w:eastAsia="宋体" w:cs="宋体"/>
          <w:snapToGrid w:val="0"/>
          <w:color w:val="auto"/>
          <w:kern w:val="0"/>
          <w:sz w:val="24"/>
          <w:szCs w:val="24"/>
          <w:highlight w:val="none"/>
          <w:lang w:val="zh-CN"/>
        </w:rPr>
        <w:t>中标通知</w:t>
      </w:r>
    </w:p>
    <w:p w14:paraId="11E2AAE3">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评标结果公示期满后，在本章相关条款规定的投标有效期内，招标人通过“电子交易平台”以书面形式向中标人发出中标通知书，同时将中标结果通知未中标的投标人。</w:t>
      </w:r>
    </w:p>
    <w:p w14:paraId="216BA574">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中标通知书发出的同时，招标人将在投标人须知前附表规定的媒介发布中标结果公示。</w:t>
      </w:r>
    </w:p>
    <w:p w14:paraId="274A93A1">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29.5</w:t>
      </w:r>
      <w:r>
        <w:rPr>
          <w:rFonts w:hint="eastAsia" w:ascii="宋体" w:hAnsi="宋体" w:eastAsia="宋体" w:cs="宋体"/>
          <w:snapToGrid w:val="0"/>
          <w:color w:val="auto"/>
          <w:kern w:val="0"/>
          <w:sz w:val="24"/>
          <w:szCs w:val="24"/>
          <w:highlight w:val="none"/>
          <w:lang w:val="zh-CN"/>
        </w:rPr>
        <w:t>异议</w:t>
      </w:r>
    </w:p>
    <w:p w14:paraId="29999258">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招标人对异议的答复构成对招标文件澄清或者修改的，招标人将按照本章相关规定办理澄清或者修改。</w:t>
      </w:r>
    </w:p>
    <w:p w14:paraId="0761942F">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或者其他利害关系人对招标文件（包括对招标文件澄清和修改的内容）有异议的，应当在投标人须知前附表规定的投标截止时间10日前提出。招标人自收到异议之日起3日内作出答复；作出答复前，招标人将暂停招标投标活动。逾期提出的，招标人可不予受理。异议与答复应通过“电子交易平台”在“异议与答复”菜单以书面形式完成。</w:t>
      </w:r>
    </w:p>
    <w:p w14:paraId="7D07A5CF">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本处所称异议是指投标人或者其他利害关系人认为招标文件的内容违反法律、法规、规章的强制性规定，违反公开、公平、公正和诚实信用原则，影响投标人投标而向招标人提出的质疑。</w:t>
      </w:r>
    </w:p>
    <w:p w14:paraId="3D077408">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投标人或者其他利害关系人对项目的评标结果有异议的，应当在中标公示期间提出。招标人应当自收到异议之日起3日内作出答复；作出答复前，应当暂停招标投标活动。</w:t>
      </w:r>
    </w:p>
    <w:p w14:paraId="0EC0D21E">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投标人提出异议应当提交异议函和必要的证明材料。异议函应当包括下列内容：</w:t>
      </w:r>
    </w:p>
    <w:p w14:paraId="1D3FA7AB">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（1）投标人的姓名或者名称、地址、邮编、联系人及联系电话；</w:t>
      </w:r>
    </w:p>
    <w:p w14:paraId="21960D5C">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（2）异议项目的名称、编号；</w:t>
      </w:r>
    </w:p>
    <w:p w14:paraId="127925FF">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（3）具体、明确的异议事项和与异议事项相关的请求；</w:t>
      </w:r>
    </w:p>
    <w:p w14:paraId="453B3346">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（4）事实依据；</w:t>
      </w:r>
    </w:p>
    <w:p w14:paraId="2A3FFCB4">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（5）必要的法律依据；</w:t>
      </w:r>
    </w:p>
    <w:p w14:paraId="0232EF3D">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（6）提出异议的日期。</w:t>
      </w:r>
    </w:p>
    <w:p w14:paraId="33169A6F">
      <w:pPr>
        <w:widowControl w:val="0"/>
        <w:wordWrap/>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投标人</w:t>
      </w:r>
      <w:r>
        <w:rPr>
          <w:rFonts w:hint="eastAsia" w:ascii="宋体" w:hAnsi="宋体" w:eastAsia="宋体" w:cs="宋体"/>
          <w:color w:val="auto"/>
          <w:sz w:val="24"/>
          <w:szCs w:val="24"/>
          <w:highlight w:val="none"/>
        </w:rPr>
        <w:t>为法人组织的，应当由法定代表人、主要负责人，或者其授权代表签字或者盖章，并加盖公章。</w:t>
      </w:r>
    </w:p>
    <w:p w14:paraId="4920AD3B">
      <w:pPr>
        <w:widowControl w:val="0"/>
        <w:wordWrap/>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书不符合上述要求的，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人或代理机构应书面告知具体事项，</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人应当按要求进行修改或补充，并在</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有效期限内提交。</w:t>
      </w:r>
    </w:p>
    <w:p w14:paraId="53A2B76A">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bookmarkStart w:id="210" w:name="_Toc503905435"/>
      <w:r>
        <w:rPr>
          <w:rFonts w:hint="eastAsia" w:ascii="宋体" w:hAnsi="宋体" w:eastAsia="宋体" w:cs="宋体"/>
          <w:snapToGrid w:val="0"/>
          <w:color w:val="auto"/>
          <w:kern w:val="0"/>
          <w:sz w:val="24"/>
          <w:szCs w:val="24"/>
          <w:highlight w:val="none"/>
          <w:lang w:val="zh-CN" w:eastAsia="zh-CN" w:bidi="ar-SA"/>
        </w:rPr>
        <w:t>29.6</w:t>
      </w:r>
      <w:r>
        <w:rPr>
          <w:rFonts w:hint="eastAsia" w:ascii="宋体" w:hAnsi="宋体" w:eastAsia="宋体" w:cs="宋体"/>
          <w:snapToGrid w:val="0"/>
          <w:color w:val="auto"/>
          <w:kern w:val="0"/>
          <w:sz w:val="24"/>
          <w:szCs w:val="24"/>
          <w:highlight w:val="none"/>
          <w:lang w:val="zh-CN"/>
        </w:rPr>
        <w:t>异议回复</w:t>
      </w:r>
      <w:bookmarkEnd w:id="210"/>
    </w:p>
    <w:p w14:paraId="555DC0A2">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人或</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代理机构应当在收到投标人的书面</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日内作出答复，并以书面形式通知</w:t>
      </w: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投标人和其他有关投标人，但答复的内容不得涉及商业秘密。</w:t>
      </w:r>
    </w:p>
    <w:p w14:paraId="2440E9DC">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异议</w:t>
      </w:r>
      <w:r>
        <w:rPr>
          <w:rFonts w:hint="eastAsia" w:ascii="宋体" w:hAnsi="宋体" w:eastAsia="宋体" w:cs="宋体"/>
          <w:color w:val="auto"/>
          <w:sz w:val="24"/>
          <w:szCs w:val="24"/>
          <w:highlight w:val="none"/>
        </w:rPr>
        <w:t>答复应当包括下列内容：</w:t>
      </w:r>
    </w:p>
    <w:p w14:paraId="524C8E7E">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（1）异议投标人的姓名或者名称；</w:t>
      </w:r>
    </w:p>
    <w:p w14:paraId="669478B5">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（2）收到异议函的日期、异议项目名称及编号；</w:t>
      </w:r>
    </w:p>
    <w:p w14:paraId="7CF5F70C">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（3）异议事项、异议答复的具体内容、事实依据和法律依据；</w:t>
      </w:r>
    </w:p>
    <w:p w14:paraId="6BB91B5B">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（4）告知异议投标人依法投诉的权利；</w:t>
      </w:r>
    </w:p>
    <w:p w14:paraId="2E769038">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（5）异议答复人名称；</w:t>
      </w:r>
    </w:p>
    <w:p w14:paraId="05483692">
      <w:pPr>
        <w:widowControl w:val="0"/>
        <w:tabs>
          <w:tab w:val="left" w:pos="426"/>
        </w:tabs>
        <w:wordWrap/>
        <w:autoSpaceDE w:val="0"/>
        <w:autoSpaceDN w:val="0"/>
        <w:adjustRightInd w:val="0"/>
        <w:snapToGrid w:val="0"/>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（6）答复异议的日期。</w:t>
      </w:r>
    </w:p>
    <w:p w14:paraId="6D85628A">
      <w:pPr>
        <w:widowControl w:val="0"/>
        <w:numPr>
          <w:ilvl w:val="1"/>
          <w:numId w:val="0"/>
        </w:numPr>
        <w:tabs>
          <w:tab w:val="left" w:pos="630"/>
          <w:tab w:val="left" w:pos="1060"/>
        </w:tabs>
        <w:wordWrap/>
        <w:autoSpaceDE w:val="0"/>
        <w:autoSpaceDN w:val="0"/>
        <w:adjustRightInd w:val="0"/>
        <w:spacing w:line="360" w:lineRule="auto"/>
        <w:ind w:left="0" w:leftChars="0" w:firstLine="480" w:firstLineChars="200"/>
        <w:jc w:val="left"/>
        <w:textAlignment w:val="auto"/>
        <w:outlineLvl w:val="9"/>
        <w:rPr>
          <w:rFonts w:hint="eastAsia" w:ascii="宋体" w:hAnsi="宋体" w:eastAsia="宋体" w:cs="宋体"/>
          <w:snapToGrid w:val="0"/>
          <w:color w:val="auto"/>
          <w:kern w:val="0"/>
          <w:sz w:val="24"/>
          <w:szCs w:val="24"/>
          <w:highlight w:val="none"/>
          <w:lang w:val="zh-CN"/>
        </w:rPr>
      </w:pPr>
      <w:bookmarkStart w:id="211" w:name="_Toc503905436"/>
      <w:r>
        <w:rPr>
          <w:rFonts w:hint="eastAsia" w:ascii="宋体" w:hAnsi="宋体" w:eastAsia="宋体" w:cs="宋体"/>
          <w:snapToGrid w:val="0"/>
          <w:color w:val="auto"/>
          <w:kern w:val="0"/>
          <w:sz w:val="24"/>
          <w:szCs w:val="24"/>
          <w:highlight w:val="none"/>
          <w:lang w:val="zh-CN" w:eastAsia="zh-CN" w:bidi="ar-SA"/>
        </w:rPr>
        <w:t>29.7</w:t>
      </w:r>
      <w:r>
        <w:rPr>
          <w:rFonts w:hint="eastAsia" w:ascii="宋体" w:hAnsi="宋体" w:eastAsia="宋体" w:cs="宋体"/>
          <w:snapToGrid w:val="0"/>
          <w:color w:val="auto"/>
          <w:kern w:val="0"/>
          <w:sz w:val="24"/>
          <w:szCs w:val="24"/>
          <w:highlight w:val="none"/>
          <w:lang w:val="zh-CN"/>
        </w:rPr>
        <w:t>投诉</w:t>
      </w:r>
      <w:bookmarkEnd w:id="211"/>
    </w:p>
    <w:p w14:paraId="2A193698">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投标人或者其他利害关系人认为招标投标活动不符合法律、行政法规规定的，可以自知道或者应当知道之日起10日内向有关行政监督部门投诉。投诉应当有明确的请求和必要的证明材料。</w:t>
      </w:r>
    </w:p>
    <w:p w14:paraId="6FBF6286">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投标人对招标文件有异议的、对开标有异议的、对项目的评标结果有异议的投诉的，应当先向招标人提出异议，异议答复期间不计算在前款规定的期限内。</w:t>
      </w:r>
    </w:p>
    <w:p w14:paraId="7CAA24FF">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投诉人就同一事项向两个以上有权受理的行政监督部门投诉的，由最先收到投诉的行政监督部门负责处理。</w:t>
      </w:r>
    </w:p>
    <w:p w14:paraId="50A9CB98">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行政监督部门应当自收到投诉之日起3个工作日内决定是否受理投诉，并自受理投诉之日起30个工作日内作出书面处理决定；需要检验、检测、鉴定、专家评审的，所需时间不计算在内。</w:t>
      </w:r>
    </w:p>
    <w:p w14:paraId="44059B48">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投诉人捏造事实、伪造材料或者以非法手段取得证明材料进行投诉的，行政监督部门应当予以驳回。</w:t>
      </w:r>
    </w:p>
    <w:p w14:paraId="1890D123">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行政监督部门处理投诉，有权查阅、复制有关文件、资料，调查有关情况，相关单位和人员应当予以配合。必要时，行政监督部门可以责令暂停招标投标活动。</w:t>
      </w:r>
    </w:p>
    <w:p w14:paraId="576A30C7">
      <w:pPr>
        <w:widowControl w:val="0"/>
        <w:wordWrap/>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行政监督部门的工作人员对监督检查过程中知悉的国家秘密、商业秘密，应当依法予以保密。</w:t>
      </w:r>
    </w:p>
    <w:p w14:paraId="38FEE1F3">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212" w:name="_Toc23207"/>
      <w:bookmarkStart w:id="213" w:name="_Toc494528964"/>
      <w:bookmarkStart w:id="214" w:name="_Toc495388871"/>
      <w:bookmarkStart w:id="215" w:name="_Toc90539575"/>
      <w:r>
        <w:rPr>
          <w:rFonts w:hint="eastAsia" w:ascii="宋体" w:hAnsi="宋体" w:eastAsia="宋体" w:cs="宋体"/>
          <w:b/>
          <w:snapToGrid w:val="0"/>
          <w:color w:val="auto"/>
          <w:kern w:val="0"/>
          <w:sz w:val="24"/>
          <w:szCs w:val="24"/>
          <w:highlight w:val="none"/>
          <w:lang w:val="zh-CN" w:eastAsia="zh-CN" w:bidi="ar-SA"/>
        </w:rPr>
        <w:t>30.</w:t>
      </w:r>
      <w:r>
        <w:rPr>
          <w:rFonts w:hint="eastAsia" w:ascii="宋体" w:hAnsi="宋体" w:eastAsia="宋体" w:cs="宋体"/>
          <w:b/>
          <w:snapToGrid w:val="0"/>
          <w:color w:val="auto"/>
          <w:kern w:val="0"/>
          <w:sz w:val="24"/>
          <w:szCs w:val="24"/>
          <w:highlight w:val="none"/>
          <w:lang w:val="zh-CN"/>
        </w:rPr>
        <w:t>合同授予标准</w:t>
      </w:r>
      <w:bookmarkEnd w:id="212"/>
      <w:bookmarkEnd w:id="213"/>
      <w:bookmarkEnd w:id="214"/>
      <w:bookmarkEnd w:id="215"/>
    </w:p>
    <w:p w14:paraId="2D7A78CB">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eastAsia="zh-CN" w:bidi="ar-SA"/>
        </w:rPr>
        <w:t>30.1</w:t>
      </w:r>
      <w:r>
        <w:rPr>
          <w:rFonts w:hint="eastAsia" w:ascii="宋体" w:hAnsi="宋体" w:eastAsia="宋体" w:cs="宋体"/>
          <w:snapToGrid w:val="0"/>
          <w:color w:val="auto"/>
          <w:kern w:val="0"/>
          <w:sz w:val="24"/>
          <w:szCs w:val="24"/>
          <w:highlight w:val="none"/>
          <w:lang w:val="zh-CN"/>
        </w:rPr>
        <w:t>招标人</w:t>
      </w:r>
      <w:r>
        <w:rPr>
          <w:rFonts w:hint="eastAsia" w:ascii="宋体" w:hAnsi="宋体" w:eastAsia="宋体" w:cs="宋体"/>
          <w:snapToGrid w:val="0"/>
          <w:color w:val="auto"/>
          <w:kern w:val="0"/>
          <w:sz w:val="24"/>
          <w:szCs w:val="24"/>
          <w:highlight w:val="none"/>
        </w:rPr>
        <w:t>应按照</w:t>
      </w:r>
      <w:r>
        <w:rPr>
          <w:rFonts w:hint="eastAsia" w:ascii="宋体" w:hAnsi="宋体" w:eastAsia="宋体" w:cs="宋体"/>
          <w:snapToGrid w:val="0"/>
          <w:color w:val="auto"/>
          <w:kern w:val="0"/>
          <w:sz w:val="24"/>
          <w:szCs w:val="24"/>
          <w:highlight w:val="none"/>
          <w:lang w:val="zh-CN"/>
        </w:rPr>
        <w:t>评标报告推荐的顺序确定排名</w:t>
      </w:r>
      <w:r>
        <w:rPr>
          <w:rFonts w:hint="eastAsia" w:ascii="宋体" w:hAnsi="宋体" w:eastAsia="宋体" w:cs="宋体"/>
          <w:snapToGrid w:val="0"/>
          <w:color w:val="auto"/>
          <w:kern w:val="0"/>
          <w:sz w:val="24"/>
          <w:szCs w:val="24"/>
          <w:highlight w:val="none"/>
          <w:lang w:val="en-US" w:eastAsia="zh-CN"/>
        </w:rPr>
        <w:t>第一</w:t>
      </w:r>
      <w:r>
        <w:rPr>
          <w:rFonts w:hint="eastAsia" w:ascii="宋体" w:hAnsi="宋体" w:eastAsia="宋体" w:cs="宋体"/>
          <w:snapToGrid w:val="0"/>
          <w:color w:val="auto"/>
          <w:kern w:val="0"/>
          <w:sz w:val="24"/>
          <w:szCs w:val="24"/>
          <w:highlight w:val="none"/>
          <w:lang w:val="zh-CN"/>
        </w:rPr>
        <w:t>的中标候选人为中标人，特殊情况按本须知31.3条的规定执行。</w:t>
      </w:r>
    </w:p>
    <w:p w14:paraId="69929358">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rPr>
      </w:pPr>
      <w:bookmarkStart w:id="216" w:name="_Toc494528965"/>
      <w:bookmarkStart w:id="217" w:name="_Toc495388872"/>
      <w:bookmarkStart w:id="218" w:name="_Toc16127"/>
      <w:bookmarkStart w:id="219" w:name="_Toc90539576"/>
      <w:r>
        <w:rPr>
          <w:rFonts w:hint="eastAsia" w:ascii="宋体" w:hAnsi="宋体" w:eastAsia="宋体" w:cs="宋体"/>
          <w:b/>
          <w:snapToGrid w:val="0"/>
          <w:color w:val="auto"/>
          <w:kern w:val="0"/>
          <w:sz w:val="24"/>
          <w:szCs w:val="24"/>
          <w:highlight w:val="none"/>
          <w:lang w:val="zh-CN" w:eastAsia="zh-CN" w:bidi="ar-SA"/>
        </w:rPr>
        <w:t>31.</w:t>
      </w:r>
      <w:r>
        <w:rPr>
          <w:rFonts w:hint="eastAsia" w:ascii="宋体" w:hAnsi="宋体" w:eastAsia="宋体" w:cs="宋体"/>
          <w:b/>
          <w:snapToGrid w:val="0"/>
          <w:color w:val="auto"/>
          <w:kern w:val="0"/>
          <w:sz w:val="24"/>
          <w:szCs w:val="24"/>
          <w:highlight w:val="none"/>
          <w:lang w:val="zh-CN"/>
        </w:rPr>
        <w:t>签订</w:t>
      </w:r>
      <w:bookmarkEnd w:id="216"/>
      <w:bookmarkEnd w:id="217"/>
      <w:bookmarkEnd w:id="218"/>
      <w:bookmarkEnd w:id="219"/>
      <w:r>
        <w:rPr>
          <w:rFonts w:hint="eastAsia" w:ascii="宋体" w:hAnsi="宋体" w:eastAsia="宋体" w:cs="宋体"/>
          <w:b/>
          <w:snapToGrid w:val="0"/>
          <w:color w:val="auto"/>
          <w:kern w:val="0"/>
          <w:sz w:val="24"/>
          <w:szCs w:val="24"/>
          <w:highlight w:val="none"/>
          <w:lang w:val="zh-CN"/>
        </w:rPr>
        <w:t>合同</w:t>
      </w:r>
    </w:p>
    <w:p w14:paraId="158E282F">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31.1</w:t>
      </w:r>
      <w:r>
        <w:rPr>
          <w:rFonts w:hint="eastAsia" w:ascii="宋体" w:hAnsi="宋体" w:eastAsia="宋体" w:cs="宋体"/>
          <w:snapToGrid w:val="0"/>
          <w:color w:val="auto"/>
          <w:kern w:val="0"/>
          <w:sz w:val="24"/>
          <w:szCs w:val="24"/>
          <w:highlight w:val="none"/>
          <w:lang w:val="zh-CN" w:eastAsia="zh-CN" w:bidi="ar-SA"/>
        </w:rPr>
        <w:t>招标人和中标人应当在投标有效期内并自中标通知书发出之日起30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w:t>
      </w:r>
    </w:p>
    <w:p w14:paraId="5792E933">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31.2</w:t>
      </w:r>
      <w:r>
        <w:rPr>
          <w:rFonts w:hint="eastAsia" w:ascii="宋体" w:hAnsi="宋体" w:eastAsia="宋体" w:cs="宋体"/>
          <w:snapToGrid w:val="0"/>
          <w:color w:val="auto"/>
          <w:kern w:val="0"/>
          <w:sz w:val="24"/>
          <w:szCs w:val="24"/>
          <w:highlight w:val="none"/>
          <w:lang w:val="zh-CN" w:eastAsia="zh-CN" w:bidi="ar-SA"/>
        </w:rPr>
        <w:t>发出中标通知书后，招标人无正当理由拒签合同的，招标人向中标人退还投标保证金；给中标人造成损失的，还应当赔偿损失。</w:t>
      </w:r>
    </w:p>
    <w:p w14:paraId="7088D659">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31.3</w:t>
      </w:r>
      <w:r>
        <w:rPr>
          <w:rFonts w:hint="eastAsia" w:ascii="宋体" w:hAnsi="宋体" w:eastAsia="宋体" w:cs="宋体"/>
          <w:snapToGrid w:val="0"/>
          <w:color w:val="auto"/>
          <w:kern w:val="0"/>
          <w:sz w:val="24"/>
          <w:szCs w:val="24"/>
          <w:highlight w:val="none"/>
          <w:lang w:val="zh-CN" w:eastAsia="zh-CN" w:bidi="ar-SA"/>
        </w:rPr>
        <w:t>中标人应当在合同签订后15日内，登录“电子交易平台”提交电子合同文件备案。</w:t>
      </w:r>
    </w:p>
    <w:p w14:paraId="24E8A0FA">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eastAsia="zh-CN"/>
        </w:rPr>
      </w:pPr>
      <w:r>
        <w:rPr>
          <w:rFonts w:hint="eastAsia" w:ascii="宋体" w:hAnsi="宋体" w:eastAsia="宋体" w:cs="宋体"/>
          <w:b/>
          <w:snapToGrid w:val="0"/>
          <w:color w:val="auto"/>
          <w:kern w:val="0"/>
          <w:sz w:val="24"/>
          <w:szCs w:val="24"/>
          <w:highlight w:val="none"/>
          <w:lang w:val="en-US" w:eastAsia="zh-CN"/>
        </w:rPr>
        <w:t>32.</w:t>
      </w:r>
      <w:r>
        <w:rPr>
          <w:rFonts w:hint="eastAsia" w:ascii="宋体" w:hAnsi="宋体" w:eastAsia="宋体" w:cs="宋体"/>
          <w:b/>
          <w:snapToGrid w:val="0"/>
          <w:color w:val="auto"/>
          <w:kern w:val="0"/>
          <w:sz w:val="24"/>
          <w:szCs w:val="24"/>
          <w:highlight w:val="none"/>
          <w:lang w:val="zh-CN" w:eastAsia="zh-CN"/>
        </w:rPr>
        <w:t>履约保证金</w:t>
      </w:r>
    </w:p>
    <w:p w14:paraId="4980CB18">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32.1</w:t>
      </w:r>
      <w:r>
        <w:rPr>
          <w:rFonts w:hint="eastAsia" w:ascii="宋体" w:hAnsi="宋体" w:eastAsia="宋体" w:cs="宋体"/>
          <w:snapToGrid w:val="0"/>
          <w:color w:val="auto"/>
          <w:kern w:val="0"/>
          <w:sz w:val="24"/>
          <w:szCs w:val="24"/>
          <w:highlight w:val="none"/>
          <w:lang w:val="zh-CN" w:eastAsia="zh-CN" w:bidi="ar-SA"/>
        </w:rPr>
        <w:t>在签订合同前，中标人应按投标人须知前附表规定的金额、形式和本招标文件 “合同条款及格式”规定的履约保证金格式或者事先经过招标人书面认可的履约保证金格式向招标人提交履约担保。联合体中标的，其履约保证金由牵头人递交，并应符合投标人须知前附表的规定。</w:t>
      </w:r>
    </w:p>
    <w:p w14:paraId="3E9B70AA">
      <w:pPr>
        <w:widowControl w:val="0"/>
        <w:numPr>
          <w:ilvl w:val="1"/>
          <w:numId w:val="0"/>
        </w:numPr>
        <w:tabs>
          <w:tab w:val="left" w:pos="1060"/>
        </w:tabs>
        <w:wordWrap/>
        <w:autoSpaceDE w:val="0"/>
        <w:autoSpaceDN w:val="0"/>
        <w:adjustRightInd w:val="0"/>
        <w:spacing w:line="360" w:lineRule="auto"/>
        <w:ind w:left="0" w:leftChars="0" w:firstLine="480" w:firstLineChars="200"/>
        <w:jc w:val="left"/>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en-US" w:eastAsia="zh-CN" w:bidi="ar-SA"/>
        </w:rPr>
        <w:t>32.2</w:t>
      </w:r>
      <w:r>
        <w:rPr>
          <w:rFonts w:hint="eastAsia" w:ascii="宋体" w:hAnsi="宋体" w:eastAsia="宋体" w:cs="宋体"/>
          <w:snapToGrid w:val="0"/>
          <w:color w:val="auto"/>
          <w:kern w:val="0"/>
          <w:sz w:val="24"/>
          <w:szCs w:val="24"/>
          <w:highlight w:val="none"/>
          <w:lang w:val="zh-CN" w:eastAsia="zh-CN" w:bidi="ar-SA"/>
        </w:rPr>
        <w:t>中标人不能按本章相关条款要求提交履约保证金的，视为放弃中标，其投标保证金不予退还，给招标人造成的损失超过投标保证金数额的，中标人还应当对超过部分予以赔偿。</w:t>
      </w:r>
    </w:p>
    <w:p w14:paraId="78259A28">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220" w:name="_Toc7855"/>
      <w:bookmarkStart w:id="221" w:name="_Toc22301"/>
      <w:bookmarkStart w:id="222" w:name="_Toc495388873"/>
      <w:bookmarkStart w:id="223" w:name="_Toc8955"/>
      <w:bookmarkStart w:id="224" w:name="_Toc494528966"/>
      <w:bookmarkStart w:id="225" w:name="_Toc90539577"/>
      <w:bookmarkStart w:id="226" w:name="_Toc4087"/>
      <w:bookmarkStart w:id="227" w:name="_Toc14784"/>
      <w:r>
        <w:rPr>
          <w:rFonts w:hint="eastAsia" w:ascii="宋体" w:hAnsi="宋体" w:eastAsia="宋体" w:cs="宋体"/>
          <w:b/>
          <w:bCs/>
          <w:color w:val="auto"/>
          <w:sz w:val="24"/>
          <w:szCs w:val="24"/>
          <w:highlight w:val="none"/>
        </w:rPr>
        <w:t>七、其他要求</w:t>
      </w:r>
      <w:bookmarkEnd w:id="220"/>
      <w:bookmarkEnd w:id="221"/>
      <w:bookmarkEnd w:id="222"/>
      <w:bookmarkEnd w:id="223"/>
      <w:bookmarkEnd w:id="224"/>
      <w:bookmarkEnd w:id="225"/>
      <w:bookmarkEnd w:id="226"/>
      <w:bookmarkEnd w:id="227"/>
    </w:p>
    <w:p w14:paraId="121AC1F4">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b/>
          <w:snapToGrid w:val="0"/>
          <w:color w:val="auto"/>
          <w:kern w:val="0"/>
          <w:sz w:val="24"/>
          <w:szCs w:val="24"/>
          <w:highlight w:val="none"/>
          <w:lang w:val="zh-CN" w:eastAsia="zh-CN"/>
        </w:rPr>
      </w:pPr>
      <w:r>
        <w:rPr>
          <w:rFonts w:hint="eastAsia" w:ascii="宋体" w:hAnsi="宋体" w:eastAsia="宋体" w:cs="宋体"/>
          <w:b/>
          <w:snapToGrid w:val="0"/>
          <w:color w:val="auto"/>
          <w:kern w:val="0"/>
          <w:sz w:val="24"/>
          <w:szCs w:val="24"/>
          <w:highlight w:val="none"/>
          <w:lang w:val="zh-CN" w:eastAsia="zh-CN"/>
        </w:rPr>
        <w:t>3</w:t>
      </w:r>
      <w:r>
        <w:rPr>
          <w:rFonts w:hint="eastAsia" w:ascii="宋体" w:hAnsi="宋体" w:eastAsia="宋体" w:cs="宋体"/>
          <w:b/>
          <w:snapToGrid w:val="0"/>
          <w:color w:val="auto"/>
          <w:kern w:val="0"/>
          <w:sz w:val="24"/>
          <w:szCs w:val="24"/>
          <w:highlight w:val="none"/>
          <w:lang w:val="en-US" w:eastAsia="zh-CN"/>
        </w:rPr>
        <w:t>3</w:t>
      </w:r>
      <w:r>
        <w:rPr>
          <w:rFonts w:hint="eastAsia" w:ascii="宋体" w:hAnsi="宋体" w:eastAsia="宋体" w:cs="宋体"/>
          <w:b/>
          <w:snapToGrid w:val="0"/>
          <w:color w:val="auto"/>
          <w:kern w:val="0"/>
          <w:sz w:val="24"/>
          <w:szCs w:val="24"/>
          <w:highlight w:val="none"/>
          <w:lang w:val="zh-CN" w:eastAsia="zh-CN"/>
        </w:rPr>
        <w:t>.见《投标人须知前附表》。</w:t>
      </w:r>
    </w:p>
    <w:p w14:paraId="257A75B9">
      <w:pPr>
        <w:keepNext/>
        <w:keepLines/>
        <w:pageBreakBefore w:val="0"/>
        <w:widowControl w:val="0"/>
        <w:kinsoku/>
        <w:wordWrap w:val="0"/>
        <w:overflowPunct/>
        <w:topLinePunct w:val="0"/>
        <w:autoSpaceDE/>
        <w:autoSpaceDN/>
        <w:bidi w:val="0"/>
        <w:adjustRightInd/>
        <w:snapToGrid/>
        <w:spacing w:before="157" w:beforeLines="50" w:after="157" w:afterLines="50" w:line="360" w:lineRule="auto"/>
        <w:jc w:val="center"/>
        <w:textAlignment w:val="auto"/>
        <w:outlineLvl w:val="1"/>
        <w:rPr>
          <w:rFonts w:hint="eastAsia" w:ascii="宋体" w:hAnsi="宋体" w:eastAsia="宋体" w:cs="宋体"/>
          <w:b/>
          <w:bCs/>
          <w:color w:val="auto"/>
          <w:sz w:val="24"/>
          <w:szCs w:val="24"/>
          <w:highlight w:val="none"/>
        </w:rPr>
      </w:pPr>
      <w:bookmarkStart w:id="228" w:name="_Toc25026"/>
      <w:bookmarkStart w:id="229" w:name="_Toc26592"/>
      <w:bookmarkStart w:id="230" w:name="_Toc494528967"/>
      <w:bookmarkStart w:id="231" w:name="_Toc90539578"/>
      <w:bookmarkStart w:id="232" w:name="_Toc4311"/>
      <w:bookmarkStart w:id="233" w:name="_Toc495388874"/>
      <w:bookmarkStart w:id="234" w:name="_Toc32732"/>
      <w:bookmarkStart w:id="235" w:name="_Toc6545"/>
      <w:r>
        <w:rPr>
          <w:rFonts w:hint="eastAsia" w:ascii="宋体" w:hAnsi="宋体" w:eastAsia="宋体" w:cs="宋体"/>
          <w:b/>
          <w:bCs/>
          <w:color w:val="auto"/>
          <w:sz w:val="24"/>
          <w:szCs w:val="24"/>
          <w:highlight w:val="none"/>
        </w:rPr>
        <w:t>八、适用法律</w:t>
      </w:r>
      <w:bookmarkEnd w:id="228"/>
      <w:bookmarkEnd w:id="229"/>
      <w:bookmarkEnd w:id="230"/>
      <w:bookmarkEnd w:id="231"/>
      <w:bookmarkEnd w:id="232"/>
      <w:bookmarkEnd w:id="233"/>
      <w:bookmarkEnd w:id="234"/>
      <w:bookmarkEnd w:id="235"/>
    </w:p>
    <w:p w14:paraId="128B5C77">
      <w:pPr>
        <w:widowControl w:val="0"/>
        <w:numPr>
          <w:ilvl w:val="3"/>
          <w:numId w:val="0"/>
        </w:numPr>
        <w:tabs>
          <w:tab w:val="left" w:pos="525"/>
        </w:tabs>
        <w:wordWrap/>
        <w:autoSpaceDE w:val="0"/>
        <w:autoSpaceDN w:val="0"/>
        <w:adjustRightInd w:val="0"/>
        <w:spacing w:line="360" w:lineRule="auto"/>
        <w:ind w:left="0" w:leftChars="0" w:firstLine="0" w:firstLineChars="0"/>
        <w:jc w:val="left"/>
        <w:textAlignment w:val="auto"/>
        <w:outlineLvl w:val="9"/>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lang w:val="zh-CN" w:eastAsia="zh-CN" w:bidi="ar-SA"/>
        </w:rPr>
        <w:t>3</w:t>
      </w:r>
      <w:r>
        <w:rPr>
          <w:rFonts w:hint="eastAsia" w:ascii="宋体" w:hAnsi="宋体" w:eastAsia="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zh-CN" w:eastAsia="zh-CN" w:bidi="ar-SA"/>
        </w:rPr>
        <w:t>.招标人、招标代理机构及投标人的一切招标投标活动均参照于《中华人民共和国招标投标法》、《中华人民共和国招标投标法实施条例》及相关规定。合作合同的履行、违约责任和解决争议的方法等适用《民法典》。</w:t>
      </w:r>
    </w:p>
    <w:p w14:paraId="5B567A2D">
      <w:pPr>
        <w:rPr>
          <w:rFonts w:hint="eastAsia" w:ascii="宋体" w:hAnsi="宋体" w:eastAsia="宋体" w:cs="宋体"/>
          <w:b w:val="0"/>
          <w:bCs/>
          <w:snapToGrid w:val="0"/>
          <w:color w:val="auto"/>
          <w:kern w:val="0"/>
          <w:sz w:val="24"/>
          <w:szCs w:val="24"/>
          <w:highlight w:val="none"/>
          <w:lang w:val="zh-CN"/>
        </w:rPr>
      </w:pPr>
      <w:r>
        <w:rPr>
          <w:rFonts w:hint="eastAsia" w:ascii="宋体" w:hAnsi="宋体" w:eastAsia="宋体" w:cs="宋体"/>
          <w:b w:val="0"/>
          <w:bCs/>
          <w:snapToGrid w:val="0"/>
          <w:color w:val="auto"/>
          <w:kern w:val="0"/>
          <w:sz w:val="24"/>
          <w:szCs w:val="24"/>
          <w:highlight w:val="none"/>
          <w:lang w:val="zh-CN"/>
        </w:rPr>
        <w:br w:type="page"/>
      </w:r>
    </w:p>
    <w:p w14:paraId="067BD3A7">
      <w:pPr>
        <w:jc w:val="center"/>
        <w:outlineLvl w:val="0"/>
        <w:rPr>
          <w:rFonts w:hint="eastAsia" w:ascii="宋体" w:hAnsi="宋体" w:eastAsia="宋体" w:cs="宋体"/>
          <w:color w:val="auto"/>
          <w:sz w:val="32"/>
          <w:szCs w:val="20"/>
          <w:highlight w:val="none"/>
          <w:lang w:val="en-US" w:eastAsia="zh-CN"/>
        </w:rPr>
      </w:pPr>
      <w:bookmarkStart w:id="236" w:name="_Toc8585"/>
      <w:bookmarkStart w:id="237" w:name="_Toc3327"/>
      <w:bookmarkStart w:id="238" w:name="_Toc28907"/>
      <w:bookmarkStart w:id="239" w:name="_Toc32196"/>
      <w:bookmarkStart w:id="240" w:name="_Toc32073"/>
      <w:r>
        <w:rPr>
          <w:rFonts w:hint="eastAsia" w:ascii="宋体" w:hAnsi="宋体" w:eastAsia="宋体" w:cs="宋体"/>
          <w:b/>
          <w:bCs/>
          <w:color w:val="auto"/>
          <w:sz w:val="32"/>
          <w:szCs w:val="20"/>
          <w:highlight w:val="none"/>
          <w:lang w:val="en-US" w:eastAsia="zh-CN"/>
        </w:rPr>
        <w:t>第三章  采购需求</w:t>
      </w:r>
      <w:bookmarkEnd w:id="236"/>
      <w:bookmarkEnd w:id="237"/>
      <w:bookmarkEnd w:id="238"/>
      <w:bookmarkEnd w:id="239"/>
      <w:bookmarkEnd w:id="240"/>
    </w:p>
    <w:p w14:paraId="2B5FB2CD">
      <w:pPr>
        <w:wordWrap w:val="0"/>
        <w:adjustRightInd/>
        <w:snapToGrid/>
        <w:spacing w:line="360" w:lineRule="auto"/>
        <w:jc w:val="both"/>
        <w:textAlignment w:val="auto"/>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说明：“★”号标注的内容为实质性要求，必须满足或优于该要求，否则按照无效响应处理。</w:t>
      </w:r>
    </w:p>
    <w:p w14:paraId="68C4D56E">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1" w:name="_Toc2287"/>
      <w:bookmarkStart w:id="242" w:name="_Toc13282"/>
      <w:bookmarkStart w:id="243" w:name="_Toc20392"/>
      <w:bookmarkStart w:id="244" w:name="_Toc12878"/>
      <w:r>
        <w:rPr>
          <w:rFonts w:hint="eastAsia" w:ascii="宋体" w:hAnsi="宋体" w:eastAsia="宋体" w:cs="宋体"/>
          <w:b/>
          <w:bCs/>
          <w:color w:val="auto"/>
          <w:sz w:val="24"/>
          <w:szCs w:val="24"/>
          <w:highlight w:val="none"/>
          <w:lang w:val="en-US" w:eastAsia="zh-CN"/>
        </w:rPr>
        <w:t>一、项目概况</w:t>
      </w:r>
      <w:bookmarkEnd w:id="241"/>
    </w:p>
    <w:p w14:paraId="4105E8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2026年湖北省城镇社会保障卡金融服务合作项目</w:t>
      </w:r>
      <w:r>
        <w:rPr>
          <w:rFonts w:hint="eastAsia" w:ascii="宋体" w:hAnsi="宋体" w:eastAsia="宋体" w:cs="宋体"/>
          <w:color w:val="auto"/>
          <w:sz w:val="24"/>
          <w:szCs w:val="24"/>
          <w:highlight w:val="none"/>
          <w:lang w:val="en-US" w:eastAsia="zh-CN"/>
        </w:rPr>
        <w:t>拟建设湖北省数智人社“一卡通”一体化平台——社会保险全险种一体化系统，用以支撑社会保险全险种业务经办和公共服务，对现有社保系统进行整体重构，依托省人社一体化平台，将险种和业务融合，建设社保一体化系统，实现社保“四全十统一”，“四全”为全险合一、全库集中、全域通办和全局管控；“十统一”为统一基金财务、统一权限管理、统一运维管理、统一电子档案、统一监控分析、统一智能应用、统一移动办公、统一信息推送、统一数据共享、统一外部对接。</w:t>
      </w:r>
    </w:p>
    <w:p w14:paraId="2AFE7E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一体化系统包括参保登记、缴费认定、信息维护、养老待遇、工伤（职业伤害）待遇、失业待遇、职业年金、代发待遇、关系转移、基金财务、部级报表、查询打印、稽核内控、劳动能力鉴定、工伤认定（职业伤害确认、工伤预防）、参数维护和管理支撑等模块，以及相关配套子系统对接改造和历史数据迁移，完成人社部社保全险种业务中台实施对接。具体采购清单为：</w:t>
      </w:r>
    </w:p>
    <w:tbl>
      <w:tblPr>
        <w:tblStyle w:val="14"/>
        <w:tblW w:w="5000" w:type="pct"/>
        <w:jc w:val="center"/>
        <w:tblLayout w:type="fixed"/>
        <w:tblCellMar>
          <w:top w:w="0" w:type="dxa"/>
          <w:left w:w="108" w:type="dxa"/>
          <w:bottom w:w="0" w:type="dxa"/>
          <w:right w:w="108" w:type="dxa"/>
        </w:tblCellMar>
      </w:tblPr>
      <w:tblGrid>
        <w:gridCol w:w="671"/>
        <w:gridCol w:w="1292"/>
        <w:gridCol w:w="3690"/>
        <w:gridCol w:w="767"/>
        <w:gridCol w:w="616"/>
        <w:gridCol w:w="921"/>
        <w:gridCol w:w="1286"/>
      </w:tblGrid>
      <w:tr w14:paraId="68AB70A6">
        <w:tblPrEx>
          <w:tblCellMar>
            <w:top w:w="0" w:type="dxa"/>
            <w:left w:w="108" w:type="dxa"/>
            <w:bottom w:w="0" w:type="dxa"/>
            <w:right w:w="108" w:type="dxa"/>
          </w:tblCellMar>
        </w:tblPrEx>
        <w:trPr>
          <w:trHeight w:val="9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3BEC9838">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699" w:type="pct"/>
            <w:tcBorders>
              <w:top w:val="single" w:color="000000" w:sz="4" w:space="0"/>
              <w:left w:val="single" w:color="000000" w:sz="4" w:space="0"/>
              <w:bottom w:val="single" w:color="000000" w:sz="4" w:space="0"/>
              <w:right w:val="single" w:color="000000" w:sz="4" w:space="0"/>
            </w:tcBorders>
            <w:noWrap/>
            <w:vAlign w:val="center"/>
          </w:tcPr>
          <w:p w14:paraId="775CA019">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系统</w:t>
            </w: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51EAFB3B">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板块内容</w:t>
            </w:r>
          </w:p>
        </w:tc>
        <w:tc>
          <w:tcPr>
            <w:tcW w:w="415" w:type="pct"/>
            <w:tcBorders>
              <w:top w:val="single" w:color="000000" w:sz="4" w:space="0"/>
              <w:left w:val="single" w:color="000000" w:sz="4" w:space="0"/>
              <w:bottom w:val="single" w:color="000000" w:sz="4" w:space="0"/>
              <w:right w:val="single" w:color="000000" w:sz="4" w:space="0"/>
            </w:tcBorders>
            <w:noWrap/>
            <w:vAlign w:val="center"/>
          </w:tcPr>
          <w:p w14:paraId="15E54FB9">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3FA2E356">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201A2F9A">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税率</w:t>
            </w:r>
            <w:r>
              <w:rPr>
                <w:rFonts w:hint="eastAsia" w:ascii="宋体" w:hAnsi="宋体" w:eastAsia="宋体" w:cs="宋体"/>
                <w:b/>
                <w:bCs/>
                <w:color w:val="auto"/>
                <w:kern w:val="0"/>
                <w:sz w:val="24"/>
                <w:szCs w:val="24"/>
                <w:highlight w:val="none"/>
                <w:lang w:bidi="ar"/>
              </w:rPr>
              <w:br w:type="textWrapping"/>
            </w:r>
            <w:r>
              <w:rPr>
                <w:rFonts w:hint="eastAsia" w:ascii="宋体" w:hAnsi="宋体" w:eastAsia="宋体" w:cs="宋体"/>
                <w:b/>
                <w:bCs/>
                <w:color w:val="auto"/>
                <w:kern w:val="0"/>
                <w:sz w:val="24"/>
                <w:szCs w:val="24"/>
                <w:highlight w:val="none"/>
                <w:lang w:bidi="ar"/>
              </w:rPr>
              <w:t>（%）</w:t>
            </w:r>
          </w:p>
        </w:tc>
        <w:tc>
          <w:tcPr>
            <w:tcW w:w="695" w:type="pct"/>
            <w:tcBorders>
              <w:top w:val="single" w:color="000000" w:sz="4" w:space="0"/>
              <w:left w:val="single" w:color="000000" w:sz="4" w:space="0"/>
              <w:bottom w:val="single" w:color="000000" w:sz="4" w:space="0"/>
              <w:right w:val="single" w:color="000000" w:sz="4" w:space="0"/>
            </w:tcBorders>
            <w:noWrap w:val="0"/>
            <w:vAlign w:val="center"/>
          </w:tcPr>
          <w:p w14:paraId="27981415">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含税最高投标限价</w:t>
            </w:r>
            <w:r>
              <w:rPr>
                <w:rFonts w:hint="eastAsia" w:ascii="宋体" w:hAnsi="宋体" w:eastAsia="宋体" w:cs="宋体"/>
                <w:b/>
                <w:bCs/>
                <w:color w:val="auto"/>
                <w:kern w:val="0"/>
                <w:sz w:val="24"/>
                <w:szCs w:val="24"/>
                <w:highlight w:val="none"/>
                <w:lang w:bidi="ar"/>
              </w:rPr>
              <w:br w:type="textWrapping"/>
            </w:r>
            <w:r>
              <w:rPr>
                <w:rFonts w:hint="eastAsia" w:ascii="宋体" w:hAnsi="宋体" w:eastAsia="宋体" w:cs="宋体"/>
                <w:b/>
                <w:bCs/>
                <w:color w:val="auto"/>
                <w:kern w:val="0"/>
                <w:sz w:val="24"/>
                <w:szCs w:val="24"/>
                <w:highlight w:val="none"/>
                <w:lang w:bidi="ar"/>
              </w:rPr>
              <w:t>（万元）</w:t>
            </w:r>
          </w:p>
        </w:tc>
      </w:tr>
      <w:tr w14:paraId="78A68BFA">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107BB36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699" w:type="pct"/>
            <w:vMerge w:val="restart"/>
            <w:tcBorders>
              <w:top w:val="single" w:color="000000" w:sz="4" w:space="0"/>
              <w:left w:val="single" w:color="000000" w:sz="4" w:space="0"/>
              <w:bottom w:val="single" w:color="000000" w:sz="4" w:space="0"/>
              <w:right w:val="single" w:color="000000" w:sz="4" w:space="0"/>
            </w:tcBorders>
            <w:noWrap/>
            <w:vAlign w:val="center"/>
          </w:tcPr>
          <w:p w14:paraId="670459C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社会保险信息系统</w:t>
            </w: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7443A99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参保登记</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0E5A96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227F1BB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E1FFDE4">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407C2CF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119.61</w:t>
            </w:r>
          </w:p>
        </w:tc>
      </w:tr>
      <w:tr w14:paraId="4F9D78D6">
        <w:tblPrEx>
          <w:tblCellMar>
            <w:top w:w="0" w:type="dxa"/>
            <w:left w:w="108" w:type="dxa"/>
            <w:bottom w:w="0" w:type="dxa"/>
            <w:right w:w="108" w:type="dxa"/>
          </w:tblCellMar>
        </w:tblPrEx>
        <w:trPr>
          <w:trHeight w:val="7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011115C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6802328A">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43FC08C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缴费认定</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7BBD33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0AE776E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DF8E642">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750D81C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202.49</w:t>
            </w:r>
          </w:p>
        </w:tc>
      </w:tr>
      <w:tr w14:paraId="08F01872">
        <w:tblPrEx>
          <w:tblCellMar>
            <w:top w:w="0" w:type="dxa"/>
            <w:left w:w="108" w:type="dxa"/>
            <w:bottom w:w="0" w:type="dxa"/>
            <w:right w:w="108" w:type="dxa"/>
          </w:tblCellMar>
        </w:tblPrEx>
        <w:trPr>
          <w:trHeight w:val="4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0755486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16032207">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247B5FB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信息维护</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582F921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4998920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544CCA0">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6DFB797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89.85</w:t>
            </w:r>
          </w:p>
        </w:tc>
      </w:tr>
      <w:tr w14:paraId="17599916">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6E5639B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2ADA5933">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199A1D2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养老待遇</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04D286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56A53FE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9BACBB6">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11CE00A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518.05</w:t>
            </w:r>
          </w:p>
        </w:tc>
      </w:tr>
      <w:tr w14:paraId="47F2DCB3">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50ABFAF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26E0FBAE">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6C8218E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工伤（职业伤害）待遇</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480FB4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083E135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56490B8">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11A6754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230.78</w:t>
            </w:r>
          </w:p>
        </w:tc>
      </w:tr>
      <w:tr w14:paraId="3FA14C35">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2AE7CA4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789D2391">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3540611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失业待遇</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7A3460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4728EC9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0D6C1D7A">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0EB4642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82.5</w:t>
            </w:r>
          </w:p>
        </w:tc>
      </w:tr>
      <w:tr w14:paraId="6E47D979">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41C90BF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6F39C142">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6C57380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职业年金</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21A37C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2BF5B1A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C8EEB98">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07059AF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168.35</w:t>
            </w:r>
          </w:p>
        </w:tc>
      </w:tr>
      <w:tr w14:paraId="75AC0B54">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455A247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CC495D8">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3BC993E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代发待遇</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F07139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4C95812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3ADEC404">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43763F9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52.8</w:t>
            </w:r>
          </w:p>
        </w:tc>
      </w:tr>
      <w:tr w14:paraId="44EC2524">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042BADA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6DE48B60">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2B5F412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关系转移</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22AAA8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035A36C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DA2C9DC">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7F5C5A4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201.4</w:t>
            </w:r>
          </w:p>
        </w:tc>
      </w:tr>
      <w:tr w14:paraId="4C7D62DB">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611412C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4C4AC77">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43D8EB6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基金财务</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8D20F7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56B2091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43BB4306">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485A80B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377.79</w:t>
            </w:r>
          </w:p>
        </w:tc>
      </w:tr>
      <w:tr w14:paraId="18506387">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4C7653F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95D1193">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7B7D11E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部级报表</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35D3618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616F683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636019D">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30586A2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75.05</w:t>
            </w:r>
          </w:p>
        </w:tc>
      </w:tr>
      <w:tr w14:paraId="126E017F">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1CCC554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64DE4AA2">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57CD971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查询打印</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4C4F3A4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773205D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93C75DA">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760251D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150.41</w:t>
            </w:r>
          </w:p>
        </w:tc>
      </w:tr>
      <w:tr w14:paraId="57D3DE11">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5758A04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DEA4514">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04EC8D7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稽核内控</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95BB9F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6CE31C8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B46B3C6">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5BCB9A1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238.96</w:t>
            </w:r>
          </w:p>
        </w:tc>
      </w:tr>
      <w:tr w14:paraId="1A3B0BF9">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5756814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494466F3">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01C1727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劳动能力鉴定</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6A209C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1499B53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6FD30114">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7AFFD80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78.24</w:t>
            </w:r>
          </w:p>
        </w:tc>
      </w:tr>
      <w:tr w14:paraId="1748B6C3">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73753F6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4B31DEB0">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3DED03E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工伤认定</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C88E6C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0502990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BACF141">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70CDEDD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43.84</w:t>
            </w:r>
          </w:p>
        </w:tc>
      </w:tr>
      <w:tr w14:paraId="1FD11FCC">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6EE1686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56658CCE">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006B26B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参数维护</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6E72D26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78BF6B2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B392B3F">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25C6A25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42.21</w:t>
            </w:r>
          </w:p>
        </w:tc>
      </w:tr>
      <w:tr w14:paraId="10E100A7">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1EF4AD9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17</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DD3A631">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07A004F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管理支撑</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1A1F83A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04C5C64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78EE284">
            <w:pPr>
              <w:spacing w:line="240" w:lineRule="auto"/>
              <w:ind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21AA8A8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58.26</w:t>
            </w:r>
          </w:p>
        </w:tc>
      </w:tr>
      <w:tr w14:paraId="113F9492">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1A0DF31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024666D">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3067585C">
            <w:pPr>
              <w:widowControl/>
              <w:spacing w:line="240" w:lineRule="auto"/>
              <w:ind w:firstLine="0" w:firstLineChars="0"/>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社会保险本省自建业务中台</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7DB1E39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48722D0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1C41B660">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3BFC15B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100.58</w:t>
            </w:r>
          </w:p>
        </w:tc>
      </w:tr>
      <w:tr w14:paraId="15E86971">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5A2F37F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19</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07B19EA5">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71BEB193">
            <w:pPr>
              <w:widowControl/>
              <w:spacing w:line="240" w:lineRule="auto"/>
              <w:ind w:firstLine="0" w:firstLineChars="0"/>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部下发全险种业务中台部署及对接</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09DEFD1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3C47D80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587EA8DE">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531FC18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149.26</w:t>
            </w:r>
          </w:p>
        </w:tc>
      </w:tr>
      <w:tr w14:paraId="5518E23A">
        <w:tblPrEx>
          <w:tblCellMar>
            <w:top w:w="0" w:type="dxa"/>
            <w:left w:w="108" w:type="dxa"/>
            <w:bottom w:w="0" w:type="dxa"/>
            <w:right w:w="108" w:type="dxa"/>
          </w:tblCellMar>
        </w:tblPrEx>
        <w:trPr>
          <w:trHeight w:val="300" w:hRule="atLeast"/>
          <w:jc w:val="center"/>
        </w:trPr>
        <w:tc>
          <w:tcPr>
            <w:tcW w:w="363" w:type="pct"/>
            <w:tcBorders>
              <w:top w:val="single" w:color="000000" w:sz="4" w:space="0"/>
              <w:left w:val="single" w:color="000000" w:sz="4" w:space="0"/>
              <w:bottom w:val="single" w:color="000000" w:sz="4" w:space="0"/>
              <w:right w:val="single" w:color="000000" w:sz="4" w:space="0"/>
            </w:tcBorders>
            <w:noWrap/>
            <w:vAlign w:val="center"/>
          </w:tcPr>
          <w:p w14:paraId="41042D6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699" w:type="pct"/>
            <w:vMerge w:val="continue"/>
            <w:tcBorders>
              <w:top w:val="single" w:color="000000" w:sz="4" w:space="0"/>
              <w:left w:val="single" w:color="000000" w:sz="4" w:space="0"/>
              <w:bottom w:val="single" w:color="000000" w:sz="4" w:space="0"/>
              <w:right w:val="single" w:color="000000" w:sz="4" w:space="0"/>
            </w:tcBorders>
            <w:noWrap/>
            <w:vAlign w:val="center"/>
          </w:tcPr>
          <w:p w14:paraId="628E24F6">
            <w:pPr>
              <w:spacing w:line="240" w:lineRule="auto"/>
              <w:ind w:firstLine="0" w:firstLineChars="0"/>
              <w:jc w:val="center"/>
              <w:rPr>
                <w:rFonts w:hint="eastAsia" w:ascii="宋体" w:hAnsi="宋体" w:eastAsia="宋体" w:cs="宋体"/>
                <w:color w:val="auto"/>
                <w:sz w:val="24"/>
                <w:szCs w:val="24"/>
                <w:highlight w:val="none"/>
              </w:rPr>
            </w:pPr>
          </w:p>
        </w:tc>
        <w:tc>
          <w:tcPr>
            <w:tcW w:w="1996" w:type="pct"/>
            <w:tcBorders>
              <w:top w:val="single" w:color="000000" w:sz="4" w:space="0"/>
              <w:left w:val="single" w:color="000000" w:sz="4" w:space="0"/>
              <w:bottom w:val="single" w:color="000000" w:sz="4" w:space="0"/>
              <w:right w:val="single" w:color="000000" w:sz="4" w:space="0"/>
            </w:tcBorders>
            <w:noWrap/>
            <w:vAlign w:val="center"/>
          </w:tcPr>
          <w:p w14:paraId="22A93493">
            <w:pPr>
              <w:widowControl/>
              <w:spacing w:line="240" w:lineRule="auto"/>
              <w:ind w:firstLine="0" w:firstLineChars="0"/>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配套子系统对接改造</w:t>
            </w:r>
          </w:p>
        </w:tc>
        <w:tc>
          <w:tcPr>
            <w:tcW w:w="415" w:type="pct"/>
            <w:tcBorders>
              <w:top w:val="single" w:color="000000" w:sz="4" w:space="0"/>
              <w:left w:val="single" w:color="000000" w:sz="4" w:space="0"/>
              <w:bottom w:val="single" w:color="000000" w:sz="4" w:space="0"/>
              <w:right w:val="single" w:color="000000" w:sz="4" w:space="0"/>
            </w:tcBorders>
            <w:noWrap w:val="0"/>
            <w:vAlign w:val="center"/>
          </w:tcPr>
          <w:p w14:paraId="2B68507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33" w:type="pct"/>
            <w:tcBorders>
              <w:top w:val="single" w:color="000000" w:sz="4" w:space="0"/>
              <w:left w:val="single" w:color="000000" w:sz="4" w:space="0"/>
              <w:bottom w:val="single" w:color="000000" w:sz="4" w:space="0"/>
              <w:right w:val="single" w:color="000000" w:sz="4" w:space="0"/>
            </w:tcBorders>
            <w:noWrap/>
            <w:vAlign w:val="center"/>
          </w:tcPr>
          <w:p w14:paraId="30502D3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24D69569">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332ED51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99.57</w:t>
            </w:r>
          </w:p>
        </w:tc>
      </w:tr>
      <w:tr w14:paraId="00995106">
        <w:tblPrEx>
          <w:tblCellMar>
            <w:top w:w="0" w:type="dxa"/>
            <w:left w:w="108" w:type="dxa"/>
            <w:bottom w:w="0" w:type="dxa"/>
            <w:right w:w="108" w:type="dxa"/>
          </w:tblCellMar>
        </w:tblPrEx>
        <w:trPr>
          <w:trHeight w:val="300" w:hRule="atLeast"/>
          <w:jc w:val="center"/>
        </w:trPr>
        <w:tc>
          <w:tcPr>
            <w:tcW w:w="3806" w:type="pct"/>
            <w:gridSpan w:val="5"/>
            <w:tcBorders>
              <w:top w:val="single" w:color="000000" w:sz="4" w:space="0"/>
              <w:left w:val="single" w:color="000000" w:sz="4" w:space="0"/>
              <w:bottom w:val="single" w:color="000000" w:sz="4" w:space="0"/>
              <w:right w:val="single" w:color="000000" w:sz="4" w:space="0"/>
            </w:tcBorders>
            <w:noWrap/>
            <w:vAlign w:val="center"/>
          </w:tcPr>
          <w:p w14:paraId="4D34511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w:t>
            </w:r>
          </w:p>
        </w:tc>
        <w:tc>
          <w:tcPr>
            <w:tcW w:w="499" w:type="pct"/>
            <w:tcBorders>
              <w:top w:val="single" w:color="000000" w:sz="4" w:space="0"/>
              <w:left w:val="single" w:color="000000" w:sz="4" w:space="0"/>
              <w:bottom w:val="single" w:color="000000" w:sz="4" w:space="0"/>
              <w:right w:val="single" w:color="000000" w:sz="4" w:space="0"/>
            </w:tcBorders>
            <w:noWrap/>
            <w:vAlign w:val="center"/>
          </w:tcPr>
          <w:p w14:paraId="78CB843A">
            <w:pPr>
              <w:spacing w:line="240" w:lineRule="auto"/>
              <w:ind w:firstLine="0" w:firstLineChars="0"/>
              <w:jc w:val="center"/>
              <w:rPr>
                <w:rFonts w:hint="eastAsia" w:ascii="宋体" w:hAnsi="宋体" w:eastAsia="宋体" w:cs="宋体"/>
                <w:color w:val="auto"/>
                <w:sz w:val="24"/>
                <w:szCs w:val="24"/>
                <w:highlight w:val="none"/>
              </w:rPr>
            </w:pPr>
          </w:p>
        </w:tc>
        <w:tc>
          <w:tcPr>
            <w:tcW w:w="695" w:type="pct"/>
            <w:tcBorders>
              <w:top w:val="single" w:color="000000" w:sz="4" w:space="0"/>
              <w:left w:val="single" w:color="000000" w:sz="4" w:space="0"/>
              <w:bottom w:val="single" w:color="000000" w:sz="4" w:space="0"/>
              <w:right w:val="single" w:color="000000" w:sz="4" w:space="0"/>
            </w:tcBorders>
            <w:noWrap/>
            <w:vAlign w:val="center"/>
          </w:tcPr>
          <w:p w14:paraId="0ABA7A3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3080.00</w:t>
            </w:r>
          </w:p>
        </w:tc>
      </w:tr>
    </w:tbl>
    <w:p w14:paraId="7133E0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项目工期：合同签订之日起12个月内</w:t>
      </w:r>
    </w:p>
    <w:p w14:paraId="71C332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质保期：自项目安装运行验收合格之日起计算，期限为3年。</w:t>
      </w:r>
    </w:p>
    <w:p w14:paraId="6D894C98">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5" w:name="_Toc22652"/>
      <w:r>
        <w:rPr>
          <w:rFonts w:hint="eastAsia" w:ascii="宋体" w:hAnsi="宋体" w:eastAsia="宋体" w:cs="宋体"/>
          <w:b/>
          <w:bCs/>
          <w:color w:val="auto"/>
          <w:sz w:val="24"/>
          <w:szCs w:val="24"/>
          <w:highlight w:val="none"/>
          <w:lang w:val="en-US" w:eastAsia="zh-CN"/>
        </w:rPr>
        <w:t>二、标准规范</w:t>
      </w:r>
      <w:bookmarkEnd w:id="245"/>
    </w:p>
    <w:p w14:paraId="2B0794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项目需执行的国家相关标准、行业标准、地方标准或者其他标准、规范。</w:t>
      </w:r>
    </w:p>
    <w:p w14:paraId="04478A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项目需遵循的标准规范包括不限于：</w:t>
      </w:r>
    </w:p>
    <w:p w14:paraId="2488DE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（1）GB/T 8567 计算机软件文档编制规范；</w:t>
      </w:r>
    </w:p>
    <w:p w14:paraId="35CA48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（2）GB/T 9385 计算机软件需求规格说明规范</w:t>
      </w:r>
    </w:p>
    <w:p w14:paraId="1A154E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（3）GB/T 9386 计算机软件测试文档编制规范</w:t>
      </w:r>
    </w:p>
    <w:p w14:paraId="467346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（4）GB/T 15532 计算机软件测试规范</w:t>
      </w:r>
    </w:p>
    <w:p w14:paraId="4714B8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（4）GB/T 28035 软件系统验收规范</w:t>
      </w:r>
    </w:p>
    <w:p w14:paraId="57B224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（5）SJ/T 10367 计算机过程控制软件开发规程</w:t>
      </w:r>
    </w:p>
    <w:p w14:paraId="7860E9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（6）GB/T 22239-2019 信息安全技术 网络安全等级保护基本要求</w:t>
      </w:r>
    </w:p>
    <w:p w14:paraId="0345CC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（7）GB/T 39786-2021 信息安全技术 信息系统密码应用基本要求</w:t>
      </w:r>
    </w:p>
    <w:p w14:paraId="5FACFF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（8）《人力资源社会保障行业应用信创建设指南》的通知（人社网信函〔2024〕4号）</w:t>
      </w:r>
    </w:p>
    <w:p w14:paraId="799AC8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（9）《人力资源社会保障管理信息系统信息结构通则（试行）》（人社信息函〔2010〕55号）</w:t>
      </w:r>
    </w:p>
    <w:p w14:paraId="0F02D2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（10）《人力资源社会保障部办公厅关于发布人力资源社会保障政务服务30项“跨省通办”事项办事指南的函》（人社厅函〔2023〕13号）</w:t>
      </w:r>
    </w:p>
    <w:p w14:paraId="0AFBA8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（11）《人力资源社会保障部办公厅关于推进社会保险经办管理服务标准化规范化便利化的意见》人社厅发〔2022〕59号</w:t>
      </w:r>
    </w:p>
    <w:p w14:paraId="5DE1FE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（12）《人力资源社会保障部办公厅关于强化社会保险信息系统风险防控能力的通知》（人社厅发〔2022〕4号）</w:t>
      </w:r>
    </w:p>
    <w:p w14:paraId="463C54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（13）《人力资源社会保障部关于开展企业职工基本养老保险全国统筹信息系统建设工作的通知》人社部函〔2021〕45号</w:t>
      </w:r>
    </w:p>
    <w:p w14:paraId="2AA7A2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（14）《人力资源社会保障部办公厅关于印发企业职工基本养老保险全国统筹省级信息系统建设方案（指南）的通知》人社厅函〔2021〕82号</w:t>
      </w:r>
    </w:p>
    <w:p w14:paraId="693AA4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（15）《人力资源社会保障部办公厅关于做好流动人员人事档案省级集中系统与全国跨地区平台对接工作的通知》（人社厅函〔2021〕156号）</w:t>
      </w:r>
    </w:p>
    <w:p w14:paraId="194E6F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（16）《人力资源社会保障部关于印发人力资源和社会保障事业发展“十四五”规划的通知》人社部发〔2021〕47号</w:t>
      </w:r>
    </w:p>
    <w:p w14:paraId="4F6D1B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（17）《人力资源社会保障部关于深入实施“人社服务快办行动”的通知》人社部发〔2021〕23号</w:t>
      </w:r>
    </w:p>
    <w:p w14:paraId="0BC532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（18）《人力资源社会保障部网络安全和信息化领导小组办公室关于印发人力资源社会保障信息化“十四五”重点工作的通知》人社网信函〔2021〕16号</w:t>
      </w:r>
    </w:p>
    <w:p w14:paraId="2FB1C9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（19）《人力资源社会保障部关于印发人力资源社会保障信息化便民服务创新提升行动方案的通知》人社部发〔2020〕83号</w:t>
      </w:r>
    </w:p>
    <w:p w14:paraId="4AB9A6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（20）人力资源社会保障部关于印发数字人社建设行动实施方案的通知（人社部发〔2023〕34号）</w:t>
      </w:r>
    </w:p>
    <w:p w14:paraId="4A05AF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（21）《人力资源和社会保障部《关于印发&lt;社会保险员工工作规则（试行）&gt;的通知》（人社险中心函〔2025〕40号）</w:t>
      </w:r>
    </w:p>
    <w:p w14:paraId="62A29B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（21）社会保险全险种业务中台数据结构-基础分册</w:t>
      </w:r>
    </w:p>
    <w:p w14:paraId="30494A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（22）社会保险全险种业务中台数据结构-征缴分册</w:t>
      </w:r>
    </w:p>
    <w:p w14:paraId="731C31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（23）社会保险全险种业务中台数据结构-待遇分册</w:t>
      </w:r>
    </w:p>
    <w:p w14:paraId="28595E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（24）社会保险全险种业务中台数据结构-失业分册</w:t>
      </w:r>
    </w:p>
    <w:p w14:paraId="62BE3C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（25）社会保险全险种业务中台数据结构-工伤分册</w:t>
      </w:r>
    </w:p>
    <w:p w14:paraId="07EE95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（26）社会保险全险种业务中台数据结构-转移分册</w:t>
      </w:r>
    </w:p>
    <w:p w14:paraId="463201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（27）社会保险全险种业务中台数据结构-综合分册</w:t>
      </w:r>
    </w:p>
    <w:p w14:paraId="2B5DA4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（28）社会保险全险种业务中台指标代码</w:t>
      </w:r>
    </w:p>
    <w:p w14:paraId="7F7F87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（29）《湖北省政务信息化项目建设管理办法》</w:t>
      </w:r>
    </w:p>
    <w:p w14:paraId="332ECA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（30）其他计算机软件相关标准</w:t>
      </w:r>
    </w:p>
    <w:p w14:paraId="254FB5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（31）湖北省电子政务建设工程技术验收规范</w:t>
      </w:r>
    </w:p>
    <w:p w14:paraId="419934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（32）湖北省数智人社“一卡通”一体化平台项目标准规划</w:t>
      </w:r>
    </w:p>
    <w:p w14:paraId="1E5E04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注：以上标准、规范等按照投标报名截止日前的最新标准执行。</w:t>
      </w:r>
    </w:p>
    <w:p w14:paraId="6FA53640">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6" w:name="_Toc8709"/>
      <w:r>
        <w:rPr>
          <w:rFonts w:hint="eastAsia" w:ascii="宋体" w:hAnsi="宋体" w:eastAsia="宋体" w:cs="宋体"/>
          <w:b/>
          <w:bCs/>
          <w:color w:val="auto"/>
          <w:sz w:val="24"/>
          <w:szCs w:val="24"/>
          <w:highlight w:val="none"/>
          <w:lang w:val="en-US" w:eastAsia="zh-CN"/>
        </w:rPr>
        <w:t>三、技术实现方法和路线</w:t>
      </w:r>
      <w:bookmarkEnd w:id="246"/>
    </w:p>
    <w:p w14:paraId="588273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（一）技术路线：人力资源和社会保障信息系统应用支撑框架LEAF7及以上框架；</w:t>
      </w:r>
    </w:p>
    <w:p w14:paraId="15B8AD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（二）开发语言与数据库：基于现有的主流开发语言，分布式国产数据库；</w:t>
      </w:r>
    </w:p>
    <w:p w14:paraId="277B54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（三）系统部署环境</w:t>
      </w:r>
    </w:p>
    <w:p w14:paraId="712D41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省人社一体化平台部署于省人社厅自建云平台，可提供云主机、负载均衡、对象存储、关系型数据库、缓存、消息队列、CDN及容器化等服务，支持高可用、可扩展的架构。</w:t>
      </w:r>
    </w:p>
    <w:p w14:paraId="0A82F1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要严格遵循等保三级和密码应用评估标准，完善的网络隔离、访问控制、数据加密和安全审计体系。</w:t>
      </w:r>
    </w:p>
    <w:p w14:paraId="1EE8AF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建设方须具备成熟的信创适配设计能力和信创环境下技术开发及运维保障能力，本项目建设要求在成熟的信创适配环境下进行开发及运维。项目建设方须按照省人社一体化平台的建设标准完成与本包标全部建设任务，完成社保全险种一体化系统的国产云化环境部署实施工作及一体化平台集成和安全保障等相关配合工作。</w:t>
      </w:r>
    </w:p>
    <w:p w14:paraId="67696CE5">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7" w:name="_Toc11724"/>
      <w:r>
        <w:rPr>
          <w:rFonts w:hint="eastAsia" w:ascii="宋体" w:hAnsi="宋体" w:eastAsia="宋体" w:cs="宋体"/>
          <w:b/>
          <w:bCs/>
          <w:color w:val="auto"/>
          <w:sz w:val="24"/>
          <w:szCs w:val="24"/>
          <w:highlight w:val="none"/>
          <w:lang w:val="en-US" w:eastAsia="zh-CN"/>
        </w:rPr>
        <w:t>四、系统功能要求</w:t>
      </w:r>
      <w:bookmarkEnd w:id="247"/>
    </w:p>
    <w:p w14:paraId="241048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按照省人社一体化平台总体技术规范，整合现有社保相关业务事项，基于国产化基础环境重构新建社保一体化系统，对接人社数智底座和一体化经办平台，通过人社统一门户，全面实现全险种一体化管理。</w:t>
      </w:r>
    </w:p>
    <w:p w14:paraId="769B46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省人社一体化平台总体技术规范，对业务进行系统梳理，重构新建社保一体化系统，通过省人社一体化平台系统为省本级、地州（市）、县(市、区)、街道（乡、镇）、社区（村）五级业务的全层级统一经办。系统包括参保登记、缴费认定、信息维护、养老待遇、工伤（职业伤害）待遇、失业待遇、职业年金、代发待遇、关系转移、基金财务、部级报表、查询打印、稽核内控、劳动能力鉴定、工伤认定（职业伤害确认）、参数维护和管理支撑等模块，以及相关配套子系统对接改造，并完成包括但不限于人社部社保全险种业务中台、全国基金一本账系统实施对接，实现社保全险种业务“大管控”。</w:t>
      </w:r>
    </w:p>
    <w:p w14:paraId="0810E5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一体化系统对接人社三大支撑（基础支撑、应用支撑、数据支撑），实现电子档案、基础库等基础能力支撑，实现即时通讯、消息通知等服务能力支撑，实现外部数据的统一共享交互；对接一体化经办平台，全面实现社保一体化管理和业务综合受理；对接一体化服务平台，实现社保服务线上线下一体化；对接一体化运维平台，实现系统问题一键反馈。</w:t>
      </w:r>
    </w:p>
    <w:p w14:paraId="491BC78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drawing>
          <wp:inline distT="0" distB="0" distL="114300" distR="114300">
            <wp:extent cx="5260340" cy="2640330"/>
            <wp:effectExtent l="0" t="0" r="1651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260340" cy="2640330"/>
                    </a:xfrm>
                    <a:prstGeom prst="rect">
                      <a:avLst/>
                    </a:prstGeom>
                    <a:noFill/>
                    <a:ln>
                      <a:noFill/>
                    </a:ln>
                  </pic:spPr>
                </pic:pic>
              </a:graphicData>
            </a:graphic>
          </wp:inline>
        </w:drawing>
      </w:r>
    </w:p>
    <w:p w14:paraId="5576FE52">
      <w:pPr>
        <w:widowControl w:val="0"/>
        <w:wordWrap/>
        <w:adjustRightInd/>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图1 系统架构图</w:t>
      </w:r>
    </w:p>
    <w:p w14:paraId="136FD5D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drawing>
          <wp:inline distT="0" distB="0" distL="114300" distR="114300">
            <wp:extent cx="5264150" cy="2539365"/>
            <wp:effectExtent l="0" t="0" r="1270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264150" cy="2539365"/>
                    </a:xfrm>
                    <a:prstGeom prst="rect">
                      <a:avLst/>
                    </a:prstGeom>
                    <a:noFill/>
                    <a:ln>
                      <a:noFill/>
                    </a:ln>
                  </pic:spPr>
                </pic:pic>
              </a:graphicData>
            </a:graphic>
          </wp:inline>
        </w:drawing>
      </w:r>
    </w:p>
    <w:p w14:paraId="351039F3">
      <w:pPr>
        <w:widowControl w:val="0"/>
        <w:wordWrap/>
        <w:adjustRightInd/>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图2 业务流程示意图</w:t>
      </w:r>
    </w:p>
    <w:p w14:paraId="6EF208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进行业务融合，社保全险种统一管理。以人社部下发全险种业务中台原子业务为蓝本，结合本地实际需要，梳理社保原子业务，再造业务流程，公共业务整合，待遇管理覆盖企业职工基本养老保险、机关事业单位基本养老保险、职业年金、城乡居民基本养老保险、个人养老金、失业保险、工伤保险、新业态从业人员职业伤害保障等多个险种；融合工伤认定和劳动能力鉴定、工伤预防；财务核算系统作为社保一体化系统的一部分融入统一系统中，实现业务财务一体化，基金一本账。通过与电子档案系统对接，实现业务档案一体化。</w:t>
      </w:r>
    </w:p>
    <w:p w14:paraId="66B25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2、综合受理经办模式，基于业务融合和一体化平台支撑，实现社保综合受理审核经办模式，支持全省通受（通办）。从业务管理角度，将社保业务分为受理、审核、管理、决策和监管等业务视图。</w:t>
      </w:r>
    </w:p>
    <w:p w14:paraId="4768D8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3、对接外部系统，包括但不限于通过社税平台与税务系统对接、通过社银平台与银行系统对接，全面提升社会保险业务经办的一体化水平。</w:t>
      </w:r>
    </w:p>
    <w:p w14:paraId="694F2F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社保全险种一体化系统完全满足社保全险种业务“大管控”要求。基于部下发社保全险种业务中台及其标准规范，理清功能模块，配置原子业务，按照数据处理逻辑和接口服务要求，将业务办理结果保存至部下发业务中台数据库，确保数据规范统一，对接调用最新部下发全险种业务中台的原子业务，改造业务流程，完成数据迁移、数据治理工作。实现全险种数据部省实时同步、全国集中管理，支持业务经办实时风险管控和预警。</w:t>
      </w:r>
    </w:p>
    <w:p w14:paraId="7DA126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5、社保全险种一体化系统在实现同级业务管控的基础上，考虑实现上级部门对下属部门风险业务的管控（如部对省，省对市），对于高风险业务可直接由上级部门进行业务权限控制。</w:t>
      </w:r>
    </w:p>
    <w:p w14:paraId="31B3BD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6、社保全险种一体化系统将按照信创适配要求，基于自主可控的信创技术和产品，适配信创运行环境，实现应用系统整体安全。</w:t>
      </w:r>
    </w:p>
    <w:p w14:paraId="649111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7、社保一体化系统需满足用户实际使用需要，包括但不限于以下需求，实际以客户确认的需求规格说明书为准。</w:t>
      </w:r>
    </w:p>
    <w:p w14:paraId="6B776591">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8" w:name="_Toc24193"/>
      <w:r>
        <w:rPr>
          <w:rFonts w:hint="eastAsia" w:ascii="宋体" w:hAnsi="宋体" w:eastAsia="宋体" w:cs="宋体"/>
          <w:b/>
          <w:bCs/>
          <w:color w:val="auto"/>
          <w:sz w:val="24"/>
          <w:szCs w:val="24"/>
          <w:highlight w:val="none"/>
          <w:lang w:val="en-US" w:eastAsia="zh-CN"/>
        </w:rPr>
        <w:t>五、系统建设具体内容</w:t>
      </w:r>
      <w:bookmarkEnd w:id="248"/>
    </w:p>
    <w:p w14:paraId="1E378A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（一）参保登记</w:t>
      </w:r>
    </w:p>
    <w:p w14:paraId="556A8D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对企业职工养老保险、机关事业单位养老保险、工伤保险、失业保险及城乡居民养老保险的参保登记变更进行统一管理。</w:t>
      </w:r>
    </w:p>
    <w:p w14:paraId="235AD51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1、单位参保管理</w:t>
      </w:r>
    </w:p>
    <w:p w14:paraId="747561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1.1单位社会保险登记</w:t>
      </w:r>
    </w:p>
    <w:p w14:paraId="20E0AB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办理参加企业社会保险的企事业单位新参保登记（含企业、机关事业单位、社会团体），险种类型包含城镇职工养老保险、机关事业单位养老保险、失业保险、工伤保险、城乡居民养老保险。</w:t>
      </w:r>
    </w:p>
    <w:p w14:paraId="2B79F7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1.2单位参保险种变更</w:t>
      </w:r>
    </w:p>
    <w:p w14:paraId="21C6BA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企业、社会团体等类型用人单位进行社会保险险种变更申请办理。</w:t>
      </w:r>
    </w:p>
    <w:p w14:paraId="246212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1.3单位社会保险注销登记</w:t>
      </w:r>
    </w:p>
    <w:p w14:paraId="3549C1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用人单位发生解散、破产、撤销、合并以及其他情形，依法终止社会保险缴费义务时，应当及时向原社会保险登记机构申请办理注销社会保险登记。险种包括单位参保的全部险种。</w:t>
      </w:r>
    </w:p>
    <w:p w14:paraId="527CF1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1.4单位管理层级变更</w:t>
      </w:r>
    </w:p>
    <w:p w14:paraId="5A9DB4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修改单位管理级次；下属单位变更为独立缴费单位、独立缴费单位变更为下属单位、独立缴费单位变更为管理单位、管理单位变更为独立缴费单位。</w:t>
      </w:r>
    </w:p>
    <w:p w14:paraId="61B5A3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1.5单位最大做账期号维护</w:t>
      </w:r>
    </w:p>
    <w:p w14:paraId="3ECBF3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修改单位最大做账期号。用途：补核定、跳过“空档期”核定。</w:t>
      </w:r>
    </w:p>
    <w:p w14:paraId="17FBF6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1.6单位合并</w:t>
      </w:r>
    </w:p>
    <w:p w14:paraId="47DF95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针对系统中同一个统一社会信用代码的单位，存在多条基本信息时，需进行合并，合并后将被合并单位基本注销。</w:t>
      </w:r>
    </w:p>
    <w:p w14:paraId="40188D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1.7单位银行信息变更</w:t>
      </w:r>
    </w:p>
    <w:p w14:paraId="33099C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因单位退费或遗属银行信息有变化的办理单位银行信息变更。</w:t>
      </w:r>
    </w:p>
    <w:p w14:paraId="6AD0E4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1.8缓缴认定（欠费分期缴纳）信息录入</w:t>
      </w:r>
    </w:p>
    <w:p w14:paraId="20213C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单位因破产或政策原因需要缓缴，为单位办理缓缴认定（欠费分期缴纳）信息。</w:t>
      </w:r>
    </w:p>
    <w:p w14:paraId="05267B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1.9单位职工社会保险缴费工资变更申报</w:t>
      </w:r>
    </w:p>
    <w:p w14:paraId="469376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统模式之前的缴费，如单位职工已申报的缴费工资和实缴工资不符时，用人单位可对缴费工资申请变更，社保经办机构对新申报缴费工资进行保底封顶生成新缴费基数，并对历史缴费记录产生差额补退记录。</w:t>
      </w:r>
    </w:p>
    <w:p w14:paraId="36CF76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1.10单位社会保险历史欠费补录/调整</w:t>
      </w:r>
    </w:p>
    <w:p w14:paraId="3D6669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支持对参保单位的历史欠费记录展开细致核查，并针对欠费金额、欠费时段、欠费类型等关键信息进行精准的修正、变更与完善操作。</w:t>
      </w:r>
    </w:p>
    <w:p w14:paraId="176E4F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1.11单位利息滞纳金减免置标</w:t>
      </w:r>
    </w:p>
    <w:p w14:paraId="21CC77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因政策原因，利息滞纳金可以减免的单位标识信息进行添加维护。</w:t>
      </w:r>
    </w:p>
    <w:p w14:paraId="41A3A6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1.12建筑工程项目参保登记</w:t>
      </w:r>
    </w:p>
    <w:p w14:paraId="2F288F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按照建筑和工程建设项目参加工伤保险的政策为建筑工程项目进行参保登记。</w:t>
      </w:r>
    </w:p>
    <w:p w14:paraId="1E8C6C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1.13职业伤害平台企业基本信息入库</w:t>
      </w:r>
    </w:p>
    <w:p w14:paraId="11DE6E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从全国信息平台对接交换中间库抽取职业伤害平台企业基本信息，校验企业是否存在于省集中系统，如果不存在则新增单位基本信息，如果已经存在则做关联。（后台接口功能，前台展示入库信息）</w:t>
      </w:r>
    </w:p>
    <w:p w14:paraId="48B019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1.14平台企业变更信息入库</w:t>
      </w:r>
    </w:p>
    <w:p w14:paraId="4FBCD3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从全国信息平台对接交换中间库抽取平台企业变更信息，根据变更信息更新省集中系统的单位信息并记录变更日志。（后台接口功能，前台展示变更信息）</w:t>
      </w:r>
    </w:p>
    <w:p w14:paraId="2E4428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1.15平台企业注销信息入库</w:t>
      </w:r>
    </w:p>
    <w:p w14:paraId="627224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从全国信息平台对接交换中间库抽取平台企业注销信息，根据变更信息更新省集中系统的单位状态并记录变更日志。（后台接口功能，前台展示变更信息）</w:t>
      </w:r>
    </w:p>
    <w:p w14:paraId="0F2F43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1.16单位成建制转入申请</w:t>
      </w:r>
    </w:p>
    <w:p w14:paraId="6B3ACF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单位办理“单位成建制转入申请”后，转出地社保经办机构办理“单位成建制转出确认”，办结后，单位社保关系变更为转入地。</w:t>
      </w:r>
    </w:p>
    <w:p w14:paraId="436327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1.17单位成建制转出确认</w:t>
      </w:r>
    </w:p>
    <w:p w14:paraId="7F9D45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单位办理“单位成建制转入申请”后，转出地社保经办机构办理“单位成建制转出确认”，办结后，单位社保关系变更为转入地。</w:t>
      </w:r>
    </w:p>
    <w:p w14:paraId="29C8A9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2、人员参保管理</w:t>
      </w:r>
    </w:p>
    <w:p w14:paraId="19F392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2.1人员参保登记</w:t>
      </w:r>
    </w:p>
    <w:p w14:paraId="30D1DD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用人单位职工新增参保登记（职工年龄在16周岁至法定退休年龄之间（按照延退时间表计算）。险种以单位参保险种为准，实现三个养老保险险种互斥（企业职工养老保险、机关事业单位养老保险和城乡居民养老保险）。</w:t>
      </w:r>
    </w:p>
    <w:p w14:paraId="58D8CD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2.2单位职工超龄或未到龄新参保登记</w:t>
      </w:r>
    </w:p>
    <w:p w14:paraId="015A22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经办机构为参保单位新增超龄或未到龄人员办理参保登记。</w:t>
      </w:r>
    </w:p>
    <w:p w14:paraId="7406C3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2.3灵活就业人员新增/续保</w:t>
      </w:r>
    </w:p>
    <w:p w14:paraId="5D31C3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为无雇工的个体工商户以及其他灵活就业人员办理基本养老保险参保登记或续保。</w:t>
      </w:r>
    </w:p>
    <w:p w14:paraId="206834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2.4灵活就业人员超龄新参保登记</w:t>
      </w:r>
    </w:p>
    <w:p w14:paraId="17455A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为无雇工的超龄个体工商户以及其他超龄的灵活就业人员办理基本养老保险参保登记。</w:t>
      </w:r>
    </w:p>
    <w:p w14:paraId="180131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2.5外国在华人员互免申报</w:t>
      </w:r>
    </w:p>
    <w:p w14:paraId="7796A5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在互免国家范围内的在华工作人员，在国外已参加相应保险，可申请免缴对应时间段的社会保险费用。</w:t>
      </w:r>
    </w:p>
    <w:p w14:paraId="3BF4E6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2.6人员注销登记</w:t>
      </w:r>
    </w:p>
    <w:p w14:paraId="3F6B92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参保人员注销登记，险种为人员已参保全险种。</w:t>
      </w:r>
    </w:p>
    <w:p w14:paraId="74D073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2.7二次转移新增</w:t>
      </w:r>
    </w:p>
    <w:p w14:paraId="5FCB05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已办理跨省跨制度转出的人员需办理第二次新增。</w:t>
      </w:r>
    </w:p>
    <w:p w14:paraId="225DFA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2.8在职转退休</w:t>
      </w:r>
    </w:p>
    <w:p w14:paraId="2002B5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参保人员达到退休年龄，经待遇审核部门审核后，办理人员在职转退休。（校验在途缴费未到账，阻断业务；业务流推送时大于当前费款期退休人员的显示问题，页面设置不显示或优先显示当月需办结业务）。</w:t>
      </w:r>
    </w:p>
    <w:p w14:paraId="207128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2.9退休转在职</w:t>
      </w:r>
    </w:p>
    <w:p w14:paraId="30B0F5F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已退休人员从退休变更为在职（档案采集中增加多领取待遇需先退回，才能办理）。</w:t>
      </w:r>
    </w:p>
    <w:p w14:paraId="145C7F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2.10在职人员批量内转</w:t>
      </w:r>
    </w:p>
    <w:p w14:paraId="5C98BF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在职参保人员批量从原单位转隶到现单位。</w:t>
      </w:r>
    </w:p>
    <w:p w14:paraId="1FA46D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2.11退休人员批量内转</w:t>
      </w:r>
    </w:p>
    <w:p w14:paraId="2987AF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退休人员批量从原单位转隶到现单位。</w:t>
      </w:r>
    </w:p>
    <w:p w14:paraId="0F6CB6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2.12退休人员跨统筹区成建制转隶</w:t>
      </w:r>
    </w:p>
    <w:p w14:paraId="75FA18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退休人员跨统筹区批量从原单位转隶到现单位。</w:t>
      </w:r>
    </w:p>
    <w:p w14:paraId="0EBEF3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2.13网申系统登录信息录入、删除、变更</w:t>
      </w:r>
    </w:p>
    <w:p w14:paraId="351F7F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网申系统电子社保卡登录权限录入、删除、变更。</w:t>
      </w:r>
    </w:p>
    <w:p w14:paraId="21D376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2.14人员社会保险暂停</w:t>
      </w:r>
    </w:p>
    <w:p w14:paraId="0B476E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因上学、参军、解除劳动关系、行政调动、判刑、死亡、无法联系等原因，人员与用人单位中断社会保险关系，险种为人员已参保的所有险种，支持批量停保。</w:t>
      </w:r>
    </w:p>
    <w:p w14:paraId="3FDEAA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2.15人员续保</w:t>
      </w:r>
    </w:p>
    <w:p w14:paraId="53FFE5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已停保的参保人员重新在原单位或新参保单位正常参保缴费，办理续保（含转移新增，停保人员跨统筹区新增到新单位）。允许单位批量提交，经办审核支持批量勾选、退回。</w:t>
      </w:r>
    </w:p>
    <w:p w14:paraId="054A31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2.16工伤新增人员备案</w:t>
      </w:r>
    </w:p>
    <w:p w14:paraId="1F5A31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对尚未办理工伤保险参保登记的在职职工进行备案。</w:t>
      </w:r>
    </w:p>
    <w:p w14:paraId="41457C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2.17新增登记/续保（行政审批认定）</w:t>
      </w:r>
    </w:p>
    <w:p w14:paraId="6771B9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为离职未参保人员通过该功能新增参保登记或续保。</w:t>
      </w:r>
    </w:p>
    <w:p w14:paraId="3A7AB8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2.18新增登记/续保（省直机关事业单位离职人员）</w:t>
      </w:r>
    </w:p>
    <w:p w14:paraId="3DC337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为省直机关事业单位离职人员办理新增省本级企业职工基本养老保险参保登记或续保。</w:t>
      </w:r>
    </w:p>
    <w:p w14:paraId="67998D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2.19灵活就业人员社会保险暂停</w:t>
      </w:r>
    </w:p>
    <w:p w14:paraId="58D68B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为无雇工的个体工商户以及其他灵活就业人员办理基本养老保险暂停。</w:t>
      </w:r>
    </w:p>
    <w:p w14:paraId="404289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2.20单位职工工伤保险单险种参保登记</w:t>
      </w:r>
    </w:p>
    <w:p w14:paraId="5BD717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对符合优先参加工伤保险政策的单位职工进行单险种参保登记。</w:t>
      </w:r>
    </w:p>
    <w:p w14:paraId="38B12A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2.21建筑工程项目职工参保名册备案</w:t>
      </w:r>
    </w:p>
    <w:p w14:paraId="08402FC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已参加建筑工程项目工伤保险的单位对职工参保名册进行备案。</w:t>
      </w:r>
    </w:p>
    <w:p w14:paraId="77FF11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2.22建筑工程项目职工参保名册维护</w:t>
      </w:r>
    </w:p>
    <w:p w14:paraId="7168B5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已参加建筑工程项目工伤保险的单位对职工参保名册进行增减操作。</w:t>
      </w:r>
    </w:p>
    <w:p w14:paraId="4F2BA4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2.23劳务派遣单位职工参保名册维护</w:t>
      </w:r>
    </w:p>
    <w:p w14:paraId="068DA8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劳务派遣单位根据职工实际工作单位对职工进行信息维护。</w:t>
      </w:r>
    </w:p>
    <w:p w14:paraId="254D82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2.24职业伤害人员个人基本信息入库</w:t>
      </w:r>
    </w:p>
    <w:p w14:paraId="4A3FDD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平台新就业形态就业人员基本信息，校验个人基本信息是否存在于省集中系统，如果不存在则新增个人基本信息，如果已经存在则做关联。（后台接口功能，前台展示入库信息）</w:t>
      </w:r>
    </w:p>
    <w:p w14:paraId="12EE70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2.25职业伤害人员登记信息入库</w:t>
      </w:r>
    </w:p>
    <w:p w14:paraId="03EE36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从全国信息平台对接交换中间库抽取平台新就业形态就业人员参保登记信息，校验个人参保关系是否存在，如果不存在则新增个人参保登记信息，如果已经存在则不做处理。（后台接口功能，前台展示入库信息）</w:t>
      </w:r>
    </w:p>
    <w:p w14:paraId="30C0BF4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2.26订单汇总信息入库</w:t>
      </w:r>
    </w:p>
    <w:p w14:paraId="284D329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从全国信息平台对接交换中间库抽取订单汇总信息写入省系统生产库。（后台接口功能，前台展示入库信息）</w:t>
      </w:r>
    </w:p>
    <w:p w14:paraId="669071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2.27职业伤害人员参保登记数据同步</w:t>
      </w:r>
    </w:p>
    <w:p w14:paraId="23E7D1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职业伤害保障系统同步订单信息和人员信息，完成订单和人员参保，同步参保信息到部级交换库。</w:t>
      </w:r>
    </w:p>
    <w:p w14:paraId="1EA4FC3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3、个人账户管理</w:t>
      </w:r>
    </w:p>
    <w:p w14:paraId="4A9D43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3.1养老保险个人账户年度结转计息</w:t>
      </w:r>
    </w:p>
    <w:p w14:paraId="15AC20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对系统内的正常参保人员的养老账户进行年终结转计息。</w:t>
      </w:r>
    </w:p>
    <w:p w14:paraId="2F1B70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3.2在职账户计息（个人）</w:t>
      </w:r>
    </w:p>
    <w:p w14:paraId="1AF919C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在职人员个人年度计息。</w:t>
      </w:r>
    </w:p>
    <w:p w14:paraId="75D611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3.3在职账户计息（批量）</w:t>
      </w:r>
    </w:p>
    <w:p w14:paraId="78FB16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全部在职人员批量年度计息，后台自动结转。</w:t>
      </w:r>
    </w:p>
    <w:p w14:paraId="5DF6CA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3.4退休账户计息（个人）</w:t>
      </w:r>
    </w:p>
    <w:p w14:paraId="531C2A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退休人员个人年度计息。</w:t>
      </w:r>
    </w:p>
    <w:p w14:paraId="500496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3.5退休账户计息（批量）</w:t>
      </w:r>
    </w:p>
    <w:p w14:paraId="4A4EE5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全部退休人员批量年度计息，后台自动结转。</w:t>
      </w:r>
    </w:p>
    <w:p w14:paraId="0C443EF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（二）缴费认定</w:t>
      </w:r>
    </w:p>
    <w:p w14:paraId="400712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对社会保险补缴、补退，税务缴费对接等业务进行统一管理。</w:t>
      </w:r>
    </w:p>
    <w:p w14:paraId="142275A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1、社会保险补缴</w:t>
      </w:r>
    </w:p>
    <w:p w14:paraId="2AC1EB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1.1单位社会保险补缴申报</w:t>
      </w:r>
    </w:p>
    <w:p w14:paraId="2A2360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统模式前参保单位进行整体补缴申报，根据单位已申报的缴费基数和缴费人数，生成单位应缴数据和个人应缴数据。</w:t>
      </w:r>
    </w:p>
    <w:p w14:paraId="4C3D1D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1.2单位（社区）代管灵活就业人员补缴申报</w:t>
      </w:r>
    </w:p>
    <w:p w14:paraId="3F57D4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对单位或社区代管的灵活就业人员补缴进行批量申报。</w:t>
      </w:r>
    </w:p>
    <w:p w14:paraId="38DE52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1.3单位职工基本养老保险视同缴费年限补缴申报</w:t>
      </w:r>
    </w:p>
    <w:p w14:paraId="6D77E1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用人单位职工因某种原因未缴纳社会保险，导致职工个人需要补缴统账结合时间之前的社会保险费，由单位承担单位缴纳部分。</w:t>
      </w:r>
    </w:p>
    <w:p w14:paraId="03EEA5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1.4个人基本养老保险视同年限补缴申报</w:t>
      </w:r>
    </w:p>
    <w:p w14:paraId="6A0DF1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个人需要补缴统账结合时间之前的社会保险费且个人承担全部。</w:t>
      </w:r>
    </w:p>
    <w:p w14:paraId="54805B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1.5缓缴单位职工社会保险补缴申报</w:t>
      </w:r>
    </w:p>
    <w:p w14:paraId="4B525F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统模式前，用人单位因某种原因未及时缴纳社会保险导致职工存在欠费，职工个人需要补缴社会保险费，经行政审批部门审批后，为职工办理缓缴补缴。</w:t>
      </w:r>
    </w:p>
    <w:p w14:paraId="00B32D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1.6欠费单位职工社会保险补缴申报</w:t>
      </w:r>
    </w:p>
    <w:p w14:paraId="57E237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统模式前，用人单位因某种原因未及时缴纳社会保险导致职工存在欠费，职工个人需要补缴社会保险费，欠费分为单位缴费部分和个人缴费部分。</w:t>
      </w:r>
    </w:p>
    <w:p w14:paraId="24EC27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1.7退役军人待安置期补缴申报</w:t>
      </w:r>
    </w:p>
    <w:p w14:paraId="063AD2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待安置地经办机构为退役军人在待安置地办理补缴申报。</w:t>
      </w:r>
    </w:p>
    <w:p w14:paraId="30C2AF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1.8退役军人军龄补缴申报</w:t>
      </w:r>
    </w:p>
    <w:p w14:paraId="3AC6FA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对退役军人参军期间的军龄进行补缴申报。</w:t>
      </w:r>
    </w:p>
    <w:p w14:paraId="28A44B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1.9个人基本养老保险劳动合同补缴申报</w:t>
      </w:r>
    </w:p>
    <w:p w14:paraId="64FED6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因单位已注销，无法为办理劳动合同补缴，个人提供相关资料，符合补缴条件的，通过虚拟单位，按单位缴费进行核定。</w:t>
      </w:r>
    </w:p>
    <w:p w14:paraId="00DCCD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1.10单位职工社会保险劳动合同补缴申报</w:t>
      </w:r>
    </w:p>
    <w:p w14:paraId="6DA26A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通过该功能为单位职工提供单位劳动合同缴费核定。</w:t>
      </w:r>
    </w:p>
    <w:p w14:paraId="3B60F3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1.11个人基本养老保险政策性补缴申报</w:t>
      </w:r>
    </w:p>
    <w:p w14:paraId="5EE5C6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因单位已注销，无法办理政策性补缴，个人提供相关资料，符合补缴条件的，通过虚拟单位，按单位缴费进行核定。</w:t>
      </w:r>
    </w:p>
    <w:p w14:paraId="7CCBF74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1.12单位职工社会保险法律文书补缴申报</w:t>
      </w:r>
    </w:p>
    <w:p w14:paraId="128429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单位职工社会保险法律文书补缴申报。</w:t>
      </w:r>
    </w:p>
    <w:p w14:paraId="157EFF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1.13个人养老保险中断补缴申报</w:t>
      </w:r>
    </w:p>
    <w:p w14:paraId="3BE57D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为灵活就业人员保险中断提供补缴。</w:t>
      </w:r>
    </w:p>
    <w:p w14:paraId="689DC8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1.14个人补收</w:t>
      </w:r>
    </w:p>
    <w:p w14:paraId="646BBF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办理个人缴费补收。</w:t>
      </w:r>
    </w:p>
    <w:p w14:paraId="189D6A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1.15特殊情况补缴（机关保）</w:t>
      </w:r>
    </w:p>
    <w:p w14:paraId="7C00B7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视为符合人员参保补缴，合同制工人补缴。</w:t>
      </w:r>
    </w:p>
    <w:p w14:paraId="37B1B9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1.16个人一次性缴费达最低年限（机关保）</w:t>
      </w:r>
    </w:p>
    <w:p w14:paraId="2B0216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在职人员退休时一次性缴费满15年。</w:t>
      </w:r>
    </w:p>
    <w:p w14:paraId="536A13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1.17城乡居民基本养老保险补缴</w:t>
      </w:r>
    </w:p>
    <w:p w14:paraId="67807B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符合城乡居民基本养老保险费补缴条件的个人向市级、县级社会保险经办机构提出办理补缴手续的申请，受理经办机构审核后为其办理补缴手续并将补缴信息传送税务部门。</w:t>
      </w:r>
    </w:p>
    <w:p w14:paraId="6CA8C2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1.18补缴测算</w:t>
      </w:r>
    </w:p>
    <w:p w14:paraId="39F2A2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通过本功能输入补缴时间段、补缴地区、补缴标准，系统自动计算需缴纳的本金、滞纳金等信息。</w:t>
      </w:r>
    </w:p>
    <w:p w14:paraId="77E7E3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1.19单位职工灵活就业中断缴费</w:t>
      </w:r>
    </w:p>
    <w:p w14:paraId="005D23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单位已参保人员，需缴纳年度内灵活就业期间中断缴费的，通过此功能办理。传递缴费时间段至税务缴费。</w:t>
      </w:r>
    </w:p>
    <w:p w14:paraId="4E71BA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1.20单位职工灵活就业中断缴费超期撤销（定时任务）</w:t>
      </w:r>
    </w:p>
    <w:p w14:paraId="7215F3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单位职工灵活就业中断缴费开具的单据只有5个工作日有效期，因此拟新增“单位职工灵活就业中断缴费超期撤销（定时任务）”功能,后台定期将超期未缴费传递税务时间段作废。后台每天凌晨执行一次定期任务，撤销单位职工灵活就业中断补缴超过5个工作日传递税务的时间段，向税务传递终止。</w:t>
      </w:r>
    </w:p>
    <w:p w14:paraId="1FC1DC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1.21建账前养老保险补缴认定申报</w:t>
      </w:r>
    </w:p>
    <w:p w14:paraId="77ED7B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经办人员受理缴费形成视同申报。</w:t>
      </w:r>
    </w:p>
    <w:p w14:paraId="114925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1.22建账前养老保险补缴认定初审</w:t>
      </w:r>
    </w:p>
    <w:p w14:paraId="704BA2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经办人员根据人员档案信息，确认缴费形成视同需补缴的时段。</w:t>
      </w:r>
    </w:p>
    <w:p w14:paraId="1D71B4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1.23建账前养老保险补缴认定复审</w:t>
      </w:r>
    </w:p>
    <w:p w14:paraId="322F2C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经办人员根据人员档案信息，确认缴费形成视同需补缴的时段。</w:t>
      </w:r>
    </w:p>
    <w:p w14:paraId="06FCD8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1.24建账前养老保险补缴认定集体决策</w:t>
      </w:r>
    </w:p>
    <w:p w14:paraId="6E9B33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对于建账前补缴初审及复审结果不一致的业务，通过集体决策的形式，最终确认审批结果。</w:t>
      </w:r>
    </w:p>
    <w:p w14:paraId="5A45B9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1.25建账前补缴认定进度查询</w:t>
      </w:r>
    </w:p>
    <w:p w14:paraId="3FB047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查询建账前养老保险补缴认定进度。</w:t>
      </w:r>
    </w:p>
    <w:p w14:paraId="20CE7B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1.26单位职工社会保险稽核认定补缴申报</w:t>
      </w:r>
    </w:p>
    <w:p w14:paraId="541470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根据稽核认定补缴信息，单位办理稽核认定补缴申报。</w:t>
      </w:r>
    </w:p>
    <w:p w14:paraId="51E06D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2、社会保险单据管理</w:t>
      </w:r>
    </w:p>
    <w:p w14:paraId="27ECC3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2.1社会保险费应缴认定单及退费单据开具</w:t>
      </w:r>
    </w:p>
    <w:p w14:paraId="6AA31D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根据单位编号、缴费类型、险种等条件获取单位未生成单据的欠费明细信息，生成缴费单据并打印。含缴费和退费单据。</w:t>
      </w:r>
    </w:p>
    <w:p w14:paraId="55CF8B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2.2单位征集单据及退费单据撤销</w:t>
      </w:r>
    </w:p>
    <w:p w14:paraId="12C12A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如发现生成的单位缴费单据有误或缴费单据已过有效期，参保单位可申请撤销缴费单据。</w:t>
      </w:r>
    </w:p>
    <w:p w14:paraId="6D0D46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2.3个人社会保险缴费单据撤销</w:t>
      </w:r>
    </w:p>
    <w:p w14:paraId="06DABA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对个人社会保险缴费单据进行撤销。</w:t>
      </w:r>
    </w:p>
    <w:p w14:paraId="6BD343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2.4单位社会保险缴费撤销申报</w:t>
      </w:r>
    </w:p>
    <w:p w14:paraId="778E40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对单位社会保险缴费进行撤销。</w:t>
      </w:r>
    </w:p>
    <w:p w14:paraId="3C8821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2.5单位退款单据信息维护</w:t>
      </w:r>
    </w:p>
    <w:p w14:paraId="503E714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对单位退款单据信息维护。</w:t>
      </w:r>
    </w:p>
    <w:p w14:paraId="3DCA74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2.6灵活就业人员退款单据信息维护</w:t>
      </w:r>
    </w:p>
    <w:p w14:paraId="2BF83B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如发现灵活就业人员退款单据银行信息有误时，灵活就业参保人员可申请退款单据信息维护。</w:t>
      </w:r>
    </w:p>
    <w:p w14:paraId="3B765E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2.7转移支出单据银行信息维护</w:t>
      </w:r>
    </w:p>
    <w:p w14:paraId="430D71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可对转移支出单据所关联的银行账户信息，如开户行名称、账号、账户性质等，进行全面且精准的修改、更新与完善操作。</w:t>
      </w:r>
    </w:p>
    <w:p w14:paraId="401FCA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2.8养老拨付单据汇总</w:t>
      </w:r>
    </w:p>
    <w:p w14:paraId="5BFB26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当业务需要对业务退款单、转移支出进行拨付时，业务产生拨付汇总单，以此汇总单和财务进行对接工作，财务接收汇总单后，进行资金拨付。</w:t>
      </w:r>
    </w:p>
    <w:p w14:paraId="0B833F9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3、社会保险缴费</w:t>
      </w:r>
    </w:p>
    <w:p w14:paraId="6A3677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3.1单位社会保险历史欠费核定</w:t>
      </w:r>
    </w:p>
    <w:p w14:paraId="41664E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对单位历史欠费进行清理，生成并打印历史陈欠缴费申报单据。</w:t>
      </w:r>
    </w:p>
    <w:p w14:paraId="0A3D12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3.2社平启用基数保底封顶（机关保）</w:t>
      </w:r>
    </w:p>
    <w:p w14:paraId="11DCCA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缴费基数标准启用后，进行缴费基数保底封顶。</w:t>
      </w:r>
    </w:p>
    <w:p w14:paraId="4E398C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3.3个人差额调整补退收（机关保）</w:t>
      </w:r>
    </w:p>
    <w:p w14:paraId="187E08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缴费基数调整，对已缴费时段办理差额调整（202406之前社保生成，202407后税务生成补收）。</w:t>
      </w:r>
    </w:p>
    <w:p w14:paraId="04302D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3.4欠款核销</w:t>
      </w:r>
    </w:p>
    <w:p w14:paraId="37C929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核销已生成欠费。</w:t>
      </w:r>
    </w:p>
    <w:p w14:paraId="7166A7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3.5实施准备期认定（机关保）</w:t>
      </w:r>
    </w:p>
    <w:p w14:paraId="7FB168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新上线单位认定实施准备期应收计划。</w:t>
      </w:r>
    </w:p>
    <w:p w14:paraId="4E8F0A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3.6实施准备期清缴（机关保）</w:t>
      </w:r>
    </w:p>
    <w:p w14:paraId="55FDBD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新上线单位认定实施准备期清缴计划。</w:t>
      </w:r>
    </w:p>
    <w:p w14:paraId="3D7726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3.7实施准备期结算汇总表（机关保）</w:t>
      </w:r>
    </w:p>
    <w:p w14:paraId="6EE355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汇总生成实施准备期结算账并推送财务。</w:t>
      </w:r>
    </w:p>
    <w:p w14:paraId="65A91E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3.8单位实施准备期结算表（机关保）</w:t>
      </w:r>
    </w:p>
    <w:p w14:paraId="36B5E3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按单位生成实施准备期结算账。</w:t>
      </w:r>
    </w:p>
    <w:p w14:paraId="3F8682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3.9征缴业务月结</w:t>
      </w:r>
    </w:p>
    <w:p w14:paraId="3F80A9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本月征缴业务已全部办结，月结进入下一个业务周期。</w:t>
      </w:r>
    </w:p>
    <w:p w14:paraId="3FF8A6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3.10职业年金本息提前做实申请</w:t>
      </w:r>
    </w:p>
    <w:p w14:paraId="5F3D09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参保单位为本单位在职人员提前申请做实职业年金记账本息。按统筹区、单位性质、隶属关系、人员类别、起止时间，分单位或个人为系统内在职人员提前申请做实职业年金记账本息。</w:t>
      </w:r>
    </w:p>
    <w:p w14:paraId="65B46D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3.11职业年金本息提前做实金额认定</w:t>
      </w:r>
    </w:p>
    <w:p w14:paraId="26E455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根据提前做实申请，计算对应职业年金记账做实本息金额。选择推送税务征收或财务确认。生成职业年金记账缴费本息减少待转换数据。</w:t>
      </w:r>
    </w:p>
    <w:p w14:paraId="569192E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3.12变动人员职业年金本息批量做实认定</w:t>
      </w:r>
    </w:p>
    <w:p w14:paraId="3CBC7B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当月人员停保、退休、终保等变动业务经办情况，对除调入同级财政供款全额单位的人员外的其他变动人员，按参保单位或个人计算对应职业年金记账做实本息金额。生成职业年金记账缴费本息减少待转换数据。</w:t>
      </w:r>
    </w:p>
    <w:p w14:paraId="545268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3.13已转出人员职业年金做实原单位</w:t>
      </w:r>
    </w:p>
    <w:p w14:paraId="33A36C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对省内已跨统筹区转出人员，计算其在原单位未记实的记账本金。</w:t>
      </w:r>
    </w:p>
    <w:p w14:paraId="22E52A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3.14城乡居民基本养老保险集体补助确认</w:t>
      </w:r>
    </w:p>
    <w:p w14:paraId="4EBE69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条件的村集体经济组织应对参保人缴费给予补助，补助标准由村民委员会召开村民会议民主确定，鼓励有条件的社区将集体补助纳入社区公益事业资金筹集范围。村集体组织对参保人缴费给予补助。补助金额不超过当地设定的最高缴费档次标准。</w:t>
      </w:r>
    </w:p>
    <w:p w14:paraId="62DBF8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3.15个人资助参保人缴费确认</w:t>
      </w:r>
    </w:p>
    <w:p w14:paraId="4C86D1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鼓励个人为参保人缴费提供资助；资助金额不超过当地设定的最高缴费档次标准。</w:t>
      </w:r>
    </w:p>
    <w:p w14:paraId="1B1FB9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3.16居保年度内变更缴费档次确认</w:t>
      </w:r>
    </w:p>
    <w:p w14:paraId="5950E8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该功能允许居保首次缴费较低、有提高缴费档次需求的参保人可以对自己历年缴费进行提档补缴。</w:t>
      </w:r>
    </w:p>
    <w:p w14:paraId="0795EE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3.17困难群体代缴</w:t>
      </w:r>
    </w:p>
    <w:p w14:paraId="09A017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对重度残疾人、特困人员、低保户、易返贫致贫等缴费困难群体，由地方人民政府为其代缴部分或全部最低标准的养老保险费，由社保经办机构具体经办。</w:t>
      </w:r>
    </w:p>
    <w:p w14:paraId="340DB5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3.18单位最大做账期号维护</w:t>
      </w:r>
    </w:p>
    <w:p w14:paraId="781D85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修改单位最大做账期号。用途：补核定、跳过“空档期”核定。</w:t>
      </w:r>
    </w:p>
    <w:p w14:paraId="18EFFE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3.19缓缴认定（欠费分期缴纳）</w:t>
      </w:r>
    </w:p>
    <w:p w14:paraId="09109C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用人单位因不可抗力造成生产经营出现严重困难的，经省级人民政府社会保险行政部门批准后，可暂缓缴纳一定期限的社会保险费。</w:t>
      </w:r>
    </w:p>
    <w:p w14:paraId="324785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3.20单位社会保险险种费率调整补退</w:t>
      </w:r>
    </w:p>
    <w:p w14:paraId="5B13B6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统模式之前的缴费因缴费比例变更引起的少收或多收社会保险费，通过此功能进行比例差额补退处理。</w:t>
      </w:r>
    </w:p>
    <w:p w14:paraId="0316A0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3.21年度缴费基数调整补退</w:t>
      </w:r>
    </w:p>
    <w:p w14:paraId="08187D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年度缴费基数调整补退（系统自动处理）。</w:t>
      </w:r>
    </w:p>
    <w:p w14:paraId="5E7B43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3.22单位利息滞纳金扣除时段认定</w:t>
      </w:r>
    </w:p>
    <w:p w14:paraId="2A6EF9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因政策原因实现的单位利息、滞纳金扣除，扣除时段进行认定及信息维护。</w:t>
      </w:r>
    </w:p>
    <w:p w14:paraId="333E1C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3.23工伤浮动费率管理</w:t>
      </w:r>
    </w:p>
    <w:p w14:paraId="33045D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根据《湖北省工伤保险浮动费率管理试行办法》确定的规则一次性计算并展示各单位浮动费率调整情况；可修改并录入修改依据，保存后推送审核。</w:t>
      </w:r>
    </w:p>
    <w:p w14:paraId="0C87B0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3.24滞纳金重算</w:t>
      </w:r>
    </w:p>
    <w:p w14:paraId="58975E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已经征收到账的滞纳金，按照“单位利息滞纳金扣除时段认定”“个人利息滞纳金扣除时段认定”“滞纳金利息减免置标”功能最新有效减免信息计算后，生成退款信息；对于已征收的本金未征收滞纳金，按照“单位利息滞纳金扣除时段认定”“个人利息滞纳金扣除时段认定”“滞纳金利息减免置标”功能最新有效减免信息，重新补生成滞纳金。</w:t>
      </w:r>
    </w:p>
    <w:p w14:paraId="4789E4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4、社会保险退费</w:t>
      </w:r>
    </w:p>
    <w:p w14:paraId="09AB5A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4.1单位职工社会保险费多缴退费申报</w:t>
      </w:r>
    </w:p>
    <w:p w14:paraId="45B73B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参保职工因各种原因造成错缴或重复缴纳统模式前的社会保险费的，经过申请后，可以办理社会保险费退账或退费返还。</w:t>
      </w:r>
    </w:p>
    <w:p w14:paraId="7205EF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4.2个人基本养老保险费多缴退费申报</w:t>
      </w:r>
    </w:p>
    <w:p w14:paraId="517D65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灵活就业参保人员多缴纳统模式前社会保险费的，经过申请后，可以办理社会保险费返还。</w:t>
      </w:r>
    </w:p>
    <w:p w14:paraId="1AE3DA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4.3个人基本养老保险缴费退收申报（只能办理2023年7月前的）</w:t>
      </w:r>
    </w:p>
    <w:p w14:paraId="2922408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对2023年7月前的个人养老保险缴费进行退收申报。</w:t>
      </w:r>
    </w:p>
    <w:p w14:paraId="4E2C4E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4.4基本养老保险重复缴费退费申报</w:t>
      </w:r>
    </w:p>
    <w:p w14:paraId="4A211D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办理人员养老保险重复缴费的清退，包括转移后的重复缴费清退、本地重复缴费清退、城乡养老转入重复清退、本地只退个人账户金额。</w:t>
      </w:r>
    </w:p>
    <w:p w14:paraId="10E615E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4.5服刑人员退费申报</w:t>
      </w:r>
    </w:p>
    <w:p w14:paraId="74CD45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因参保人员服刑，需要办理刑期期间的退费。</w:t>
      </w:r>
    </w:p>
    <w:p w14:paraId="61F578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4.6单位缴费时段多缴退费（双基数退费）</w:t>
      </w:r>
    </w:p>
    <w:p w14:paraId="5C64A4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参保职工因各种原因造成错缴双基数期间的缴费，办理社会保险费退费返还。</w:t>
      </w:r>
    </w:p>
    <w:p w14:paraId="28644C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4.7特殊情况退费</w:t>
      </w:r>
    </w:p>
    <w:p w14:paraId="3A7186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经上级部门批准后，办理特殊情形下已缴纳费用的退还。</w:t>
      </w:r>
    </w:p>
    <w:p w14:paraId="106150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4.8税务发起退费审核</w:t>
      </w:r>
    </w:p>
    <w:p w14:paraId="17AE91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税务部门征收产生多收误收、结算多缴的社保费，由缴费人向税务部门发起的退抵费业务，由税务部门按业务要求受理并初核后，通过信息共享平台向人社部门发送社保费退抵费申请信息，经人社审核通过后，由人社进行退费。</w:t>
      </w:r>
    </w:p>
    <w:p w14:paraId="64E54B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4.9个人退收</w:t>
      </w:r>
    </w:p>
    <w:p w14:paraId="70B881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办理个人缴费退收。</w:t>
      </w:r>
    </w:p>
    <w:p w14:paraId="154A0F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4.10退费汇总</w:t>
      </w:r>
    </w:p>
    <w:p w14:paraId="1DAB7D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退收、差额退收基本险及年金。</w:t>
      </w:r>
    </w:p>
    <w:p w14:paraId="5E9C98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4.11退费汇总历史查询打印</w:t>
      </w:r>
    </w:p>
    <w:p w14:paraId="6E0D56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查询打印历史退费。</w:t>
      </w:r>
    </w:p>
    <w:p w14:paraId="3790F0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4.12实际缴费重复处理（机关保）</w:t>
      </w:r>
    </w:p>
    <w:p w14:paraId="3DF0A3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两段以上实际缴费重复处理</w:t>
      </w:r>
    </w:p>
    <w:p w14:paraId="2B2962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4.13转移与转移重复缴费处理（机关保）</w:t>
      </w:r>
    </w:p>
    <w:p w14:paraId="220A42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两段以上转移缴费重复处理。</w:t>
      </w:r>
    </w:p>
    <w:p w14:paraId="52E917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4.14转移与视同重复处理（机关保）</w:t>
      </w:r>
    </w:p>
    <w:p w14:paraId="2982BF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视同缴费与实际缴费重复处理。</w:t>
      </w:r>
    </w:p>
    <w:p w14:paraId="75B03C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4.15职业年金利息重复缴费退费</w:t>
      </w:r>
    </w:p>
    <w:p w14:paraId="182775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对原单位缴费记实与财政拨款记实的职业年金利息重复缴费办理退费，生成退费支付计划，由本级归集户办理退款。</w:t>
      </w:r>
    </w:p>
    <w:p w14:paraId="6D9656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4.16注销人员职业年金利息退费</w:t>
      </w:r>
    </w:p>
    <w:p w14:paraId="55826A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对已注销人员记实的职业年金利息按记实金额办理退费，列入当期职业年金退费计划，所需资金从个人账户赎回。</w:t>
      </w:r>
    </w:p>
    <w:p w14:paraId="167B3D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4.17税务退费（城居保）</w:t>
      </w:r>
    </w:p>
    <w:p w14:paraId="6CD9AC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因缴费个人误缴、重复缴费需退费的。</w:t>
      </w:r>
    </w:p>
    <w:p w14:paraId="60F982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4.18养老保险本地无重复记录清退</w:t>
      </w:r>
    </w:p>
    <w:p w14:paraId="3D6670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对于重复记录个人要求退回个人账户人员进行无重复记录清退处理。</w:t>
      </w:r>
    </w:p>
    <w:p w14:paraId="4F75FE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4.19异常单据退费(税务发起)</w:t>
      </w:r>
    </w:p>
    <w:p w14:paraId="0C5978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税务发起的异常单据进行审核退费。</w:t>
      </w:r>
    </w:p>
    <w:p w14:paraId="0B9434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4.20养老保险关系清退</w:t>
      </w:r>
    </w:p>
    <w:p w14:paraId="3B2715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在职人员出国定居、缴费不满15年人员、异地退休人员本地养老保险关系清退。险种包括人员所有参保险种。</w:t>
      </w:r>
    </w:p>
    <w:p w14:paraId="14189DF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5、社会保险一次性补缴</w:t>
      </w:r>
    </w:p>
    <w:p w14:paraId="61C411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5.1灵活就业人员基本养老保险一次性缴费申报</w:t>
      </w:r>
    </w:p>
    <w:p w14:paraId="21418D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达到法定退休年龄时,参保时间在社会保险法实施前（201107），已经延长缴费满5年，且累计缴费年限不满15年，办理一次性趸交。社会保险法实施之后参保人员，在本地累计缴费需满10年，且累计缴费年限不满15年，办理一次性趸缴。</w:t>
      </w:r>
    </w:p>
    <w:p w14:paraId="180FA3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5.2灵活就业人员一次性补齐缴费</w:t>
      </w:r>
    </w:p>
    <w:p w14:paraId="0F154B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灵活就业参保人员达到法定退休年龄时,累计缴费年限不满15年，办理一次性趸交，含服刑人员一次性趸交。</w:t>
      </w:r>
    </w:p>
    <w:p w14:paraId="7F64685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6、社税数据传递</w:t>
      </w:r>
    </w:p>
    <w:p w14:paraId="436AD0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6.1单位参保登记信息交互</w:t>
      </w:r>
    </w:p>
    <w:p w14:paraId="4E2B00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用人单位在人社部门完成社保参保登记后，按照本方案约定标准，人社部门将用人单位的参保登记信息传递给税务部门，在税务部门信息共享平台按照预设规则进行校验，校验通过的接收，不通过的返回。</w:t>
      </w:r>
    </w:p>
    <w:p w14:paraId="0024F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6.2职工个人参保登记信息交互</w:t>
      </w:r>
    </w:p>
    <w:p w14:paraId="736A22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单位在人社部门完成职工个人社保参保登记后，按照本方案约定标准，人社部门将职工个人的参保登记信息传递给税务部门，在税务部门信息共享平台按照预设规则进行校验，校验通过的接收，不通过的返回。</w:t>
      </w:r>
    </w:p>
    <w:p w14:paraId="622692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6.3灵活就业人员参保登记信息交互</w:t>
      </w:r>
    </w:p>
    <w:p w14:paraId="346070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人社部门完成灵活就业人员的参保登记后，按照本方案约定标准，将参保登记信息传递给税务部门。</w:t>
      </w:r>
    </w:p>
    <w:p w14:paraId="34B1AD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6.4特殊缴费业务交互</w:t>
      </w:r>
    </w:p>
    <w:p w14:paraId="36B8CD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特殊缴费业务和历史欠费清缴，由人社部门先完成参保登记、应缴费额认定后，按照本方案约定标准，将相关信息传递给税务部门，在税务部门信息共享平台中按照预设规则进行校验，校验通过的接收，不通过的返回。</w:t>
      </w:r>
    </w:p>
    <w:p w14:paraId="2621A0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6.5社保费到账处理结果反馈交互</w:t>
      </w:r>
    </w:p>
    <w:p w14:paraId="1A0B00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税务部门将核对无误的缴费单位和缴费个人的明细数据，按照本方案约定标准，通过信息共享平台传递给人社部门记账，人社部门接收成功并对账完成后，反馈到账成功信息。</w:t>
      </w:r>
    </w:p>
    <w:p w14:paraId="1DCA4E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6.6社保费退费复核核验信息反馈</w:t>
      </w:r>
    </w:p>
    <w:p w14:paraId="47F48F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社保部门退费核验后，需将退费核查通过与否信息通过信息共享平台发送给税务机关，包括社保部门核验结果、社保部门核验时间等信息。</w:t>
      </w:r>
    </w:p>
    <w:p w14:paraId="052C7C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6.7社保费退费销号信息反馈</w:t>
      </w:r>
    </w:p>
    <w:p w14:paraId="25C8D7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部门核验通过的退费申请，按旬集中转交财政部门。财政部门确认后，将退费金额划转至社保部门的社会保险基金支出户。社保部门将款项退还缴费人，按月将已办理的退费信息传递至同级的税务机关进行退费销号。</w:t>
      </w:r>
    </w:p>
    <w:p w14:paraId="7CD93F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6.8单位缴费信息交互</w:t>
      </w:r>
    </w:p>
    <w:p w14:paraId="0FE31C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税务部门完成社保费征缴工作后，实时或定时将核对无误的缴费单位明细数据传递给人社部门。</w:t>
      </w:r>
    </w:p>
    <w:p w14:paraId="75D0A7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6.9职工个人缴费明细信息交互</w:t>
      </w:r>
    </w:p>
    <w:p w14:paraId="7E3B4D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税务部门完成社保费征缴工作后，将核对无误的缴费职工个人明细数据，通过信息共享平台传递给人社部门。</w:t>
      </w:r>
    </w:p>
    <w:p w14:paraId="2B7499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6.10灵活就业人员缴费信息交互</w:t>
      </w:r>
    </w:p>
    <w:p w14:paraId="4CFD4B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税务部门完成社保费征缴工作后，将核对无误的缴费灵活就业人员个人明细数据，通过信息共享平台传递给人社部门记账。</w:t>
      </w:r>
    </w:p>
    <w:p w14:paraId="7FAE07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6.11社保费退抵费申请和初核</w:t>
      </w:r>
    </w:p>
    <w:p w14:paraId="570738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对于税务部门征收产生多收误收、结算多缴的社保费，由缴费人向税务部门发起的退抵费业务，由税务部门按业务要求受理并初核后，通过信息共享平台向人社部门发送社保费退抵费申请信息。</w:t>
      </w:r>
    </w:p>
    <w:p w14:paraId="1F391C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6.12社保费退费账户更正</w:t>
      </w:r>
    </w:p>
    <w:p w14:paraId="4D876D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完成核验后，因退费账户错误、退费账户冻结等原因导致人社部门给缴费人退付失败时，需要缴费人重新确认退费账户，税务机关将更正退费账户后的退费信息重新传递给人社部门，人社部门重新发起退费到缴费人账户。</w:t>
      </w:r>
    </w:p>
    <w:p w14:paraId="44C022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6.13社保费退费申请附送资料</w:t>
      </w:r>
    </w:p>
    <w:p w14:paraId="6FF109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税务部门征收产生多收误收、结算多缴的社保费，由缴费人向税务部门发起的退费业务，由税务部门按业务要求采集附送资料，且退费申请受理并初核后，通过信息共享平台将退费附送资料文件提供给人社部门。</w:t>
      </w:r>
    </w:p>
    <w:p w14:paraId="4C1AC7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6.14特殊缴费业务缴费信息交互</w:t>
      </w:r>
    </w:p>
    <w:p w14:paraId="79AB98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税务部门完成缴费后，将有关特殊缴费上解和入库信息反馈人社部门，人社部门按照税务部门反馈的上解时间或入库时间进行记账。</w:t>
      </w:r>
    </w:p>
    <w:p w14:paraId="54F85D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6.15社保费缓缴清单交互</w:t>
      </w:r>
    </w:p>
    <w:p w14:paraId="256D09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系统中确认享受缓缴政策的单位清单，需要通过社保费信息共享平台交互给人社部门，人社保部门需要通过税务部门反馈的缓缴清单内容对相关单位进行标识，一是确保对税务部门反馈的涉及缓缴政策的缴费明细信息能够准确记账；二是确保缓缴单位职工待遇不因费款缓缴而受影响。</w:t>
      </w:r>
    </w:p>
    <w:p w14:paraId="5270D0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6.16职工个人缓缴明细信息交互</w:t>
      </w:r>
    </w:p>
    <w:p w14:paraId="7D7EB6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税务部门在反馈缴费信息时，将本次缴费中涉及的缓缴职工明细信息，通过信息共享平台传递给人社部门，确保缓缴单位职工待遇不因费款缓缴而受影响。</w:t>
      </w:r>
    </w:p>
    <w:p w14:paraId="1DB98B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6.17补推送税务</w:t>
      </w:r>
    </w:p>
    <w:p w14:paraId="59C1E5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补推送缴费基数信息给税务系统。</w:t>
      </w:r>
    </w:p>
    <w:p w14:paraId="67E9E1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6.18灵活就业人员在途数据查询</w:t>
      </w:r>
    </w:p>
    <w:p w14:paraId="5549A5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人社部门办理灵活就业人员险种或基础信息终止业务时，需判断是否存在在途数据，若存在，则不可办理险种或基础信息终止。</w:t>
      </w:r>
    </w:p>
    <w:p w14:paraId="492694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6.19单位在途数据查询</w:t>
      </w:r>
    </w:p>
    <w:p w14:paraId="4265A6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人社部门办理单位转移或者注销业务时，需判断是否存在在途数据，若存在，则不可办理转移或者注销。</w:t>
      </w:r>
    </w:p>
    <w:p w14:paraId="23EA28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6.20职工在途数据查询</w:t>
      </w:r>
    </w:p>
    <w:p w14:paraId="27B1E5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人社部门办理职工转移、退休和终止业务时，需判断是否存在在途数据，若存在，则不可办理。</w:t>
      </w:r>
    </w:p>
    <w:p w14:paraId="484E97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6.21单位核定征集（机关保）</w:t>
      </w:r>
    </w:p>
    <w:p w14:paraId="5441C5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批量核定汇总当期应收计划、征集至税务系统。</w:t>
      </w:r>
    </w:p>
    <w:p w14:paraId="78C51D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6.22职业年金特殊缴费推送税务征收</w:t>
      </w:r>
    </w:p>
    <w:p w14:paraId="571F8A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按参保单位推送当期已认定的职业年金本息做实、补记职业年金等特殊缴费至税务部门征收。</w:t>
      </w:r>
    </w:p>
    <w:p w14:paraId="72D45C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6.23社会保险退费追回</w:t>
      </w:r>
    </w:p>
    <w:p w14:paraId="67995D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对非税务申请的退费，因某种原因需要进行更正，由经办机构发起退费追回，产生对应的追款单据。</w:t>
      </w:r>
    </w:p>
    <w:p w14:paraId="2B6EB5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6.24养老保险税务回盘异常数据处理</w:t>
      </w:r>
    </w:p>
    <w:p w14:paraId="053BA0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对税务回盘的异常数据进行更改处理。</w:t>
      </w:r>
    </w:p>
    <w:p w14:paraId="3954280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6.25职业伤害税务征收到账信息报送</w:t>
      </w:r>
    </w:p>
    <w:p w14:paraId="289D69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应征、补缴信息到账后，将到账信息通过省前置系统推送到全国信息平台。</w:t>
      </w:r>
    </w:p>
    <w:p w14:paraId="7731A13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7、职业年金补记</w:t>
      </w:r>
    </w:p>
    <w:p w14:paraId="41CEF4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7.1补记职业年金申请</w:t>
      </w:r>
    </w:p>
    <w:p w14:paraId="1931E8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为因辞职、辞退、调入企业的机关事业单位停保人员申请办理补记职业年金业务。上传电子档案材料后推送同级人社行政部门审核补记条件。</w:t>
      </w:r>
    </w:p>
    <w:p w14:paraId="6F0577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7.2补记职业年金行政部门审核</w:t>
      </w:r>
    </w:p>
    <w:p w14:paraId="6590CF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行政部门审核参保单位提交的补记职业年金人员的补记年限等信息。审核通过的，推送经办机构计算补记金额，不通过的，退回参保单位重新填报。</w:t>
      </w:r>
    </w:p>
    <w:p w14:paraId="388A3F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7.3补记职业年金金额计算</w:t>
      </w:r>
    </w:p>
    <w:p w14:paraId="53480B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计算截至业务办理时的应补记职业年金本息金额，复核通过后推送至职业年金特殊缴费推送税务征收模块处理。</w:t>
      </w:r>
    </w:p>
    <w:p w14:paraId="412AC4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7.4已补记职业年金划转统筹基金</w:t>
      </w:r>
    </w:p>
    <w:p w14:paraId="1C0360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对存在补记职业年金的机关事业单位退休人员，将其补记职业年金本息（含投资收益）划转同级机关事业单位养老保险统筹基金。</w:t>
      </w:r>
    </w:p>
    <w:p w14:paraId="0CD63C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7.5补记职业年金误缴退费申请</w:t>
      </w:r>
    </w:p>
    <w:p w14:paraId="461FC0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对已办理补记职业年金缴费到账后，又因补记条件、补记年限、缴费基数等申请有误的，提出误缴退费申请，并上传经本级人社行政部门认可的附件材料。</w:t>
      </w:r>
    </w:p>
    <w:p w14:paraId="1BD197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7.6本级补记职业年金退费计划</w:t>
      </w:r>
    </w:p>
    <w:p w14:paraId="6BCB3C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当期需划转统筹基金及误缴退费的补记职业年金退费信息，审核通过后推送至职业年金支付计划省级汇总模块处理。其中，划转统筹基金的补记退费支付至同级机关事业单位养老保险统筹基金账户，误缴退费的补记退费支付至对应参保单位收退款账户。</w:t>
      </w:r>
    </w:p>
    <w:p w14:paraId="186DA2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7.7平台职业伤害基本信息税务交换</w:t>
      </w:r>
    </w:p>
    <w:p w14:paraId="1DAB60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个人基本信息表、单位基本信息、个人参保信息表、单位参保信息、订单汇总信息、费率信息、缴费信息、社保费退费销号信息（通过定时任务完成）</w:t>
      </w:r>
    </w:p>
    <w:p w14:paraId="0CE741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7.8传递税务数据补推</w:t>
      </w:r>
    </w:p>
    <w:p w14:paraId="08D12B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因社税交互系统问题，致使社税双方数据不一致，无法办理业务，通过本功能产生一个起止时间传递至同级税务部门。</w:t>
      </w:r>
    </w:p>
    <w:p w14:paraId="7812841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（三）信息维护</w:t>
      </w:r>
    </w:p>
    <w:p w14:paraId="1F1795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对社会保险相关的基本信息、缴费信息和待遇信息进行维护管理。</w:t>
      </w:r>
    </w:p>
    <w:p w14:paraId="5645135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1、参保单位信息维护</w:t>
      </w:r>
    </w:p>
    <w:p w14:paraId="043B55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1.1单位关键信息变更登记</w:t>
      </w:r>
    </w:p>
    <w:p w14:paraId="0E9ACE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办理单位关键信息变更登记。</w:t>
      </w:r>
    </w:p>
    <w:p w14:paraId="4A2A5B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1.2单位一般信息变更登记</w:t>
      </w:r>
    </w:p>
    <w:p w14:paraId="731A6F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受理企业用人单位提交的社会保险变更登记申请，变更单位基本信息。</w:t>
      </w:r>
    </w:p>
    <w:p w14:paraId="73541A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1.3特定单位认定信息录入</w:t>
      </w:r>
    </w:p>
    <w:p w14:paraId="376513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对特定单位涉及缴费相关的信息进行录入。</w:t>
      </w:r>
    </w:p>
    <w:p w14:paraId="21AAE1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1.4单位利息征收标识维护</w:t>
      </w:r>
    </w:p>
    <w:p w14:paraId="0C21A3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对需征收利息的单位进行标识的添加维护。</w:t>
      </w:r>
    </w:p>
    <w:p w14:paraId="640178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1.5单位滞纳金清偿标识维护</w:t>
      </w:r>
    </w:p>
    <w:p w14:paraId="28FB76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对需滞纳金清偿完成的单位进行标识的添加维护。</w:t>
      </w:r>
    </w:p>
    <w:p w14:paraId="605C2F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1.6单位政策性降费率</w:t>
      </w:r>
    </w:p>
    <w:p w14:paraId="299F33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因政策原因，部分单位降费率信息进行维护。</w:t>
      </w:r>
    </w:p>
    <w:p w14:paraId="4E1977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1.7建筑工程项目信息变更</w:t>
      </w:r>
    </w:p>
    <w:p w14:paraId="1C506E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修改建筑工程项目参保信息。</w:t>
      </w:r>
    </w:p>
    <w:p w14:paraId="53F25C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1.8统筹区划管理</w:t>
      </w:r>
    </w:p>
    <w:p w14:paraId="6B6D67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统筹区新建、修改（划转）、撤销、合并。</w:t>
      </w:r>
    </w:p>
    <w:p w14:paraId="4FB382F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2、参保人员信息维护</w:t>
      </w:r>
    </w:p>
    <w:p w14:paraId="1E515D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2.1离退休人员基本信息维护</w:t>
      </w:r>
    </w:p>
    <w:p w14:paraId="06C2A0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对已退休人员维护其基本养老保险待遇信息，如视同缴费月数、档案出生日期等。</w:t>
      </w:r>
    </w:p>
    <w:p w14:paraId="7E96C4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2.2军转标识维护</w:t>
      </w:r>
    </w:p>
    <w:p w14:paraId="7D877E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对是否军转干部、军转级别等标识进行信息维护。</w:t>
      </w:r>
    </w:p>
    <w:p w14:paraId="2506B3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2.3退休个人账户支出明细补录</w:t>
      </w:r>
    </w:p>
    <w:p w14:paraId="29EBC8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对退休人员个人账户支出明细进行补录。</w:t>
      </w:r>
    </w:p>
    <w:p w14:paraId="04E614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2.4人员一般信息变更登记</w:t>
      </w:r>
    </w:p>
    <w:p w14:paraId="1F30E7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受理单位和个人提交基本信息变更，不包含公民身份号码和姓名等关键信息。</w:t>
      </w:r>
    </w:p>
    <w:p w14:paraId="35B39A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2.5人员关键信息变更登记</w:t>
      </w:r>
    </w:p>
    <w:p w14:paraId="6DCDCB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受理单位和个人提交基本信息变更，包括公民身份号码和姓名等关键信息。</w:t>
      </w:r>
    </w:p>
    <w:p w14:paraId="275B89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2.6参保人员信息合并</w:t>
      </w:r>
    </w:p>
    <w:p w14:paraId="4FA6C6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同一证件号码、姓名人员在系统中存在多条基本信息时，需办理信息合并，将被合并号的参保信息、缴费信息、账户信息等合并至主号，被合并号基础信息注销。</w:t>
      </w:r>
    </w:p>
    <w:p w14:paraId="1A8929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2.7参保人员信息合并批量</w:t>
      </w:r>
    </w:p>
    <w:p w14:paraId="78B85A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对重姓名重身份证号的特殊人群（仅参加单一险种）进行参保人员批量信息合并操作。</w:t>
      </w:r>
    </w:p>
    <w:p w14:paraId="6121A5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2.8劳务派遣单位参保人员置标</w:t>
      </w:r>
    </w:p>
    <w:p w14:paraId="775C5E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为劳务派遣单位下的参保人员置标，并补录实际工作单位信息。</w:t>
      </w:r>
    </w:p>
    <w:p w14:paraId="78F935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2.9单位职工停保信息维护</w:t>
      </w:r>
    </w:p>
    <w:p w14:paraId="0A3AF1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单位办理职工停保后，因停保时间或停保原因错误需修正时，对职工停保信息维护。</w:t>
      </w:r>
    </w:p>
    <w:p w14:paraId="4ACC77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2.10养老保险参保人员信息维护</w:t>
      </w:r>
    </w:p>
    <w:p w14:paraId="794D88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参保人员在老系统或异地（或其他制度险种）参保但在本地无参保信息，需在本地进行补缴养老保险或享受养老待遇，办理养老保险参保人员信息补录。</w:t>
      </w:r>
    </w:p>
    <w:p w14:paraId="061BAB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2.11首次参保地实行个人缴费时间维护</w:t>
      </w:r>
    </w:p>
    <w:p w14:paraId="599BED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对个人首次参保地实行个人缴费时间信息进行维护。</w:t>
      </w:r>
    </w:p>
    <w:p w14:paraId="05298E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2.12养老保险本地无重复记录清退</w:t>
      </w:r>
    </w:p>
    <w:p w14:paraId="1D32C4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对于重复记录个人要求退回个人账户人员进行无重复记录清退处理。</w:t>
      </w:r>
    </w:p>
    <w:p w14:paraId="0A2A4B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2.13在职人员身份标识维护</w:t>
      </w:r>
    </w:p>
    <w:p w14:paraId="03FD86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对在职人员的身份标识信息进行维护。</w:t>
      </w:r>
    </w:p>
    <w:p w14:paraId="6D7F6B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2.14待核查人员信息锁定（解锁）</w:t>
      </w:r>
    </w:p>
    <w:p w14:paraId="259126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因职工证件信息被占用，提供资料证明本人信息后，将占用证件信息标准为待核查状态，待核查人员将不能办理其他业务（只能办理人员信息变更）或者将锁定人员进行解锁。</w:t>
      </w:r>
    </w:p>
    <w:p w14:paraId="629E10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2.15参保人员无效数据清理</w:t>
      </w:r>
    </w:p>
    <w:p w14:paraId="23A846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清理系统中存在的垃圾数据，对确认为无效或封存数据的参保人员进行分类清理操作，操作后该编号不允许产生养老保险一次性待遇。</w:t>
      </w:r>
    </w:p>
    <w:p w14:paraId="7D217F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2.16养老保险个人账户重算</w:t>
      </w:r>
    </w:p>
    <w:p w14:paraId="4834E3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根据人员养老保险缴费明细，重新生成个人账户信息。</w:t>
      </w:r>
    </w:p>
    <w:p w14:paraId="3BA6A8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2.17养老历史缴费清理分析</w:t>
      </w:r>
    </w:p>
    <w:p w14:paraId="7D5565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根据参保人提供的资料、参保人当前时间的基本信息等确认最终订正方案，录入审核意见。</w:t>
      </w:r>
    </w:p>
    <w:p w14:paraId="64531F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2.18养老历史缴费明细变更</w:t>
      </w:r>
    </w:p>
    <w:p w14:paraId="5548CC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由于各种原因导致参保对象缴费明细缺失或错误时，可通过缴费记录维护对历史缴费明细进行新增或修改、删除。</w:t>
      </w:r>
    </w:p>
    <w:p w14:paraId="70013B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2.19养老保险个人账户批量校验</w:t>
      </w:r>
    </w:p>
    <w:p w14:paraId="1E8DEF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批量对人员账户进行规则校验。</w:t>
      </w:r>
    </w:p>
    <w:p w14:paraId="2D6A04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2.20养老保险个人账户校验</w:t>
      </w:r>
    </w:p>
    <w:p w14:paraId="0FC566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对通过退休审批人员账户进行规则校验。</w:t>
      </w:r>
    </w:p>
    <w:p w14:paraId="630801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2.21养老保险个人账户校验（在职）</w:t>
      </w:r>
    </w:p>
    <w:p w14:paraId="4C78A2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对未做退休审批的在职人员账户进行规则校验。</w:t>
      </w:r>
    </w:p>
    <w:p w14:paraId="67B2D4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2.22养老历史账户金额变更</w:t>
      </w:r>
    </w:p>
    <w:p w14:paraId="246D5C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对系统内参保人员（如广电第三批、老机保）的养老账户进行金额录入。</w:t>
      </w:r>
    </w:p>
    <w:p w14:paraId="5F5C80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2.23个人账户标识清理</w:t>
      </w:r>
    </w:p>
    <w:p w14:paraId="70C612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对系统内数据清理时有问题的账户标识进行处理。分为基于迁移标识清理的待退休人员和基于业务拦截清理的业务拦截人员。</w:t>
      </w:r>
    </w:p>
    <w:p w14:paraId="36AC83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2.24缴费明细（退休认定）同步</w:t>
      </w:r>
    </w:p>
    <w:p w14:paraId="0BF079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是对已进行退休条件认定，同时符合个人账户校验规则，仅存在参工前有实缴现象的参保人员，自动对参工前有实缴的缴费明细记录进行屏蔽。二是屏蔽后，根据缴费明细中最早费款所属期，同步修改首次参保时间。如修改后的首次参保时间晚于本系统参保时间或本次参保开始时间的，按修改后的首次参保时间同步修改本系统参保时间或本次参保开始时间。</w:t>
      </w:r>
    </w:p>
    <w:p w14:paraId="0E5481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2.25电力行业特殊标识变更</w:t>
      </w:r>
    </w:p>
    <w:p w14:paraId="5C90DB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对享受电力行业移交地方前个人账户特殊政策人员进行标识和标识变更。</w:t>
      </w:r>
    </w:p>
    <w:p w14:paraId="6849E1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2.26省本级事转企实缴信息录入</w:t>
      </w:r>
    </w:p>
    <w:p w14:paraId="2FFC9D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对省本级事业单位转制企业的单位实缴信息进行录入。</w:t>
      </w:r>
    </w:p>
    <w:p w14:paraId="3D62AE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2.27银行协解人员解封</w:t>
      </w:r>
    </w:p>
    <w:p w14:paraId="6B5CF3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对历史上因改革原因进行封存的银行协解人员进行解封。</w:t>
      </w:r>
    </w:p>
    <w:p w14:paraId="4CA5B3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2.28原离退休人员信息维护受理</w:t>
      </w:r>
    </w:p>
    <w:p w14:paraId="5F6144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原系统离退休人员基本信息有误，需要进行基本信息更改。涉及待遇审核业务的可维护信息包括档案出生日期、参加工作年月、离退休日期、待遇享受开始年月、特殊工种折算月数等。办理条件：</w:t>
      </w:r>
    </w:p>
    <w:p w14:paraId="3CEE34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（1）修改档案出生年月的，需不涉及离退休年月的修改。</w:t>
      </w:r>
    </w:p>
    <w:p w14:paraId="5BDA0C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（2）修改参加工作时间的，仅针对社保系统内无参保缴费明细信息，无法按重新审批流程办理的人员。</w:t>
      </w:r>
    </w:p>
    <w:p w14:paraId="04683A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2.29老机保转企建账时间修改</w:t>
      </w:r>
    </w:p>
    <w:p w14:paraId="714604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直机关事业单位养老保险原有试点衔接至省直企业职工养老保险的“中人”（即2014年10月1日在职的人员）。修改范围限定于已退休人员或办理退休手续时因个人工作经历原因出现需修改个人建账基准日情况的人员。</w:t>
      </w:r>
    </w:p>
    <w:p w14:paraId="6D8A52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2.30人员停保时间变更</w:t>
      </w:r>
    </w:p>
    <w:p w14:paraId="64A730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已停保人员修改停保时间、停保原因。</w:t>
      </w:r>
    </w:p>
    <w:p w14:paraId="66D2E9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2.31新增（续保）人员身份及工资信息维护</w:t>
      </w:r>
    </w:p>
    <w:p w14:paraId="06F26D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维护人员身份及工资信息。</w:t>
      </w:r>
    </w:p>
    <w:p w14:paraId="78C3B7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2.32年度人员身份及工资信息零星调整</w:t>
      </w:r>
    </w:p>
    <w:p w14:paraId="0BA0A0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单位零星申报人员身份及工资信息调整，允许批量提交。</w:t>
      </w:r>
    </w:p>
    <w:p w14:paraId="34CAA2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2.33暂停缴费人员打标</w:t>
      </w:r>
    </w:p>
    <w:p w14:paraId="45F3B3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在职人员暂停参保缴费。</w:t>
      </w:r>
    </w:p>
    <w:p w14:paraId="7F9655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2.34年度缴费工资基数批量申报</w:t>
      </w:r>
    </w:p>
    <w:p w14:paraId="2BF6F7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单位批量申报参保缴费人员年度缴费基数。</w:t>
      </w:r>
    </w:p>
    <w:p w14:paraId="339988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2.35保留账户人员申领信息变更</w:t>
      </w:r>
    </w:p>
    <w:p w14:paraId="4474B9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为保留账户人员变更退休时间、待遇执行时间等定期待遇申领信息，或办理保留账户人员退休终保业务。</w:t>
      </w:r>
    </w:p>
    <w:p w14:paraId="7CF291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2.36居保特殊群体打标</w:t>
      </w:r>
    </w:p>
    <w:p w14:paraId="122795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对困难群体（低保对象、特困人员、易返贫致贫人口、重度残疾人），被征地农民，退捕渔民，服刑人员等打标。</w:t>
      </w:r>
    </w:p>
    <w:p w14:paraId="2A7F2A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2.37职业伤害待遇给付申请</w:t>
      </w:r>
    </w:p>
    <w:p w14:paraId="6A5A0E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确认为职业伤害（或职业伤害死亡）人员所在平台企业、个人或近亲属提出待遇给付申请的同时申请相关职业伤害保障待遇。</w:t>
      </w:r>
    </w:p>
    <w:p w14:paraId="43C8FF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2.38职业伤害供养亲属待遇给付申请</w:t>
      </w:r>
    </w:p>
    <w:p w14:paraId="6CA151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确认为职业伤害（或职业伤害死亡）人员所在平台企业、个人或近亲属提出待遇给付申请的同时申请相关职业伤害保障待遇。</w:t>
      </w:r>
    </w:p>
    <w:p w14:paraId="24F1AF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2.39参保人员信息合并校验</w:t>
      </w:r>
    </w:p>
    <w:p w14:paraId="785C50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对重复多号参保人员信息合并前进行关键信息校验。</w:t>
      </w:r>
    </w:p>
    <w:p w14:paraId="6E5FF2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2.40基本养老保险账户类型变更</w:t>
      </w:r>
    </w:p>
    <w:p w14:paraId="6CCCD3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对一般账户、临时账户等账户类型进行变更。</w:t>
      </w:r>
    </w:p>
    <w:p w14:paraId="22D994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2.41服刑信息维护</w:t>
      </w:r>
    </w:p>
    <w:p w14:paraId="4008EE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录入服刑类型、刑期起止时间等。</w:t>
      </w:r>
    </w:p>
    <w:p w14:paraId="5CA3AE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2.42服刑人员历史刑期补录(不清算)</w:t>
      </w:r>
    </w:p>
    <w:p w14:paraId="635497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对原退休人员刑期信息或已做清算退款等服刑人员的刑期信息进行补录，不做待遇清算。</w:t>
      </w:r>
    </w:p>
    <w:p w14:paraId="6F8C4E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2.43在职人员身份标识管理</w:t>
      </w:r>
    </w:p>
    <w:p w14:paraId="0DD09B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对在职人员进行特殊身份标识维护，如乡改人员、老机保人员、农垦农工人员等，用于后续待遇计算。</w:t>
      </w:r>
    </w:p>
    <w:p w14:paraId="4B1EE8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2.44退休人员身份标识管理</w:t>
      </w:r>
    </w:p>
    <w:p w14:paraId="42FA90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对已完成退休待遇计算的退休人员，进行特殊身份标识维护，如乡改人员、老机保人员、农垦农工人员等，用于后续待遇重算。</w:t>
      </w:r>
    </w:p>
    <w:p w14:paraId="75B303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2.45失业历史缴费明细变更</w:t>
      </w:r>
    </w:p>
    <w:p w14:paraId="158033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由于历史原因导致参保对象失业保险缴费明细缺失或错误时，可通过缴费记录维护对历史缴费明细进行新增或者修改、删除。</w:t>
      </w:r>
    </w:p>
    <w:p w14:paraId="7D59FD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2.46职业伤害供养亲属待遇调整</w:t>
      </w:r>
    </w:p>
    <w:p w14:paraId="41C2BD9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职业伤害供养亲属信息维护</w:t>
      </w:r>
    </w:p>
    <w:p w14:paraId="6C765C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2.47个人滞纳金清偿标识维护</w:t>
      </w:r>
    </w:p>
    <w:p w14:paraId="33C6D1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通过本功能，实现按比例扣减滞纳金、按档次扣减滞纳金。</w:t>
      </w:r>
    </w:p>
    <w:p w14:paraId="28676F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2.48个人利息征收标识维护</w:t>
      </w:r>
    </w:p>
    <w:p w14:paraId="7F507B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经批准，一是支持维护单位或个人征收利息标识；二是支持维护部分费款所属期是否征收利息。维护标识后，后续补缴申报业务，同步计征利息；对于已申报未缴费的，在开单环节生成利息。</w:t>
      </w:r>
    </w:p>
    <w:p w14:paraId="45BFB0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2.49退役士兵信息备案及维护</w:t>
      </w:r>
    </w:p>
    <w:p w14:paraId="537FE9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按照退役士兵服役情况，完成服役情况维护，主要用于退役士兵军龄补缴。</w:t>
      </w:r>
    </w:p>
    <w:p w14:paraId="6D6546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3、发放信息维护</w:t>
      </w:r>
    </w:p>
    <w:p w14:paraId="68A673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3.1启用社保卡发放（单位）</w:t>
      </w:r>
    </w:p>
    <w:p w14:paraId="5B3378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对单位申请的启用社保卡人员进行信息标识录入。</w:t>
      </w:r>
    </w:p>
    <w:p w14:paraId="408542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3.2启用社保卡发放（个人）</w:t>
      </w:r>
    </w:p>
    <w:p w14:paraId="6F7BEF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对申请的启用社保卡人员进行信息标识录入。</w:t>
      </w:r>
    </w:p>
    <w:p w14:paraId="156E02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3.3社保卡发放标识维护</w:t>
      </w:r>
    </w:p>
    <w:p w14:paraId="270768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对非社保卡发放的领待人员，维护为社保卡发放。</w:t>
      </w:r>
    </w:p>
    <w:p w14:paraId="348B4B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3.4离退休人员发放账号维护（单位）</w:t>
      </w:r>
    </w:p>
    <w:p w14:paraId="2A6976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单位申请批量或单独修改本单位领待人员的当前发放账号信息。</w:t>
      </w:r>
    </w:p>
    <w:p w14:paraId="513971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3.5离退休人员发放账号维护（个人）</w:t>
      </w:r>
    </w:p>
    <w:p w14:paraId="0DDD70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个人修改领待人员的当前发放账号信息。</w:t>
      </w:r>
    </w:p>
    <w:p w14:paraId="30ABC90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3.6死亡人员发放账号维护（单位）</w:t>
      </w:r>
    </w:p>
    <w:p w14:paraId="504FBB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批量或单独修改单位死亡人员的发放账号信息。</w:t>
      </w:r>
    </w:p>
    <w:p w14:paraId="7C3B010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3.7死亡人员发放账号维护（个人）</w:t>
      </w:r>
    </w:p>
    <w:p w14:paraId="242561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修改死亡人员的发放账号信息。</w:t>
      </w:r>
    </w:p>
    <w:p w14:paraId="1EA023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3.8退保人员发放账号维护</w:t>
      </w:r>
    </w:p>
    <w:p w14:paraId="352DC7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修改领取退保待遇人员的账号信息。</w:t>
      </w:r>
    </w:p>
    <w:p w14:paraId="553AC8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3.9离退休人员发放账号锁定</w:t>
      </w:r>
    </w:p>
    <w:p w14:paraId="77A01E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协助法院对领待人员完成发放账号锁定，不允许后续变更发放账号。</w:t>
      </w:r>
    </w:p>
    <w:p w14:paraId="07F01A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3.10遗属信息变更（单位）</w:t>
      </w:r>
    </w:p>
    <w:p w14:paraId="20BA01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批量维护遗属人员的身份证、姓名或发放账号信息等。</w:t>
      </w:r>
    </w:p>
    <w:p w14:paraId="76B784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3.11遗属信息变更（个人）</w:t>
      </w:r>
    </w:p>
    <w:p w14:paraId="6E90959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维护遗属人员的身份证、姓名或发放账号信息等。</w:t>
      </w:r>
    </w:p>
    <w:p w14:paraId="41FDAB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3.12供养亲属发放方式查询及变更受理</w:t>
      </w:r>
    </w:p>
    <w:p w14:paraId="53FB94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查询及变更供养亲属发放方式受理。</w:t>
      </w:r>
    </w:p>
    <w:p w14:paraId="366800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3.13供养亲属发放方式查询及变更</w:t>
      </w:r>
    </w:p>
    <w:p w14:paraId="14EA72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查询及变更遗属待遇发放方式。</w:t>
      </w:r>
    </w:p>
    <w:p w14:paraId="0C2150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3.14保留账户人员发放银行账户信息变更</w:t>
      </w:r>
    </w:p>
    <w:p w14:paraId="10E94D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为定期待遇或一次性待遇支付失败的保留账户人员，办理发放银行卡信息变更业务。调用社保卡管理系统获取社保卡信息。</w:t>
      </w:r>
    </w:p>
    <w:p w14:paraId="1463AED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4、老机保人员信息维护</w:t>
      </w:r>
    </w:p>
    <w:p w14:paraId="0630C1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4.1在职人员建账基准日变更</w:t>
      </w:r>
    </w:p>
    <w:p w14:paraId="0A559F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维护老机保转企在职人员的建立账户年月。</w:t>
      </w:r>
    </w:p>
    <w:p w14:paraId="4E8524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4.2老机保工资表信息查询及维护</w:t>
      </w:r>
    </w:p>
    <w:p w14:paraId="455110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查询及维护老机保人员的老机保工资信息，用于后续计算待遇。</w:t>
      </w:r>
    </w:p>
    <w:p w14:paraId="55C6A3F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（四）养老待遇</w:t>
      </w:r>
    </w:p>
    <w:p w14:paraId="1A094E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对养老待遇审批管理、养老待遇核定、待遇重算、养老待遇资格认证、待遇特殊补退、违规待遇处理、待遇调整，以及待遇应付等进行统一管理</w:t>
      </w:r>
    </w:p>
    <w:p w14:paraId="044592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1、待遇计算</w:t>
      </w:r>
    </w:p>
    <w:p w14:paraId="0EA6E2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1.1企业职工基本养老金计算</w:t>
      </w:r>
    </w:p>
    <w:p w14:paraId="67023C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对于已通过退休审批业务且到达享受待遇年月的在职人员，完成退休待遇计算，并转人员身份为退休。</w:t>
      </w:r>
    </w:p>
    <w:p w14:paraId="68E5A4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1.2企业职工基本养老金计算（批量）</w:t>
      </w:r>
    </w:p>
    <w:p w14:paraId="0CC973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批量对已通过退休审批业务且到达享受待遇年月的在职人员，完成待遇计算业务，并转人员身份为退休。</w:t>
      </w:r>
    </w:p>
    <w:p w14:paraId="138953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1.3病残津贴待遇计算</w:t>
      </w:r>
    </w:p>
    <w:p w14:paraId="3AE0F8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对于已通过病残津贴待遇终审，且通过公示期的在职人员，进行病残津贴待遇计算。</w:t>
      </w:r>
    </w:p>
    <w:p w14:paraId="182C6F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1.4病残津贴待遇批量计算</w:t>
      </w:r>
    </w:p>
    <w:p w14:paraId="4115BB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对于已通过病残津贴待遇终审，且通过公示期的在职人员，批量进行病残津贴待遇计算。</w:t>
      </w:r>
    </w:p>
    <w:p w14:paraId="5D6911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1.5退休待遇重算</w:t>
      </w:r>
    </w:p>
    <w:p w14:paraId="5FDD64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对于已退休人员，存在缴费变化或审批结果变化等影响退休待遇的情况，重新计算待遇，并生成补退发数据。</w:t>
      </w:r>
    </w:p>
    <w:p w14:paraId="671015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1.6病残津贴待遇重算</w:t>
      </w:r>
    </w:p>
    <w:p w14:paraId="117B65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对于正在领取病残津贴待遇的享待人员，存在缴费变化或审批结果变化等影响退休待遇的情况，重新计算待遇，并生成补退发数据。</w:t>
      </w:r>
    </w:p>
    <w:p w14:paraId="3AB6F8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1.7计发基数变更批量重算</w:t>
      </w:r>
    </w:p>
    <w:p w14:paraId="6F5362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对未按上年度在岗职工平均工资计算养老金的退休人员及病残津贴领待人员进行待遇批量重算。</w:t>
      </w:r>
    </w:p>
    <w:p w14:paraId="30A6A5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1.8退休人员退休期间服刑养老待遇清算</w:t>
      </w:r>
    </w:p>
    <w:p w14:paraId="069BFA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对于已确认存在退休期间服刑的养老待遇领待人员，进行多领待遇清算，并产生追款单。</w:t>
      </w:r>
    </w:p>
    <w:p w14:paraId="3C55DE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1.9养老待遇结算</w:t>
      </w:r>
    </w:p>
    <w:p w14:paraId="134622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对楚天视讯等改制改革后进入企保的单位进行整体待遇进行结算。</w:t>
      </w:r>
    </w:p>
    <w:p w14:paraId="3E3F03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1.10定期待遇计发</w:t>
      </w:r>
    </w:p>
    <w:p w14:paraId="053E86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为已完成待遇申领和在职转退休的人员计发待遇。</w:t>
      </w:r>
    </w:p>
    <w:p w14:paraId="2044E4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1.11定期待遇批量计发</w:t>
      </w:r>
    </w:p>
    <w:p w14:paraId="1E730B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批量为已完成待遇申领和在职转退休的人员计发待遇。</w:t>
      </w:r>
    </w:p>
    <w:p w14:paraId="5B2932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1.12定期待遇零星重算</w:t>
      </w:r>
    </w:p>
    <w:p w14:paraId="4A1D51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对申领信息变更的人员，先推流至申领变更信息审核，审核后推流至零星重算；对缴费等信息发生变化的退休人员自动推流至定期待遇零星重算，调待重算。</w:t>
      </w:r>
    </w:p>
    <w:p w14:paraId="5EAF83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1.13定期待遇批量重算</w:t>
      </w:r>
    </w:p>
    <w:p w14:paraId="752141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对对应年度的退休人员进行定期待遇的批量重算，调待重算。</w:t>
      </w:r>
    </w:p>
    <w:p w14:paraId="7CEC61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1.14测算样本范围确认</w:t>
      </w:r>
    </w:p>
    <w:p w14:paraId="68902A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设置筛选规则，选择参与指数测算的人员样本。</w:t>
      </w:r>
    </w:p>
    <w:p w14:paraId="05D556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1.15测算修正指数</w:t>
      </w:r>
    </w:p>
    <w:p w14:paraId="33D891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根据输入的参数，设置运算，输出每个职务层级的修正后指数。</w:t>
      </w:r>
    </w:p>
    <w:p w14:paraId="4BA531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1.16指数验算</w:t>
      </w:r>
    </w:p>
    <w:p w14:paraId="470A25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指数验算，对修正后的指数进行人工微调，调整后再次验算。</w:t>
      </w:r>
    </w:p>
    <w:p w14:paraId="0A6FA1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1.17指数验证对比分析</w:t>
      </w:r>
    </w:p>
    <w:p w14:paraId="66DA8D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测算的修正指数，代入测算当年度退休人员进行待遇重算，并输出结果对比表。</w:t>
      </w:r>
    </w:p>
    <w:p w14:paraId="794E1A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1.18职业年金待遇暂不计发人员管理</w:t>
      </w:r>
    </w:p>
    <w:p w14:paraId="7182F2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机关事业单位退休人员，为暂不计发职业年金待遇的人员办理计发暂停，为已暂停计发人员办理计发恢复。</w:t>
      </w:r>
    </w:p>
    <w:p w14:paraId="5C0C3B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1.19职业年金定期待遇计发</w:t>
      </w:r>
    </w:p>
    <w:p w14:paraId="546283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已计发基本养老保险定期待遇的机关事业单位退休人员、职业年金保留账户人员、农发行二类人员，计发职业年金定期待遇。校验计发条件，对不符合条件（实施准备期未清缴、虚账做实未到账）的人员不予计发职业年金待遇。</w:t>
      </w:r>
    </w:p>
    <w:p w14:paraId="57EA13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1.20职业年金一次性待遇计发</w:t>
      </w:r>
    </w:p>
    <w:p w14:paraId="5EEDBA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已计发基本养老保险一次性待遇的机关事业单位退休人员，已办理死亡终保或出国（境）定居的职业年金保留账户人员、农发行二类人员，计发职业年金一次性待遇。校验计发条件，对不符合条件（实施准备期未清缴、虚账做实未到账、利息未记实、缴费未归集、退费未赎回）的人员不予计发职业年金待遇。</w:t>
      </w:r>
    </w:p>
    <w:p w14:paraId="0AE008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1.21职业年金定期待遇重算</w:t>
      </w:r>
    </w:p>
    <w:p w14:paraId="5844DD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对因缴费基数调整、退休年龄调整等原因导致职业年金个人账户存储额变动的，重算职业年金定期待遇。</w:t>
      </w:r>
    </w:p>
    <w:p w14:paraId="40B6B9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1.22城居保待遇核定</w:t>
      </w:r>
    </w:p>
    <w:p w14:paraId="440C73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县社保机构应及时受理参保人员待遇领取申请，对符合待遇领取条件的，县社保机构应自收到待遇领取申请之日起5个工作日内核定城乡居民养老保险待遇，生成《湖北省城乡居民基本养老保险待遇核定表》，通过原申请渠道告知参保人员待遇计发标准。对不符合待遇领取条件的，应自收到待遇领取申请之日起5个工作日内通过原申请渠道告知原因。</w:t>
      </w:r>
    </w:p>
    <w:p w14:paraId="6D5566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1.23定期待遇测算（公共服务）</w:t>
      </w:r>
    </w:p>
    <w:p w14:paraId="79298D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参保人员根据预估参数进行养老金测算。</w:t>
      </w:r>
    </w:p>
    <w:p w14:paraId="3417106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2、离退休人员管理</w:t>
      </w:r>
    </w:p>
    <w:p w14:paraId="35E310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2.1原离退休人员新增</w:t>
      </w:r>
    </w:p>
    <w:p w14:paraId="3FFE3D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对于成建制转入单位离退休人员待遇进行录入确认。</w:t>
      </w:r>
    </w:p>
    <w:p w14:paraId="3F875C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2.2原办法待遇录入</w:t>
      </w:r>
    </w:p>
    <w:p w14:paraId="710BBC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原乡改等特殊群体退休人员，进入新系统后进行待遇录入迁移。</w:t>
      </w:r>
    </w:p>
    <w:p w14:paraId="5CD789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2.3基本离休费录入</w:t>
      </w:r>
    </w:p>
    <w:p w14:paraId="0DB009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对科研转制单位等新纳入单位离休人员的基本离休费录入。</w:t>
      </w:r>
    </w:p>
    <w:p w14:paraId="36D768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2.4退休人员企保转机保</w:t>
      </w:r>
    </w:p>
    <w:p w14:paraId="3AFD75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对于已转入机关事业养老保险领取待遇的养老待遇领待人员，终止其养老待遇，并统一完成待遇结算。</w:t>
      </w:r>
    </w:p>
    <w:p w14:paraId="22EC6D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2.5离退休人员内转</w:t>
      </w:r>
    </w:p>
    <w:p w14:paraId="425CC2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将离退休人员从一个单位转移至同统筹区下的另一单位。</w:t>
      </w:r>
    </w:p>
    <w:p w14:paraId="55F301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2.6离退休人员跨核算区成建制转出</w:t>
      </w:r>
    </w:p>
    <w:p w14:paraId="1631ED9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单位划转后，将该单位下所有正在享受待遇的离退休人员，统一终止本区待遇，并申请转出待遇。</w:t>
      </w:r>
    </w:p>
    <w:p w14:paraId="502E63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2.7离退休人员跨核算区成建制转入</w:t>
      </w:r>
    </w:p>
    <w:p w14:paraId="4DAE6C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接收单位划转转出信息后，将该单位下所有正在享受待遇的离退休人员，统一划转至本区单位，并恢复待遇。</w:t>
      </w:r>
    </w:p>
    <w:p w14:paraId="160568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2.8养老保险问题数据订正</w:t>
      </w:r>
    </w:p>
    <w:p w14:paraId="1AAF37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对于错误导入的养老保险问题数据，进行数据订正，并推送养老保险待遇续发。</w:t>
      </w:r>
    </w:p>
    <w:p w14:paraId="47896C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2.9服刑人员刑期终止时间修改及待遇恢复</w:t>
      </w:r>
    </w:p>
    <w:p w14:paraId="7F0DFE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服刑人员因减刑等问题进行服刑时间修改并进行待遇恢复。</w:t>
      </w:r>
    </w:p>
    <w:p w14:paraId="55573E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2.10养老领待人员转在职</w:t>
      </w:r>
    </w:p>
    <w:p w14:paraId="3EF41E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将已经领取退休待遇或已领取病残津贴待遇的人员的待遇暂停，并计算出需要追回的养老待遇金额，产生追款单。</w:t>
      </w:r>
    </w:p>
    <w:p w14:paraId="713CFA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2.11养老领待人员转在职确认</w:t>
      </w:r>
    </w:p>
    <w:p w14:paraId="0BC8EF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对于已完成养老领待人员转在职业务产生追款单且已还款的人员，通过该功能将人员转为在职。</w:t>
      </w:r>
    </w:p>
    <w:p w14:paraId="71790C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2.12死亡回退</w:t>
      </w:r>
    </w:p>
    <w:p w14:paraId="42B527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对办理一次性待遇申领业务错误的人员进行处理，待追回丧抚费和个人账户后，将人员状态重新置为离退休或在职；需要进行死亡人员的缴费记录转入的，将人员置“死亡人员回退”标识，待重算时将标识取消。</w:t>
      </w:r>
    </w:p>
    <w:p w14:paraId="4A2B1B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2.13死亡回退确认</w:t>
      </w:r>
    </w:p>
    <w:p w14:paraId="1BD38A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对死亡回退业务产生的待追回金额，财务确认到账后，业务进行再次确认，修改其人员状态。</w:t>
      </w:r>
    </w:p>
    <w:p w14:paraId="7BCD88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2.14退保回退</w:t>
      </w:r>
    </w:p>
    <w:p w14:paraId="1804E5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对办理一次性待遇申领业务错误的退保人员进行处理，待追回个人账户后，将人员状态重新置为在职。</w:t>
      </w:r>
    </w:p>
    <w:p w14:paraId="6C3C7E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2.15退保回退确认</w:t>
      </w:r>
    </w:p>
    <w:p w14:paraId="10FFDE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对退保回退业务产生的待追回金额，财务确认到账后，业务进行再次确认，修改其人员状态。</w:t>
      </w:r>
    </w:p>
    <w:p w14:paraId="7F7871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2.16养老待遇终止回退</w:t>
      </w:r>
    </w:p>
    <w:p w14:paraId="6A229B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对错误进行养老待遇终止的业务，进行终止回退，恢复人员待遇。</w:t>
      </w:r>
    </w:p>
    <w:p w14:paraId="7A963B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2.17原退休人员信息变更（不重算）</w:t>
      </w:r>
    </w:p>
    <w:p w14:paraId="5C7A94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部分人员因信访等问题出现更改包括参工时间等原退休信息，但不重算待遇。</w:t>
      </w:r>
    </w:p>
    <w:p w14:paraId="726B80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2.18养老待遇计算（中人结算）</w:t>
      </w:r>
    </w:p>
    <w:p w14:paraId="38EABC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如农业发展银行等改制批量转入的单位，对通过养老待遇计算(中人结算)产生的对单位的补发数据，通过该功能完成对单位的发放。</w:t>
      </w:r>
    </w:p>
    <w:p w14:paraId="450BFA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2.19特殊人员生活保障推送名单保存</w:t>
      </w:r>
    </w:p>
    <w:p w14:paraId="1EE561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为防范舆情风险、经领导审批同意需保障人员基本生活的退休人员，在系统内进行名单批量录入备案。</w:t>
      </w:r>
    </w:p>
    <w:p w14:paraId="7A4D8B2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3、待遇补扣</w:t>
      </w:r>
    </w:p>
    <w:p w14:paraId="40DC65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3.1养老待遇特殊补退发</w:t>
      </w:r>
    </w:p>
    <w:p w14:paraId="0AD001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由于特殊原因，需要对退休人员或病残津贴领待人员完成特殊补发或退发业务。</w:t>
      </w:r>
    </w:p>
    <w:p w14:paraId="133A06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3.2追款单据合并</w:t>
      </w:r>
    </w:p>
    <w:p w14:paraId="7359F6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合并同一单位下，多个退休人员的追款单数据，进行统一追款。</w:t>
      </w:r>
    </w:p>
    <w:p w14:paraId="1B8049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3.3重复领取待遇清算</w:t>
      </w:r>
    </w:p>
    <w:p w14:paraId="523A87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对于已确认存在重复领取情况的养老待遇领待人员，由清退地发起多领待遇清算，并产生追款单。</w:t>
      </w:r>
    </w:p>
    <w:p w14:paraId="61812A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3.4重复领取待遇本地清算时间段录入</w:t>
      </w:r>
    </w:p>
    <w:p w14:paraId="7F319A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对重复领取待遇人员，作为清算地，对其抵扣时间段信息进行录入。</w:t>
      </w:r>
    </w:p>
    <w:p w14:paraId="266B99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3.5多享待遇追回数据维护</w:t>
      </w:r>
    </w:p>
    <w:p w14:paraId="40F145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对于数据无法支持系统完成自动清算业务的，通过多领追回功能，手工录入追款单。</w:t>
      </w:r>
    </w:p>
    <w:p w14:paraId="6295F8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3.6待遇追回还款方式修改</w:t>
      </w:r>
    </w:p>
    <w:p w14:paraId="30B541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对于各类情况产生的追款单据，领待人无法一次性结算的，可选择进行分期抵扣或分期还款。</w:t>
      </w:r>
    </w:p>
    <w:p w14:paraId="72CCC0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3.7在职服刑人员养老保险待遇清算</w:t>
      </w:r>
    </w:p>
    <w:p w14:paraId="02AEB5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在职人员服刑后退休多领退费待遇清算。</w:t>
      </w:r>
    </w:p>
    <w:p w14:paraId="7F9C84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3.8省内协助异地抵扣信息录入（清退地）</w:t>
      </w:r>
    </w:p>
    <w:p w14:paraId="5876BE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对于省内重复领取待遇等违规领取待遇人员，作为清退地，进行抵扣信息、还款方式等内容录入。</w:t>
      </w:r>
    </w:p>
    <w:p w14:paraId="3B5303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3.9省内协助异地抵扣信息确认（保留地）</w:t>
      </w:r>
    </w:p>
    <w:p w14:paraId="5C35C5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对于省内重复领取待遇等违规领取待遇人员，作为保留地，进行抵扣信息确认。</w:t>
      </w:r>
    </w:p>
    <w:p w14:paraId="658095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3.10省内协助异地抵扣欠款情况告知</w:t>
      </w:r>
    </w:p>
    <w:p w14:paraId="17C7A3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对于重复领取待遇等违规领取待遇人员，协助异地抵扣欠款情况，出具相关情况告知书。</w:t>
      </w:r>
    </w:p>
    <w:p w14:paraId="230681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3.11零星补扣</w:t>
      </w:r>
    </w:p>
    <w:p w14:paraId="2F57D0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对退休人员进行一次性计算待遇补扣金额。</w:t>
      </w:r>
    </w:p>
    <w:p w14:paraId="68CFC02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4、待遇调整</w:t>
      </w:r>
    </w:p>
    <w:p w14:paraId="6BE40B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4.1养老待遇零星调整</w:t>
      </w:r>
    </w:p>
    <w:p w14:paraId="0FED40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因特殊情况，对领待人员按待遇类别进行手工待遇调整业务。</w:t>
      </w:r>
    </w:p>
    <w:p w14:paraId="568C6D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4.2养老待遇年度待遇调整（批量）</w:t>
      </w:r>
    </w:p>
    <w:p w14:paraId="2D7FC3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针对全体退休人员、病残津贴领待人员进行普调，军转干调整最低生活困难补助，离休调整住房补贴，其他政策性调整。</w:t>
      </w:r>
    </w:p>
    <w:p w14:paraId="50161F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4.3基本养老金待遇调整重算</w:t>
      </w:r>
    </w:p>
    <w:p w14:paraId="5988DD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根据录入的调整年度进行待遇调整，重算其相应年度的调资金额并产生补退发待遇。</w:t>
      </w:r>
    </w:p>
    <w:p w14:paraId="534A97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4.4养老待遇年度待遇补调（批量）</w:t>
      </w:r>
    </w:p>
    <w:p w14:paraId="797895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部分人员因各类原因没有参与年度待遇调整，可以批量进行单独年度的待遇调补发。</w:t>
      </w:r>
    </w:p>
    <w:p w14:paraId="295874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4.5定期待遇零星调整</w:t>
      </w:r>
    </w:p>
    <w:p w14:paraId="45BE57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对定期待遇零星调整，自动计算、自动补扣重算前后历年挂钩差额。</w:t>
      </w:r>
    </w:p>
    <w:p w14:paraId="7E6CB8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4.6年度批量调待</w:t>
      </w:r>
    </w:p>
    <w:p w14:paraId="283F3F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当年调待政策下发后，办理年度批量调待，可回退。</w:t>
      </w:r>
    </w:p>
    <w:p w14:paraId="6EFA6C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4.7个人历年批量调待</w:t>
      </w:r>
    </w:p>
    <w:p w14:paraId="09E203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对未办理调待的单位或个人进行历年批量调资处理。</w:t>
      </w:r>
    </w:p>
    <w:p w14:paraId="20D4510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5、待遇发放</w:t>
      </w:r>
    </w:p>
    <w:p w14:paraId="7069F9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5.1养老待遇应付汇总</w:t>
      </w:r>
    </w:p>
    <w:p w14:paraId="6C3D04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按月发放退休人员定期待遇、退休人员死亡待遇、病残津贴定期待遇、病残津贴死亡待遇及遗属待遇数据。</w:t>
      </w:r>
    </w:p>
    <w:p w14:paraId="1D2252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5.2养老待遇零星应付汇总</w:t>
      </w:r>
    </w:p>
    <w:p w14:paraId="6D7E8D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按月支付退保人员待遇、在职死亡人员待遇。支付前可同步社保卡发放信息，每月支持多次支付。</w:t>
      </w:r>
    </w:p>
    <w:p w14:paraId="620110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5.3养老待遇二次支付</w:t>
      </w:r>
    </w:p>
    <w:p w14:paraId="5AEDA1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对于本月因特殊情况如银行卡问题等发放失败的人员，可通过二次支付完成重发。</w:t>
      </w:r>
    </w:p>
    <w:p w14:paraId="0E4F34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5.4养老待遇当期未发放再次应付</w:t>
      </w:r>
    </w:p>
    <w:p w14:paraId="53A944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对当期未发放的养老待遇进行再次应付。</w:t>
      </w:r>
    </w:p>
    <w:p w14:paraId="62CF60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5.5应付前多领待遇人员查询比对</w:t>
      </w:r>
    </w:p>
    <w:p w14:paraId="7A856E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待遇应付发放前对多领待遇人员进行查询比对。</w:t>
      </w:r>
    </w:p>
    <w:p w14:paraId="4BA639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5.6特殊人员生活保障发放</w:t>
      </w:r>
    </w:p>
    <w:p w14:paraId="4B380C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对特殊人员的待遇按照规定进行发放。</w:t>
      </w:r>
    </w:p>
    <w:p w14:paraId="278F84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5.7应付数据预查询</w:t>
      </w:r>
    </w:p>
    <w:p w14:paraId="79D78D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预生成当期应付计划（含代发待遇），推送至财务，支持历史查询。</w:t>
      </w:r>
    </w:p>
    <w:p w14:paraId="0A7447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5.8银行信息匹配更新</w:t>
      </w:r>
    </w:p>
    <w:p w14:paraId="15CF24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批量的调用银行信息接口进行数据匹配，更新账号为空的数据。</w:t>
      </w:r>
    </w:p>
    <w:p w14:paraId="288835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5.9应付计划业务校验</w:t>
      </w:r>
    </w:p>
    <w:p w14:paraId="495DA9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锁定当期业务，按照校验规则核验、预警提示。</w:t>
      </w:r>
    </w:p>
    <w:p w14:paraId="4D0198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5.10应付计划生成</w:t>
      </w:r>
    </w:p>
    <w:p w14:paraId="5A77FC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生成当期待遇应付计划，复核完成后自动推送财务。</w:t>
      </w:r>
    </w:p>
    <w:p w14:paraId="71DA0A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5.11二次发放银行信息维护</w:t>
      </w:r>
    </w:p>
    <w:p w14:paraId="69303D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更改发放未成功人员关键信息（身份证、姓名、发放银行）。</w:t>
      </w:r>
    </w:p>
    <w:p w14:paraId="7A5FC8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5.12二次发放</w:t>
      </w:r>
    </w:p>
    <w:p w14:paraId="27B3EA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对发放未成功人员进行二次发放。</w:t>
      </w:r>
    </w:p>
    <w:p w14:paraId="58F4F8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5.13待遇业务月结</w:t>
      </w:r>
    </w:p>
    <w:p w14:paraId="5274AA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本月待遇业务已全部办结，进入下一个业务周期。</w:t>
      </w:r>
    </w:p>
    <w:p w14:paraId="55C575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5.14退休人员待遇结算账核销</w:t>
      </w:r>
    </w:p>
    <w:p w14:paraId="53D783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核销退休人员已生成的待遇结算金额。</w:t>
      </w:r>
    </w:p>
    <w:p w14:paraId="4EEA3C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5.15结算生成</w:t>
      </w:r>
    </w:p>
    <w:p w14:paraId="6BA538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汇总当期业务产生的结算金额。</w:t>
      </w:r>
    </w:p>
    <w:p w14:paraId="01E48E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5.16直发确认</w:t>
      </w:r>
    </w:p>
    <w:p w14:paraId="3012D1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对当期可直接发放的金额进行直发确认。</w:t>
      </w:r>
    </w:p>
    <w:p w14:paraId="38D96B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5.17直发计划生成</w:t>
      </w:r>
    </w:p>
    <w:p w14:paraId="255A5F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生成直发计划。</w:t>
      </w:r>
    </w:p>
    <w:p w14:paraId="73E807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5.18老机保发放计划生成</w:t>
      </w:r>
    </w:p>
    <w:p w14:paraId="21FA1E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生成老机保发放计划。</w:t>
      </w:r>
    </w:p>
    <w:p w14:paraId="43CCB4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5.19年度调待发放计划生成</w:t>
      </w:r>
    </w:p>
    <w:p w14:paraId="3EAD0C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当年调待政策下发办理年度批量调待后单独生成发放计划。</w:t>
      </w:r>
    </w:p>
    <w:p w14:paraId="05155D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5.20领取待遇人员银行账号锁定</w:t>
      </w:r>
    </w:p>
    <w:p w14:paraId="48EBD8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锁定待遇领取人员社保卡银行账号，不再通过银行信息匹配更新。</w:t>
      </w:r>
    </w:p>
    <w:p w14:paraId="107DBD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5.21资格认证发放计划生成</w:t>
      </w:r>
    </w:p>
    <w:p w14:paraId="597438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资格认证通过后定期待遇恢复人员生成发放计划。</w:t>
      </w:r>
    </w:p>
    <w:p w14:paraId="147CE0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5.22本级职业年金待遇当月二次发放处理</w:t>
      </w:r>
    </w:p>
    <w:p w14:paraId="518072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为本统筹区职业年金待遇发放失败人员当月办理二次发放业务。</w:t>
      </w:r>
    </w:p>
    <w:p w14:paraId="1F851F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5.23本级职业年金待遇发放账户信息匹配更新</w:t>
      </w:r>
    </w:p>
    <w:p w14:paraId="2C5EF3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职业年金待遇支付明细生成前，比对同一参保人员职业年金待遇与基本险待遇发放账户信息，对不一致的人员按基本险发放账户信息匹配更新职业年金发放账户信息。</w:t>
      </w:r>
    </w:p>
    <w:p w14:paraId="38C705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5.24城居保待遇支付资金申请</w:t>
      </w:r>
    </w:p>
    <w:p w14:paraId="08422A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县社保机构应于每月初根据城乡居民养老保险待遇支付情况，按月通过信息管理系统生成《湖北省城乡居民基本养老保险待遇支付资金申请表》，送县财政部门申请资金。</w:t>
      </w:r>
    </w:p>
    <w:p w14:paraId="6CE773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5.25城居保待遇支付</w:t>
      </w:r>
    </w:p>
    <w:p w14:paraId="39F8A4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县社保机构每月应核对待遇支付情况，通过信息系统生成《湖北省城乡居民基本养老保险待遇支付明细表》，以下简称《待遇支付明细表》和《湖北省城乡居民基本养老保险基金支付汇总表》，将《待遇支付明细表》通过社银联网系统传递给城乡居民养老保险待遇社会化发放协议服务金融机构。</w:t>
      </w:r>
    </w:p>
    <w:p w14:paraId="7E4FD6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5.26城居保待遇发放</w:t>
      </w:r>
    </w:p>
    <w:p w14:paraId="6EC8C2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金融机构在规定时限内将支付待遇全额划入待遇领取人员社会保障卡银行账户，并通过社银联网系统实时将待遇支付结果及未成功原因反馈至县社保机构</w:t>
      </w:r>
    </w:p>
    <w:p w14:paraId="0B29867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6、待遇申领</w:t>
      </w:r>
    </w:p>
    <w:p w14:paraId="1FE5A1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6.1企保新增退休人员资格申报</w:t>
      </w:r>
    </w:p>
    <w:p w14:paraId="1CC07F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即将到达法定退休年龄的在职人员，进行退休资格申报业务。包括人员基本信息、工作经历信息、离退休信息等。</w:t>
      </w:r>
    </w:p>
    <w:p w14:paraId="6E0577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6.2企保新增退休人员批量资格申报</w:t>
      </w:r>
    </w:p>
    <w:p w14:paraId="630EB4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单位经办人对即将到达法定退休年龄的在职人员，进行批量退休资格申报业务。包括人员基本信息、工作经历信息、离退休信息等。</w:t>
      </w:r>
    </w:p>
    <w:p w14:paraId="01CE1F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6.3企保退休初审</w:t>
      </w:r>
    </w:p>
    <w:p w14:paraId="112BAB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对即将到达法定退休年龄的在职人员，进行资格审批业务，确认人员离退休日期、视同缴费信息等。审核结果有通过或不通过，不通过需要给出理由或补缴费。建账前补缴到账后，自动确认视同缴费年限。</w:t>
      </w:r>
    </w:p>
    <w:p w14:paraId="3AB25E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6.4企保退休复审</w:t>
      </w:r>
    </w:p>
    <w:p w14:paraId="496D86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复审人员对已完成退休待遇审批的业务信息，进行进一步复审，确认审批结果。审核结果有通过或不通过，不通过需要给出理由或补缴费。建账前补缴到账后，自动确认视同缴费年限。</w:t>
      </w:r>
    </w:p>
    <w:p w14:paraId="672DA3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6.5企保退休集体决策</w:t>
      </w:r>
    </w:p>
    <w:p w14:paraId="4B279E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对于退休人员待遇初审及复审结果不一致的业务，通过集体决策的形式，最终确认审批结果。审核结果有通过或不通过，不通过需要给出理由或补缴费。</w:t>
      </w:r>
    </w:p>
    <w:p w14:paraId="20E20B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6.6企保退休审批进度查询</w:t>
      </w:r>
    </w:p>
    <w:p w14:paraId="53AF3D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查询企保退休人员退休审批进度。</w:t>
      </w:r>
    </w:p>
    <w:p w14:paraId="16B792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6.7弹性退休年月修改</w:t>
      </w:r>
    </w:p>
    <w:p w14:paraId="09252B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对于已完成退休审批，未完成待遇计算的在职人员，通过功能重新确认弹性离退休日期。</w:t>
      </w:r>
    </w:p>
    <w:p w14:paraId="242517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6.8新增病残津贴领待人员资格申报</w:t>
      </w:r>
    </w:p>
    <w:p w14:paraId="162E83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受理经劳动能力鉴定部门鉴定为完全丧失劳动能力的企业职工养老保险企业职工养老保险参保人员，领取病残待遇资格申报业务。</w:t>
      </w:r>
    </w:p>
    <w:p w14:paraId="0405DB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6.9病残津贴待遇审批</w:t>
      </w:r>
    </w:p>
    <w:p w14:paraId="365CCD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省本级、市州（区）经办人员对符合病残津贴领取条件的在职人员，进行资格审批业务，确认人员领取资格、待遇领取日期及视同缴费年限等信息。审核结果有通过或不通过，不通过需要给出理由或补缴费。</w:t>
      </w:r>
    </w:p>
    <w:p w14:paraId="31B885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6.10病残津贴领取资格终审</w:t>
      </w:r>
    </w:p>
    <w:p w14:paraId="333577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政策部门、省本级、武汉市经办人员对初审通过的病残津贴审批业务，对填报信息、资料信息进行最终核验，确认终审结果。审核结果有通过或不通过，不通过需要给出理由或补缴费。</w:t>
      </w:r>
    </w:p>
    <w:p w14:paraId="3BC756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6.11病残津贴审批进度查询</w:t>
      </w:r>
    </w:p>
    <w:p w14:paraId="25D19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查询病残津贴审批进度。</w:t>
      </w:r>
    </w:p>
    <w:p w14:paraId="209A3C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6.12病残津贴弹性提前退休时间修改</w:t>
      </w:r>
    </w:p>
    <w:p w14:paraId="09ED07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对于已完成病残津贴终审，在退休待遇计发前的在职人员，通过功能重新确认弹性提前退休时间。</w:t>
      </w:r>
    </w:p>
    <w:p w14:paraId="4C712A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6.13病残人员到龄转退休</w:t>
      </w:r>
    </w:p>
    <w:p w14:paraId="1FFA34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领取病残津贴人员，达到退休时间之后，自动转为退休状态。</w:t>
      </w:r>
    </w:p>
    <w:p w14:paraId="468C03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6.14待遇领取地认定受理</w:t>
      </w:r>
    </w:p>
    <w:p w14:paraId="6CDC14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经办人员受理参保人员待遇领取地认定业务。</w:t>
      </w:r>
    </w:p>
    <w:p w14:paraId="3B31B1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6.15待遇领取地认定初审</w:t>
      </w:r>
    </w:p>
    <w:p w14:paraId="2E2904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经办人员根据人员档案户籍信息、缴费信息，确认人员待遇领取地。</w:t>
      </w:r>
    </w:p>
    <w:p w14:paraId="28A394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6.16遇领取地认定复审</w:t>
      </w:r>
    </w:p>
    <w:p w14:paraId="3F4539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经办人员根据人员档案户籍信息、缴费信息，确认人员待遇领取地。</w:t>
      </w:r>
    </w:p>
    <w:p w14:paraId="4FBAAA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6.17待遇领取地认定集体决策</w:t>
      </w:r>
    </w:p>
    <w:p w14:paraId="501B18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对于养老保险待遇领取地认定审批及复审结果不一致的业务，通过集体决策的形式，最终确认待遇领取地。</w:t>
      </w:r>
    </w:p>
    <w:p w14:paraId="406718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6.18待遇领取地认定进度查询</w:t>
      </w:r>
    </w:p>
    <w:p w14:paraId="5C1C8C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查询养老保险待遇领取地认定进度。</w:t>
      </w:r>
    </w:p>
    <w:p w14:paraId="309B07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6.19离职未参保受理</w:t>
      </w:r>
    </w:p>
    <w:p w14:paraId="62FB70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受理已离职但未在我省参保人员的视同缴费年限认定。</w:t>
      </w:r>
    </w:p>
    <w:p w14:paraId="5A35A8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6.20离职未参保审核初审</w:t>
      </w:r>
    </w:p>
    <w:p w14:paraId="4D590E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根据人事档案认定离职未参保人员视同缴费年限时段或者缴费形成视同缴费年限时段。</w:t>
      </w:r>
    </w:p>
    <w:p w14:paraId="7044DE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6.21离职未参保审核复审</w:t>
      </w:r>
    </w:p>
    <w:p w14:paraId="32225D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根据人事档案认定离职未参保人员视同缴费年限时段或者缴费形成视同缴费年限时段。</w:t>
      </w:r>
    </w:p>
    <w:p w14:paraId="7EAA5E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6.22离职未参保审核集体决策</w:t>
      </w:r>
    </w:p>
    <w:p w14:paraId="31E974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对于初审、复审结果不一的，通过集体决策的形式，认定离职未参保人员视同缴费年限时段或者缴费形成视同缴费年限时段。</w:t>
      </w:r>
    </w:p>
    <w:p w14:paraId="3F15DD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6.23离职未参保审核进度查询</w:t>
      </w:r>
    </w:p>
    <w:p w14:paraId="0E4489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查询离职未参保审核进度。</w:t>
      </w:r>
    </w:p>
    <w:p w14:paraId="3601BB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6.24在职死亡视同缴费年限认定受理</w:t>
      </w:r>
    </w:p>
    <w:p w14:paraId="1F4A86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受理在职死亡人员视同缴费年限认定。</w:t>
      </w:r>
    </w:p>
    <w:p w14:paraId="75F8F6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6.25在职死亡视同缴费年限认定初审</w:t>
      </w:r>
    </w:p>
    <w:p w14:paraId="249B2A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根据人事档案认定在职死亡人员视同缴费年限时段或者缴费形成视同缴费年限时段。</w:t>
      </w:r>
    </w:p>
    <w:p w14:paraId="7F3EB6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6.26在职死亡视同缴费年限认定复审</w:t>
      </w:r>
    </w:p>
    <w:p w14:paraId="3080ED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根据人事档案认定在职死亡人员视同缴费年限时段或者缴费形成视同缴费年限时段。</w:t>
      </w:r>
    </w:p>
    <w:p w14:paraId="3BDDD1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6.27在职死亡视同缴费年限认定集体决策</w:t>
      </w:r>
    </w:p>
    <w:p w14:paraId="1CD72C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对于初审、复审结果不一的，通过集体决策的形式，认定在职死亡人员视同缴费年限时段或者缴费形成视同缴费年限时段。</w:t>
      </w:r>
    </w:p>
    <w:p w14:paraId="311F0B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6.28在职死亡视同缴费年限认定进度查询</w:t>
      </w:r>
    </w:p>
    <w:p w14:paraId="30E24E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查询在职死亡视同缴费年限认定进度。</w:t>
      </w:r>
    </w:p>
    <w:p w14:paraId="0410E5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6.29退休重新审批受理</w:t>
      </w:r>
    </w:p>
    <w:p w14:paraId="73B69F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受理已领取养老保险待遇人员重新认定视同缴费年限等影响待遇信息的事项。</w:t>
      </w:r>
    </w:p>
    <w:p w14:paraId="0A922D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6.30退休重新审批初审</w:t>
      </w:r>
    </w:p>
    <w:p w14:paraId="2437B9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根据补充人事档案重新认定已领取养老保险待遇人员视同缴费年限或者缴费形成视同缴费年限等信息。</w:t>
      </w:r>
    </w:p>
    <w:p w14:paraId="7A1241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6.31退休重新审批进度查询</w:t>
      </w:r>
    </w:p>
    <w:p w14:paraId="1E1F00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退休重新审批进度。</w:t>
      </w:r>
    </w:p>
    <w:p w14:paraId="2F26F5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6.32机事保退休待遇申领预约</w:t>
      </w:r>
    </w:p>
    <w:p w14:paraId="6F1612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经办机构根据经办力量，分时段合理设置退休审批数量，机关事业单位经办人员按时段预约待遇申领名额。</w:t>
      </w:r>
    </w:p>
    <w:p w14:paraId="3E23CE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6.33机事保新增退休待遇申领人员资格申报</w:t>
      </w:r>
    </w:p>
    <w:p w14:paraId="05FEF7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受理即将到达法定退休年龄的机关事业单位在职人员退休资格申报业务。包括人员基本信息、工作经历信息、离退休信息等。</w:t>
      </w:r>
    </w:p>
    <w:p w14:paraId="12A437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6.34机事保新增退休待遇申领人员批量资格申报</w:t>
      </w:r>
    </w:p>
    <w:p w14:paraId="1C85B6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单位经办人对即将到达法定退休年龄的在职人员，进行批量退休资格申报业务。包括人员基本信息、工作经历信息、离退休信息等。</w:t>
      </w:r>
    </w:p>
    <w:p w14:paraId="37CCC5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6.35机事保退休待遇申领初审</w:t>
      </w:r>
    </w:p>
    <w:p w14:paraId="1DACD6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对即将到达法定退休年龄的在职人员，进行资格审批业务，确认人员离退休日期、视同缴费信息等。审核结果有通过或不通过，不通过需要给出理由或补缴费。</w:t>
      </w:r>
    </w:p>
    <w:p w14:paraId="718A08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6.36机事保退休待遇申领复审</w:t>
      </w:r>
    </w:p>
    <w:p w14:paraId="71F36A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复审人员对已完成退休待遇审批的业务信息，进行进一步复审，确认审批结果。审核结果有通过或不通过，不通过需要给出理由或补缴费。</w:t>
      </w:r>
    </w:p>
    <w:p w14:paraId="2130EC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6.37机事保退休待遇申领集体决策</w:t>
      </w:r>
    </w:p>
    <w:p w14:paraId="597011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对于退休人员待遇审批及复审结果不一致的业务，通过集体决策的形式，最终确认审批结果。审核结果有通过或不通过，不通过需要给出理由或补缴费。</w:t>
      </w:r>
    </w:p>
    <w:p w14:paraId="004122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6.38机事保退休待遇申领进度查询</w:t>
      </w:r>
    </w:p>
    <w:p w14:paraId="488FAD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查询机事保退休人员退休审批进度。</w:t>
      </w:r>
    </w:p>
    <w:p w14:paraId="48680E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6.39定期待遇申领</w:t>
      </w:r>
    </w:p>
    <w:p w14:paraId="3FA84D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单位为符合退休条件的人员提交相关信息，申领定期待遇。</w:t>
      </w:r>
    </w:p>
    <w:p w14:paraId="55A9BD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6.40审核状态查询及打印申领表</w:t>
      </w:r>
    </w:p>
    <w:p w14:paraId="4C4731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查询申领审核状态、打印申领表。</w:t>
      </w:r>
    </w:p>
    <w:p w14:paraId="4D784E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6.41待遇申领查询统计表</w:t>
      </w:r>
    </w:p>
    <w:p w14:paraId="3318ED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已审核申领业务查询统计。</w:t>
      </w:r>
    </w:p>
    <w:p w14:paraId="3EC010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6.42已退休人员待遇申领信息变更</w:t>
      </w:r>
    </w:p>
    <w:p w14:paraId="35B1D3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已办理待遇申领人员变更申领信息，推流至专班审核。</w:t>
      </w:r>
    </w:p>
    <w:p w14:paraId="7F29E7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6.43改革前退休人员信息修改</w:t>
      </w:r>
    </w:p>
    <w:p w14:paraId="2AC968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为改革前退休人员（老人）办理信息变更业务，定期待遇和调待自动调整和补扣。</w:t>
      </w:r>
    </w:p>
    <w:p w14:paraId="44F6B1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6.44改革前退休人员信息采集</w:t>
      </w:r>
    </w:p>
    <w:p w14:paraId="4C401D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为改革前退休人员（老人）办理信息采集。</w:t>
      </w:r>
    </w:p>
    <w:p w14:paraId="05F6F9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6.45保留账户人员职业年金待遇申领</w:t>
      </w:r>
    </w:p>
    <w:p w14:paraId="3584E6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机关事业单位参保人员转移至企保或居保退休，职业年金个人账户未转出的，可申领保留账户人员职业年金定期待遇。保留账户人员在职去世、出国（境）定居的，办理职业年金一次性待遇申领。调用社保卡管理系统获取社保卡信息。</w:t>
      </w:r>
    </w:p>
    <w:p w14:paraId="1A5DD8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6.46机关事业单位处分处罚人员职业年金个人账户处理</w:t>
      </w:r>
    </w:p>
    <w:p w14:paraId="64919C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根据国家文件出台情况制定处分处罚人员职业年金个人账户处理。</w:t>
      </w:r>
    </w:p>
    <w:p w14:paraId="7916B6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6.47城居保待遇申领</w:t>
      </w:r>
    </w:p>
    <w:p w14:paraId="0AF069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参保人在符合待遇领取条件前三个月内可通过互联网服务渠道上传有效身份证件、社会保障卡，提出待遇领取申请。参保人员本人也可携带有效身份证件、社会保障卡，到服务窗口办理待遇领取手续。</w:t>
      </w:r>
    </w:p>
    <w:p w14:paraId="5CF042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6.48特殊工种提前退休公示</w:t>
      </w:r>
    </w:p>
    <w:p w14:paraId="3BE517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按退休审批时段公示特殊工种提前退休人员名单。</w:t>
      </w:r>
    </w:p>
    <w:p w14:paraId="622A21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6.49病残津贴公示</w:t>
      </w:r>
    </w:p>
    <w:p w14:paraId="7AFE3C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按退休审批时段公示领取病残津贴人员名单。</w:t>
      </w:r>
    </w:p>
    <w:p w14:paraId="55948B5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7、待遇停续</w:t>
      </w:r>
    </w:p>
    <w:p w14:paraId="7A6FF1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7.1养老保险待遇(含病残津贴)停发(单位)</w:t>
      </w:r>
    </w:p>
    <w:p w14:paraId="20A499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对正常发放养老待遇的离退休人员或病残津贴领待人员，因各类特殊情况需暂停待遇发放的，单位申请通过该功能单个或批量停发。</w:t>
      </w:r>
    </w:p>
    <w:p w14:paraId="237ABC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7.2养老保险待遇(含病残津贴)续发(单位)</w:t>
      </w:r>
    </w:p>
    <w:p w14:paraId="315596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对暂停发放养老待遇的离退休人员或病残津贴领待人员，需恢复待遇发放的，通过该功能完成单独或批量续发，自动完成待遇调整并产生补发。</w:t>
      </w:r>
    </w:p>
    <w:p w14:paraId="347482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7.3养老保险待遇(含病残津贴)停发(个人)</w:t>
      </w:r>
    </w:p>
    <w:p w14:paraId="27A747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对正常发放养老待遇的离退休人员或病残津贴领待人员，因各类特殊情况需暂停待遇发放的，通过该功能停发。</w:t>
      </w:r>
    </w:p>
    <w:p w14:paraId="50CCA7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7.4养老保险待遇(含病残津贴)续发(个人)</w:t>
      </w:r>
    </w:p>
    <w:p w14:paraId="67D3ED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对暂停发放养老待遇的离退休人员或病残津贴领待人员，需恢复待遇发放的，通过该功能完成续发，自动完成待遇调整并产生补发。</w:t>
      </w:r>
    </w:p>
    <w:p w14:paraId="64C620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7.5定期待遇零星暂停</w:t>
      </w:r>
    </w:p>
    <w:p w14:paraId="1C05E9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领待人员出现通缉、羁押或被判刑、失踪、死亡等不符合领取养老待遇资格情形的，办理待遇暂停业务及扣发。</w:t>
      </w:r>
    </w:p>
    <w:p w14:paraId="73BFCA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7.6定期待遇零星恢复</w:t>
      </w:r>
    </w:p>
    <w:p w14:paraId="4D17D4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对已停发待遇的退休人员办理定期待遇零星恢复及补发。增加恢复开始时间、结束时间，结束时间选填，用于受处分处罚人员恢复。</w:t>
      </w:r>
    </w:p>
    <w:p w14:paraId="37CC3E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7.7定期待遇批量暂停</w:t>
      </w:r>
    </w:p>
    <w:p w14:paraId="748210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对领待人员办理批量暂停。</w:t>
      </w:r>
    </w:p>
    <w:p w14:paraId="43C94C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7.8定期待遇批量暂停（资格认证重复领取）</w:t>
      </w:r>
    </w:p>
    <w:p w14:paraId="245FB5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领待人员因资格认证超期、重复领取待遇办理批量暂停。</w:t>
      </w:r>
    </w:p>
    <w:p w14:paraId="2D05C2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7.9定期待遇批量恢复</w:t>
      </w:r>
    </w:p>
    <w:p w14:paraId="1F7EBE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待遇暂停人员办理批量恢复及补发。</w:t>
      </w:r>
    </w:p>
    <w:p w14:paraId="0DBA88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7.10定期待遇批量恢复（完成资格认证）</w:t>
      </w:r>
    </w:p>
    <w:p w14:paraId="3BA343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因资格认证超期暂停待遇的人员完成资格认证后自动批量恢复及补发。</w:t>
      </w:r>
    </w:p>
    <w:p w14:paraId="2CA34F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7.11职业年金定期待遇批量暂停</w:t>
      </w:r>
    </w:p>
    <w:p w14:paraId="69F127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为当月新增基本养老保险待遇暂停人员，批量暂停职业年金定期待遇，计算职业年金定期待遇扣回金额。</w:t>
      </w:r>
    </w:p>
    <w:p w14:paraId="32050C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7.12职业年金定期待遇批量恢复</w:t>
      </w:r>
    </w:p>
    <w:p w14:paraId="429AC5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为当月新增基本养老保险待遇恢复人员，批量恢复职业年金定期待遇，计算职业年金定期待遇补发金额。</w:t>
      </w:r>
    </w:p>
    <w:p w14:paraId="2443E0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7.13职业年金定期待遇零星暂停</w:t>
      </w:r>
    </w:p>
    <w:p w14:paraId="31F873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按参保人员（含保留账户人员）暂停职业年金定期待遇发放，计算扣回金额。</w:t>
      </w:r>
    </w:p>
    <w:p w14:paraId="20CA36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7.14职业年金定期待遇零星恢复</w:t>
      </w:r>
    </w:p>
    <w:p w14:paraId="7CC465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对职业年金定期待遇发放状态为“暂停发放”的参保人员（含保留账户人员），恢复职业年金定期待遇发放，计算补发金额。</w:t>
      </w:r>
    </w:p>
    <w:p w14:paraId="229147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7.15批量恢复领待</w:t>
      </w:r>
    </w:p>
    <w:p w14:paraId="594728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原暂停、终止等状态的领待人员，因通过资格认证、大数据排查等恢复正常状态，由经办机构恢复其居保待遇。</w:t>
      </w:r>
    </w:p>
    <w:p w14:paraId="1577DF5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8、待遇追回</w:t>
      </w:r>
    </w:p>
    <w:p w14:paraId="20C6EA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8.1多享受待遇追回财务到账处理</w:t>
      </w:r>
    </w:p>
    <w:p w14:paraId="6B6B7D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因单位晚报等原因导致退休人员多享受待遇的，待遇退回的财务进行到账处理。</w:t>
      </w:r>
    </w:p>
    <w:p w14:paraId="30A7A7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8.2多享受待遇追回查询</w:t>
      </w:r>
    </w:p>
    <w:p w14:paraId="2D8CEB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查询个人多享受待遇退回的到账信息。</w:t>
      </w:r>
    </w:p>
    <w:p w14:paraId="767007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8.3系统内扣回金额转系统外追回</w:t>
      </w:r>
    </w:p>
    <w:p w14:paraId="151BA8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将系统内扣回数据转为系统外追回数据。</w:t>
      </w:r>
    </w:p>
    <w:p w14:paraId="4013BB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8.4职业年金多发待遇转追回</w:t>
      </w:r>
    </w:p>
    <w:p w14:paraId="22FD3B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对未完成扣回的职业年金多发待遇转线下追回，生成追回业务账和多发待遇追回通知，推送财务部门确认。</w:t>
      </w:r>
    </w:p>
    <w:p w14:paraId="3423CBF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9、个人养老金</w:t>
      </w:r>
    </w:p>
    <w:p w14:paraId="7F4F55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9.1个人养老金领取资格核验受理</w:t>
      </w:r>
    </w:p>
    <w:p w14:paraId="0F679C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受理线下提交的个人养老金领取资格核验业务，扫描提交资料。调用部接口初步核验个人养老金领取资格，核验通过的反馈核验结果，核验不通过的推送至个人养老金领取资格审核模块进一步处理。</w:t>
      </w:r>
    </w:p>
    <w:p w14:paraId="1973CB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9.2个人养老金领取资格核验审核</w:t>
      </w:r>
    </w:p>
    <w:p w14:paraId="3F65FA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接收部平台（或银行端等外部渠道）及受理模块推送的个人养老金领取资格核验申请，调取申请档案资料，审核个人养老金领取资格。复核通过后反馈核验结果。</w:t>
      </w:r>
    </w:p>
    <w:p w14:paraId="78BAE04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10、老机保待遇管理</w:t>
      </w:r>
    </w:p>
    <w:p w14:paraId="1B7B93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10.1省本级老机保衔接人员信息查询</w:t>
      </w:r>
    </w:p>
    <w:p w14:paraId="5139BC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省本级老机保衔接人员信息查询。</w:t>
      </w:r>
    </w:p>
    <w:p w14:paraId="7E0256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10.2省本级老机保人员身份信息维护</w:t>
      </w:r>
    </w:p>
    <w:p w14:paraId="3FDDA16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省本级老机保人员身份信息维护。</w:t>
      </w:r>
    </w:p>
    <w:p w14:paraId="4C6E91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10.3省本级老机保人员缴费信息维护</w:t>
      </w:r>
    </w:p>
    <w:p w14:paraId="35FE47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省本级老机保人员缴费信息维护。</w:t>
      </w:r>
    </w:p>
    <w:p w14:paraId="095FBD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10.4省本级老机保人员结算标识确认</w:t>
      </w:r>
    </w:p>
    <w:p w14:paraId="0025E6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省本级老机保人员结算标识确认。</w:t>
      </w:r>
    </w:p>
    <w:p w14:paraId="53322C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10.5省本级老机保人员制度重叠期缴费情况</w:t>
      </w:r>
    </w:p>
    <w:p w14:paraId="4F584F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省本级老机保人员制度重叠期缴费情况。</w:t>
      </w:r>
    </w:p>
    <w:p w14:paraId="24265C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10.6省本级老机保人员制度重叠期定期待遇情况</w:t>
      </w:r>
    </w:p>
    <w:p w14:paraId="3DFCA4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省本级老机保人员制度重叠期定期待遇情况。</w:t>
      </w:r>
    </w:p>
    <w:p w14:paraId="49DA3B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10.7省本级老机保人员制度重叠期一次性待遇情况</w:t>
      </w:r>
    </w:p>
    <w:p w14:paraId="417174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省本级老机保人员制度重叠期一次性待遇情况。</w:t>
      </w:r>
    </w:p>
    <w:p w14:paraId="50C68D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10.8省本级老机保人员制度重叠期结算情况</w:t>
      </w:r>
    </w:p>
    <w:p w14:paraId="10020D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省本级老机保人员制度重叠期结算情况。</w:t>
      </w:r>
    </w:p>
    <w:p w14:paraId="761321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10.9省本级老机保人员制度重叠期结算应付计划</w:t>
      </w:r>
    </w:p>
    <w:p w14:paraId="1D1D94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省本级老机保人员制度重叠期结算应付计划。</w:t>
      </w:r>
    </w:p>
    <w:p w14:paraId="50D15A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10.10省本级老机保人员制度重叠期结算应收计划</w:t>
      </w:r>
    </w:p>
    <w:p w14:paraId="6A62BC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省本级老机保人员制度重叠期结算应收计划。</w:t>
      </w:r>
    </w:p>
    <w:p w14:paraId="6341B6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10.11省本级老机保退休人员退费或封存处理</w:t>
      </w:r>
    </w:p>
    <w:p w14:paraId="38905D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省本级老机保退休人员退费或封存处理。</w:t>
      </w:r>
    </w:p>
    <w:p w14:paraId="3EF578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10.12省本级老机保退休人员退费汇总查询</w:t>
      </w:r>
    </w:p>
    <w:p w14:paraId="63BC83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省本级老机保退休人员退费汇总查询。</w:t>
      </w:r>
    </w:p>
    <w:p w14:paraId="2D04E7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10.13省本级老机保在职人员缴费划转职业年金处理</w:t>
      </w:r>
    </w:p>
    <w:p w14:paraId="401766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省本级老机保在职人员缴费划转职业年金处理。</w:t>
      </w:r>
    </w:p>
    <w:p w14:paraId="6D45B4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10.14省本级老机保在职人员缴费划转职业年金汇总查询</w:t>
      </w:r>
    </w:p>
    <w:p w14:paraId="267783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省本级老机保在职人员缴费划转职业年金汇总查询。</w:t>
      </w:r>
    </w:p>
    <w:p w14:paraId="6F31A6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10.15老机保数据导入</w:t>
      </w:r>
    </w:p>
    <w:p w14:paraId="499539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导入模板迁移老机保缴费、待遇、个人信息。</w:t>
      </w:r>
    </w:p>
    <w:p w14:paraId="7D19A8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10.16老机保划转职业年金一次性退费</w:t>
      </w:r>
    </w:p>
    <w:p w14:paraId="6C4E43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老机保个人缴费本息已划转职业年金个人账户的退休及终保人员，为其办理划转缴费退费。</w:t>
      </w:r>
    </w:p>
    <w:p w14:paraId="2DA4B3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10.17生成划转缴费退费支付计划</w:t>
      </w:r>
    </w:p>
    <w:p w14:paraId="72FCB7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汇总当月划转缴费退费人员情况，生成本级划转缴费退费计划，审核通过后推送职业年金支付计划省级汇总模块汇总。</w:t>
      </w:r>
    </w:p>
    <w:p w14:paraId="0527A3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11、遗属人员管理</w:t>
      </w:r>
    </w:p>
    <w:p w14:paraId="5A5087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11.1原供养亲属新增</w:t>
      </w:r>
    </w:p>
    <w:p w14:paraId="6D89B1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原审批确定的供养亲属，因各种原因没有进入新系统内，以单独报告形式进行供养亲属新增。</w:t>
      </w:r>
    </w:p>
    <w:p w14:paraId="1897EE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11.2遗属生活困难补助费停发（个人）</w:t>
      </w:r>
    </w:p>
    <w:p w14:paraId="0769AC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因特殊情况，需停发正常发放待遇的养老遗属人员，通过该功能停发待遇。</w:t>
      </w:r>
    </w:p>
    <w:p w14:paraId="68C350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11.3遗属生活困难补助费停发（单位）</w:t>
      </w:r>
    </w:p>
    <w:p w14:paraId="4D8804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因特殊情况，需停发正常发放待遇的养老遗属人员，通过该功能停发待遇。</w:t>
      </w:r>
    </w:p>
    <w:p w14:paraId="6A9F10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11.4遗属生活困难补助费续发（单位）</w:t>
      </w:r>
    </w:p>
    <w:p w14:paraId="3C6801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需续发暂停发放待遇的养老遗属人员，通过该功能续发待遇，并自动产生补退发。</w:t>
      </w:r>
    </w:p>
    <w:p w14:paraId="69FAF9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11.5遗属生活困难补助费续发（个人）</w:t>
      </w:r>
    </w:p>
    <w:p w14:paraId="3A3A2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需续发暂停发放待遇的养老遗属人员，通过该功能续发待遇，并自动产生补退发。</w:t>
      </w:r>
    </w:p>
    <w:p w14:paraId="5EAB40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11.6遗属生活困难补助费终止（单位）</w:t>
      </w:r>
    </w:p>
    <w:p w14:paraId="5454CB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因特殊情况，需批量终止正常发放或暂停发放待遇的养老遗属人员。</w:t>
      </w:r>
    </w:p>
    <w:p w14:paraId="513ACD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11.7遗属生活困难补助费终止（个人）</w:t>
      </w:r>
    </w:p>
    <w:p w14:paraId="324387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因特殊情况，需终止正常发放或暂停发放待遇的养老遗属人员，通过该功能终止待遇。</w:t>
      </w:r>
    </w:p>
    <w:p w14:paraId="4B3ABD4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11.8遗属待遇终止回退</w:t>
      </w:r>
    </w:p>
    <w:p w14:paraId="5FF20B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回退已终止的养老遗属待遇，并恢复人员状态。</w:t>
      </w:r>
    </w:p>
    <w:p w14:paraId="4E5388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11.9遗属待遇特殊补发</w:t>
      </w:r>
    </w:p>
    <w:p w14:paraId="188CFE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因特殊情况需对正在领取遗属待遇的人员，完成补发业务的，通过该功能进行补发。</w:t>
      </w:r>
    </w:p>
    <w:p w14:paraId="0D652B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11.10遗属待遇特殊退发</w:t>
      </w:r>
    </w:p>
    <w:p w14:paraId="60FBFC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因特殊情况需对正在领取遗属待遇的人员，完成退发业务产生追款单。</w:t>
      </w:r>
    </w:p>
    <w:p w14:paraId="4353F3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11.11遗属待遇追回</w:t>
      </w:r>
    </w:p>
    <w:p w14:paraId="7680DE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供养遗属因退休等问题出现重复领取待遇，进行追回处理，出具追款单据。</w:t>
      </w:r>
    </w:p>
    <w:p w14:paraId="2D3E460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12、终止参保</w:t>
      </w:r>
    </w:p>
    <w:p w14:paraId="353B06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12.1离退休（职）死亡人员一次性待遇计算（单位）</w:t>
      </w:r>
    </w:p>
    <w:p w14:paraId="5E844A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领取养老待遇的退休人员死亡后单位批量申请计算丧葬费、抚恤金及个人账户储存额。</w:t>
      </w:r>
    </w:p>
    <w:p w14:paraId="5C4303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12.2离退休（职）死亡人员一次性待遇计算（个人）</w:t>
      </w:r>
    </w:p>
    <w:p w14:paraId="1D407E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领取养老待遇的退休人员死亡后个人申请计算丧葬费、抚恤金及个人账户储存额。</w:t>
      </w:r>
    </w:p>
    <w:p w14:paraId="45B438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12.3在职死亡有社保卡人员一次性待遇计算（单位）</w:t>
      </w:r>
    </w:p>
    <w:p w14:paraId="18D9C7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参加基本养老保险且有社保卡的在职人员单位申领批量计算一次性待遇。</w:t>
      </w:r>
    </w:p>
    <w:p w14:paraId="139CFD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12.4在职死亡无社保卡人员一次性待遇计算（单位）</w:t>
      </w:r>
    </w:p>
    <w:p w14:paraId="2C9FB5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参加基本养老保险无社保卡的在职人员单位申领批量计算一次性待遇。</w:t>
      </w:r>
    </w:p>
    <w:p w14:paraId="0BD72C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12.5在职死亡有社保卡人员一次性待遇计算（个人）</w:t>
      </w:r>
    </w:p>
    <w:p w14:paraId="591BC5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参加基本养老保险有社保卡的在职人员申领计算一次性待遇。</w:t>
      </w:r>
    </w:p>
    <w:p w14:paraId="29972C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在职死亡无社保卡人员一次性待遇计算（个人）</w:t>
      </w:r>
    </w:p>
    <w:p w14:paraId="3C8BF1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参加基本养老保险无社保卡的在职人员申领计算一次性待遇。</w:t>
      </w:r>
    </w:p>
    <w:p w14:paraId="598813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一次性待遇计算（非火化）</w:t>
      </w:r>
    </w:p>
    <w:p w14:paraId="049909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企业职工养老保险退休或在职死亡人员申领个人账户储存额。</w:t>
      </w:r>
    </w:p>
    <w:p w14:paraId="7A9FAB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协助确定遗属待遇实际缴费年限</w:t>
      </w:r>
    </w:p>
    <w:p w14:paraId="35579C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本地存在基本养老保险参保信息的在职人员，确定人员本地实际缴费年限，用于异地计算丧葬抚恤金确定月数。</w:t>
      </w:r>
    </w:p>
    <w:p w14:paraId="37632F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待遇暂停死亡人员终止时间确认</w:t>
      </w:r>
    </w:p>
    <w:p w14:paraId="3D84BE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对于领取养老保险待遇的暂停人员，确认待遇终止时间，推送一次性待遇计算业务。</w:t>
      </w:r>
    </w:p>
    <w:p w14:paraId="6CAE01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一次性待遇重算</w:t>
      </w:r>
    </w:p>
    <w:p w14:paraId="76632F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针对已经计算过一次性待遇的人员，由于个人账户变化等其他情况需要进行重算一次性待遇的。</w:t>
      </w:r>
    </w:p>
    <w:p w14:paraId="70E2C0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离休死亡人员批量重算增发抚恤金</w:t>
      </w:r>
    </w:p>
    <w:p w14:paraId="60D735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对离休人员因上年度全国城镇居民人均可支配收入影响其抚恤金待遇的人员，进行批量重新计算并产生补退发。</w:t>
      </w:r>
    </w:p>
    <w:p w14:paraId="44CF91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计发基数变更一次性待遇批量重算</w:t>
      </w:r>
    </w:p>
    <w:p w14:paraId="7DC496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对在职死亡、退休死亡人员因职工平均工资影响其抚恤金待遇的人员，进行批量重新计算并产生补退发。</w:t>
      </w:r>
    </w:p>
    <w:p w14:paraId="6D6381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养老待遇(含病残津贴)终止（单位）</w:t>
      </w:r>
    </w:p>
    <w:p w14:paraId="2EF0A5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对正常发放或暂停发放的养老待遇的离退休人员或病残津贴领待人员，因各类特殊情况需终止待遇发放的，单位通过该功能进行单独或批量待遇终止。</w:t>
      </w:r>
    </w:p>
    <w:p w14:paraId="04D676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养老待遇(含病残津贴)终止（个人）</w:t>
      </w:r>
    </w:p>
    <w:p w14:paraId="7C997D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对正常发放或暂停发放的养老待遇的离退休人员或病残津贴领待人员，因各类特殊情况需终止待遇发放的，通过该功能进行待遇终止。</w:t>
      </w:r>
    </w:p>
    <w:p w14:paraId="37CEB3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人员一次性计发(终止参保)</w:t>
      </w:r>
    </w:p>
    <w:p w14:paraId="2F472B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参保人员终止养老保险关系，一次性待遇计发。</w:t>
      </w:r>
    </w:p>
    <w:p w14:paraId="2B0D98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城居保注销登记申请</w:t>
      </w:r>
    </w:p>
    <w:p w14:paraId="6580B9F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参保人死亡、丧失国籍或已享受其他基本养老保险待遇的；县社保机构应通过数据比对等方式，对注销登记信息进行审核，并自收到注销登记申请起5个工作日内告知审核结果。审核通过的，应同时在信息系统中确认，留存《注销表》《湖北省城乡居民基本养老保险个人账户结算单》、有效身份证件信息资料和申请材料，结算被注销人员的个人账户余额和丧葬补助金额。</w:t>
      </w:r>
    </w:p>
    <w:p w14:paraId="0A105F8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13、资格认证</w:t>
      </w:r>
    </w:p>
    <w:p w14:paraId="1250FF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13.1待遇领取资格认证</w:t>
      </w:r>
    </w:p>
    <w:p w14:paraId="2B21D9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正常领待人员进行待遇领取资格认证。</w:t>
      </w:r>
    </w:p>
    <w:p w14:paraId="6CF0AD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13.2批量待遇资格认证</w:t>
      </w:r>
    </w:p>
    <w:p w14:paraId="73F6A4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对单位人员待遇领取资格进行批量认证。</w:t>
      </w:r>
    </w:p>
    <w:p w14:paraId="579562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13.3异地来函认证</w:t>
      </w:r>
    </w:p>
    <w:p w14:paraId="3B26A3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对异地来函认证人员在系统内进行生存状态认证。</w:t>
      </w:r>
    </w:p>
    <w:p w14:paraId="3343A0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13.4境外来函认证</w:t>
      </w:r>
    </w:p>
    <w:p w14:paraId="6889F7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对境外来函认证人员在系统内进行生存状态认证。</w:t>
      </w:r>
    </w:p>
    <w:p w14:paraId="296A91F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13.5资格认证未通过批量停发</w:t>
      </w:r>
    </w:p>
    <w:p w14:paraId="7D0A41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对规定时间内未完成资格认证的退休人员或病残津贴领待人员，系统进行自动批量停发或由经办人员发起批量停发。</w:t>
      </w:r>
    </w:p>
    <w:p w14:paraId="764973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13.6资格认证通过批量续发</w:t>
      </w:r>
    </w:p>
    <w:p w14:paraId="5DABB2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对已完成资格认证的退休人员或病残津贴领待人员，系统自动批量续发或由经办人员发起批量续发，并自动调整待遇及补发。</w:t>
      </w:r>
    </w:p>
    <w:p w14:paraId="5F8020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13.7资格认证情况同步</w:t>
      </w:r>
    </w:p>
    <w:p w14:paraId="66C534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同步外部门的资格认证数据，若存在因资格认证未通过停发的人员，读取到认证信息后，自动续发。</w:t>
      </w:r>
    </w:p>
    <w:p w14:paraId="1F021B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13.8阻断业务核实</w:t>
      </w:r>
    </w:p>
    <w:p w14:paraId="0A2530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因重复领取、受处分处罚等原因阻断业务的，需先核实处理。</w:t>
      </w:r>
    </w:p>
    <w:p w14:paraId="52235CB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（五）工伤（职业伤害）待遇</w:t>
      </w:r>
    </w:p>
    <w:p w14:paraId="179BF7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实现对工伤待遇管理、工伤认定和劳动能力鉴定、工伤联网结算、职业伤害管理、工伤预防以及工伤鉴定线上申请审核管理等工伤保险全过程业务进行统一管理。</w:t>
      </w:r>
    </w:p>
    <w:p w14:paraId="3C371E5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1、工伤预防管理</w:t>
      </w:r>
    </w:p>
    <w:p w14:paraId="3E1E0C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1.1工伤预防项目申报</w:t>
      </w:r>
    </w:p>
    <w:p w14:paraId="473266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接收行业协会、大中型企业提交的工伤预防项目申报资料和行业主管部门提出的工伤预防项目立项建议。</w:t>
      </w:r>
    </w:p>
    <w:p w14:paraId="1481CB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1.2工伤预防项目立项评估</w:t>
      </w:r>
    </w:p>
    <w:p w14:paraId="1FE8CF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组织工伤预防专家对提交的申报资料、立项建议进行立项评估。</w:t>
      </w:r>
    </w:p>
    <w:p w14:paraId="3637C8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1.3工伤预防项目维护</w:t>
      </w:r>
    </w:p>
    <w:p w14:paraId="62AE38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对已立项的工伤预防项目进行信息变更、延期或终止等维护操作。</w:t>
      </w:r>
    </w:p>
    <w:p w14:paraId="3F97FB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1.4工伤预防经费预算生成</w:t>
      </w:r>
    </w:p>
    <w:p w14:paraId="104F5B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依据工伤预防项目经费预算上限、项目的立项及执行情况，计算年度预算经费。</w:t>
      </w:r>
    </w:p>
    <w:p w14:paraId="7ABEA1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1.5工伤预防费审核</w:t>
      </w:r>
    </w:p>
    <w:p w14:paraId="01EE1C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完成工伤预防费用的审核、审批并推送财务支付。</w:t>
      </w:r>
    </w:p>
    <w:p w14:paraId="34F3EA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1.6单位账户信息维护</w:t>
      </w:r>
    </w:p>
    <w:p w14:paraId="321762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管理项目实施方用于工伤预防费用收付的银行账户信息。</w:t>
      </w:r>
    </w:p>
    <w:p w14:paraId="625C72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1.7工伤预防项目实施管理</w:t>
      </w:r>
    </w:p>
    <w:p w14:paraId="3C49F9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对工伤预防项目实施过程进行管理</w:t>
      </w:r>
    </w:p>
    <w:p w14:paraId="2C8296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1.8工伤预防项目评估验收审核</w:t>
      </w:r>
    </w:p>
    <w:p w14:paraId="580249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组织专家对项目成果进行验收并形成验收报告。</w:t>
      </w:r>
    </w:p>
    <w:p w14:paraId="1DD304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1.9工伤预防项目进度监督管理</w:t>
      </w:r>
    </w:p>
    <w:p w14:paraId="385E56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对在实施的工伤预防项目进行跟踪、监督与进度管控。</w:t>
      </w:r>
    </w:p>
    <w:p w14:paraId="20AC43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1.10工伤预防培训现场签到管理</w:t>
      </w:r>
    </w:p>
    <w:p w14:paraId="336599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终端设备绑定及实名认证，生成现场签到二维码（支持二维码的防伪校验能力，支持根据签到用户类型分别提供不同的签到二维码），参训人员扫描二维码进行签到，签到时支持人脸识别认证。培训过程通过终端提交参训人员资料，并进行电子签名。</w:t>
      </w:r>
    </w:p>
    <w:p w14:paraId="4ADF25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1.11工伤预防项目检查监督登记</w:t>
      </w:r>
    </w:p>
    <w:p w14:paraId="5013AA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记录对项目的现场或非现场检查、监督情况与结果。</w:t>
      </w:r>
    </w:p>
    <w:p w14:paraId="0C883D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1.12工伤预防专家库信息维护</w:t>
      </w:r>
    </w:p>
    <w:p w14:paraId="55D6E3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管理工伤预防专家库成员的人员信息，提供人员新增、信息更新等功能。</w:t>
      </w:r>
    </w:p>
    <w:p w14:paraId="2D62BF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1.13工伤预防专家抽取</w:t>
      </w:r>
    </w:p>
    <w:p w14:paraId="73305E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从工伤预防专家库中随机抽取指定类别、数量的专家参与工伤预防项目立项评审、跟踪检查、评估验收工作。</w:t>
      </w:r>
    </w:p>
    <w:p w14:paraId="2A2F479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2、工伤审批事项</w:t>
      </w:r>
    </w:p>
    <w:p w14:paraId="30741A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2.1工伤就医（康复）申报审批</w:t>
      </w:r>
    </w:p>
    <w:p w14:paraId="721894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审批工伤职工就医（康复）申请。</w:t>
      </w:r>
    </w:p>
    <w:p w14:paraId="22BB16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2.2辅助器具配置或更换申报审批</w:t>
      </w:r>
    </w:p>
    <w:p w14:paraId="422BE8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审批工伤职工辅助器具配置或更换申请</w:t>
      </w:r>
    </w:p>
    <w:p w14:paraId="2DD165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2.3工伤旧伤复发治疗申报审批</w:t>
      </w:r>
    </w:p>
    <w:p w14:paraId="7A1293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审批工伤职工旧伤复发就医申请</w:t>
      </w:r>
    </w:p>
    <w:p w14:paraId="7730C2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2.4工伤异地居住/转诊转院申报审批</w:t>
      </w:r>
    </w:p>
    <w:p w14:paraId="067712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审批工伤职工异地居住/转诊转院申请</w:t>
      </w:r>
    </w:p>
    <w:p w14:paraId="4137DC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2.5工伤二次治疗申报审批</w:t>
      </w:r>
    </w:p>
    <w:p w14:paraId="7173B0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审批工伤职工二次就医申请</w:t>
      </w:r>
    </w:p>
    <w:p w14:paraId="0CBF03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2.6异地就医备案审批</w:t>
      </w:r>
    </w:p>
    <w:p w14:paraId="3E8FA6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审批工伤职工异地就医备案</w:t>
      </w:r>
    </w:p>
    <w:p w14:paraId="1F33B4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2.7职业伤害就医（康复）审批</w:t>
      </w:r>
    </w:p>
    <w:p w14:paraId="4722A4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职业伤害就医（康复）申请</w:t>
      </w:r>
    </w:p>
    <w:p w14:paraId="497AC0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2.8职业伤害辅助器具配置或更换审批</w:t>
      </w:r>
    </w:p>
    <w:p w14:paraId="01352B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职业伤害辅助器具配置或更换申报</w:t>
      </w:r>
    </w:p>
    <w:p w14:paraId="1092A8A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3、工伤待遇管理</w:t>
      </w:r>
    </w:p>
    <w:p w14:paraId="04A2DD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3.1工伤人员待遇条件确认</w:t>
      </w:r>
    </w:p>
    <w:p w14:paraId="6E0A83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报销工伤医疗费用报销、核定待遇前要先确认工伤人员符合领取相关待遇</w:t>
      </w:r>
    </w:p>
    <w:p w14:paraId="0DC706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3.2工伤医疗费用报销</w:t>
      </w:r>
    </w:p>
    <w:p w14:paraId="0D312F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工伤医疗费用及伙食费补贴、异地就医交通费补贴报销受理、办理、审核</w:t>
      </w:r>
    </w:p>
    <w:p w14:paraId="4E9701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3.3工伤康复费用报销</w:t>
      </w:r>
    </w:p>
    <w:p w14:paraId="6C4BC7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工伤康复费用报销受理、办理、审核</w:t>
      </w:r>
    </w:p>
    <w:p w14:paraId="134F79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3.4辅助器具配置或更换费用报销</w:t>
      </w:r>
    </w:p>
    <w:p w14:paraId="5FE3B7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辅助器具配置费用报销受理、办理、审核</w:t>
      </w:r>
    </w:p>
    <w:p w14:paraId="5A79A6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3.5工伤（工亡）待遇核定</w:t>
      </w:r>
    </w:p>
    <w:p w14:paraId="2CA7B4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核定工伤伤残等级人员的一次性伤残补助金、伤残津贴和生活护理费，核定工亡人员的一次性死亡补助金、丧葬补助金，并进行审核</w:t>
      </w:r>
    </w:p>
    <w:p w14:paraId="7606B8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3.6一次性工伤医疗补助金核定</w:t>
      </w:r>
    </w:p>
    <w:p w14:paraId="47825E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工伤伤残等级人员解除劳动合同，核定一次性工伤医疗补助金，并进行审核</w:t>
      </w:r>
    </w:p>
    <w:p w14:paraId="3968FB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3.7停工留薪期内/满死亡待遇核定</w:t>
      </w:r>
    </w:p>
    <w:p w14:paraId="2BBC71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停工留薪期内或期满未进行劳动能力鉴定死亡人员待遇核定</w:t>
      </w:r>
    </w:p>
    <w:p w14:paraId="114B63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 1-4级伤残人员死亡待遇核定</w:t>
      </w:r>
    </w:p>
    <w:p w14:paraId="6A06F2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1-4级伤残人员死亡待遇核定及审核</w:t>
      </w:r>
    </w:p>
    <w:p w14:paraId="56FE8B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3.9工伤人员退休待遇核定</w:t>
      </w:r>
    </w:p>
    <w:p w14:paraId="40B44F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工伤人员已退休领取养老保险待遇，若养老保险待遇低于工伤保险定期待遇，进行补差核定并审核</w:t>
      </w:r>
    </w:p>
    <w:p w14:paraId="016CE3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3.10工伤伤残等级变更待遇核定</w:t>
      </w:r>
    </w:p>
    <w:p w14:paraId="1B7B9F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对劳动能力鉴定伤残等级变更的工伤人员待遇进行重新核定</w:t>
      </w:r>
    </w:p>
    <w:p w14:paraId="0E912A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3.11工伤人员待遇调整</w:t>
      </w:r>
    </w:p>
    <w:p w14:paraId="407F67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伤残津贴由统筹地区社保经办机构根据职工平均工资变化等情况适时调整，</w:t>
      </w:r>
    </w:p>
    <w:p w14:paraId="2219DC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3.12工伤人员待遇补发/退发</w:t>
      </w:r>
    </w:p>
    <w:p w14:paraId="7E817C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某些特殊情况下，对工伤人员待遇或者供养亲属待遇进行补发退发。包括文件执行时间偏差和核算出现偏差时。</w:t>
      </w:r>
    </w:p>
    <w:p w14:paraId="452C4D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3.13工伤人员待遇停发/续发/终止</w:t>
      </w:r>
    </w:p>
    <w:p w14:paraId="461DA6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停发原因：</w:t>
      </w:r>
    </w:p>
    <w:p w14:paraId="50934A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1--丧失享受待遇条件的； </w:t>
      </w:r>
    </w:p>
    <w:p w14:paraId="432ECA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2--拒不接受劳动能力鉴定的； </w:t>
      </w:r>
    </w:p>
    <w:p w14:paraId="5E39BA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3--拒绝治疗的； </w:t>
      </w:r>
    </w:p>
    <w:p w14:paraId="38F80A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4--被判刑正在收监执行的；</w:t>
      </w:r>
    </w:p>
    <w:p w14:paraId="72A8E2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5--其他原因； </w:t>
      </w:r>
    </w:p>
    <w:p w14:paraId="02650F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续发原因</w:t>
      </w:r>
    </w:p>
    <w:p w14:paraId="502D0F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1--恢复享受待遇条件的；</w:t>
      </w:r>
    </w:p>
    <w:p w14:paraId="2A994A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2--通过资格认证的；</w:t>
      </w:r>
    </w:p>
    <w:p w14:paraId="60CA36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3--刑满释放的；</w:t>
      </w:r>
    </w:p>
    <w:p w14:paraId="3B77DD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3.14工伤待遇批量重算</w:t>
      </w:r>
    </w:p>
    <w:p w14:paraId="3F2A6D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对以前年度因计发基数未及时更新导致待遇发放有误进行批量重算并进行审核，包括一次性死亡补助金、丧葬补助金、护理费、住院伙食补助费、一次性工伤医疗补助金等</w:t>
      </w:r>
    </w:p>
    <w:p w14:paraId="0E4A9D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3.15工伤待遇批量调整</w:t>
      </w:r>
    </w:p>
    <w:p w14:paraId="7CC06C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批量调整工伤人员待遇（支持导盘）</w:t>
      </w:r>
    </w:p>
    <w:p w14:paraId="0BBB54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3.16工伤待遇年度整体调整</w:t>
      </w:r>
    </w:p>
    <w:p w14:paraId="2DC09C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按年度批量调整工伤享待人员待遇</w:t>
      </w:r>
    </w:p>
    <w:p w14:paraId="55A39D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3.17工亡人员供养亲属信息维护</w:t>
      </w:r>
    </w:p>
    <w:p w14:paraId="78DF94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包括工亡人员供养亲属新增、基本信息维护、发放信息维护等</w:t>
      </w:r>
    </w:p>
    <w:p w14:paraId="0B8025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3.18工亡人员供养亲属新增</w:t>
      </w:r>
    </w:p>
    <w:p w14:paraId="44B2C2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新增并核定工亡人员供养亲属定期待遇（供养亲属抚恤金）</w:t>
      </w:r>
    </w:p>
    <w:p w14:paraId="524B33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3.19工亡人员供养亲属待遇调整</w:t>
      </w:r>
    </w:p>
    <w:p w14:paraId="541566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对工亡人员供养亲属的待遇进行调整</w:t>
      </w:r>
    </w:p>
    <w:p w14:paraId="2B6A51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3.20工亡人员供养亲属待遇补发/退发核定</w:t>
      </w:r>
    </w:p>
    <w:p w14:paraId="7A29A4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某些特殊情况下，对工伤人员待遇或者供养亲属待遇进行补发退发。包括文件执行时间偏差和核算出现偏差时。</w:t>
      </w:r>
    </w:p>
    <w:p w14:paraId="1B02A4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3.21工亡人员供养亲属待遇停发/续发/终止</w:t>
      </w:r>
    </w:p>
    <w:p w14:paraId="6C3CAC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停发原因</w:t>
      </w:r>
    </w:p>
    <w:p w14:paraId="6B8E38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1--年满18周岁且未完全丧失劳动能力的；</w:t>
      </w:r>
    </w:p>
    <w:p w14:paraId="5DF250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2--就业或参军的；</w:t>
      </w:r>
    </w:p>
    <w:p w14:paraId="7BB4BD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3--工亡职工配偶再婚的；</w:t>
      </w:r>
    </w:p>
    <w:p w14:paraId="75715C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4--被他人或组织收养的；</w:t>
      </w:r>
    </w:p>
    <w:p w14:paraId="1E826C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5--死亡的；</w:t>
      </w:r>
    </w:p>
    <w:p w14:paraId="2DBC70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6--被判刑收监的；</w:t>
      </w:r>
    </w:p>
    <w:p w14:paraId="517924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7—未按时进行资格认证的；</w:t>
      </w:r>
    </w:p>
    <w:p w14:paraId="146CA6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续发原因</w:t>
      </w:r>
    </w:p>
    <w:p w14:paraId="3765B5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0--恢复享受待遇条件的；</w:t>
      </w:r>
    </w:p>
    <w:p w14:paraId="358B1F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1--丧失劳动能力的；</w:t>
      </w:r>
    </w:p>
    <w:p w14:paraId="6AC113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2--年满18周岁且仍在读书的；</w:t>
      </w:r>
    </w:p>
    <w:p w14:paraId="753C65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3--刑满释放的；</w:t>
      </w:r>
    </w:p>
    <w:p w14:paraId="062354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4--通过资格认证的；</w:t>
      </w:r>
    </w:p>
    <w:p w14:paraId="64D59B8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4、享受待遇人员管理</w:t>
      </w:r>
    </w:p>
    <w:p w14:paraId="63B47F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4.1工伤待遇人员生存认证</w:t>
      </w:r>
    </w:p>
    <w:p w14:paraId="7F4229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对1-4级在职和未参加养老保险的退休工伤人员每年对其生存情况进行登记；对工亡人员供养亲属生存状态进行登记；未登记的停发待遇。</w:t>
      </w:r>
    </w:p>
    <w:p w14:paraId="353989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4.2老工伤人员信息管理</w:t>
      </w:r>
    </w:p>
    <w:p w14:paraId="725871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维护老工伤人员信息并审核。</w:t>
      </w:r>
    </w:p>
    <w:p w14:paraId="25F58C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4.3工伤人员信息维护</w:t>
      </w:r>
    </w:p>
    <w:p w14:paraId="08F8BC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对工伤人员基本信息、发放信息进行维护并审核</w:t>
      </w:r>
    </w:p>
    <w:p w14:paraId="302E77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4.4老工亡人员信息管理</w:t>
      </w:r>
    </w:p>
    <w:p w14:paraId="5F11BA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维护老工亡人员信息并审核。</w:t>
      </w:r>
    </w:p>
    <w:p w14:paraId="67EBC5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4.5工伤人员用人单位（项目）信息维护</w:t>
      </w:r>
    </w:p>
    <w:p w14:paraId="311017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对工伤人员所在单位（项目）进行信息维护</w:t>
      </w:r>
    </w:p>
    <w:p w14:paraId="7911D6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4.6工伤人员补参保信息确认</w:t>
      </w:r>
    </w:p>
    <w:p w14:paraId="67F8B2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对工伤人员补参保及缴费信息进行关联确认</w:t>
      </w:r>
    </w:p>
    <w:p w14:paraId="12D1DD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4.7工伤保险待遇人员合并处理</w:t>
      </w:r>
    </w:p>
    <w:p w14:paraId="1F5317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对同一工伤保险待遇人员进行合并处理</w:t>
      </w:r>
    </w:p>
    <w:p w14:paraId="4BD40D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4.8非参保人员个人编号处理</w:t>
      </w:r>
    </w:p>
    <w:p w14:paraId="23E83C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对未参保工伤人员进行编码</w:t>
      </w:r>
    </w:p>
    <w:p w14:paraId="64A63C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4.9工伤待遇核定解封处理</w:t>
      </w:r>
    </w:p>
    <w:p w14:paraId="1536BF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工伤待遇核定解封处理</w:t>
      </w:r>
    </w:p>
    <w:p w14:paraId="0AB38A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4.10工伤保险参保时间维护</w:t>
      </w:r>
    </w:p>
    <w:p w14:paraId="4479F6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对有充分证据证明参保时间有误的参保人员时间进行维护</w:t>
      </w:r>
    </w:p>
    <w:p w14:paraId="79B618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4.11工伤保险承继变更</w:t>
      </w:r>
    </w:p>
    <w:p w14:paraId="6B350C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工伤人员集团内部调动、行政调动工伤待遇承继变更，调出方申报，调出方所在经办机构审核，推送到调入地经办机构</w:t>
      </w:r>
    </w:p>
    <w:p w14:paraId="16AD20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4.12工伤保险承继变更确认</w:t>
      </w:r>
    </w:p>
    <w:p w14:paraId="349FC9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调入地经办机构对承继变更进行审核</w:t>
      </w:r>
    </w:p>
    <w:p w14:paraId="51D2CD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4.13工伤先行支付人员新增</w:t>
      </w:r>
    </w:p>
    <w:p w14:paraId="237FD2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对满足工伤保险先行支付人员进行信息录入及审核，审核通过人员在视同通过待遇条件确认，并进行打标。在各待遇条件核定功能模块可核定相关待遇</w:t>
      </w:r>
    </w:p>
    <w:p w14:paraId="474455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5、工伤支付管理</w:t>
      </w:r>
    </w:p>
    <w:p w14:paraId="006BF1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5.1工伤待遇非定期应付核定</w:t>
      </w:r>
    </w:p>
    <w:p w14:paraId="0948F9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工伤保险待遇的非定期应付核定，每月可多次核定，核定后推送工伤保险应付汇总环节，可回退</w:t>
      </w:r>
    </w:p>
    <w:p w14:paraId="008125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5.2工伤待遇应付核定</w:t>
      </w:r>
    </w:p>
    <w:p w14:paraId="2770B5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工伤保险待遇的定期应付核定，每月只可核定一次，核定后推送工伤保险应付汇总环节，可回退</w:t>
      </w:r>
    </w:p>
    <w:p w14:paraId="48BF74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5.3工伤保险应付汇总</w:t>
      </w:r>
    </w:p>
    <w:p w14:paraId="0D14BA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应付汇总、应付确认、应付审核，包括工伤待遇、职业伤害保障待遇、工伤预防费用、劳动能力鉴定费用、职业伤害保障委托承办服务费用、协议机构月（年）结算费用，审核完后推送财务环节。发放失败可二次操作</w:t>
      </w:r>
    </w:p>
    <w:p w14:paraId="536E5E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5.4职业伤害非定期应付核定</w:t>
      </w:r>
    </w:p>
    <w:p w14:paraId="425D7E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非定期对审核完成的职业伤害待遇进行核定（每月可操作多次，应付汇总前可回退），核定后推送工伤保险应付汇总环节</w:t>
      </w:r>
    </w:p>
    <w:p w14:paraId="70113B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5.5职业伤害应付核定</w:t>
      </w:r>
    </w:p>
    <w:p w14:paraId="05C75E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定期对审核完成的职业伤害待遇进行应付核定（每月只能操作一次，应付汇总前可回退），推送工伤保险应付汇总环节</w:t>
      </w:r>
    </w:p>
    <w:p w14:paraId="497133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5.6职业伤害单位账号信息维护</w:t>
      </w:r>
    </w:p>
    <w:p w14:paraId="5487DB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对单位银行账号错误导致发放失败的，对单位账号进行维护并审核</w:t>
      </w:r>
    </w:p>
    <w:p w14:paraId="6555D5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5.7职业伤害银行信息更新处理</w:t>
      </w:r>
    </w:p>
    <w:p w14:paraId="6F185A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更新处理单位账号维护信息推送财务，由财务完成二次支付</w:t>
      </w:r>
    </w:p>
    <w:p w14:paraId="1986775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6、协议机构管理</w:t>
      </w:r>
    </w:p>
    <w:p w14:paraId="566412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6.1工伤过月处理</w:t>
      </w:r>
    </w:p>
    <w:p w14:paraId="1AE7AF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未自动过月的经办机构，进行手动过月</w:t>
      </w:r>
    </w:p>
    <w:p w14:paraId="702FB6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6.2工伤协议机构信息维护</w:t>
      </w:r>
    </w:p>
    <w:p w14:paraId="11DFD7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包括工伤协议机构新增、基本信息维护、编码维护、资格维护、支付信息维护等</w:t>
      </w:r>
    </w:p>
    <w:p w14:paraId="105B00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6.3工伤协议机构费用审核扣款</w:t>
      </w:r>
    </w:p>
    <w:p w14:paraId="7F3737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对工伤协议机构垫付的医疗费用、住院伙食费、康复费用、辅助器具配置费用按笔进行审核（通过协议机构接口传递），办理环节可扣款</w:t>
      </w:r>
    </w:p>
    <w:p w14:paraId="1FAD11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6.4工伤协议机构月（年）结算</w:t>
      </w:r>
    </w:p>
    <w:p w14:paraId="4C8EC8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对经过审核的费用按月（年）结算推送应付环节</w:t>
      </w:r>
    </w:p>
    <w:p w14:paraId="5375D1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6.5职业伤害联网结算费用审核扣款</w:t>
      </w:r>
    </w:p>
    <w:p w14:paraId="45C39E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职业伤害联网结算费用申请</w:t>
      </w:r>
    </w:p>
    <w:p w14:paraId="250586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6.6职业伤害月结算（协议机构）</w:t>
      </w:r>
    </w:p>
    <w:p w14:paraId="0F846F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按月结算协议机构垫付的职业伤害人员医疗费用</w:t>
      </w:r>
    </w:p>
    <w:p w14:paraId="4A3B15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6.7职业伤害年结算（协议机构）</w:t>
      </w:r>
    </w:p>
    <w:p w14:paraId="720F02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按年结算协议机构垫付的职业伤害人员医疗费用</w:t>
      </w:r>
    </w:p>
    <w:p w14:paraId="5F1002A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7、工伤异地就医管理</w:t>
      </w:r>
    </w:p>
    <w:p w14:paraId="2697E2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7.1工伤保险异地就医费用确认</w:t>
      </w:r>
    </w:p>
    <w:p w14:paraId="53A29B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各经办机构对异地到本地协议机构就医的费用进行核对确认，包括跨省异地就医和省内异地就医</w:t>
      </w:r>
    </w:p>
    <w:p w14:paraId="5DE06F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7.2工伤保险异地就医对账清算</w:t>
      </w:r>
    </w:p>
    <w:p w14:paraId="3A8E03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省级对全省经确认的异地就医费用进行对账清算</w:t>
      </w:r>
    </w:p>
    <w:p w14:paraId="0A34DC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8、工伤保险基金管理</w:t>
      </w:r>
    </w:p>
    <w:p w14:paraId="453E93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8.1工伤保险基金请款</w:t>
      </w:r>
    </w:p>
    <w:p w14:paraId="099582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各经办机构根据预算按月进行基金请款</w:t>
      </w:r>
    </w:p>
    <w:p w14:paraId="542705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8.2工伤待遇多发追缴登记</w:t>
      </w:r>
    </w:p>
    <w:p w14:paraId="62BBBF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对工伤保险多发待遇进行追缴登记，同步到内控系统。生成还款二维码，退款人到账后通过银行同步到账信息业务系统</w:t>
      </w:r>
    </w:p>
    <w:p w14:paraId="508980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8.3工伤待遇多发追缴还款方式变更</w:t>
      </w:r>
    </w:p>
    <w:p w14:paraId="44F200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追缴登记信息，可对还款方式进行变更（增加、作废、修改），还款方式包括一次性还款、一次性部分还款、分期还款（非强制执行）、分期还款（强制执行）、抵扣，支持多种还款方式组合，同步到内控系统</w:t>
      </w:r>
    </w:p>
    <w:p w14:paraId="3F6AFB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8.4工伤待遇多发追回</w:t>
      </w:r>
    </w:p>
    <w:p w14:paraId="50352E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对已追缴到账的工伤待遇进行录入，同步到内控系统和基金财务系统，内控登入台账，财务进行记账</w:t>
      </w:r>
    </w:p>
    <w:p w14:paraId="75A7E2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8.5工伤待遇多发追缴移交</w:t>
      </w:r>
    </w:p>
    <w:p w14:paraId="57D559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对拒绝还款、逾期未还款且后续无可抵扣资金、涉嫌欺诈骗保通过系统同步方式移交到稽核部门。</w:t>
      </w:r>
    </w:p>
    <w:p w14:paraId="2D4EE8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8.6职业伤害税务推送职业伤害保障费退费申请</w:t>
      </w:r>
    </w:p>
    <w:p w14:paraId="1BBF4F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平台企业职业伤害保障费存在多缴、重复缴纳等情形的，在职业伤害保障系统已经登记入账，且缴费未参与到相关的待遇计算的情况下，可以在税务申请退还多缴、误缴部分金额，然后由职业伤害系统办理退费。</w:t>
      </w:r>
    </w:p>
    <w:p w14:paraId="63D4453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9、职业伤害待遇</w:t>
      </w:r>
    </w:p>
    <w:p w14:paraId="0E8589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9.1职业伤害待遇条件确认</w:t>
      </w:r>
    </w:p>
    <w:p w14:paraId="1D5B36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对享受职业伤害待遇的前提下，需要先做职业伤害保险待遇条件确认，在满足职业伤害保险待遇条件确认的情况下，才可以享受职业伤害保险待遇。</w:t>
      </w:r>
    </w:p>
    <w:p w14:paraId="07308E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9.2职业伤害医疗费用报销</w:t>
      </w:r>
    </w:p>
    <w:p w14:paraId="489AA3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人员完成待遇条件确认后，可按照文件规定计算职业伤害相关待遇。省级业务系统完成待遇核定后，将享受待遇人员信息和享受一次性待遇人员信息保存到省级交换库中，通过数据同步平台将数据同步至部级交换库。</w:t>
      </w:r>
    </w:p>
    <w:p w14:paraId="344DE9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9.3职业伤害康复费用报销</w:t>
      </w:r>
    </w:p>
    <w:p w14:paraId="5BCD27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职业伤害康复费用报销。</w:t>
      </w:r>
    </w:p>
    <w:p w14:paraId="089863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9.4职业伤害辅助器具配置费用报销</w:t>
      </w:r>
    </w:p>
    <w:p w14:paraId="41B3BA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职业伤害辅助器具配置费用报销。</w:t>
      </w:r>
    </w:p>
    <w:p w14:paraId="2D413CE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9.5职业伤害医疗费用回退</w:t>
      </w:r>
    </w:p>
    <w:p w14:paraId="252DAD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对已经审核完成未进行应付核定的医疗、康复、辅助器具配置费用报销业务进行回退。</w:t>
      </w:r>
    </w:p>
    <w:p w14:paraId="5E315E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9.6职业伤害待遇核定</w:t>
      </w:r>
    </w:p>
    <w:p w14:paraId="690B01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核定一次性一次性伤残补助金、伤残津贴、护理补贴、职业伤害死亡补助金、职业伤害死亡丧葬补助金以及需要补退的金额。</w:t>
      </w:r>
    </w:p>
    <w:p w14:paraId="7BA475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9.7职业伤害待遇补发/退发</w:t>
      </w:r>
    </w:p>
    <w:p w14:paraId="066E98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针对于文件执行时间偏差和核算出现偏差等特殊情况，对职业伤害人员待遇进行补发退发。</w:t>
      </w:r>
    </w:p>
    <w:p w14:paraId="5606AF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9.8职业伤害待遇停发/续发/终止</w:t>
      </w:r>
    </w:p>
    <w:p w14:paraId="532D48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可以根据资格认证、服刑、死亡等情况，对领取定期待遇的职业伤害人员进行停发、续发、终止处理。</w:t>
      </w:r>
    </w:p>
    <w:p w14:paraId="448680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9.9职业伤害待遇调整</w:t>
      </w:r>
    </w:p>
    <w:p w14:paraId="5D5131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按照调待政策对职业伤害伤残津贴、职业伤害生活护理费进行调整。</w:t>
      </w:r>
    </w:p>
    <w:p w14:paraId="5ED980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9.10职业伤害定期待遇人员死亡待遇核定</w:t>
      </w:r>
    </w:p>
    <w:p w14:paraId="5D352D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可以根据情况，1-4级职业伤害人员治疗职业伤害期满后死亡的，要办理职业伤害待遇终止业务，停止发放定期待遇，在此功能中计算职业伤害死亡待遇（丧葬补助金）。</w:t>
      </w:r>
    </w:p>
    <w:p w14:paraId="3CD8AE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9.11职业伤害伤残津贴补差</w:t>
      </w:r>
    </w:p>
    <w:p w14:paraId="4A3A21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职业伤害伤残津贴的人员达到退休年龄并办理退休手续后，停发伤残津贴，享受基本养老保险待遇。基本养老保险待遇低于伤残津贴的，由工伤保险基金补足差额，如果有护理费，护理费正常发放。已领取基本养老保险待遇或者工伤保险伤残津贴的新就业形态就业人员，遭受职业伤害被鉴定为一级至四级伤残，不得重复领取职业伤害保障伤残津贴。</w:t>
      </w:r>
    </w:p>
    <w:p w14:paraId="38766D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9.12职业伤害等级变更待遇核定</w:t>
      </w:r>
    </w:p>
    <w:p w14:paraId="560AA8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做复查鉴定、再次鉴定之后，如职业伤害人员有等级变更，委托承办机构需要做职业伤害等级变更待遇审核，重新计算定期待遇。</w:t>
      </w:r>
    </w:p>
    <w:p w14:paraId="72BB48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9.13职业伤害治疗期内/满死亡待遇核定</w:t>
      </w:r>
    </w:p>
    <w:p w14:paraId="555ABD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对在治疗职业伤害期内/满死亡的职业伤害人员，进行确认，以便职业伤害人员享受死亡待遇。</w:t>
      </w:r>
    </w:p>
    <w:p w14:paraId="1249CA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9.14职业伤害供养亲属新增</w:t>
      </w:r>
    </w:p>
    <w:p w14:paraId="1DC93A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通过省级前置系统或线下办理录入供养亲属基本信息，按照系统算法与文件要求，自动生成遗属待遇。</w:t>
      </w:r>
    </w:p>
    <w:p w14:paraId="2908A2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9.15职业伤害供养亲属待遇补发/退发</w:t>
      </w:r>
    </w:p>
    <w:p w14:paraId="127F20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漏发、少发的情况，通过选择具体待遇项并录入补发月数和每月补发金额进行待遇补发；对于多发和错发的情况，通过选择具体待遇项并录入补发月数和每月退发金额进行待遇退发，退发数据会在生成应付计划时自动从应发待遇中进行冲减。</w:t>
      </w:r>
    </w:p>
    <w:p w14:paraId="311AAF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9.16职业伤害供养亲属待遇停发/续发/终止</w:t>
      </w:r>
    </w:p>
    <w:p w14:paraId="4A1A6A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对职业伤害供养亲属待遇进行停发/续发/终止操作。</w:t>
      </w:r>
    </w:p>
    <w:p w14:paraId="0C62E5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9.17职业伤害供养亲属待遇调整</w:t>
      </w:r>
    </w:p>
    <w:p w14:paraId="6C06CA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按照调待文件要求，对职业伤害死亡人员供养亲属抚恤金待遇进行调整，生成补发/退发金额，调整完成后后续每月按照新的待遇金额进行发放。</w:t>
      </w:r>
    </w:p>
    <w:p w14:paraId="1656D42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10、委托承办事项</w:t>
      </w:r>
    </w:p>
    <w:p w14:paraId="7EE7B4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10.1委托承办服务费核定</w:t>
      </w:r>
    </w:p>
    <w:p w14:paraId="711729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省社保中心按照委托承办服务办法和合同约定核定委托承办服务机构申请的委托承办服务费</w:t>
      </w:r>
    </w:p>
    <w:p w14:paraId="2DF690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10.2委托承办服务费应付生成</w:t>
      </w:r>
    </w:p>
    <w:p w14:paraId="21AE6A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根据审核通过应支付的委托承办服务费推送工伤保险应付汇总环节</w:t>
      </w:r>
    </w:p>
    <w:p w14:paraId="349F75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10.3职业伤害委托承办机构新增</w:t>
      </w:r>
    </w:p>
    <w:p w14:paraId="5625B9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省级经办机构负责新增委托承办机构，进行委托承办机构的管理。</w:t>
      </w:r>
    </w:p>
    <w:p w14:paraId="11EE4C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10.4职业伤害委托承办机构维护</w:t>
      </w:r>
    </w:p>
    <w:p w14:paraId="3288E1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委托承办机构基本信息需要修改的，需向省级经办机构申请后，由省级经办机构进行修改。</w:t>
      </w:r>
    </w:p>
    <w:p w14:paraId="2E7C066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10.5职业伤害委托承办机构注销</w:t>
      </w:r>
    </w:p>
    <w:p w14:paraId="4D8579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委托承办机构若后续不再负责职业伤害保障相关业务办理，则由省级经办机构进行注销。</w:t>
      </w:r>
    </w:p>
    <w:p w14:paraId="766F6A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10.6职业伤害委托承办机构区域管理</w:t>
      </w:r>
    </w:p>
    <w:p w14:paraId="34675A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各委托承办机构接受委托的区域机构由省级经办机构进行授权或取消授权。</w:t>
      </w:r>
    </w:p>
    <w:p w14:paraId="5713D33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（六）失业待遇</w:t>
      </w:r>
    </w:p>
    <w:p w14:paraId="5F58F2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对失业保险进行统一管理，包括失业保险待遇核定、失业保险待遇管理、失业保险待遇补退发、失业保险待遇转移以及失业保险待遇支付等功能。</w:t>
      </w:r>
    </w:p>
    <w:p w14:paraId="75E97FE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1、失业人员新增</w:t>
      </w:r>
    </w:p>
    <w:p w14:paraId="608AE2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符合失业保险金领取条件的人员，可通过线上线下申请领取失业保险金待遇，新增失业人员登记信息。</w:t>
      </w:r>
    </w:p>
    <w:p w14:paraId="307EC65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2、失业待遇核定</w:t>
      </w:r>
    </w:p>
    <w:p w14:paraId="5F5966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对于通过失业人员新增申请领取失业保险金待遇的，通过该功能确认审核结果，并计算失业保险金待遇、可享受月数等。</w:t>
      </w:r>
    </w:p>
    <w:p w14:paraId="5728CF4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3、大龄失业人员失业金申领</w:t>
      </w:r>
    </w:p>
    <w:p w14:paraId="04565D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距法定退休年龄1年之内的失业人员，继续发放失业保险金至法定退休年龄。</w:t>
      </w:r>
    </w:p>
    <w:p w14:paraId="364C839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4、就业不满一年续领失业金</w:t>
      </w:r>
    </w:p>
    <w:p w14:paraId="6DF7A2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距上次领取失业待遇终止后就业不满一年再次失业的，续发其失业待遇。</w:t>
      </w:r>
    </w:p>
    <w:p w14:paraId="4B4BA50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5、丧葬补助金和一次性抚恤金</w:t>
      </w:r>
    </w:p>
    <w:p w14:paraId="1A1F1C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失业人员领取失业期间死亡的，计算丧葬补助金及一次性抚恤金。</w:t>
      </w:r>
    </w:p>
    <w:p w14:paraId="16CED64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6、失业保险金余额一次性发放</w:t>
      </w:r>
    </w:p>
    <w:p w14:paraId="613E29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领取失业保险期间符合一次性发放余额情形的如自行创业等，可申请一次性发放失业保险金余额。</w:t>
      </w:r>
    </w:p>
    <w:p w14:paraId="6901F57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7、技能提升补贴申领核定</w:t>
      </w:r>
    </w:p>
    <w:p w14:paraId="167F6F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对参加失业保险正常参保缴费并且取得初级（五级）、中级（四级）、高级（三级）职业资格证书或职业技能等级证书的企业职工进行技能提升补贴的申领核定。</w:t>
      </w:r>
    </w:p>
    <w:p w14:paraId="034EB2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8、稳岗返还申领核定</w:t>
      </w:r>
    </w:p>
    <w:p w14:paraId="2592A7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对稳定就业岗位的失业保险参保企业给予的资金返还，根据企业的减员率按照规定进行资金核定。</w:t>
      </w:r>
    </w:p>
    <w:p w14:paraId="577746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9、一次性扩岗补助核定</w:t>
      </w:r>
    </w:p>
    <w:p w14:paraId="4E9741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对于招收应届大学生、离校两年未就业大学生，且正常为其参加失业保险并核定缴费的单位，发放扩岗补贴。</w:t>
      </w:r>
    </w:p>
    <w:p w14:paraId="3D8F7A2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10、失业劳务派遣单位管理</w:t>
      </w:r>
    </w:p>
    <w:p w14:paraId="176F71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维护失业保险劳务派遣单位信息。</w:t>
      </w:r>
    </w:p>
    <w:p w14:paraId="7537A6E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11、劳务派遣单位稳岗返还申领核定</w:t>
      </w:r>
    </w:p>
    <w:p w14:paraId="79CD50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对稳定就业岗位的失业保险劳务派遣参保企业给予的返还资金，根据企业的减员率按照规定进行资金核定。</w:t>
      </w:r>
    </w:p>
    <w:p w14:paraId="00D194E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12、劳务派遣单位一次性扩岗补助申领核定</w:t>
      </w:r>
    </w:p>
    <w:p w14:paraId="18BB7E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对于招收应届大学生、离校两年未就业大学生，且正常为其参加失业保险并核定缴费的劳务派遣单位，发放扩岗补贴。</w:t>
      </w:r>
    </w:p>
    <w:p w14:paraId="503043B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13、大龄领金人员基本养老保险费申请</w:t>
      </w:r>
    </w:p>
    <w:p w14:paraId="7B3F6E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对于大龄领取失业保险金且以灵活就业身份缴纳基本养老保险费的失业人员，按缴费地灵活就业最低缴费标准补发其基本养老保险费。</w:t>
      </w:r>
    </w:p>
    <w:p w14:paraId="237D336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14、失业待遇停发</w:t>
      </w:r>
    </w:p>
    <w:p w14:paraId="74C447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因特殊情形需停发正常领取失业保险金人员待遇的，通过该功能停发其失业保险金待遇。</w:t>
      </w:r>
    </w:p>
    <w:p w14:paraId="5C47FE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15、失业待遇续发</w:t>
      </w:r>
    </w:p>
    <w:p w14:paraId="3501DD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恢复已停发失业保险金人员的失业保险金待遇，并产生补发。</w:t>
      </w:r>
    </w:p>
    <w:p w14:paraId="3E6C12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16、失业待遇终止</w:t>
      </w:r>
    </w:p>
    <w:p w14:paraId="39EE44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人员因就业等特殊情形，不符合继续领取失业保险金待遇的，通过该功能终止失业保险金待遇。</w:t>
      </w:r>
    </w:p>
    <w:p w14:paraId="6F9081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17、失业人员发放信息变更</w:t>
      </w:r>
    </w:p>
    <w:p w14:paraId="158276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维护失业领待人员的发放账号信息。</w:t>
      </w:r>
    </w:p>
    <w:p w14:paraId="52424EE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18、失业待遇领取资格认证</w:t>
      </w:r>
    </w:p>
    <w:p w14:paraId="089739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按每半年一次进行领金人员的生存状态进行认证（人脸识别、手动确认等方式）</w:t>
      </w:r>
    </w:p>
    <w:p w14:paraId="28CEDA8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19、失业人员基本信息维护</w:t>
      </w:r>
    </w:p>
    <w:p w14:paraId="095F0D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维护领取失业待遇人员的失业日期、缴费月数等信息。</w:t>
      </w:r>
    </w:p>
    <w:p w14:paraId="3481121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20、按月补退发</w:t>
      </w:r>
    </w:p>
    <w:p w14:paraId="68A0E6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按照失业金月待遇产生补发退发。 按照补发、退发月数增加或减少已享受月数，减少或增加剩余可享受月数。</w:t>
      </w:r>
    </w:p>
    <w:p w14:paraId="6AB37D4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21、特殊补退发</w:t>
      </w:r>
    </w:p>
    <w:p w14:paraId="16CB10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对领取失业保险金的人员，因特殊情况需完成补退待遇的，特殊补退一笔待遇。</w:t>
      </w:r>
    </w:p>
    <w:p w14:paraId="1D2951F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22、失业待遇调整特殊补发</w:t>
      </w:r>
    </w:p>
    <w:p w14:paraId="62C8A0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失业待遇标准调整后，通过该功能进行批量补发。</w:t>
      </w:r>
    </w:p>
    <w:p w14:paraId="224645E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23、单位特殊补退发</w:t>
      </w:r>
    </w:p>
    <w:p w14:paraId="6626CB4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因特殊原因，需对企业产生稳岗补贴或一次性扩岗补助补退发业务的，通过该功能办理。</w:t>
      </w:r>
    </w:p>
    <w:p w14:paraId="38DD412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24、应付核定</w:t>
      </w:r>
    </w:p>
    <w:p w14:paraId="21CFEF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按月产生失业保险金、失业补助金、技能提升补贴、稳岗补贴、扩岗补贴及大龄领金人员基本养老保险费等失业待遇的应付数据。</w:t>
      </w:r>
    </w:p>
    <w:p w14:paraId="2F4D1C9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25、支付计划</w:t>
      </w:r>
    </w:p>
    <w:p w14:paraId="55745C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对本月应付核定数据进行待遇支付，推送至失业保险财务。</w:t>
      </w:r>
    </w:p>
    <w:p w14:paraId="470AC3E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26、失业待遇失败重发</w:t>
      </w:r>
    </w:p>
    <w:p w14:paraId="370075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对于本期因特殊情况发放失败的，通过该功能完成待遇重发。</w:t>
      </w:r>
    </w:p>
    <w:p w14:paraId="73E18A2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27、价格临时补贴月标准金额录入</w:t>
      </w:r>
    </w:p>
    <w:p w14:paraId="7D9A5B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经办人员根据政策要求对本月价格临时补贴月标准进行录入操作。</w:t>
      </w:r>
    </w:p>
    <w:p w14:paraId="4752751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28、价格临时补贴应付核定</w:t>
      </w:r>
    </w:p>
    <w:p w14:paraId="282003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根据录入的价格临时补贴数据，进行价格临时补贴待遇应付核定。</w:t>
      </w:r>
    </w:p>
    <w:p w14:paraId="55E6931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29、扣款处理</w:t>
      </w:r>
    </w:p>
    <w:p w14:paraId="72AB34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对于失业保险金、失业补助金及技能提升补贴等对个人发放的待遇，产生退发数据时，通过扣款处理产生追款单据。</w:t>
      </w:r>
    </w:p>
    <w:p w14:paraId="440578F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30、单位扣款处理</w:t>
      </w:r>
    </w:p>
    <w:p w14:paraId="041A2F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对于稳岗返还及一次性扩岗补助等对单位发放的待遇，产生退发数据时，通过单位扣款处理产生追款单据。</w:t>
      </w:r>
    </w:p>
    <w:p w14:paraId="1B0E421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31、失业保险问题数据订正</w:t>
      </w:r>
    </w:p>
    <w:p w14:paraId="0B672A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对于错误导入的失业保险问题数据，进行数据订正，并推送失业保险待遇续发。</w:t>
      </w:r>
    </w:p>
    <w:p w14:paraId="0AF8EB3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32、失业拨付单据汇总</w:t>
      </w:r>
    </w:p>
    <w:p w14:paraId="6F4021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当业务需要对业务退款单进行拨付时，业务产生拨付汇总单，以此汇总单和财务进行对接工作，财务接收汇总单后，进行资金拨付。</w:t>
      </w:r>
    </w:p>
    <w:p w14:paraId="48865B7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33、领取失业保险金人员代缴医保核定</w:t>
      </w:r>
    </w:p>
    <w:p w14:paraId="4363B7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参保职工失业后领取失业保险金期间由失业保险经办机构为其代缴职工基本医疗保险，汇总申报数据录入医保系统。</w:t>
      </w:r>
    </w:p>
    <w:p w14:paraId="774EC78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（七）职业年金</w:t>
      </w:r>
    </w:p>
    <w:p w14:paraId="3F0385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对职业年金业务进行统一管理，实现机关事业单位养老保险与职业年金业务统一经办管理、一体化流程管理。</w:t>
      </w:r>
    </w:p>
    <w:p w14:paraId="25139E7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1、不符合补记条件人员信息申报</w:t>
      </w:r>
    </w:p>
    <w:p w14:paraId="6EFAB6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受理参保单位提交的不符合补记条件人员信息，推送本级人社行政部门审核。</w:t>
      </w:r>
    </w:p>
    <w:p w14:paraId="1FD941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2、不符合补记条件人员信息审核</w:t>
      </w:r>
    </w:p>
    <w:p w14:paraId="41128A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行政部门审核参保单位提交的不符合补记职业年金人员的信息。审核通过的，标记为“不符合补记条件人员”，人员跨制度转出时不再校验补记缴费到账情况，审核不通过的，退回参保单位重新填报。</w:t>
      </w:r>
    </w:p>
    <w:p w14:paraId="2A8A0FB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3、职业年金缴费匹配</w:t>
      </w:r>
    </w:p>
    <w:p w14:paraId="00836C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按参保单位匹配职业年金归集户（或国库）回传的收入流水明细与职业年金已归集的缴费明细，列出差异单位情况。支持excel导入的收入流水匹配。</w:t>
      </w:r>
    </w:p>
    <w:p w14:paraId="6F8F329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4、职业年金归集前缴费对账</w:t>
      </w:r>
    </w:p>
    <w:p w14:paraId="53671A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按参保单位比对职业年金归集金额与缴费到账金额、转入匹配金额情况，列出差异单位情况。</w:t>
      </w:r>
    </w:p>
    <w:p w14:paraId="703D875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5、职业年金归集户对账</w:t>
      </w:r>
    </w:p>
    <w:p w14:paraId="7ADE5C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按月接收本级职业年金归集户银行回传的归集户银行对账结果。查询归集户已匹配和未匹配的银行流水明细。</w:t>
      </w:r>
    </w:p>
    <w:p w14:paraId="49C2421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6、生成本级职业年金缴费归集计划</w:t>
      </w:r>
    </w:p>
    <w:p w14:paraId="435D9E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根据职业年金缴费到账情况、转入资金匹配情况等生成本级职业年金缴费归集计划，审核通过后推送至归集户划款指令模块办理划款。</w:t>
      </w:r>
    </w:p>
    <w:p w14:paraId="5258162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7、本级职业年金归集户利息归集计划</w:t>
      </w:r>
    </w:p>
    <w:p w14:paraId="3B0A3B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根据归集户银行利息登账数据，生成本级职业年金归集户利息归集计划，审核通过后推送至职业年金归集户划款指令模块办理划款。</w:t>
      </w:r>
    </w:p>
    <w:p w14:paraId="075F96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8、省级职业年金归集户利息归集计划</w:t>
      </w:r>
    </w:p>
    <w:p w14:paraId="3619B6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根据归集户银行利息登账数据，生成省级职业年金归集户利息归集计划，审核通过后推送至职业年金归集户划款指令模块办理划款。</w:t>
      </w:r>
    </w:p>
    <w:p w14:paraId="70E27C9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9、全省职业年金缴费归集</w:t>
      </w:r>
    </w:p>
    <w:p w14:paraId="47E410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查询全省职业年金缴费归集金额划转省级职业年金归集户到账情况，对已到账的生成全省职业年金缴费归集计划。审核通过后推送至划款通知生成模块，按照当前已生效的资金分配规则办理划款。</w:t>
      </w:r>
    </w:p>
    <w:p w14:paraId="5121E5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10、全省职业年金归集户利息归集</w:t>
      </w:r>
    </w:p>
    <w:p w14:paraId="6269B1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用归集户银行接口查询全省职业年金利息归集金额划转省级职业年金归集户到账情况，对已到账的生成全省职业年金利息归集计划。审核通过后推送至划款通知生成模块，按照当前已生效的利息分配规则办理划款。</w:t>
      </w:r>
    </w:p>
    <w:p w14:paraId="3F3E9F4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11、本级职业年金待遇支付计划</w:t>
      </w:r>
    </w:p>
    <w:p w14:paraId="35BB45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生成本级职业年金定期待遇及一次性待遇支付计划。审核通过后推送至职业年金支付计划省级汇总模块汇总。</w:t>
      </w:r>
    </w:p>
    <w:p w14:paraId="722B78E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12、本级职业年金待遇失败重发计划</w:t>
      </w:r>
    </w:p>
    <w:p w14:paraId="432ACE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汇总本统筹区职业年金待遇失败重发人员信息，生成职业年金待遇失败重发支付计划。审核通过后推送至职业年金当月失败重发计划省级汇总模块汇总。</w:t>
      </w:r>
    </w:p>
    <w:p w14:paraId="3D9EA54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13、职业年金支付计划省级汇总</w:t>
      </w:r>
    </w:p>
    <w:p w14:paraId="73E8C3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汇总全省职业年金退费（含多缴退费、补记退费、转入退费）、转出、待遇、划转缴费一次性退费支付计划。</w:t>
      </w:r>
    </w:p>
    <w:p w14:paraId="44D2355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14、职业年金待遇当月失败重发计划省级汇总</w:t>
      </w:r>
    </w:p>
    <w:p w14:paraId="56FEFF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汇总全省职业年金待遇当月失败重发计划。</w:t>
      </w:r>
    </w:p>
    <w:p w14:paraId="2098835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15、职业年金实付前个人账户余额校验</w:t>
      </w:r>
    </w:p>
    <w:p w14:paraId="7A77FE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单位净值更新后，比对退费、结算及待遇待支付人员待支付金额与职业年金个人账户余额。对个人账户余额不足退费或待遇支付的，暂不赎回相关资金。</w:t>
      </w:r>
    </w:p>
    <w:p w14:paraId="219F473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16、职业年金实付计划</w:t>
      </w:r>
    </w:p>
    <w:p w14:paraId="212BA6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根据实付前个人账户余额校验结果，剔除余额不足支付人员；将补记退费、转出、一次性待遇及划转退费一次性支付等支付类型按更新后的单位净值转换支付金额。</w:t>
      </w:r>
    </w:p>
    <w:p w14:paraId="72D2A9F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17、支付信息通知</w:t>
      </w:r>
    </w:p>
    <w:p w14:paraId="25CF926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向支付计划受托人推送职业年金当期及失败重发的待遇及退费支付通知及人员明细。</w:t>
      </w:r>
    </w:p>
    <w:p w14:paraId="59985FE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18、支付信息反馈</w:t>
      </w:r>
    </w:p>
    <w:p w14:paraId="54C379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接收支付计划受托人反馈的待遇及退费支付结果。更新对应支付标识。</w:t>
      </w:r>
    </w:p>
    <w:p w14:paraId="137F0D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19、支付结果更新</w:t>
      </w:r>
    </w:p>
    <w:p w14:paraId="3E5CEA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对因延迟反馈导致支付结果有误的，逐笔接收支付计划受托人重新推送的支付结果信息，更新对应支付标识。</w:t>
      </w:r>
    </w:p>
    <w:p w14:paraId="32272E8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20、职业年金转出支付确认</w:t>
      </w:r>
    </w:p>
    <w:p w14:paraId="7FA82D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生成当期职业年金跨省跨制度转出人员支付明细和失败重发人员明细。</w:t>
      </w:r>
    </w:p>
    <w:p w14:paraId="2CD77EA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21、职业年金转出当月二次支付确认</w:t>
      </w:r>
    </w:p>
    <w:p w14:paraId="0A96C8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生成当月转出二次支付人员明细。</w:t>
      </w:r>
    </w:p>
    <w:p w14:paraId="65CF9E6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22、职业年金转出支付信息推送</w:t>
      </w:r>
    </w:p>
    <w:p w14:paraId="6B941E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对已生成的职业年金转出人员明细推送对应支付计划受托人支付。</w:t>
      </w:r>
    </w:p>
    <w:p w14:paraId="6CB60F0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23、职业年金转出支付结果反馈</w:t>
      </w:r>
    </w:p>
    <w:p w14:paraId="754637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接收支付计划受托人反馈的转移支付结果信息。</w:t>
      </w:r>
    </w:p>
    <w:p w14:paraId="55E22E2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24、职业年金个人账户合并</w:t>
      </w:r>
    </w:p>
    <w:p w14:paraId="3918B9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对同一身份证号对应多个个人编号的人员合并职业年金个人账户。</w:t>
      </w:r>
    </w:p>
    <w:p w14:paraId="0E87EC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25、注销人员职业年金个人账户处理</w:t>
      </w:r>
    </w:p>
    <w:p w14:paraId="71602E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对已注销并完成注销人员职业年金利息退费的人员清理职业年金个人账户，将账户内剩余投资收益定期转换为基金投资收益。</w:t>
      </w:r>
    </w:p>
    <w:p w14:paraId="623F716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26、职业年金增量做实统筹区信息录入</w:t>
      </w:r>
    </w:p>
    <w:p w14:paraId="6483F2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录入已启动职业年金增量做实统筹区的启动时间及对应定价日</w:t>
      </w:r>
    </w:p>
    <w:p w14:paraId="16CD5D4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27、职业年金统一计划管理</w:t>
      </w:r>
    </w:p>
    <w:p w14:paraId="2660D9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新增或变更职业年金统一计划机构对应信息，确定尾差处理计划。查询历史变更记录。</w:t>
      </w:r>
    </w:p>
    <w:p w14:paraId="4791BCE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28、预留支付资金和支付保障金</w:t>
      </w:r>
    </w:p>
    <w:p w14:paraId="519944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新增/变更/作废职业年金计划支付保障金和支付预留资金信息，参与每月新增缴费资金分配计算。向支付计划受托人推送已生效的预留支付资金金额。查询历史变更记录。</w:t>
      </w:r>
    </w:p>
    <w:p w14:paraId="65B8CF1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29、职业年金计划新增</w:t>
      </w:r>
    </w:p>
    <w:p w14:paraId="34F8E5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录入新增职业年金计划信息，包括计划对应受托机构、托管银行、受托户开户行、机构联系方式等。</w:t>
      </w:r>
    </w:p>
    <w:p w14:paraId="64663FF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30、职业年金计划信息变更</w:t>
      </w:r>
    </w:p>
    <w:p w14:paraId="087FD9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变更职业年金计划信息，包括计划对应受托机构、托管银行、受托户开户行、机构联系方式等。查询历史变更记录。</w:t>
      </w:r>
    </w:p>
    <w:p w14:paraId="0228532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31、职业年金计划资金分配规则管理</w:t>
      </w:r>
    </w:p>
    <w:p w14:paraId="5C5241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调整各计划新增缴费资金分配比例和资金赎回比例，用于每月新增缴费资金分配计算。查询历史变更记录。</w:t>
      </w:r>
    </w:p>
    <w:p w14:paraId="7E149CD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32、投资组合信息</w:t>
      </w:r>
    </w:p>
    <w:p w14:paraId="67C285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新增或变更各计划对应投资组合信息，终止投资组合。按计划调整各投资组合资金分配比例。记录投资组合类型。查询历史变更记录。</w:t>
      </w:r>
    </w:p>
    <w:p w14:paraId="4BF1DC8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33、职业年金信息推送</w:t>
      </w:r>
    </w:p>
    <w:p w14:paraId="58D60A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向受托人推送计划基本信息、投资组合基本信息、年金管理人信息、统一计划成交汇总表。</w:t>
      </w:r>
    </w:p>
    <w:p w14:paraId="3163FDA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34、利息分配规则管理</w:t>
      </w:r>
    </w:p>
    <w:p w14:paraId="5FA548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调整各计划新增利息资金分配比例，用于每月新增归集户利息资金分配计算。查询历史变更记录。</w:t>
      </w:r>
    </w:p>
    <w:p w14:paraId="1D159C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35、职业年金费用支付管理</w:t>
      </w:r>
    </w:p>
    <w:p w14:paraId="55AF89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录入各年金计划受托费、托管费、投资管理费等管理费支付情况，包括年金计划号、管理机构、费用金额、费用类型、计费起止时间、支付时间等。</w:t>
      </w:r>
    </w:p>
    <w:p w14:paraId="3DCFDAC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36、审计费管理</w:t>
      </w:r>
    </w:p>
    <w:p w14:paraId="1C51D0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录入各年金计划审计费情况，包括计划名称、组合名称、审计起止区间、审计合同号、合同签订日期、审计费金额、审计类型等。</w:t>
      </w:r>
    </w:p>
    <w:p w14:paraId="5FF94C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37、清算费管理</w:t>
      </w:r>
    </w:p>
    <w:p w14:paraId="2F1394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录入各年金计划各组合清算费情况，包括计划名称、组合名称、合同起止时间、清算费金额、清算合同信息、清算日期等。</w:t>
      </w:r>
    </w:p>
    <w:p w14:paraId="4C7132C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38、管理费计算</w:t>
      </w:r>
    </w:p>
    <w:p w14:paraId="5E590A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维护受托费、托管费、投资管理费计算规则，通过受托接口接入或导入各计划受托人提供的计算底稿，按计算规则计算各计划（组合）管理费金额。</w:t>
      </w:r>
    </w:p>
    <w:p w14:paraId="11E1E4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39、机构合同管理</w:t>
      </w:r>
    </w:p>
    <w:p w14:paraId="29F26A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录入受托、托管、投资管理机构合同信息，包括合同名称、起止日期、备案情况等。上传合同附件档案。</w:t>
      </w:r>
    </w:p>
    <w:p w14:paraId="20D841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40、职业年金定价日管理</w:t>
      </w:r>
    </w:p>
    <w:p w14:paraId="2C1499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按年度录入定价日信息，查询历史年度定价日。</w:t>
      </w:r>
    </w:p>
    <w:p w14:paraId="6175E88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41、统一计划单位净值、收益计算</w:t>
      </w:r>
    </w:p>
    <w:p w14:paraId="2C8CCE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各受托人推送的计划和组合单位净值、资产总净值等信息，计算统一计划单位净值，与统一计划受托人推送的统一计划单位净值比对。调用记账缴费份额转换规则，将已归集个人缴费对应的单位记账缴费转换为记账份额。</w:t>
      </w:r>
    </w:p>
    <w:p w14:paraId="2844C94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42、成交报表处理</w:t>
      </w:r>
    </w:p>
    <w:p w14:paraId="324246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根据当月缴费投资和赎回支付信息，生成各计划投资成交报表，推送各受托人。</w:t>
      </w:r>
    </w:p>
    <w:p w14:paraId="3A18435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43、投资成交管理</w:t>
      </w:r>
    </w:p>
    <w:p w14:paraId="2DEA70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根据当月单位净值和缴费投资、赎回支付人员明细，按人员转换和记录对应投资和赎回变动份额。</w:t>
      </w:r>
    </w:p>
    <w:p w14:paraId="1E14EA6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44、统一计划成交报表处理</w:t>
      </w:r>
    </w:p>
    <w:p w14:paraId="73663E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生成并打印统一计划成交报表，推送统一计划受托人。</w:t>
      </w:r>
    </w:p>
    <w:p w14:paraId="29D2070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45、风险事件登记</w:t>
      </w:r>
    </w:p>
    <w:p w14:paraId="478F2A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接收受托人推送的风险事件报告，登记受托人报送的风险事件及后续处置情况。</w:t>
      </w:r>
    </w:p>
    <w:p w14:paraId="24FFF1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46、划款通知生成</w:t>
      </w:r>
    </w:p>
    <w:p w14:paraId="18014D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根据缴费和利息资金分配规则，生成各计划资金分配划款通知，审核通过后推送财务部门划款。</w:t>
      </w:r>
    </w:p>
    <w:p w14:paraId="76D0B56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47、机构信息管理</w:t>
      </w:r>
    </w:p>
    <w:p w14:paraId="53F669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新增或变更受托、托管、投资管理机构基础信息，包括机构名称、机构代码、机构类型、资格编号等。登记机构差错事件。</w:t>
      </w:r>
    </w:p>
    <w:p w14:paraId="47CCA9F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48、组合间投资转换</w:t>
      </w:r>
    </w:p>
    <w:p w14:paraId="78CB07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记录组合间投资转换情况，包括计划名称、组合名称、转换时间、转出金额、转换比例、组合单位净值、定价日等。</w:t>
      </w:r>
    </w:p>
    <w:p w14:paraId="6C93EE0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49、投资监督报表查询</w:t>
      </w:r>
    </w:p>
    <w:p w14:paraId="270A20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接收受托机构推送的投资监督系列报表。包括职业年金委托运营基金资产负债表、委托投资基金收支表、计划基本情况表等。回退后可重新接收。</w:t>
      </w:r>
    </w:p>
    <w:p w14:paraId="74187A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50、投资监督报表数据回退</w:t>
      </w:r>
    </w:p>
    <w:p w14:paraId="593232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退回受托机构推送的投资监督系列报表，删除对应数据。</w:t>
      </w:r>
    </w:p>
    <w:p w14:paraId="1E9424B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51、管理人信息变更</w:t>
      </w:r>
    </w:p>
    <w:p w14:paraId="56B7F9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记录各计划高级管理人、投资经理人员变更情况。</w:t>
      </w:r>
    </w:p>
    <w:p w14:paraId="6F6BCC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52、战略资产配置方案</w:t>
      </w:r>
    </w:p>
    <w:p w14:paraId="071DE0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接收并展示各计划受托人推送的大类资产配置方案，包括方案名称、资产类型、资产配置占比、实际持仓占比等。可按年度、季度、计划名称、方案名称查询历史方案。</w:t>
      </w:r>
    </w:p>
    <w:p w14:paraId="3679D05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53、投资监督事项表</w:t>
      </w:r>
    </w:p>
    <w:p w14:paraId="324366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接收并展示各计划受托人推送的投资监督事项表，可按计划、组合和投资管理人查询历史事项表。</w:t>
      </w:r>
    </w:p>
    <w:p w14:paraId="36A36F6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54、资产配置仓位分析</w:t>
      </w:r>
    </w:p>
    <w:p w14:paraId="70DC49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接收并展示各计划受托人推送的各大类资产净值，分析持仓占比。按大类资产仓位、权益类仓位、市值固收类仓位、成本固收类仓位、流动性仓位展示。</w:t>
      </w:r>
    </w:p>
    <w:p w14:paraId="71148C7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55、固收类资产分析</w:t>
      </w:r>
    </w:p>
    <w:p w14:paraId="2346AE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接收并展示各计划受托人推送的固收类资产净值，分析固收类资产盈利变动及占比情况。</w:t>
      </w:r>
    </w:p>
    <w:p w14:paraId="7D74F72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56、流动性资产分析</w:t>
      </w:r>
    </w:p>
    <w:p w14:paraId="02EDC4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接收并展示各计划受托人推送的流动性资产净值，分析流动性资产占比情况。</w:t>
      </w:r>
    </w:p>
    <w:p w14:paraId="2A6A571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57、养老金产品深度分析</w:t>
      </w:r>
    </w:p>
    <w:p w14:paraId="7B6274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接收并展示各计划受托人推送的养老金产品，按计划、组合、投资经理等多维度分析养老金产品资产净值、收益率等情况。</w:t>
      </w:r>
    </w:p>
    <w:p w14:paraId="32C24A2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58、持仓集中度分析</w:t>
      </w:r>
    </w:p>
    <w:p w14:paraId="42F324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展示资产类型的持仓集中度。</w:t>
      </w:r>
    </w:p>
    <w:p w14:paraId="77252CA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59、持仓明细下钻</w:t>
      </w:r>
    </w:p>
    <w:p w14:paraId="0755BD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展示统一计划及各计划各类资产的持仓规模。</w:t>
      </w:r>
    </w:p>
    <w:p w14:paraId="4EED661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60、收益分析</w:t>
      </w:r>
    </w:p>
    <w:p w14:paraId="12C7F1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展示统一计划与各计划的收益走势图，展示收益与业绩比较基准的收益率， 表中展示各区间的收益率。</w:t>
      </w:r>
    </w:p>
    <w:p w14:paraId="5FAEC77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61、投资管理人收益查询</w:t>
      </w:r>
    </w:p>
    <w:p w14:paraId="3D7420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展示各投资管理人各区间的组合收益情况</w:t>
      </w:r>
    </w:p>
    <w:p w14:paraId="1FBEC19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62、资产配置及收益归因分析</w:t>
      </w:r>
    </w:p>
    <w:p w14:paraId="626B13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展示分析各计划各组合资产净值比例、资产投资收益率的数据。</w:t>
      </w:r>
    </w:p>
    <w:p w14:paraId="2A9A3D1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63、信用风险预警</w:t>
      </w:r>
    </w:p>
    <w:p w14:paraId="29B096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展示计划、组合、债券的预警类型、评级、预警明细等内容。</w:t>
      </w:r>
    </w:p>
    <w:p w14:paraId="33290A5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64、风险指标分析</w:t>
      </w:r>
    </w:p>
    <w:p w14:paraId="36EEA5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展示夏普比率、波动率、最大回撤率等风险指标分析的数据与排名。</w:t>
      </w:r>
    </w:p>
    <w:p w14:paraId="608B160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65、证券反查组合持仓</w:t>
      </w:r>
    </w:p>
    <w:p w14:paraId="4E37B2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展示组合的产品名称、评级、持仓市值与持仓数量等数据。</w:t>
      </w:r>
    </w:p>
    <w:p w14:paraId="29DCC82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66、投资风险提示</w:t>
      </w:r>
    </w:p>
    <w:p w14:paraId="10D1A3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展示投资范围预警、市值占比预警、风险提示信息、大类资产合规预警的数据。</w:t>
      </w:r>
    </w:p>
    <w:p w14:paraId="5C309D5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67、投资组合资金比例控制</w:t>
      </w:r>
    </w:p>
    <w:p w14:paraId="5D3601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展示组合的超标开始时间、持续天数、超标项等数据。</w:t>
      </w:r>
    </w:p>
    <w:p w14:paraId="0F07997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68、计划层资金监控</w:t>
      </w:r>
    </w:p>
    <w:p w14:paraId="2D61ED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展示计划层收入与支出的现金流明细、现金流分布情况。</w:t>
      </w:r>
    </w:p>
    <w:p w14:paraId="3273259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69、资金划拨监控</w:t>
      </w:r>
    </w:p>
    <w:p w14:paraId="642C99C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展示计划、投管人的资金支出、流入的数据明细。</w:t>
      </w:r>
    </w:p>
    <w:p w14:paraId="599588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70、数据巡检</w:t>
      </w:r>
    </w:p>
    <w:p w14:paraId="09B829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受托人各接口数据传递内容及时间巡检。</w:t>
      </w:r>
    </w:p>
    <w:p w14:paraId="169A383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71、职业年金投资情况月报</w:t>
      </w:r>
    </w:p>
    <w:p w14:paraId="6CACCE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选定指标项，生成职业年金投资情况月报。</w:t>
      </w:r>
    </w:p>
    <w:p w14:paraId="6EA21B4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72、风险事件登记台账查询</w:t>
      </w:r>
    </w:p>
    <w:p w14:paraId="247D92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查询风险事件登记台账。</w:t>
      </w:r>
    </w:p>
    <w:p w14:paraId="343863D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73、管理机构考核管理</w:t>
      </w:r>
    </w:p>
    <w:p w14:paraId="314972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自定义定量考核指标项，根据指标项测算受托人考核指标得分，资金分配比例测算、托管和投管考核指标得分验算。</w:t>
      </w:r>
    </w:p>
    <w:p w14:paraId="04C6512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74、职业年金管理人员数量填报</w:t>
      </w:r>
    </w:p>
    <w:p w14:paraId="7CBC9A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各级按年度填报本级职业年金管理人员数量（分编制内和编制外），列入职业年金基金账户管理年度报告。</w:t>
      </w:r>
    </w:p>
    <w:p w14:paraId="5C8F015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75、职业年金记账缴费本息份额转换</w:t>
      </w:r>
    </w:p>
    <w:p w14:paraId="1F5384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根据职业年金个人缴费到账归集情况、实施准备期虚拟记账情况，生成对应单位记账缴费转换增加份额；根据记账缴费本息做实情况、退费、实施准备期清缴情况，生成对应单位记账缴费转换减少份额。</w:t>
      </w:r>
    </w:p>
    <w:p w14:paraId="320796B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76、年金虚账做实（利息）单笔到账确认</w:t>
      </w:r>
    </w:p>
    <w:p w14:paraId="3798E5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用于确认账户已收到年金虚账做实（利息）资金，并与业务单笔单据自动配账，完成后生成会计凭证，推送业务处理。如经办人员核实后不属于该业务类型的，支持手动选择其他业务类型。</w:t>
      </w:r>
    </w:p>
    <w:p w14:paraId="731401E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77、年金虚账做实（利息）批量到账确认</w:t>
      </w:r>
    </w:p>
    <w:p w14:paraId="737A85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用于确认账户已收到年金虚账做实（利息）资金，并与业务批量单据自动配账，完成后生成会计凭证，推送业务处理。如经办人员核实后不属于该业务类型的，支持手动选择其他业务类型。</w:t>
      </w:r>
    </w:p>
    <w:p w14:paraId="6323611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78、职业年金一次性转商保申请</w:t>
      </w:r>
    </w:p>
    <w:p w14:paraId="34F4ED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根据退休人员申请，发起职业年金个人账户资金一次性购买商业养老保险产品。</w:t>
      </w:r>
    </w:p>
    <w:p w14:paraId="0B92B82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79、企业年金管理</w:t>
      </w:r>
    </w:p>
    <w:p w14:paraId="10B277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包括但不限于企业年金计划备案、合同备案、相关报告报送、数据统计、转移接续等。</w:t>
      </w:r>
    </w:p>
    <w:p w14:paraId="1D3B481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（八）代发待遇</w:t>
      </w:r>
    </w:p>
    <w:p w14:paraId="0DE068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对社会保险代发待遇项进行统一管理，实现代发待遇发放一体化。</w:t>
      </w:r>
    </w:p>
    <w:p w14:paraId="7284162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1、统筹外待遇发放</w:t>
      </w:r>
    </w:p>
    <w:p w14:paraId="1A3F1F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通过该功能批量导入职教幼教、军转干部、离退休人员一次性生活补贴等人员及待遇信息，生成发放计划并推送财务。</w:t>
      </w:r>
    </w:p>
    <w:p w14:paraId="7A887F0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2、统筹外代发项目维护</w:t>
      </w:r>
    </w:p>
    <w:p w14:paraId="23B01B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对各类人员的特殊待遇类项目进行新增、减少等信息维护</w:t>
      </w:r>
    </w:p>
    <w:p w14:paraId="6A3ABF7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3、统筹待遇应付计划生成</w:t>
      </w:r>
    </w:p>
    <w:p w14:paraId="319AB6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生成当期统筹待遇应付计划</w:t>
      </w:r>
    </w:p>
    <w:p w14:paraId="0C908E0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4、退休人员统筹待遇信息采集</w:t>
      </w:r>
    </w:p>
    <w:p w14:paraId="6EF43F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退休人员统筹待遇信息申报</w:t>
      </w:r>
    </w:p>
    <w:p w14:paraId="713F3E9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5、退休人员统筹待遇信息变更</w:t>
      </w:r>
    </w:p>
    <w:p w14:paraId="6A7439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统筹待遇信息变更</w:t>
      </w:r>
    </w:p>
    <w:p w14:paraId="4140054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6、退休人员统筹待遇零星暂停</w:t>
      </w:r>
    </w:p>
    <w:p w14:paraId="3F3876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办理统筹待遇暂停</w:t>
      </w:r>
    </w:p>
    <w:p w14:paraId="37585B1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7、退休人员统筹待遇零星恢复</w:t>
      </w:r>
    </w:p>
    <w:p w14:paraId="2D949E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办理统筹待遇恢复</w:t>
      </w:r>
    </w:p>
    <w:p w14:paraId="3659B8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8、退休人员统筹待遇批量暂停</w:t>
      </w:r>
    </w:p>
    <w:p w14:paraId="0B5334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单位批量办理统筹待遇暂停</w:t>
      </w:r>
    </w:p>
    <w:p w14:paraId="6091D99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9、退休人员统筹待遇批量恢复</w:t>
      </w:r>
    </w:p>
    <w:p w14:paraId="0D115F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单位批量办理统筹待遇恢复</w:t>
      </w:r>
    </w:p>
    <w:p w14:paraId="0583614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10、居保代发业务</w:t>
      </w:r>
    </w:p>
    <w:p w14:paraId="6ECB84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经办各地城乡居保范围外业务经办，包括统筹外待遇（高龄补贴、退捕渔民缴费补贴、村干部等）发放、资金管理</w:t>
      </w:r>
    </w:p>
    <w:p w14:paraId="33B001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（九）关系转移</w:t>
      </w:r>
    </w:p>
    <w:p w14:paraId="4F3A7B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对社会保险跨统筹区转移，跨制度跨统筹区转移进行统一经办管理，对接部养老转移平台（含二期、三期）。</w:t>
      </w:r>
    </w:p>
    <w:p w14:paraId="4B3F9FE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1、企保跨省转移申请</w:t>
      </w:r>
    </w:p>
    <w:p w14:paraId="12705A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单位、个人发起企保制度内定期清算流程的转移申请。</w:t>
      </w:r>
    </w:p>
    <w:p w14:paraId="486368F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2、企保跨省转出审核</w:t>
      </w:r>
    </w:p>
    <w:p w14:paraId="5A4FE7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审核企保制度内跨省转出业务转移申请。</w:t>
      </w:r>
    </w:p>
    <w:p w14:paraId="6744923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3、转移信息表生成</w:t>
      </w:r>
    </w:p>
    <w:p w14:paraId="1925710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生成转移信息表。</w:t>
      </w:r>
    </w:p>
    <w:p w14:paraId="4EA66D4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4、转移平台上传</w:t>
      </w:r>
    </w:p>
    <w:p w14:paraId="35E9E6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上传信息表。</w:t>
      </w:r>
    </w:p>
    <w:p w14:paraId="00E4B0C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5、养老保险关系转入审核</w:t>
      </w:r>
    </w:p>
    <w:p w14:paraId="0E284A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审核信息表。</w:t>
      </w:r>
    </w:p>
    <w:p w14:paraId="617A36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6、转出被拒绝业务恢复</w:t>
      </w:r>
    </w:p>
    <w:p w14:paraId="021B01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转出信息表被拒绝时恢复转出信息。</w:t>
      </w:r>
    </w:p>
    <w:p w14:paraId="3FDB41D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7、转出已确认信息表撤销申请</w:t>
      </w:r>
    </w:p>
    <w:p w14:paraId="23F436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转移业务办结后可发起撤销申请。</w:t>
      </w:r>
    </w:p>
    <w:p w14:paraId="3CF6E8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8、转入已确认信息表撤销申请审核</w:t>
      </w:r>
    </w:p>
    <w:p w14:paraId="14DBB3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转移办结后可审核转出地发起的转移撤销申请，审核通过的作废原转入数据。</w:t>
      </w:r>
    </w:p>
    <w:p w14:paraId="7A9255F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9、转出已确认信息表业务恢复</w:t>
      </w:r>
    </w:p>
    <w:p w14:paraId="41C7A7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转移撤销申请通过后恢复原转出信息。</w:t>
      </w:r>
    </w:p>
    <w:p w14:paraId="3C7F743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10、业务进度查询</w:t>
      </w:r>
    </w:p>
    <w:p w14:paraId="3AA005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实时查询转移进度。</w:t>
      </w:r>
    </w:p>
    <w:p w14:paraId="56114F0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11、转移进度更新</w:t>
      </w:r>
    </w:p>
    <w:p w14:paraId="186032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更新转移进度。</w:t>
      </w:r>
    </w:p>
    <w:p w14:paraId="710B5AC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12、历史在途转移业务拒绝</w:t>
      </w:r>
    </w:p>
    <w:p w14:paraId="6269BC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对本地无参保关系的转移申请，转移信息表自动拒绝。</w:t>
      </w:r>
    </w:p>
    <w:p w14:paraId="52C8F3F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13、转移待办业务信息查询</w:t>
      </w:r>
    </w:p>
    <w:p w14:paraId="53181D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查询定期清算所有转移待办任务，并支持跳转到对应业务。</w:t>
      </w:r>
    </w:p>
    <w:p w14:paraId="7D4B8DD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14、转出信息表维护</w:t>
      </w:r>
    </w:p>
    <w:p w14:paraId="7E9534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维护转出生成的信息表信息，处理作废行政区划等。</w:t>
      </w:r>
    </w:p>
    <w:p w14:paraId="40F08E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15、业务应收应付数据核对确认</w:t>
      </w:r>
    </w:p>
    <w:p w14:paraId="455D62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省级业务核对确认部转移平台提供的当期应收应付业务明细及金额后，生成给财务的定期清算的资金收支情况的核对报表。</w:t>
      </w:r>
    </w:p>
    <w:p w14:paraId="2A138C6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16、应收应付数据核对</w:t>
      </w:r>
    </w:p>
    <w:p w14:paraId="3C06783C">
      <w:pPr>
        <w:widowControl w:val="0"/>
        <w:wordWrap/>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市州查询本地当期应收应付数据，生成交接本级财务的资金收支情况单据。</w:t>
      </w:r>
    </w:p>
    <w:p w14:paraId="7C66185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17、转入资金配账</w:t>
      </w:r>
    </w:p>
    <w:p w14:paraId="0D089C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省级部门根据汇总信息，拨付信息，登账信息对比转入资金信息并对资金进行配账，向部平台上传办结信息。</w:t>
      </w:r>
    </w:p>
    <w:p w14:paraId="6427570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18、拨付单据汇总</w:t>
      </w:r>
    </w:p>
    <w:p w14:paraId="34A115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向财务交接转出业务数据及金额。</w:t>
      </w:r>
    </w:p>
    <w:p w14:paraId="3658CA7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19、企保养老账户类型变更</w:t>
      </w:r>
    </w:p>
    <w:p w14:paraId="2C9EFE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对企保个人账户类型（一般账户、临时账户）进行变更。</w:t>
      </w:r>
    </w:p>
    <w:p w14:paraId="0C4B082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20、企保参保缴费凭证开具</w:t>
      </w:r>
    </w:p>
    <w:p w14:paraId="41F073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办理城镇职工养老保险转机关养老保险、转居民养老保险前，在本地打印基本养老缴费凭证。</w:t>
      </w:r>
    </w:p>
    <w:p w14:paraId="0E4DB0E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21、跨省跨制度企保关系转入申请</w:t>
      </w:r>
    </w:p>
    <w:p w14:paraId="303BB1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办理城镇职工基本养老保险关系转入申请，含企保转出居保、企保转出机保申请通过后生成联系函并上传部转移平台。</w:t>
      </w:r>
    </w:p>
    <w:p w14:paraId="6754A8B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22、跨省跨制度企保关系转出</w:t>
      </w:r>
    </w:p>
    <w:p w14:paraId="68DB24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生成企保跨省跨制度转出信息表（包含临时账户、一般账户；企保转出居保、企保转出机保），自动将信息表上传至部平台。</w:t>
      </w:r>
    </w:p>
    <w:p w14:paraId="3357D89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23、跨省跨制度企保关系转入</w:t>
      </w:r>
    </w:p>
    <w:p w14:paraId="09A12B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包含企业养老保险制度内转入、机关养老保险转企业养老保险制度、城乡居民养老保险转城镇职工养老保险、未就业随军配偶转入。通过国家平台获取或录入转出方提供信息表，生成缴费记录及个账台账。</w:t>
      </w:r>
    </w:p>
    <w:p w14:paraId="1888E5E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24、企保老办法转入</w:t>
      </w:r>
    </w:p>
    <w:p w14:paraId="684D47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于各种原因信息表未录入系统但已收到对方转入基金的，做补录（包含企保省内外制度内转移，老机关养老保险转入企业养老保险制度；限制转移日期为企保省外2010年以前的、企保省内2012年以前，老机保2014年9月30日以前）。</w:t>
      </w:r>
    </w:p>
    <w:p w14:paraId="6C149D9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25、转出基金退款函开具</w:t>
      </w:r>
    </w:p>
    <w:p w14:paraId="088C7C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适用于原转移业务已办结（转移基金已支付）后发现转出存在问题，生成退款函请求对方退还基金（适用于非定期清算流程的企保制度内转移、非结算流程下的跨制度转移）。</w:t>
      </w:r>
    </w:p>
    <w:p w14:paraId="53ED0B4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26、部转移平台上传</w:t>
      </w:r>
    </w:p>
    <w:p w14:paraId="7511E4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工选择上传基本养老保险关系联系函、基本养老保险关系信息表、临时账户建账通知书、临时账户转移联系函、办结反馈等上传转移平台（定时任务读取系统自动上传功能上传失败的上述信息，分类汇总展示）。</w:t>
      </w:r>
    </w:p>
    <w:p w14:paraId="3BD1C5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27、转移平台查询和下载</w:t>
      </w:r>
    </w:p>
    <w:p w14:paraId="6A8292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手工从转移平台下载基本养老保险关系联系函、基本养老保险关系信息表、临时账户建账通知书、临时账户转移联系函等。</w:t>
      </w:r>
    </w:p>
    <w:p w14:paraId="13F07A9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28、部省转移平台交互</w:t>
      </w:r>
    </w:p>
    <w:p w14:paraId="204757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（1）做转入业务时，作为数据接收方，若发现所接收数据有错或数据不符合业务条件等原因时，可以发出业务拒绝信息，拒绝对该笔转移业务做后续处理。</w:t>
      </w:r>
    </w:p>
    <w:p w14:paraId="669D37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（2）业务撤销是针对业务流程中的某一步骤给予撤销，退回到该流程中的上一步骤。除通知、告知环节外，转移流程中的其他环节均可进行业务撤销。</w:t>
      </w:r>
    </w:p>
    <w:p w14:paraId="3EA548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29、转移业务作废</w:t>
      </w:r>
    </w:p>
    <w:p w14:paraId="32A794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不处理转移平台数据与流程记录，只撤销本地转移业务（包含企保制度内非定期清算转移业务、跨省跨制度转移业务、老办法转入业务，不包含转移清算业务）。</w:t>
      </w:r>
    </w:p>
    <w:p w14:paraId="1C1C5C2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30、转入协办函开具</w:t>
      </w:r>
    </w:p>
    <w:p w14:paraId="310D71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办理转入申请或转入时，对方长时间未发送信息表或转移基金，要求对方协办。</w:t>
      </w:r>
    </w:p>
    <w:p w14:paraId="5A7FA03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31、经办机构信息维护</w:t>
      </w:r>
    </w:p>
    <w:p w14:paraId="01B67E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新增或修改转移经办机构信息或转移经办机构险种信息(关联部二期平台）。</w:t>
      </w:r>
    </w:p>
    <w:p w14:paraId="7B83FC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业务视图：审核、管理</w:t>
      </w:r>
    </w:p>
    <w:p w14:paraId="3A9011F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32、批量寄信打印</w:t>
      </w:r>
    </w:p>
    <w:p w14:paraId="6CFEB4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针对转移需要寄信的（含老系统补打单据），进行批量打印与导出，寄信后导入邮政寄信单号信息；包括缴费凭证、联系函、信息表、退款函、协办函。</w:t>
      </w:r>
    </w:p>
    <w:p w14:paraId="56EE20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33、财政一次性养老保险个人账户补贴转入</w:t>
      </w:r>
    </w:p>
    <w:p w14:paraId="4E51B1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机关公务员、参照公务员制度管理的全额拨款事业单位工作人员，在进入企业并按规定参加职工基本养老保险后，财政部门根据本人在机关（或单位）工作的年限给予一次性补贴的，可申请办理财政一次性养老保险个人账户补贴转入业务。</w:t>
      </w:r>
    </w:p>
    <w:p w14:paraId="405CD94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34、企保转入配账</w:t>
      </w:r>
    </w:p>
    <w:p w14:paraId="37741E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业务部门对财务已录入转入基金且业务部门已做转入办理的人员，发起转入初配（含非定期清算流程办理的企保制度内转移、跨省跨制度转移业务、老办法转入）。</w:t>
      </w:r>
    </w:p>
    <w:p w14:paraId="142306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35、转入基金退回</w:t>
      </w:r>
    </w:p>
    <w:p w14:paraId="1E52B5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针对未配账的转入登账信息（无业务数据支撑、有业务数据支撑），业务发起转入基金退回申请。</w:t>
      </w:r>
    </w:p>
    <w:p w14:paraId="73DBA78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36、退役军人转入</w:t>
      </w:r>
    </w:p>
    <w:p w14:paraId="74B623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对非“总对总”流程下未办理的历史转入业务，且转入资金已到账的情况下，进行历史信息表补录。</w:t>
      </w:r>
    </w:p>
    <w:p w14:paraId="608BE77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37、转移拨付单据信息维护</w:t>
      </w:r>
    </w:p>
    <w:p w14:paraId="4EE427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修改转出拨付基金单据收款银行信息（仅适用于跨省跨制度转移业务）。</w:t>
      </w:r>
    </w:p>
    <w:p w14:paraId="3B46E0A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38、转移平台待办业务查询</w:t>
      </w:r>
    </w:p>
    <w:p w14:paraId="12375D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查询转移平台待处理业务。</w:t>
      </w:r>
    </w:p>
    <w:p w14:paraId="6927527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39、转出附件上传</w:t>
      </w:r>
    </w:p>
    <w:p w14:paraId="753931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2020年7月1日后，参保人在转出地存在超过3年（含3年）的一次性缴纳养老保险费时，转出地需在发出《信息表》的同时，向部转移系统上传《一次性缴纳养老保险费书面承诺书》或相关法律文书等附件。</w:t>
      </w:r>
    </w:p>
    <w:p w14:paraId="101B111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40、网上转移申请审核</w:t>
      </w:r>
    </w:p>
    <w:p w14:paraId="6C0E07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系统自动下载接收转移申请信息后，经办人员需对参保人员提交的转移申请信息进行审核，并生成审核结果信息。</w:t>
      </w:r>
    </w:p>
    <w:p w14:paraId="260094C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41、转移综合查询</w:t>
      </w:r>
    </w:p>
    <w:p w14:paraId="3292B4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查询转移业务办理流程、日志相关信息。</w:t>
      </w:r>
    </w:p>
    <w:p w14:paraId="10ADB05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42、获取/分发退役军人转移信息</w:t>
      </w:r>
    </w:p>
    <w:p w14:paraId="559BE3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适用于“总对总”流程，获取部转移平台退役军人信息，并通过定时任务分发至安置地。</w:t>
      </w:r>
    </w:p>
    <w:p w14:paraId="10D4939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43、退役军人转移信息审核</w:t>
      </w:r>
    </w:p>
    <w:p w14:paraId="5B65074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适用于“总对总”流程，安置地审核退役军人信息，并办理转入。</w:t>
      </w:r>
    </w:p>
    <w:p w14:paraId="5911F45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44、汇总退役军人转移信息</w:t>
      </w:r>
    </w:p>
    <w:p w14:paraId="005990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适用于“总对总”流程，省级汇总各地审核完成的退役军人数据。</w:t>
      </w:r>
    </w:p>
    <w:p w14:paraId="4ED5773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45、退役军人转移信息上传</w:t>
      </w:r>
    </w:p>
    <w:p w14:paraId="3D3CD4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适用于“总对总”流程，省级上传汇总退役军人数据，并上传部转移平台。</w:t>
      </w:r>
    </w:p>
    <w:p w14:paraId="01E3BDF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46、资金划转信息下载</w:t>
      </w:r>
    </w:p>
    <w:p w14:paraId="233E0B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适用于“总对总”流程，业务下载资金划转信息。</w:t>
      </w:r>
    </w:p>
    <w:p w14:paraId="03DE86C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47、退役军人转移资金核实配账</w:t>
      </w:r>
    </w:p>
    <w:p w14:paraId="7798A8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适用于“总对总”流程，省级机构进行资金核实配账。</w:t>
      </w:r>
    </w:p>
    <w:p w14:paraId="2A89C2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业务视图：审核、管理</w:t>
      </w:r>
    </w:p>
    <w:p w14:paraId="172763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48、退役军人转入配账</w:t>
      </w:r>
    </w:p>
    <w:p w14:paraId="59BE01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适用于“总对总”流程，安置地进行资金核实配账。</w:t>
      </w:r>
    </w:p>
    <w:p w14:paraId="389ABA0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49、退役军人已办结业务撤销</w:t>
      </w:r>
    </w:p>
    <w:p w14:paraId="5F17A5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适用于“总对总”流程，实时查询退役军人转移办理进度，并支持对已办结转入业务发起撤销申请。</w:t>
      </w:r>
    </w:p>
    <w:p w14:paraId="0D15EE3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50、退役军人转移业务办理情况查询</w:t>
      </w:r>
    </w:p>
    <w:p w14:paraId="058D40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适用于“总对总”流程，退役军人转移业务办理情况查询（含办理中业务进度查询和历史已办结业务明细查询）。</w:t>
      </w:r>
    </w:p>
    <w:p w14:paraId="568F665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51、退役军人历史异常转移业务撤销情况查询</w:t>
      </w:r>
    </w:p>
    <w:p w14:paraId="76B68C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适用于“总对总”流程，退役军人历史异常转移业务回退情况查询。</w:t>
      </w:r>
    </w:p>
    <w:p w14:paraId="63FD674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52、省内跨制度转移资金结算</w:t>
      </w:r>
    </w:p>
    <w:p w14:paraId="2CBE13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由待遇领取地发起对省内跨制度转移资金的结算（根据不同缴费地、缴费险种生成结算表和金额）。</w:t>
      </w:r>
    </w:p>
    <w:p w14:paraId="4FDBB9F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53、省内跨制度转移资金结算确认</w:t>
      </w:r>
    </w:p>
    <w:p w14:paraId="089FD1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缴费地（转出地）对需支付的转移资金进行确认，金额无误确认，已确认后缴费记录打标冻结不能修改，金额有误拒绝。</w:t>
      </w:r>
    </w:p>
    <w:p w14:paraId="5FA0DAA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54、省内跨制度转移资金拨付汇总</w:t>
      </w:r>
    </w:p>
    <w:p w14:paraId="01EE70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（1）缴费地（转出地）对已确认转移资金的业务推送财务拨付。</w:t>
      </w:r>
    </w:p>
    <w:p w14:paraId="2B21ED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（2）待遇领取地（转入地）对已确认的资金结算撤销业务推送财务退款。</w:t>
      </w:r>
    </w:p>
    <w:p w14:paraId="6531732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55、省内跨制度转移资金结算配账</w:t>
      </w:r>
    </w:p>
    <w:p w14:paraId="2BB846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对已到账结算资金进行配账，同步变更参保人参保关系及缴费记录。</w:t>
      </w:r>
    </w:p>
    <w:p w14:paraId="12CA47F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56、省内跨制度转移资金结算撤销</w:t>
      </w:r>
    </w:p>
    <w:p w14:paraId="43AC77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对已完成资金结算的业务进行撤销，生成退款函。</w:t>
      </w:r>
    </w:p>
    <w:p w14:paraId="652E90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57、省内跨制度转移资金结算撤销确认</w:t>
      </w:r>
    </w:p>
    <w:p w14:paraId="4FA806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原缴费地（转出地）对待遇地转移结算撤销业务进行确认，支持拒绝操作，拒绝后撤销业务终止。确认后恢复参保人原参保关系。</w:t>
      </w:r>
    </w:p>
    <w:p w14:paraId="311CD9B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58、省内机保制度内转移资金结算</w:t>
      </w:r>
    </w:p>
    <w:p w14:paraId="148341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由待遇领取地发起对省内机保制度内转移资金的结算（根据不同缴费地生成结算表和金额）。</w:t>
      </w:r>
    </w:p>
    <w:p w14:paraId="306004E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59、省内机保制度内转移资金结算确认</w:t>
      </w:r>
    </w:p>
    <w:p w14:paraId="1FBF78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缴费地（转出地）对需支付的转移资金进行确认，金额无误确认，已确认后缴费记录打标冻结不能修改，金额有误拒绝。</w:t>
      </w:r>
    </w:p>
    <w:p w14:paraId="44D222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60、省内机保制度内转移资金拨付汇总</w:t>
      </w:r>
    </w:p>
    <w:p w14:paraId="5F22E8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（1）缴费地（转出地）对已确认转移资金的业务推送财务拨付。</w:t>
      </w:r>
    </w:p>
    <w:p w14:paraId="146E44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（2）待遇领取地（转入地）对已确认的资金结算撤销业务推送财务退款。</w:t>
      </w:r>
    </w:p>
    <w:p w14:paraId="56D9F27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61、省内机保制度内转移资金结算配账</w:t>
      </w:r>
    </w:p>
    <w:p w14:paraId="63926E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对已到账结算资金进行配账，同步变更参保人参保关系及缴费记录。</w:t>
      </w:r>
    </w:p>
    <w:p w14:paraId="3CCA1C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62、省内机保制度内转移资金结算撤销</w:t>
      </w:r>
    </w:p>
    <w:p w14:paraId="5D6A5A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对已完成资金结算的业务进行撤销，生成退款函。  </w:t>
      </w:r>
    </w:p>
    <w:p w14:paraId="608D3EA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63、省内机保制度内转移资金结算撤销确认</w:t>
      </w:r>
    </w:p>
    <w:p w14:paraId="13AEAD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原缴费地（转出地）对待遇地转移结算撤销业务进行确认，支持拒绝操作，拒绝后撤销业务终止。确认后恢复参保人原参保关系。</w:t>
      </w:r>
    </w:p>
    <w:p w14:paraId="0514D1E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64、省内居保制度内转移资金结算</w:t>
      </w:r>
    </w:p>
    <w:p w14:paraId="7271135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由待遇领取地发起对省内居保制度内转移资金的结算（根据不同缴费地生成结算表和金额）。</w:t>
      </w:r>
    </w:p>
    <w:p w14:paraId="4DDC98E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65、省内居保制度内转移资金结算确认</w:t>
      </w:r>
    </w:p>
    <w:p w14:paraId="1AA2A9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缴费地（转出地）对需支付的转移资金进行确认，金额无误确认，已确认后缴费记录打标冻结不能修改，金额有误拒绝。</w:t>
      </w:r>
    </w:p>
    <w:p w14:paraId="1B327BE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66、省内居保制度内转移资金拨付汇总</w:t>
      </w:r>
    </w:p>
    <w:p w14:paraId="679385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（1）缴费地（转出地）对已确认转移资金的业务推送财务拨付。</w:t>
      </w:r>
    </w:p>
    <w:p w14:paraId="2ADA0A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（2）待遇领取地（转入地）对已确认的资金结算撤销业务推送财务退款。</w:t>
      </w:r>
    </w:p>
    <w:p w14:paraId="54B2CE3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67、省内居保制度内转移资金结算配账</w:t>
      </w:r>
    </w:p>
    <w:p w14:paraId="368670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对已到账结算资金进行配账，同步变更参保人参保关系及缴费记录。</w:t>
      </w:r>
    </w:p>
    <w:p w14:paraId="65E828D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68、省内居保制度内转移资金结算撤销</w:t>
      </w:r>
    </w:p>
    <w:p w14:paraId="6F01FF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对已完成资金结算的业务进行撤销，生成退款函。</w:t>
      </w:r>
    </w:p>
    <w:p w14:paraId="7F322C3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69、省内居保制度内转移资金结算撤销确认</w:t>
      </w:r>
    </w:p>
    <w:p w14:paraId="6F9F70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原缴费地（转出地）对待遇地转移结算撤销业务进行确认，支持拒绝操作，拒绝后撤销业务终止。确认后恢复参保人原参保关系。</w:t>
      </w:r>
    </w:p>
    <w:p w14:paraId="1EC7B58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70、开具参保缴费凭证</w:t>
      </w:r>
    </w:p>
    <w:p w14:paraId="3BF3DC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省内制度内开具缴费凭证。</w:t>
      </w:r>
    </w:p>
    <w:p w14:paraId="46BF8E2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71、统筹范围外转入申请</w:t>
      </w:r>
    </w:p>
    <w:p w14:paraId="06BEC6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省内转移开具联系函。</w:t>
      </w:r>
    </w:p>
    <w:p w14:paraId="134A521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72、省内制度内转出确认及转出回退</w:t>
      </w:r>
    </w:p>
    <w:p w14:paraId="234772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省内制度内转出确认及转出回退。</w:t>
      </w:r>
    </w:p>
    <w:p w14:paraId="13D49A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73、转出地资金支付</w:t>
      </w:r>
    </w:p>
    <w:p w14:paraId="2ADE39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省内制度内转出资金支付。</w:t>
      </w:r>
    </w:p>
    <w:p w14:paraId="120945D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74、转入地资金到账</w:t>
      </w:r>
    </w:p>
    <w:p w14:paraId="014640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省内制度内转入资金到账。</w:t>
      </w:r>
    </w:p>
    <w:p w14:paraId="02BEE44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75、省内制度内转入确认及转入回退</w:t>
      </w:r>
    </w:p>
    <w:p w14:paraId="1BC879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省内制度内转入确认及转入回退。</w:t>
      </w:r>
    </w:p>
    <w:p w14:paraId="527560A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76、机关事业单位养老保险缴费凭证出具</w:t>
      </w:r>
    </w:p>
    <w:p w14:paraId="6E4AFB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跨省跨制度转移开具缴费凭证。</w:t>
      </w:r>
    </w:p>
    <w:p w14:paraId="66AFD6F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77、机保联网联系函接收</w:t>
      </w:r>
    </w:p>
    <w:p w14:paraId="45A576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接收部平台联网联系函</w:t>
      </w:r>
    </w:p>
    <w:p w14:paraId="7895468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78、机关事业单位养老保险关系转出</w:t>
      </w:r>
    </w:p>
    <w:p w14:paraId="5A6FA7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跨省跨制度转出。</w:t>
      </w:r>
    </w:p>
    <w:p w14:paraId="393B9D3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79、部平台网上申请转入审核</w:t>
      </w:r>
    </w:p>
    <w:p w14:paraId="44BB97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接收审核个人转入申请。</w:t>
      </w:r>
    </w:p>
    <w:p w14:paraId="7DD22A5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80、机关事业单位养老保险联系函出具</w:t>
      </w:r>
    </w:p>
    <w:p w14:paraId="600607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出具跨省跨制度联系函。</w:t>
      </w:r>
    </w:p>
    <w:p w14:paraId="72710CB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81、部平台信息表下载审核</w:t>
      </w:r>
    </w:p>
    <w:p w14:paraId="35775C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审核跨省跨制度信息表。</w:t>
      </w:r>
    </w:p>
    <w:p w14:paraId="06EC661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82、机关事业单位养老保险关系转入</w:t>
      </w:r>
    </w:p>
    <w:p w14:paraId="4A315C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跨省跨制度转入并自动上传办结反馈。</w:t>
      </w:r>
    </w:p>
    <w:p w14:paraId="242492B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83、部平台转入业务办结上传</w:t>
      </w:r>
    </w:p>
    <w:p w14:paraId="1EAC39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转入办结反馈（手工上传）。</w:t>
      </w:r>
    </w:p>
    <w:p w14:paraId="354FB8C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84、职业年金联系函出具</w:t>
      </w:r>
    </w:p>
    <w:p w14:paraId="4975BB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出具接收职业年金的联系函。</w:t>
      </w:r>
    </w:p>
    <w:p w14:paraId="6CC5188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85、企业年金联系函出具</w:t>
      </w:r>
    </w:p>
    <w:p w14:paraId="2A3475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出具接收企业年金的联系函。</w:t>
      </w:r>
    </w:p>
    <w:p w14:paraId="40893C0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86、职业年金关系转入</w:t>
      </w:r>
    </w:p>
    <w:p w14:paraId="64BBD7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职业年金、企业年金转入。</w:t>
      </w:r>
    </w:p>
    <w:p w14:paraId="6E19C9E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87、职业年金联系函接收与录入</w:t>
      </w:r>
    </w:p>
    <w:p w14:paraId="3764B2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接收职业年金联系函、录入企业年金联系函。</w:t>
      </w:r>
    </w:p>
    <w:p w14:paraId="5F82396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88、职业年金转出申请汇总</w:t>
      </w:r>
    </w:p>
    <w:p w14:paraId="0F2208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汇总当月职业年金转出申请、上报。</w:t>
      </w:r>
    </w:p>
    <w:p w14:paraId="496107F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89、职业年金转移接续信息表</w:t>
      </w:r>
    </w:p>
    <w:p w14:paraId="7181D0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打印、上传职业年金信息表。</w:t>
      </w:r>
    </w:p>
    <w:p w14:paraId="34B36F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90、年金转出失败维护</w:t>
      </w:r>
    </w:p>
    <w:p w14:paraId="44CEBC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年金失败维护后发起二次支付。</w:t>
      </w:r>
    </w:p>
    <w:p w14:paraId="08DAFF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91、职业年金转出结果查询</w:t>
      </w:r>
    </w:p>
    <w:p w14:paraId="2F9DEE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查询职业年金转出成功、失败的结果。</w:t>
      </w:r>
    </w:p>
    <w:p w14:paraId="31C11D1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92、跨省跨制度转入转出回退</w:t>
      </w:r>
    </w:p>
    <w:p w14:paraId="7E1EBD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跨省跨制度转入转出回退（含年金、手工军转）。</w:t>
      </w:r>
    </w:p>
    <w:p w14:paraId="5F5C451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93、退役军人信息确认审核</w:t>
      </w:r>
    </w:p>
    <w:p w14:paraId="4C3BD8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总对总人员接收审核。</w:t>
      </w:r>
    </w:p>
    <w:p w14:paraId="2BDF6E6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94、核对资金信息</w:t>
      </w:r>
    </w:p>
    <w:p w14:paraId="3E6761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反馈总对总资金支付成功、失败的结果。</w:t>
      </w:r>
    </w:p>
    <w:p w14:paraId="3A47014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95、退役军人转入</w:t>
      </w:r>
    </w:p>
    <w:p w14:paraId="25B2706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总对总退役军人转入，上传办结反馈。</w:t>
      </w:r>
    </w:p>
    <w:p w14:paraId="49DA9C0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96、已办结业务回退申请</w:t>
      </w:r>
    </w:p>
    <w:p w14:paraId="18415A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总对总转入回退。</w:t>
      </w:r>
    </w:p>
    <w:p w14:paraId="7ADCF3A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97、资金支付失败处理</w:t>
      </w:r>
    </w:p>
    <w:p w14:paraId="7DF820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总对总资金支付失败维护后发起二次支付。</w:t>
      </w:r>
    </w:p>
    <w:p w14:paraId="4F8C9C1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98、退役军人转入机保</w:t>
      </w:r>
    </w:p>
    <w:p w14:paraId="344272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手工办理退役军人转入业务。</w:t>
      </w:r>
    </w:p>
    <w:p w14:paraId="172E2F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99、转移业务查询</w:t>
      </w:r>
    </w:p>
    <w:p w14:paraId="63E67B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查询参保人员的转移业务进度。</w:t>
      </w:r>
    </w:p>
    <w:p w14:paraId="77CF214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100、转出转入情况统计查询</w:t>
      </w:r>
    </w:p>
    <w:p w14:paraId="2DC926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分类、分时段、分统筹区查询转入转出业务。</w:t>
      </w:r>
    </w:p>
    <w:p w14:paraId="60A07AA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101、转移机构维护</w:t>
      </w:r>
    </w:p>
    <w:p w14:paraId="64EA0D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维护全国转移机构信息。</w:t>
      </w:r>
    </w:p>
    <w:p w14:paraId="1429957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102、转移资金退款</w:t>
      </w:r>
    </w:p>
    <w:p w14:paraId="73CE25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线上发起基本险、职业年金退款。</w:t>
      </w:r>
    </w:p>
    <w:p w14:paraId="7B10115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103、基金手工匹配</w:t>
      </w:r>
    </w:p>
    <w:p w14:paraId="5734F7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转移资金与人员联系函匹配、解除匹配。</w:t>
      </w:r>
    </w:p>
    <w:p w14:paraId="18E23D0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104、年金赎回申请</w:t>
      </w:r>
    </w:p>
    <w:p w14:paraId="0EB7D1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发起年金赎回申请。</w:t>
      </w:r>
    </w:p>
    <w:p w14:paraId="3439443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105、年金赎回申请结果查询</w:t>
      </w:r>
    </w:p>
    <w:p w14:paraId="1D2F374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查询年金赎回申请结果。</w:t>
      </w:r>
    </w:p>
    <w:p w14:paraId="51C211F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106、转移支付汇总</w:t>
      </w:r>
    </w:p>
    <w:p w14:paraId="513343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省内制度内、跨省跨制度、转移二次支付、转移资金退款分类汇总，复核通过后自动推送财务。</w:t>
      </w:r>
    </w:p>
    <w:p w14:paraId="14D384A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107、转移基金状态查询</w:t>
      </w:r>
    </w:p>
    <w:p w14:paraId="7482D8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查询已推送财务的转移资金支付情况。</w:t>
      </w:r>
    </w:p>
    <w:p w14:paraId="43B20E4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108、已转出人员补记职业年金二次转出</w:t>
      </w:r>
    </w:p>
    <w:p w14:paraId="6CC3F7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已跨制度转出人员又完成补记职业年金的，为其办理补记职业年金二次转出。</w:t>
      </w:r>
    </w:p>
    <w:p w14:paraId="2E4FB82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109、老机保转入职业年金信息录入</w:t>
      </w:r>
    </w:p>
    <w:p w14:paraId="2F1AA6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机关事业单位原有试点参保人员，符合划转职业年金条件的，录入人员基本信息及转入资金信息。</w:t>
      </w:r>
    </w:p>
    <w:p w14:paraId="7BAB0FF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110、职业年金转出当月二次支付申请</w:t>
      </w:r>
    </w:p>
    <w:p w14:paraId="538C88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对已修改职业年金转移接续联系函的转出支付失败人员提出当月二次支付申请。</w:t>
      </w:r>
    </w:p>
    <w:p w14:paraId="26DA444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111、转移接续申请</w:t>
      </w:r>
    </w:p>
    <w:p w14:paraId="2A5375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参加城乡居民基本养老保险且未享受待遇的个人跨统筹地区迁移户籍，可通过线上或线下方式申请转移,参保人员携带居民身份证和变更后的户口簿，向转入地提出关系转入申请。</w:t>
      </w:r>
    </w:p>
    <w:p w14:paraId="47260FE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112、转移接续联系函</w:t>
      </w:r>
    </w:p>
    <w:p w14:paraId="103B3A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转入地社会保险经办机构应当自收到转入申请后，将《城乡居民基本养老保险关系转入接收函》发送至转出地社会保险经办机构。</w:t>
      </w:r>
    </w:p>
    <w:p w14:paraId="102EE35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113、转移接续关系转出</w:t>
      </w:r>
    </w:p>
    <w:p w14:paraId="073070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出地社会保险经办机构应当自收到《城乡居民基本养老保险关系转入接收函》后，完成有关信息核对并生成《城乡居民基本养老保险关系转出审批表》，并反馈给转入地社会保险经办机构，并于次月通过金融机构将参保人员个人账户储存额一次性划拨到转入地社会保险经办机构指定的银行账户，终止申请转移人员的城乡居民基本养老保险关系，并按照规定保留原有记录备查。</w:t>
      </w:r>
    </w:p>
    <w:p w14:paraId="1D3E78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114、转移接续关系转入</w:t>
      </w:r>
    </w:p>
    <w:p w14:paraId="17ABEE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转入地社会保险经办机构在收到《城乡居民基本养老保险关系转出审批表》和确认转移资金无误后，将参保、转移信息录入业务系统，为转入人员建立及记录个人账户，并告知转入人员个人账户记录信息。</w:t>
      </w:r>
    </w:p>
    <w:p w14:paraId="7A8EC4F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115、制度衔接申请</w:t>
      </w:r>
    </w:p>
    <w:p w14:paraId="5181EB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参保人员需办理城镇职工基本养老保险和城乡居民基本养老保险制度衔接的，在待遇领取地提出申请办理。</w:t>
      </w:r>
    </w:p>
    <w:p w14:paraId="6880331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116、制度衔接联系函</w:t>
      </w:r>
    </w:p>
    <w:p w14:paraId="4EB613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从城镇职工基本养老保险转入城乡居民基本养老保险的，城乡居民基本养老保险待遇领取地社会保险经办机构应当自收到转入申请之日起15个工作日内将《城乡养老保险制度衔接联系函》发送至城镇职工基本养老保险关系归集地社会保险经办机构。参保人员办理城乡居民基本养老保险转入城镇职工基本养老保险的，城镇职工基本养老保险待遇领取地社会保险经办机构应当自收到转入申请之日起15个工作日内将《城乡养老保险制度衔接联系函》发送至城乡居民基本养老保险关系所在地社会保险经办机构。</w:t>
      </w:r>
    </w:p>
    <w:p w14:paraId="2C32FF9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117、制度衔接关系转出</w:t>
      </w:r>
    </w:p>
    <w:p w14:paraId="2934E0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从城镇职工基本养老保险转入城乡居民基本养老保险的，城镇职工基本养老保险关系归集地社会保险经办机构应当自收到《城乡养老保险制度衔接联系函》之日起15个工作日内完成有关信息核对并生成《城镇职工基本养老保险信息表》，传送给城乡居民基本养老保险关系所在地社会保险经办机构。参保人员办理城乡居民基本养老保险转入城镇职工基本养老保险的，城乡居民基本养老保险关系所在地社会保险经办机构应当自收到《城乡养老保险制度衔接联系函》之日起15个工作日内完成有关信息核对并生成《城乡居民基本养老保险信息表》，传送给城镇职工基本养老保险待遇领取地社会保险经办机构。</w:t>
      </w:r>
    </w:p>
    <w:p w14:paraId="3FF8AA8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118、制度衔接关系转入</w:t>
      </w:r>
    </w:p>
    <w:p w14:paraId="2329FB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员从城镇职工基本养老保险转入城乡居民基本养老保险的，城乡居民基本养老保险关系所在地社会保险经办机构应当自收到《城乡居民基本养老保险信息表》和转移基金后15个工作日内办理完毕，并根据《城乡居民基本养老保险信息表》、文书影印件等材料，在业务系统录入参保人员城镇职工基本养老保险相关信息，转移业务随即办结。参保人员办理城乡居民基本养老保险转入城镇职工基本养老保险的，城镇职工基本养老保险待遇领取地社会保险经办机构应当自收到《城乡居民基本养老保险信息表》和转移基金后15个工作日内办理完毕，并根据《城乡居民基本养老保险信息表》、文书影印件等材料，在业务系统录入参保人员城乡居民基本养老保险相关信息，转移业务随即办结。</w:t>
      </w:r>
    </w:p>
    <w:p w14:paraId="2C9A423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119、失业保险转移平台上传</w:t>
      </w:r>
    </w:p>
    <w:p w14:paraId="2FAC4A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手工选择上传失业保险关系联系函、失业保险关系信息表、失业办结反馈等上传转移平台。</w:t>
      </w:r>
    </w:p>
    <w:p w14:paraId="6A1FE21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120、失业转移平台查询和下载</w:t>
      </w:r>
    </w:p>
    <w:p w14:paraId="512F38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手工从转移平台下载失业保险关系联系函、失业保险关系信息表、信息表确认接收信息等。</w:t>
      </w:r>
    </w:p>
    <w:p w14:paraId="5DC8B96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121、失业保险联网交互处理</w:t>
      </w:r>
    </w:p>
    <w:p w14:paraId="2FFED7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（1）做转入业务时，作为数据接收方，若发现所接收数据有错或数据不符合业务条件等原因时，可以发出业务拒绝信息，拒绝对该笔转移业务做后续处理。</w:t>
      </w:r>
    </w:p>
    <w:p w14:paraId="7A15B0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（2）业务撤销是针对业务流程中的某一步骤给予撤销，退回到该流程中的上一步骤。除通知、告知环节外，转移流程中的其他环节均可进行业务撤销。</w:t>
      </w:r>
    </w:p>
    <w:p w14:paraId="2D3D581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122、失业转移经办机构信息维护</w:t>
      </w:r>
    </w:p>
    <w:p w14:paraId="54527A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新增或修改转移经办机构信息或转移经办机构险种信息。</w:t>
      </w:r>
    </w:p>
    <w:p w14:paraId="604BD2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123、失业保险转入基金登账</w:t>
      </w:r>
    </w:p>
    <w:p w14:paraId="6CFC29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业务部门对财务收到的转出方基金进行登记。</w:t>
      </w:r>
    </w:p>
    <w:p w14:paraId="27245B5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124、失业保险关系转移转入配账</w:t>
      </w:r>
    </w:p>
    <w:p w14:paraId="64EA649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业务部门对财务已录入转入基金且业务部门已做转入办理的人员，发起转入初配。</w:t>
      </w:r>
    </w:p>
    <w:p w14:paraId="4DB29F8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125、失业保险转入基金退回</w:t>
      </w:r>
    </w:p>
    <w:p w14:paraId="6A6E68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针对未配账的转入登账信息（无业务数据支撑、有业务数据支撑），业务发起转入基金退回申请。</w:t>
      </w:r>
    </w:p>
    <w:p w14:paraId="788051D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126、失业保险网上转入申请审核</w:t>
      </w:r>
    </w:p>
    <w:p w14:paraId="1EAEE1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系统自动下载接收转移申请信息后，经办人员需对参保人员提交的转移申请信息进行审核，并生成审核结果信息。</w:t>
      </w:r>
    </w:p>
    <w:p w14:paraId="13200C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127、失业人员转入</w:t>
      </w:r>
    </w:p>
    <w:p w14:paraId="2E6503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对下载的信息表经办业务，生成本地转入实缴数据或者生成失业待遇。</w:t>
      </w:r>
    </w:p>
    <w:p w14:paraId="6325AA6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128、失业人员转出</w:t>
      </w:r>
    </w:p>
    <w:p w14:paraId="436A85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对下载的联系函进行业务经办，将系统的失业保险关系和待遇进行转出。</w:t>
      </w:r>
    </w:p>
    <w:p w14:paraId="2B2AFDA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129、失业人员转出信息查询</w:t>
      </w:r>
    </w:p>
    <w:p w14:paraId="5A7877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对办理过的转出信息进行查询。</w:t>
      </w:r>
    </w:p>
    <w:p w14:paraId="7BE9B4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130、失业转出人员发放账号维护</w:t>
      </w:r>
    </w:p>
    <w:p w14:paraId="379B1A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对转出支付过程中，生成的转出发放账户进行维护。</w:t>
      </w:r>
    </w:p>
    <w:p w14:paraId="2073156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131、转入人员及退役军人参保信息录入</w:t>
      </w:r>
    </w:p>
    <w:p w14:paraId="5EF0FE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失业转入人员或退役军人在本地不存在基本信息或参保信息的，通过该功能录入基本信息及参保信息。</w:t>
      </w:r>
    </w:p>
    <w:p w14:paraId="3B3B680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（十）基金财务</w:t>
      </w:r>
    </w:p>
    <w:p w14:paraId="70B2E2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社会保险基金财务核算及基金一本账生成，实现财务业务一体化管理。</w:t>
      </w:r>
    </w:p>
    <w:p w14:paraId="4B2F169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1、年金财务</w:t>
      </w:r>
    </w:p>
    <w:p w14:paraId="73C275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1.1年金本息做实资金财务确认</w:t>
      </w:r>
    </w:p>
    <w:p w14:paraId="2F188B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对由本级财政部门直接拨款记实的职业年金本息确认到账。</w:t>
      </w:r>
    </w:p>
    <w:p w14:paraId="555859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1.2已补记职业年金划转统筹基金财务确认</w:t>
      </w:r>
    </w:p>
    <w:p w14:paraId="6B5FED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对已划转统筹基金的补记退费确认到账。</w:t>
      </w:r>
    </w:p>
    <w:p w14:paraId="5EEA4C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1.3老机保划转到账确认</w:t>
      </w:r>
    </w:p>
    <w:p w14:paraId="6D08D6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对已划入本级职业年金归集户的老机保划转缴费确认到账。</w:t>
      </w:r>
    </w:p>
    <w:p w14:paraId="2B25E5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1.4实缴台账查询</w:t>
      </w:r>
    </w:p>
    <w:p w14:paraId="3AAE28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按统筹区、参保单位、缴费起止年月、缴费类型、经办起止时间、到账起止时间查询已到账的职业年金缴费信息。</w:t>
      </w:r>
    </w:p>
    <w:p w14:paraId="5D9840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1.5职业年金归集户利息财务登账</w:t>
      </w:r>
    </w:p>
    <w:p w14:paraId="2FEAF2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接收归集户银行回传的利息金额、计息区间、利率、到账时间等季度结息数据，支持经办人员前台补录利率信息，上传银行回单。</w:t>
      </w:r>
    </w:p>
    <w:p w14:paraId="234F42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1.6职业年金多发待遇追回资金到账确认</w:t>
      </w:r>
    </w:p>
    <w:p w14:paraId="36DFC5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对职业年金多发待遇追回资金到账确认。</w:t>
      </w:r>
    </w:p>
    <w:p w14:paraId="0C6EAB9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2、业务财务交接</w:t>
      </w:r>
    </w:p>
    <w:p w14:paraId="1607A3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2.1企保业务财务交接</w:t>
      </w:r>
    </w:p>
    <w:p w14:paraId="6D5EA6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接收业务推送的企保退费、转移、待遇、代发、错转多转资金应付数据及签字签章单据。如数据有误，财务可按交接批次全量退回，回退后业务可修改数据，财务接收后，业务无法回退或修改应付数据。</w:t>
      </w:r>
    </w:p>
    <w:p w14:paraId="7E75B3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2.2机保业务财务交接</w:t>
      </w:r>
    </w:p>
    <w:p w14:paraId="1291D2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接收业务推送的机保公共、机保待遇、机保代发、错转多转资金应付数据及签字签章单据。如数据有误，财务可按交接批次全量退回，回退后业务可修改数据，财务接收后，业务无法回退或修改应付数据。</w:t>
      </w:r>
    </w:p>
    <w:p w14:paraId="1F7987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2.3居保业务财务交接</w:t>
      </w:r>
    </w:p>
    <w:p w14:paraId="51ED25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接收业务推送的居保公共、居保待遇、居保代发、错转多转资金应付数据及签字签章单据。如数据有误，财务可按交接批次全量退回，回退后业务可修改数据，财务接收后，业务无法回退或修改应付数据。</w:t>
      </w:r>
    </w:p>
    <w:p w14:paraId="398951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2.4工伤业务财务交接</w:t>
      </w:r>
    </w:p>
    <w:p w14:paraId="7E3D18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接收业务推送的工伤公共、工伤待遇、错转多转资金应付数据及签字签章单据。如数据有误，财务可按交接批次全量退回，回退后业务可修改数据，财务接收后，业务无法回退或修改应付数据。</w:t>
      </w:r>
    </w:p>
    <w:p w14:paraId="6C5B14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2.5年金业务财务交接</w:t>
      </w:r>
    </w:p>
    <w:p w14:paraId="1D1FDE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接收业务推送的年金公共、归集划受托、错转多转资金应付数据及签字签章单据。如数据有误，财务可按交接批次全量退回，回退后业务可修改数据，财务接收后，业务无法回退或修改应付数据。</w:t>
      </w:r>
    </w:p>
    <w:p w14:paraId="1F2104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2.6工伤拨付单据汇总</w:t>
      </w:r>
    </w:p>
    <w:p w14:paraId="173E05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汇总审核通过的退费申请，拨付汇总后推送财务支付。</w:t>
      </w:r>
    </w:p>
    <w:p w14:paraId="17AF10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2.7业务拨付交接数据确认</w:t>
      </w:r>
    </w:p>
    <w:p w14:paraId="042875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对失业业务拨付汇总单进行交接确认。</w:t>
      </w:r>
    </w:p>
    <w:p w14:paraId="414C996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3、基金划转财政专户</w:t>
      </w:r>
    </w:p>
    <w:p w14:paraId="329E3E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3.1企保基金划转财政专户</w:t>
      </w:r>
    </w:p>
    <w:p w14:paraId="7BEF2A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向财政专户划转利息收入、其他收入、结余等资金，支持向省级财政专户、市级财政专户、县级财政专户划转。</w:t>
      </w:r>
    </w:p>
    <w:p w14:paraId="5169C1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3.2机保基金划转财政专户</w:t>
      </w:r>
    </w:p>
    <w:p w14:paraId="492F5E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向财政专户划转利息收入、其他收入、结余等资金，支持向省级财政专户、市级财政专户、县级财政专户划转。</w:t>
      </w:r>
    </w:p>
    <w:p w14:paraId="53227A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3.3居保基金划转财政专户</w:t>
      </w:r>
    </w:p>
    <w:p w14:paraId="3834A4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向财政专户划转利息收入、其他收入、结余等资金，支持向省级财政专户、市级财政专户、县级财政专户划转。</w:t>
      </w:r>
    </w:p>
    <w:p w14:paraId="12E7CE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3.4工伤基金划转财政专户</w:t>
      </w:r>
    </w:p>
    <w:p w14:paraId="098D37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向财政专户划转利息收入、其他收入、结余等资金，支持向省级财政专户、市级财政专户、县级财政专户划转。</w:t>
      </w:r>
    </w:p>
    <w:p w14:paraId="299A858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4、支付审批</w:t>
      </w:r>
    </w:p>
    <w:p w14:paraId="0F2574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4.1财务发起二次支付</w:t>
      </w:r>
    </w:p>
    <w:p w14:paraId="281F5D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对于划转财政专户等由财务发起的支付，如支付失败，数据进入该功能，进行二次发放。</w:t>
      </w:r>
    </w:p>
    <w:p w14:paraId="3F6B6A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4.2统模式前异常单据处理</w:t>
      </w:r>
    </w:p>
    <w:p w14:paraId="2AF5FB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发起统模式前异常单据的退费。</w:t>
      </w:r>
    </w:p>
    <w:p w14:paraId="37652C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4.3财务批量支付审批</w:t>
      </w:r>
    </w:p>
    <w:p w14:paraId="507C7B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养老金、工伤定期待遇进入财务批量支付，完成报盘，选择支付渠道、支付银行，自动校验银行余额。</w:t>
      </w:r>
    </w:p>
    <w:p w14:paraId="08B965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4.4财务单笔支付审批</w:t>
      </w:r>
    </w:p>
    <w:p w14:paraId="6BF6BA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其他类型支付进入财务单笔支付，完成报盘，选择支付渠道、支付银行，自动校验银行余额。</w:t>
      </w:r>
    </w:p>
    <w:p w14:paraId="5878CB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4.5年金划款支付审批</w:t>
      </w:r>
    </w:p>
    <w:p w14:paraId="436E6D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支持向银行发起本级归集户向省级划款、省级归集户向受托机构发起划款指令，接收业务推送的划款数据后进入该功能，进行支付审批经办，完成报盘，选择支付渠道。</w:t>
      </w:r>
    </w:p>
    <w:p w14:paraId="35B81E6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5、收入登账</w:t>
      </w:r>
    </w:p>
    <w:p w14:paraId="7E5704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5.1企保转移收入登账</w:t>
      </w:r>
    </w:p>
    <w:p w14:paraId="18DF02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所有进入企保转移收入户的收入流水，自动推送至该模块，登账完成后，生成会计凭证，与业务单据进行自动配账，推送业务处理。如经办人员核实后不属于该业务类型的，支持手动选择其他业务类型。</w:t>
      </w:r>
    </w:p>
    <w:p w14:paraId="2D3263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5.2机保转移收入登账</w:t>
      </w:r>
    </w:p>
    <w:p w14:paraId="574D49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所有进入机保转移收入户的流水，自动推送至该模块，登账完成后，生成会计凭证，与业务单据进行自动配账，推送业务处理。如经办人员核实后不属于该业务类型的，支持手动选择其他业务类型。</w:t>
      </w:r>
    </w:p>
    <w:p w14:paraId="6AACF1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5.3居保转移收入登账</w:t>
      </w:r>
    </w:p>
    <w:p w14:paraId="540783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所有进入居保转移收入户的流水，自动推送至该模块，登账完成后，生成会计凭证，与业务单据进行自动配账，推送业务处理。如经办人员核实后不属于该业务类型的，支持手动选择其他业务类型。</w:t>
      </w:r>
    </w:p>
    <w:p w14:paraId="3762ED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5.4企保多发待遇追回收入登账</w:t>
      </w:r>
    </w:p>
    <w:p w14:paraId="712ED4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识别其中姓名、追款单据号、身份证号、金额等关键信息，自动推送至该模块，登账完成后生成会计凭证，并与业务单据进行配账，推送业务处理。如经办人员核实后不属于该业务类型的，支持手动选择其他业务类型。</w:t>
      </w:r>
    </w:p>
    <w:p w14:paraId="6A1D48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5.5机保多发待遇追回收入登账</w:t>
      </w:r>
    </w:p>
    <w:p w14:paraId="0AA36A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识别其中姓名、追款单据号、身份证号、金额等关键信息，自动推送至该模块，登账完成后生成会计凭证，并与业务单据进行配账，推送业务处理。如经办人员核实后不属于该业务类型的，支持手动选择其他业务类型。</w:t>
      </w:r>
    </w:p>
    <w:p w14:paraId="350210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5.6居保多发待遇追回收入登账</w:t>
      </w:r>
    </w:p>
    <w:p w14:paraId="161815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识别其中姓名、追款单据号、身份证号、金额等关键信息，自动推送至该模块，登账完成后生成会计凭证，并与业务单据进行配账，推送业务处理。如经办人员核实后不属于该业务类型的，支持手动选择其他业务类型。</w:t>
      </w:r>
    </w:p>
    <w:p w14:paraId="773DC3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5.7工伤多发待遇追回收入登账</w:t>
      </w:r>
    </w:p>
    <w:p w14:paraId="6BE0C7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识别其中姓名、追款单据号、身份证号、金额等关键信息，自动推送至该模块，登账完成后生成会计凭证，并与业务单据进行配账，推送业务处理。如经办人员核实后不属于该业务类型的，支持手动选择其他业务类型。</w:t>
      </w:r>
    </w:p>
    <w:p w14:paraId="43A7D9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5.8企保利息收入登账（收入户、支出户）</w:t>
      </w:r>
    </w:p>
    <w:p w14:paraId="40782F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自动分析电子流水摘要信息，对于其中标注结息、利息、补息等，自动推送至该模块，登账完成后生成会计凭证。如经办人员核实后不属于该业务类型的，支持手动选择其他业务类型。</w:t>
      </w:r>
    </w:p>
    <w:p w14:paraId="51B9F6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5.9机保利息收入登账（收入户、支出户）</w:t>
      </w:r>
    </w:p>
    <w:p w14:paraId="1CB9A7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自动分析电子流水摘要信息，对于其中标注结息、利息、补息等，自动推送至该模块，登账完成后生成会计凭证。如经办人员核实后不属于该业务类型的，支持手动选择其他业务类型。</w:t>
      </w:r>
    </w:p>
    <w:p w14:paraId="41C604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5.10居保利息收入登账（收入户、支出户）</w:t>
      </w:r>
    </w:p>
    <w:p w14:paraId="2B4C30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自动分析电子流水摘要信息，对于其中标注结息、利息、补息等，自动推送至该模块，登账完成后生成会计凭证。如经办人员核实后不属于该业务类型的，支持手动选择其他业务类型。</w:t>
      </w:r>
    </w:p>
    <w:p w14:paraId="6F973D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5.11工伤利息收入登账（收入户、支出户）</w:t>
      </w:r>
    </w:p>
    <w:p w14:paraId="23DBDA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其中标注结息、利息、补息等，自动推送至该模块，可关联查询电子回单，支持补传电子回单，登账完成后生成会计凭证。如经办人员核实后不属于该业务类型的，支持手动选择其他业务类型。</w:t>
      </w:r>
    </w:p>
    <w:p w14:paraId="33B2B0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5.12年金归集户利息收入登账（收入户、支出户）</w:t>
      </w:r>
    </w:p>
    <w:p w14:paraId="4772A2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自动分析电子流水摘要信息，对于其中标注结息、利息、补息等，自动推送至该模块，登账完成后生成会计凭证，推送业务。如经办人员核实后不属于该业务类型的，支持手动选择其他业务类型。</w:t>
      </w:r>
    </w:p>
    <w:p w14:paraId="2FB19C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5.13企保收到财政专户拨款登账</w:t>
      </w:r>
    </w:p>
    <w:p w14:paraId="02E2B3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自动分析电子流水摘要信息，对于付款方为财政专户户名的，自动推送至该模块，登账完成后生成会计凭证。如经办人员核实后不属于该业务类型的，支持手动选择其他业务类型。</w:t>
      </w:r>
    </w:p>
    <w:p w14:paraId="2318963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5.14机保收到财政专户拨款登账</w:t>
      </w:r>
    </w:p>
    <w:p w14:paraId="4524BB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自动分析电子流水摘要信息，对于付款方为财政专户户名的，自动推送至该模块，登账完成后生成会计凭证。如经办人员核实后不属于该业务类型的，支持手动选择其他业务类型。</w:t>
      </w:r>
    </w:p>
    <w:p w14:paraId="157E9F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5.15居保收到财政专户拨款登账</w:t>
      </w:r>
    </w:p>
    <w:p w14:paraId="3AE8B6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自动分析电子流水摘要信息，对于付款方为财政专户户名的，自动推送至该模块，登账完成后生成会计凭证。如经办人员核实后不属于该业务类型的，支持手动选择其他业务类型。</w:t>
      </w:r>
    </w:p>
    <w:p w14:paraId="367D32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5.16工伤收到财政专户拨款登账</w:t>
      </w:r>
    </w:p>
    <w:p w14:paraId="63C0F1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自动分析电子流水摘要信息，对于付款方为财政专户户名的，自动推送至该模块，登账完成后生成会计凭证。如经办人员核实后不属于该业务类型的，支持手动选择其他业务类型。</w:t>
      </w:r>
    </w:p>
    <w:p w14:paraId="5CDC16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5.17企保退回资金登账</w:t>
      </w:r>
    </w:p>
    <w:p w14:paraId="18CD1E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登记转移支出退回或其他支付后对方退回的资金，登账完成后生成会计凭证，推送至原业务发起方处理。如经办人员核实后不属于该业务类型的，支持手动选择其他业务类型。</w:t>
      </w:r>
    </w:p>
    <w:p w14:paraId="3DA633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5.18机保退回资金登账</w:t>
      </w:r>
    </w:p>
    <w:p w14:paraId="33A99CB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登记转移支出退回或其他支付后对方退回的资金，登账完成后生成会计凭证，推送至原业务发起方处理。如经办人员核实后不属于该业务类型的，支持手动选择其他业务类型。</w:t>
      </w:r>
    </w:p>
    <w:p w14:paraId="220E51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5.19居保退回资金登账</w:t>
      </w:r>
    </w:p>
    <w:p w14:paraId="5D5E82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登记转移支出退回或其他支付后对方退回的资金，登账完成后生成会计凭证，推送至原业务发起方处理。如经办人员核实后不属于该业务类型的，支持手动选择其他业务类型。</w:t>
      </w:r>
    </w:p>
    <w:p w14:paraId="440A3C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5.20工伤退回资金登账</w:t>
      </w:r>
    </w:p>
    <w:p w14:paraId="110922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登记各类支付后对方退回的资金，登账完成后生成会计凭证，推送至原业务发起方处理。如经办人员核实后不属于该业务类型的，支持手动选择其他业务类型。</w:t>
      </w:r>
    </w:p>
    <w:p w14:paraId="345E05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5.21年金退回资金登账</w:t>
      </w:r>
    </w:p>
    <w:p w14:paraId="7ADEDC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登记各类支付后对方退回的资金，登账完成后生成会计凭证，推送至原业务发起方处理。如经办人员核实后不属于该业务类型的，支持手动选择其他业务类型。</w:t>
      </w:r>
    </w:p>
    <w:p w14:paraId="5646C7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5.22企保支出户不明资金处理</w:t>
      </w:r>
    </w:p>
    <w:p w14:paraId="5323CD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用于处理系统无法通过摘要等信息自动判断收入类型的收入流水，处理方式包括手工选择收入类型，推送业务处理。</w:t>
      </w:r>
    </w:p>
    <w:p w14:paraId="59FB7B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5.23机保支出户不明资金处理</w:t>
      </w:r>
    </w:p>
    <w:p w14:paraId="17A17E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用于处理系统无法通过摘要等信息自动判断收入类型的收入流水，处理方式包括手工选择收入类型，推送业务处理。</w:t>
      </w:r>
    </w:p>
    <w:p w14:paraId="214EF5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5.24居保支出户不明资金处理</w:t>
      </w:r>
    </w:p>
    <w:p w14:paraId="54C954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用于处理系统无法通过摘要等信息自动判断收入类型的收入流水，处理方式包括手工选择收入类型，推送业务处理。</w:t>
      </w:r>
    </w:p>
    <w:p w14:paraId="64A5C3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5.25工伤支出户不明资金处理</w:t>
      </w:r>
    </w:p>
    <w:p w14:paraId="4B3C48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用于处理系统无法通过摘要等信息自动判断收入类型的收入流水，处理方式包括手工选择收入类型，推送业务处理。</w:t>
      </w:r>
    </w:p>
    <w:p w14:paraId="33F05A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5.26年金归集户不明资金处理</w:t>
      </w:r>
    </w:p>
    <w:p w14:paraId="15C501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用于处理系统无法通过摘要等信息自动判断收入类型的收入流水，处理方式包括手工选择收入类型，推送业务处理。</w:t>
      </w:r>
    </w:p>
    <w:p w14:paraId="2A5C98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5.27财务已登账信息维护</w:t>
      </w:r>
    </w:p>
    <w:p w14:paraId="139E0B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修改已登账且未配账的业务类型。</w:t>
      </w:r>
    </w:p>
    <w:p w14:paraId="7F075F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5.28收入类财务登账查询</w:t>
      </w:r>
    </w:p>
    <w:p w14:paraId="6F5FA5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支持查询支出户、收入户已登账的相关数据。</w:t>
      </w:r>
    </w:p>
    <w:p w14:paraId="7E95A7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5.29机保、年金实施准备期到账确认</w:t>
      </w:r>
    </w:p>
    <w:p w14:paraId="5BEB8B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用于确认账户已收到单位完成实施准备期实缴资金，完成后推送业务处理。</w:t>
      </w:r>
    </w:p>
    <w:p w14:paraId="62065F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5.30老机保划转到账确认</w:t>
      </w:r>
    </w:p>
    <w:p w14:paraId="1AA884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用于确认账户已收到老机保划转资金，完成后推送业务处理。</w:t>
      </w:r>
    </w:p>
    <w:p w14:paraId="12C3E0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5.31工伤协议机构多发费用退回登账</w:t>
      </w:r>
    </w:p>
    <w:p w14:paraId="0D9AC5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自动分析电子流水信息，对于付款方户名与系统内置工伤协议机构一致的，或摘要注明为该业务类型的，自动推送至该模块，登账完成后，生成会计凭证，并推送业务处理。</w:t>
      </w:r>
    </w:p>
    <w:p w14:paraId="51E51C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5.32年金回盘登账</w:t>
      </w:r>
    </w:p>
    <w:p w14:paraId="1815F7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接收业务部门审核通过的职业年金待遇支付回盘数据进行登账，登账完成后，生成会计凭证。</w:t>
      </w:r>
    </w:p>
    <w:p w14:paraId="658EF0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5.33失业保险实收记账</w:t>
      </w:r>
    </w:p>
    <w:p w14:paraId="619778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用人单位税务缴费到账后，财务对征收成功的单据做收款登账处理。</w:t>
      </w:r>
    </w:p>
    <w:p w14:paraId="01D6C8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5.34失业保险税务回盘异常数据处理</w:t>
      </w:r>
    </w:p>
    <w:p w14:paraId="720E21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对税务回盘异常数据进行调账、记账处理。</w:t>
      </w:r>
    </w:p>
    <w:p w14:paraId="4ABEE9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5.35失业保险税务回盘异常数据登账</w:t>
      </w:r>
    </w:p>
    <w:p w14:paraId="565E0B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对税务回盘异常数据进行登账，以便退费。</w:t>
      </w:r>
    </w:p>
    <w:p w14:paraId="73C4E3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6、社银交互</w:t>
      </w:r>
    </w:p>
    <w:p w14:paraId="1DA48F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6.1上传社银经办、复核</w:t>
      </w:r>
    </w:p>
    <w:p w14:paraId="21DAFC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所有完成财务支付审批的数据，全量推送至此模块，经办、复核完成后，所有数据传递给银行支付。</w:t>
      </w:r>
    </w:p>
    <w:p w14:paraId="22009B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6.2银行流水接收核对</w:t>
      </w:r>
    </w:p>
    <w:p w14:paraId="10FBEF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银行回传的所有电子流水进入该模块，并自动与银行余额进行比对，经办人员可选择接收、不接收，选择接收的进入后置业务环节，选择不接收的反馈银行。</w:t>
      </w:r>
    </w:p>
    <w:p w14:paraId="5EA1BF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6.3银行电子回单接收核对</w:t>
      </w:r>
    </w:p>
    <w:p w14:paraId="18B4D6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银行回传的所有电子回单进入该模块，经办人员可选择接收、不接收，选择不接收的反馈银行。</w:t>
      </w:r>
    </w:p>
    <w:p w14:paraId="359CF1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6.4银行电子流水查询</w:t>
      </w:r>
    </w:p>
    <w:p w14:paraId="5F992F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可查询银行每日传递的电子流水。</w:t>
      </w:r>
    </w:p>
    <w:p w14:paraId="6F3549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6.5银行电子流水查询（实时）</w:t>
      </w:r>
    </w:p>
    <w:p w14:paraId="7441E2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可查询银行实时传递的电子流水。</w:t>
      </w:r>
    </w:p>
    <w:p w14:paraId="28358F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6.6银行电子回单查询</w:t>
      </w:r>
    </w:p>
    <w:p w14:paraId="789B42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可查询银行传递的所有电子回单，电子回单体量较大，需要一定的服务器资源。</w:t>
      </w:r>
    </w:p>
    <w:p w14:paraId="158669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6.7银行月度电子对账单查询</w:t>
      </w:r>
    </w:p>
    <w:p w14:paraId="73C74A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可查询银行传递的月度电子对账单。</w:t>
      </w:r>
    </w:p>
    <w:p w14:paraId="5FFCD3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6.8账户24时余额查询</w:t>
      </w:r>
    </w:p>
    <w:p w14:paraId="24F283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系统每日24时查询银行余额，并进行记录，在该模块展示。</w:t>
      </w:r>
    </w:p>
    <w:p w14:paraId="0C5B68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6.9账户实时余额查询</w:t>
      </w:r>
    </w:p>
    <w:p w14:paraId="79C29A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通过社银实时查询接口，可查询该时点的银行余额。</w:t>
      </w:r>
    </w:p>
    <w:p w14:paraId="3C13CB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6.10已对账流水信息维护</w:t>
      </w:r>
    </w:p>
    <w:p w14:paraId="694AF5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可维护已对账流水中的业务单据号等字段，便于对账，但不允许维护金额。</w:t>
      </w:r>
    </w:p>
    <w:p w14:paraId="2A1DD2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6.11银行支付报盘</w:t>
      </w:r>
    </w:p>
    <w:p w14:paraId="7C79F5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根据银行类别、报盘文件类型、账套类型生成报盘文件汇总信息、明细信息。</w:t>
      </w:r>
    </w:p>
    <w:p w14:paraId="313F35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6.12银行支付回盘</w:t>
      </w:r>
    </w:p>
    <w:p w14:paraId="1D651F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对社银代发回盘文件进行解析，识别出代发成功和代发失败的记录。</w:t>
      </w:r>
    </w:p>
    <w:p w14:paraId="33B23D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6.13上传社银平台</w:t>
      </w:r>
    </w:p>
    <w:p w14:paraId="3B33BB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将财务支出项目中已经报盘的数据上传至社银平台。</w:t>
      </w:r>
    </w:p>
    <w:p w14:paraId="6C019F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6.14失业保险支付失败确认</w:t>
      </w:r>
    </w:p>
    <w:p w14:paraId="567A13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当银行返回网银支付/跨行支付的失败信息时，财务将原拨付单据从拨付成功变更为拨付失败。</w:t>
      </w:r>
    </w:p>
    <w:p w14:paraId="51A5E6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6.15协议银行履约管理</w:t>
      </w:r>
    </w:p>
    <w:p w14:paraId="400E14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根据社银报盘、回盘电子流水回单，分析银行发放及反馈数据准确性完整性，支持填报、审核、上报。</w:t>
      </w:r>
    </w:p>
    <w:p w14:paraId="42161E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2C0ADD9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7、基金对账</w:t>
      </w:r>
    </w:p>
    <w:p w14:paraId="5E04E5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7.1企保保费收入月对账</w:t>
      </w:r>
    </w:p>
    <w:p w14:paraId="4E7629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进行企保保费收入“社税财银”四部门月对账生成或填写。可能需要与人行、财政建设系统接口。</w:t>
      </w:r>
    </w:p>
    <w:p w14:paraId="5346DB6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7.2机保保费收入月对账</w:t>
      </w:r>
    </w:p>
    <w:p w14:paraId="4FFCDC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进行机保保费收入“社税财银”四部门月对账生成或填写。</w:t>
      </w:r>
    </w:p>
    <w:p w14:paraId="2CA4C5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7.3居保保费收入月对账</w:t>
      </w:r>
    </w:p>
    <w:p w14:paraId="52043F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进行居保保费收入“社税财银”四部门月对账生成或填写。</w:t>
      </w:r>
    </w:p>
    <w:p w14:paraId="2144D3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7.4工伤保费收入月对账</w:t>
      </w:r>
    </w:p>
    <w:p w14:paraId="2ED488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进行工伤保费收入“社税财银”四部门月对账生成或填写。</w:t>
      </w:r>
    </w:p>
    <w:p w14:paraId="7CC0F2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7.5保费收入月对账本级汇总</w:t>
      </w:r>
    </w:p>
    <w:p w14:paraId="1E5B90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按照经办机构授权配置，汇总本经办机构所负责的险种，支持上传影像件。</w:t>
      </w:r>
    </w:p>
    <w:p w14:paraId="1399E4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7.6保费收入月对账市级汇总</w:t>
      </w:r>
    </w:p>
    <w:p w14:paraId="354E5F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汇总、审核下级核算区通过本级汇总功能上报的保费收入的数据，支持回退。</w:t>
      </w:r>
    </w:p>
    <w:p w14:paraId="04D7B7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7.7保费收入月对账省级汇总</w:t>
      </w:r>
    </w:p>
    <w:p w14:paraId="2C6246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汇总、审核市级汇总的保费收入的数据，支持回退。</w:t>
      </w:r>
    </w:p>
    <w:p w14:paraId="3DF883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7.8企保财政专户月对账</w:t>
      </w:r>
    </w:p>
    <w:p w14:paraId="364D87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7B323C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7.9机保财政专户月对账</w:t>
      </w:r>
    </w:p>
    <w:p w14:paraId="5B0F10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6B9DD1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7.10居保财政专户月对账</w:t>
      </w:r>
    </w:p>
    <w:p w14:paraId="306E76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01845E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7.11工伤财政专户月对账</w:t>
      </w:r>
    </w:p>
    <w:p w14:paraId="46DBBA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13C142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7.12财政专户月对账本级汇总</w:t>
      </w:r>
    </w:p>
    <w:p w14:paraId="087C3A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按照经办机构授权配置，汇总本经办机构所负责的险种，支持上传影像件。</w:t>
      </w:r>
    </w:p>
    <w:p w14:paraId="459951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7.13财政专户月对账市级汇总</w:t>
      </w:r>
    </w:p>
    <w:p w14:paraId="1F460F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汇总、审核下级核算区通过本级汇总功能上报的财政专户的数据，支持回退。</w:t>
      </w:r>
    </w:p>
    <w:p w14:paraId="3ADBB8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7.14财政专户月对账省级汇总</w:t>
      </w:r>
    </w:p>
    <w:p w14:paraId="5DF773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汇总、审核市级汇总的保费收入的数据，支持回退。</w:t>
      </w:r>
    </w:p>
    <w:p w14:paraId="4F2047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7.15企保保费收入年对账</w:t>
      </w:r>
    </w:p>
    <w:p w14:paraId="51ED78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进行企保保费收入“社税财银”四部门月对账生成或填写。</w:t>
      </w:r>
    </w:p>
    <w:p w14:paraId="5CF278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7.16机保保费收入年对账</w:t>
      </w:r>
    </w:p>
    <w:p w14:paraId="65FB75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进行机保保费收入“社税财银”四部门月对账生成或填写。</w:t>
      </w:r>
    </w:p>
    <w:p w14:paraId="5DEB8F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7.17居保保费收入年对账</w:t>
      </w:r>
    </w:p>
    <w:p w14:paraId="657549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进行居保保费收入“社税财银”四部门月对账生成或填写。</w:t>
      </w:r>
    </w:p>
    <w:p w14:paraId="69E5E0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7.18工伤保费收入年对账</w:t>
      </w:r>
    </w:p>
    <w:p w14:paraId="6CB3B8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进行工伤保费收入“社税财银”四部门月对账生成或填写。</w:t>
      </w:r>
    </w:p>
    <w:p w14:paraId="43F7A0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7.19保费收入年对账本级汇总</w:t>
      </w:r>
    </w:p>
    <w:p w14:paraId="7BBD7F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按照经办机构授权配置，汇总本经办机构所负责的险种，支持上传影像件。</w:t>
      </w:r>
    </w:p>
    <w:p w14:paraId="261921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7.20保费收入年对账市级汇总</w:t>
      </w:r>
    </w:p>
    <w:p w14:paraId="6144CE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汇总、审核下级核算区通过本级汇总功能上报的保费收入的数据，支持回退。</w:t>
      </w:r>
    </w:p>
    <w:p w14:paraId="01332F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7.21保费收入年对账省级汇总</w:t>
      </w:r>
    </w:p>
    <w:p w14:paraId="3969E5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汇总、审核市级汇总的保费收入的数据，支持回退。</w:t>
      </w:r>
    </w:p>
    <w:p w14:paraId="2B9932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7.22企保财政专户年对账</w:t>
      </w:r>
    </w:p>
    <w:p w14:paraId="554808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146C2F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7.23机保财政专户年对账</w:t>
      </w:r>
    </w:p>
    <w:p w14:paraId="746C7E4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2AA805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7.24居保财政专户年对账</w:t>
      </w:r>
    </w:p>
    <w:p w14:paraId="125662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17A89C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7.25工伤财政专户年对账</w:t>
      </w:r>
    </w:p>
    <w:p w14:paraId="5607AB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提取财政专户核算数据，生成财政专户对账表。</w:t>
      </w:r>
    </w:p>
    <w:p w14:paraId="5E5464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7.26财政专户年对账本级汇总</w:t>
      </w:r>
    </w:p>
    <w:p w14:paraId="0097F5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按照经办机构授权配置，汇总本经办机构所负责的险种，支持上传影像件。</w:t>
      </w:r>
    </w:p>
    <w:p w14:paraId="1C3994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7.27财政专户年对账市级汇总</w:t>
      </w:r>
    </w:p>
    <w:p w14:paraId="401FCB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汇总、审核下级核算区通过本级汇总功能上报的财政专户的数据，支持回退。</w:t>
      </w:r>
    </w:p>
    <w:p w14:paraId="7AE571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7.28财政专户年对账省级汇总</w:t>
      </w:r>
    </w:p>
    <w:p w14:paraId="65CC97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汇总、审核市级汇总的保费收入的数据，支持回退。</w:t>
      </w:r>
    </w:p>
    <w:p w14:paraId="2BC2BE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7.29社税对账分析</w:t>
      </w:r>
    </w:p>
    <w:p w14:paraId="59502B9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支持导入税务部门数据，与已核算数据进行比对。</w:t>
      </w:r>
    </w:p>
    <w:p w14:paraId="1A12C7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7.30出纳与银行日对账结果查询</w:t>
      </w:r>
    </w:p>
    <w:p w14:paraId="35896A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自动记录、汇总出纳与银行日对账结果。</w:t>
      </w:r>
    </w:p>
    <w:p w14:paraId="59EBE1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7.31出纳与银行日对账差异处理、复核</w:t>
      </w:r>
    </w:p>
    <w:p w14:paraId="735A5F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对因银行漏传、错传流水导致的当日对账差异，银行补正流水后修正对账结果。</w:t>
      </w:r>
    </w:p>
    <w:p w14:paraId="079A90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7.32出纳与银行月度余额调节表</w:t>
      </w:r>
    </w:p>
    <w:p w14:paraId="13DBD8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根据全月对账情况，按照制定式样，生成出纳与银行月度余额调节表。</w:t>
      </w:r>
    </w:p>
    <w:p w14:paraId="69B467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7.33业财支出日明细对账</w:t>
      </w:r>
    </w:p>
    <w:p w14:paraId="66D944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按照一定的对账规则，对每笔业务支出、财务支出结果进行比对，并关联银行电子回单进行佐证。</w:t>
      </w:r>
    </w:p>
    <w:p w14:paraId="342CF7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7.34业财收入日明细对账</w:t>
      </w:r>
    </w:p>
    <w:p w14:paraId="0B1A54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按照一定的对账规则，对每笔业务收入、财务收入结果进行比对，并关联银行电子回单进行佐证。</w:t>
      </w:r>
    </w:p>
    <w:p w14:paraId="473222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7.35业财支出月总账对账</w:t>
      </w:r>
    </w:p>
    <w:p w14:paraId="6748E3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按照一定的对账规则，对同一业务类型或同一银行账号进行全月数据的汇总对账，并与明细对账情况相关联。对账结果推送业务复核后固化。</w:t>
      </w:r>
    </w:p>
    <w:p w14:paraId="586C04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7.36业财收入月总账对账</w:t>
      </w:r>
    </w:p>
    <w:p w14:paraId="018729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按照一定的对账规则，对同一业务类型或同一银行账号进行全月数据的汇总对账，并与明细对账情况相关联。对账结果推送业务复核后固化。</w:t>
      </w:r>
    </w:p>
    <w:p w14:paraId="3FD5A2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7.37出纳与会计对账</w:t>
      </w:r>
    </w:p>
    <w:p w14:paraId="25BD68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将出纳记录的银行收支与会计记录的银行收支结果进行对账。推送主管会计或财务负责人复核后固化。</w:t>
      </w:r>
    </w:p>
    <w:p w14:paraId="413461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7.38总体对账情况查询</w:t>
      </w:r>
    </w:p>
    <w:p w14:paraId="629241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集成社银对账、业财支出对账、业财收入对账、出纳会计对账进度、差异情况。</w:t>
      </w:r>
    </w:p>
    <w:p w14:paraId="42E846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7.39社银对账情况查询</w:t>
      </w:r>
    </w:p>
    <w:p w14:paraId="3CC700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查询当前及下级核算区社银对账进度、差异情况。</w:t>
      </w:r>
    </w:p>
    <w:p w14:paraId="45196F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7.40业财支出对账情况查询</w:t>
      </w:r>
    </w:p>
    <w:p w14:paraId="7931E3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查询当前及下级核算区业财支出对账进度、差异情况。</w:t>
      </w:r>
    </w:p>
    <w:p w14:paraId="55CBAF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7.41业财收入对账情况查询</w:t>
      </w:r>
    </w:p>
    <w:p w14:paraId="2B4C63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查询当前及下级核算区业财收入对账进度、差异情况。</w:t>
      </w:r>
    </w:p>
    <w:p w14:paraId="3EA891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7.42出纳会计对账情况查询</w:t>
      </w:r>
    </w:p>
    <w:p w14:paraId="741859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查询当前及下级核算区出纳会计对账进度、差异情况。</w:t>
      </w:r>
    </w:p>
    <w:p w14:paraId="7C1790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7.43失业保险社会保险费收入对账</w:t>
      </w:r>
    </w:p>
    <w:p w14:paraId="15A71D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按月/年生成本级、市级、省级社会保险费收入对账信息。</w:t>
      </w:r>
    </w:p>
    <w:p w14:paraId="5A5349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7.44失业保险基金财政专户对账</w:t>
      </w:r>
    </w:p>
    <w:p w14:paraId="043C05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按月/年汇总全省失业保险基金财政专户对账信息。</w:t>
      </w:r>
    </w:p>
    <w:p w14:paraId="49D879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7.45失业保险收支明细对账</w:t>
      </w:r>
    </w:p>
    <w:p w14:paraId="704A77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按月/年收支总账/明细账对账。</w:t>
      </w:r>
    </w:p>
    <w:p w14:paraId="046A42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7.46失业保险对账结果查询</w:t>
      </w:r>
    </w:p>
    <w:p w14:paraId="2254B5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根据失业保险总体对账情况查询对账结果进行查询，以是否固化数据判断对账是否完成。</w:t>
      </w:r>
    </w:p>
    <w:p w14:paraId="3106AE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7.47实收分配</w:t>
      </w:r>
    </w:p>
    <w:p w14:paraId="449F5F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参保对象依据缴费单成功缴费后，对缴费单据做到账分配处理。</w:t>
      </w:r>
    </w:p>
    <w:p w14:paraId="224E70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8、会计核算</w:t>
      </w:r>
    </w:p>
    <w:p w14:paraId="24BD4C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8.1账套及会计科目管理</w:t>
      </w:r>
    </w:p>
    <w:p w14:paraId="07D57E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设置账套编码、名称、会计科目等。</w:t>
      </w:r>
    </w:p>
    <w:p w14:paraId="7E3966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8.2账期管理</w:t>
      </w:r>
    </w:p>
    <w:p w14:paraId="292567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选择后，会计核算功能相关的日期均按照该日期执行，如记账日期、查询日期均默认为选择的账期。</w:t>
      </w:r>
    </w:p>
    <w:p w14:paraId="70F25E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8.3期初科目余额</w:t>
      </w:r>
    </w:p>
    <w:p w14:paraId="6F0F5D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首次使用新系统、新账套时，录入账套下的会计科目的期初余额，以后年度自动结转。</w:t>
      </w:r>
    </w:p>
    <w:p w14:paraId="158BEC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8.4辅助核算管理</w:t>
      </w:r>
    </w:p>
    <w:p w14:paraId="6A68A5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新增、删除、修改辅助核算科目。</w:t>
      </w:r>
    </w:p>
    <w:p w14:paraId="10F385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8.5预警规则</w:t>
      </w:r>
    </w:p>
    <w:p w14:paraId="1ED687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按照人社部预警规则，对于核算中触发一类预警不允许生成凭证，二类、三类生成预警日志。</w:t>
      </w:r>
    </w:p>
    <w:p w14:paraId="7EFB39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8.6出纳账簿管理</w:t>
      </w:r>
    </w:p>
    <w:p w14:paraId="07FFC1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出纳账簿的管理，包括新增出纳账簿、设置账簿的相关控制、启用停用账簿等。</w:t>
      </w:r>
    </w:p>
    <w:p w14:paraId="64F35E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8.7业务单据生成会计凭证</w:t>
      </w:r>
    </w:p>
    <w:p w14:paraId="62737C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业务款项与财务科目对照关系，按照会计核算规则，通过中台相关库表生成会计凭证借方贷方，支持明细生成、汇总生成，并直观展示该凭证关联的业务单据号。记账后，会计凭证号回写业务。此外，应当自动关联业务财务交接单据、财务支付审批单、银行电子回单，归入电子档案。</w:t>
      </w:r>
    </w:p>
    <w:p w14:paraId="2DA6EC5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8.8录入会计凭证</w:t>
      </w:r>
    </w:p>
    <w:p w14:paraId="0CDD1E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对财政专户、国库存款等无法获取电子流水的，通过该功能生成会计凭证。</w:t>
      </w:r>
    </w:p>
    <w:p w14:paraId="095A22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8.9会计凭证箱</w:t>
      </w:r>
    </w:p>
    <w:p w14:paraId="0F54B8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按照账套汇总业务单据生成会计凭证、录入会计凭证中所有的会计凭证。</w:t>
      </w:r>
    </w:p>
    <w:p w14:paraId="2B3CC1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8.10余额表</w:t>
      </w:r>
    </w:p>
    <w:p w14:paraId="7BA4F1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余额表用于查询某个会计期间或某段时间内，会计科目的余额情况。包括会计科目、期初余额、本期发生额（借/贷）、累计发生额（借/贷）、期末余额等内容。</w:t>
      </w:r>
    </w:p>
    <w:p w14:paraId="117FEF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8.11总账</w:t>
      </w:r>
    </w:p>
    <w:p w14:paraId="729BB6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总账用于统计在某个会计期间内或某段期间内各会计科目的期初余额、当期借贷方发生额以及本年累计发生额。</w:t>
      </w:r>
    </w:p>
    <w:p w14:paraId="0ADE38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8.12明细账</w:t>
      </w:r>
    </w:p>
    <w:p w14:paraId="7E96B3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明细账用于查询某个会计期间或某段期间内，会计科目发生的凭证信息。包括业务发生日期、凭证号、摘要、对方科目、借/贷方金额以及科目余额等内容。</w:t>
      </w:r>
    </w:p>
    <w:p w14:paraId="0B5720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8.13序时账</w:t>
      </w:r>
    </w:p>
    <w:p w14:paraId="08FD5B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序时账是将所有记账凭证按各项经济业务发生时间的先后顺序进行登记的账簿。序时账可以根据各种查询条件进行查询，显示所有满足条件的凭证分录信息。</w:t>
      </w:r>
    </w:p>
    <w:p w14:paraId="7DF64B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8.14出纳日记账</w:t>
      </w:r>
    </w:p>
    <w:p w14:paraId="033456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完成出纳与银行日对账的流水自动生成出纳日记账。</w:t>
      </w:r>
    </w:p>
    <w:p w14:paraId="1943BF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8.15核算进度统计查询</w:t>
      </w:r>
    </w:p>
    <w:p w14:paraId="6B78B7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统计各核算区未记账、已审核、已记账的凭证张数。</w:t>
      </w:r>
    </w:p>
    <w:p w14:paraId="23D74A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8.16自动转账</w:t>
      </w:r>
    </w:p>
    <w:p w14:paraId="0BE3DE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自动转账是指设置好收支结转模板，按月对收支科目进行结转处理的功能。</w:t>
      </w:r>
    </w:p>
    <w:p w14:paraId="11C547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8.17期末结账</w:t>
      </w:r>
    </w:p>
    <w:p w14:paraId="4DEFB5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内置结账导航流程，引导工作人员完成全年账务试算平衡等逻辑性检查，对全年账务进行结账，结账后，不允许再修改当年账务。</w:t>
      </w:r>
    </w:p>
    <w:p w14:paraId="3922B5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8.18生成新年度账</w:t>
      </w:r>
    </w:p>
    <w:p w14:paraId="51AF28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上一年度期末结账后，自动生成新一年度期初科目余额。</w:t>
      </w:r>
    </w:p>
    <w:p w14:paraId="7292D3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8.19批量账务打印</w:t>
      </w:r>
    </w:p>
    <w:p w14:paraId="7E9071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支持批量打印全年会计凭证、余额表、总账、明细账等。</w:t>
      </w:r>
    </w:p>
    <w:p w14:paraId="115897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汇总余额表查询</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实时汇总下级统筹区余额表数据。</w:t>
      </w:r>
    </w:p>
    <w:p w14:paraId="04A24E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8.20汇总明细账查询</w:t>
      </w:r>
    </w:p>
    <w:p w14:paraId="6F71AB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实时汇总下级统筹区明细账数据。</w:t>
      </w:r>
    </w:p>
    <w:p w14:paraId="037726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8.21汇总总账查询</w:t>
      </w:r>
    </w:p>
    <w:p w14:paraId="268129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实时汇总下级统筹区总账数据。</w:t>
      </w:r>
    </w:p>
    <w:p w14:paraId="58F28A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8.22暂收款明细台账</w:t>
      </w:r>
    </w:p>
    <w:p w14:paraId="7BB0956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详细登记暂收款明细信息，并与会计凭证关联。</w:t>
      </w:r>
    </w:p>
    <w:p w14:paraId="54BB98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8.23暂付款明细台账</w:t>
      </w:r>
    </w:p>
    <w:p w14:paraId="024263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详细登记暂付款明细信息，并与会计凭证关联。</w:t>
      </w:r>
    </w:p>
    <w:p w14:paraId="175260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8.24辅助明细账查询</w:t>
      </w:r>
    </w:p>
    <w:p w14:paraId="22E0E8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查询指定区间本统筹区辅助账。</w:t>
      </w:r>
    </w:p>
    <w:p w14:paraId="57658A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8.25业务批量支付财务凭证生成</w:t>
      </w:r>
    </w:p>
    <w:p w14:paraId="4B630D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对业务拨付数据进行拨付成功后，根据业务拨付汇总流水号，在此模块生成财务凭证汇总。</w:t>
      </w:r>
    </w:p>
    <w:p w14:paraId="395713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8.26财务凭证撤销</w:t>
      </w:r>
    </w:p>
    <w:p w14:paraId="52D52C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当发现财务凭证信息有误时，可对凭证信息进行撤销。</w:t>
      </w:r>
    </w:p>
    <w:p w14:paraId="7D7BD0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8.27税务回盘财务凭证生成</w:t>
      </w:r>
    </w:p>
    <w:p w14:paraId="79CBFC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处理完税务回盘信息后，在此模块生成相应的财务凭证。</w:t>
      </w:r>
    </w:p>
    <w:p w14:paraId="272B89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8.28失业银行存款使用明细填报</w:t>
      </w:r>
    </w:p>
    <w:p w14:paraId="162E05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填报失业保险各银行的存款使用明细。</w:t>
      </w:r>
    </w:p>
    <w:p w14:paraId="507184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8.29失业银行存款使用明细查询导出</w:t>
      </w:r>
    </w:p>
    <w:p w14:paraId="409BC3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查询失业保险各银行的存款使用明细，支持导出。</w:t>
      </w:r>
    </w:p>
    <w:p w14:paraId="2E72D4C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9、基金财务报表</w:t>
      </w:r>
    </w:p>
    <w:p w14:paraId="26B6EA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9.1企保收支表、资产负债表、暂收暂付款明细表</w:t>
      </w:r>
    </w:p>
    <w:p w14:paraId="1B3FEE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按照人社部报表格式，提取对应凭证数据，自动生成报表。</w:t>
      </w:r>
    </w:p>
    <w:p w14:paraId="17F570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9.2机保收支表、资产负债表、暂收暂付款明细表</w:t>
      </w:r>
    </w:p>
    <w:p w14:paraId="51B64C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按照人社部报表格式，提取对应凭证数据，自动生成报表。</w:t>
      </w:r>
    </w:p>
    <w:p w14:paraId="37B4F7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9.3居保收支表、资产负债表、暂收暂付款明细表</w:t>
      </w:r>
    </w:p>
    <w:p w14:paraId="2BABB0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按照人社部报表格式，提取对应凭证数据，自动生成报表。</w:t>
      </w:r>
    </w:p>
    <w:p w14:paraId="56E8D5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9.4工伤收支表、资产负债表、暂收暂付款明细表</w:t>
      </w:r>
    </w:p>
    <w:p w14:paraId="08A5E6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按照人社部报表格式，提取对应凭证数据，自动生成报表。</w:t>
      </w:r>
    </w:p>
    <w:p w14:paraId="68AE85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9.5年金收支表、资产负债表、暂收暂付款明细表</w:t>
      </w:r>
    </w:p>
    <w:p w14:paraId="783AF2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按照人社部报表格式，提取对应凭证数据，自动生成报表。</w:t>
      </w:r>
    </w:p>
    <w:p w14:paraId="082A88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9.6企保补充资料表</w:t>
      </w:r>
    </w:p>
    <w:p w14:paraId="3A9076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按照人社部报表格式，提取实缴人数、月人均缴费基数、平均费率、收缴率等数据，自动生成报表。</w:t>
      </w:r>
    </w:p>
    <w:p w14:paraId="08FFF4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9.7机保补充资料表</w:t>
      </w:r>
    </w:p>
    <w:p w14:paraId="62C669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按照人社部报表格式，提取实缴人数、月人均缴费基数、平均费率、收缴率等数据，自动生成报表。</w:t>
      </w:r>
    </w:p>
    <w:p w14:paraId="4DE535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9.8居保补充资料表</w:t>
      </w:r>
    </w:p>
    <w:p w14:paraId="404810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按照人社部报表格式，提取实缴人数、月人均缴费基数、平均费率、收缴率等数据，自动生成报表。</w:t>
      </w:r>
    </w:p>
    <w:p w14:paraId="781FF4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9.9工伤补充资料表</w:t>
      </w:r>
    </w:p>
    <w:p w14:paraId="387F0C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按照人社部报表格式，提取征缴收入、待遇支出等数据，自动生成报表。</w:t>
      </w:r>
    </w:p>
    <w:p w14:paraId="2E911A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9.10基金决算补充资料表</w:t>
      </w:r>
    </w:p>
    <w:p w14:paraId="44EB22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内置财政部决算报表式样，按照决算报表口径，自动统计生产库数据，生成报表。</w:t>
      </w:r>
    </w:p>
    <w:p w14:paraId="1CA751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9.11职业年金记账缴费情况表</w:t>
      </w:r>
    </w:p>
    <w:p w14:paraId="4218F5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按照人社部报表格式，提取年金记账本金、利息等数据。</w:t>
      </w:r>
    </w:p>
    <w:p w14:paraId="4D686D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9.12报表综合查询</w:t>
      </w:r>
    </w:p>
    <w:p w14:paraId="11DDB4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支持自定义报表指标，自定义时间区间，查询全省、分市州、分区县数据。</w:t>
      </w:r>
    </w:p>
    <w:p w14:paraId="59DC4D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9.13基金预算报表导入</w:t>
      </w:r>
    </w:p>
    <w:p w14:paraId="00E122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导入历史年度基金预算表，包括省市县数据。</w:t>
      </w:r>
    </w:p>
    <w:p w14:paraId="06E631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9.14基金年报报表导入</w:t>
      </w:r>
    </w:p>
    <w:p w14:paraId="53F7A5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导入历史年度基金年报表，包括省市县数据。</w:t>
      </w:r>
    </w:p>
    <w:p w14:paraId="4B2D0B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9.15基金决算报表导入</w:t>
      </w:r>
    </w:p>
    <w:p w14:paraId="4E9B00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导入年度基金决算报表，包括省市县数据。</w:t>
      </w:r>
    </w:p>
    <w:p w14:paraId="30E2CFF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9.16财政决算与人社账表比对</w:t>
      </w:r>
    </w:p>
    <w:p w14:paraId="5BB01C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自动比对基金决算报表数据与系统内置人社部报表数据。</w:t>
      </w:r>
    </w:p>
    <w:p w14:paraId="046308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9.17财政预算测算</w:t>
      </w:r>
    </w:p>
    <w:p w14:paraId="3B1B76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按照预算报表格式自动获取相关基础数据，根据预设规则自动测算。</w:t>
      </w:r>
    </w:p>
    <w:p w14:paraId="08A1FDD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10、请款</w:t>
      </w:r>
    </w:p>
    <w:p w14:paraId="48CD0A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10.1企保业务提出请款计划、审核</w:t>
      </w:r>
    </w:p>
    <w:p w14:paraId="5718BB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各核算区根据上月业务应付数据，生成下月应付数据，并自动校验预算序时进度，超进度支出应提交说明，审核后推送至财务。</w:t>
      </w:r>
    </w:p>
    <w:p w14:paraId="0CAFA3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10.2企保财务生成请款计划、审核</w:t>
      </w:r>
    </w:p>
    <w:p w14:paraId="35F8B8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接收业务请款计划数据，结合银行账户余额，生成最终的请款计划，进行审核，自动嵌套电子签章。</w:t>
      </w:r>
    </w:p>
    <w:p w14:paraId="63D79E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10.3省本级企保财务生成请款计划</w:t>
      </w:r>
    </w:p>
    <w:p w14:paraId="4E578B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用于接收业务请款计划数据，结合银行账户余额，生成最终的请款计划。</w:t>
      </w:r>
    </w:p>
    <w:p w14:paraId="09F551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10.4企保请款计划报送</w:t>
      </w:r>
    </w:p>
    <w:p w14:paraId="33F4BA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审核完成后，数据推送至该模块，上传经当地人社、财政部门盖章的请款计划表，上报省级。</w:t>
      </w:r>
    </w:p>
    <w:p w14:paraId="01864E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10.5企保请款计划省级审核</w:t>
      </w:r>
    </w:p>
    <w:p w14:paraId="2EA34F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汇总各地报送的数据、盖章件、相关说明材料，按照一定规则自动分析各地请款的科学性，支持退回。</w:t>
      </w:r>
    </w:p>
    <w:p w14:paraId="3B5E95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10.6工伤业务提出请款计划、审核</w:t>
      </w:r>
    </w:p>
    <w:p w14:paraId="06FD86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各市州根据上月业务应付数据，生成下月应付数据，并自动校验预算序时进度，超进度支出应提交说明，审核后推送至财务。</w:t>
      </w:r>
    </w:p>
    <w:p w14:paraId="44195F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10.7工伤财务生成请款计划、审核</w:t>
      </w:r>
    </w:p>
    <w:p w14:paraId="6D7CDA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接收业务请款计划数据，结合银行账户余额，生成最终的请款计划，进行审核，自动嵌套电子签章。</w:t>
      </w:r>
    </w:p>
    <w:p w14:paraId="1DC20C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10.8省本级工伤财务生成请款计划</w:t>
      </w:r>
    </w:p>
    <w:p w14:paraId="1D4FE6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接收业务请款计划数据，结合银行账户余额，生成最终的请款计划。</w:t>
      </w:r>
    </w:p>
    <w:p w14:paraId="7EF4E1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10.9工伤请款计划报送</w:t>
      </w:r>
    </w:p>
    <w:p w14:paraId="7F9AEF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审核完成后，数据推送至该模块，上传经当地人社、财政部门盖章的请款计划表，上报省级。</w:t>
      </w:r>
    </w:p>
    <w:p w14:paraId="36A114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10.10工伤请款计划省级审核</w:t>
      </w:r>
    </w:p>
    <w:p w14:paraId="4BD37F6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汇总各地报送的数据、盖章件、相关说明材料，按照一定规则自动分析各地请款的科学性，支持退回。</w:t>
      </w:r>
    </w:p>
    <w:p w14:paraId="09B93C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10.11工伤县级向市级请款</w:t>
      </w:r>
    </w:p>
    <w:p w14:paraId="22C64C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用于县级向市级按月或按季度请款，根据区间选择，生成下月或下季度应付数据。</w:t>
      </w:r>
    </w:p>
    <w:p w14:paraId="406DCF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10.12工伤市级向县级拨付请款资金</w:t>
      </w:r>
    </w:p>
    <w:p w14:paraId="14071D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默认县级请款金额，可根据实际情况进行修改，但需要预警。自动关联所辖县级的工伤保险支出户账号信息，完成拨付审核后推送社银平台支付。</w:t>
      </w:r>
    </w:p>
    <w:p w14:paraId="4ECF3C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10.13机保业务提出请款计划、审核</w:t>
      </w:r>
    </w:p>
    <w:p w14:paraId="537F74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各核算区根据下月业务应付数据，生成下月应付数据，并自动校验预算序时进度，超进度支出应提交说明，审核后推送至财务。</w:t>
      </w:r>
    </w:p>
    <w:p w14:paraId="5FBFDA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10.14机保财务生成请款计划、审核</w:t>
      </w:r>
    </w:p>
    <w:p w14:paraId="6ECA57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接收业务请款计划数据，结合银行账户余额，生成最终的请款计划，进行审核，自动嵌套电子签章。各地根据实际情况选择三级或四级审核，省级四级审核。</w:t>
      </w:r>
    </w:p>
    <w:p w14:paraId="47E292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10.15居保业务提出请款计划、审核</w:t>
      </w:r>
    </w:p>
    <w:p w14:paraId="1EF7A7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各核算区根据当月业务应付数据，生成下月应付数据，并自动校验预算序时进度，超进度支出应提交说明，审核后推送至财务。</w:t>
      </w:r>
    </w:p>
    <w:p w14:paraId="1180EB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10.16居保财务生成请款计划、审核</w:t>
      </w:r>
    </w:p>
    <w:p w14:paraId="7F23EA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接收业务请款计划数据，结合银行账户余额，生成最终的请款计划，进行审核，自动嵌套电子签章。</w:t>
      </w:r>
    </w:p>
    <w:p w14:paraId="5E96BC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10.17本级请款计划查询导出</w:t>
      </w:r>
    </w:p>
    <w:p w14:paraId="392DBD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可查询本级所有上报过的请款计划.</w:t>
      </w:r>
    </w:p>
    <w:p w14:paraId="10994E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10.18全省情况计划查询导出</w:t>
      </w:r>
    </w:p>
    <w:p w14:paraId="54FEAE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可查询全省各级所有上报过的请款计划.</w:t>
      </w:r>
    </w:p>
    <w:p w14:paraId="62C0AD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10.19企保请款金额与实际支付金额比对查询</w:t>
      </w:r>
    </w:p>
    <w:p w14:paraId="0DFE62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可查询全省各级企保请款金额、财务实付金额及差异情况。</w:t>
      </w:r>
    </w:p>
    <w:p w14:paraId="6894F5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10.20工伤请款金额与实际支付金额比对查询</w:t>
      </w:r>
    </w:p>
    <w:p w14:paraId="36FA7E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可查询全省各市州工伤请款、财务实付金额及差异情况。</w:t>
      </w:r>
    </w:p>
    <w:p w14:paraId="39AC76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10.21失业请款计划生成</w:t>
      </w:r>
    </w:p>
    <w:p w14:paraId="1D6A3F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各核算区根据《湖北省失业保险资金申请表》预填报失业保险请款信息，并由市级审核后进行正式填报。</w:t>
      </w:r>
    </w:p>
    <w:p w14:paraId="087674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10.22失业预请款计划审核</w:t>
      </w:r>
    </w:p>
    <w:p w14:paraId="4D556A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各核算区预填报请款计划后，由市级就业中心进行预请款计划审核。</w:t>
      </w:r>
    </w:p>
    <w:p w14:paraId="6EA3CE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10.23失业紧急请款申请</w:t>
      </w:r>
    </w:p>
    <w:p w14:paraId="1B36AF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针对需要紧急请款的核算区开放申请功能，填写申请理由并上传资料。</w:t>
      </w:r>
    </w:p>
    <w:p w14:paraId="0EFE5F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10.24失业紧急请款确认</w:t>
      </w:r>
    </w:p>
    <w:p w14:paraId="406601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紧急请款的核算区进行申请紧急请款后，由省就业中心进行确认，确认后对应申请核算区可以使用紧急请款功能。</w:t>
      </w:r>
    </w:p>
    <w:p w14:paraId="185939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10.25失业请款计划审核（省就业中心）</w:t>
      </w:r>
    </w:p>
    <w:p w14:paraId="3223FE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各核算区生成请款计划并上传影像资料后，由省级统一审核并打印报送请款计划表至省财政部门。</w:t>
      </w:r>
    </w:p>
    <w:p w14:paraId="613116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10.26失业请款金额到账确认</w:t>
      </w:r>
    </w:p>
    <w:p w14:paraId="56EC45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各核算区收请款金额到账后，进行确认。</w:t>
      </w:r>
    </w:p>
    <w:p w14:paraId="7E9534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10.27失业请款计划表查询导出</w:t>
      </w:r>
    </w:p>
    <w:p w14:paraId="1F1C86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按机构查询各地区的请款计划信息和流程信息。</w:t>
      </w:r>
    </w:p>
    <w:p w14:paraId="457F59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10.28请款所需数据导入</w:t>
      </w:r>
    </w:p>
    <w:p w14:paraId="0C0FEA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导入请款所需的参数，如季度平均预算数等。</w:t>
      </w:r>
    </w:p>
    <w:p w14:paraId="36609D6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11、账户信息维护</w:t>
      </w:r>
    </w:p>
    <w:p w14:paraId="46F4F1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11.1收入户信息维护及用途配置</w:t>
      </w:r>
    </w:p>
    <w:p w14:paraId="6DA6AB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新增、变更、删除收入户银行账号相关信息，并选择按照指定用途配置收入户用途.</w:t>
      </w:r>
    </w:p>
    <w:p w14:paraId="24E697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11.2支出户信息维护及用途配置</w:t>
      </w:r>
    </w:p>
    <w:p w14:paraId="46E68D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新增、变更、删除支出户银行账号相关信息，并选择按照指定用途配置收入户用途.</w:t>
      </w:r>
    </w:p>
    <w:p w14:paraId="316228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11.3财政专户信息维护及用途配置</w:t>
      </w:r>
    </w:p>
    <w:p w14:paraId="271C4E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新增、变更、删除财政专户银行账号相关信息，并选择按照指定用途配置收入户用途.</w:t>
      </w:r>
    </w:p>
    <w:p w14:paraId="2013C2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11.4失业开户银行维护</w:t>
      </w:r>
    </w:p>
    <w:p w14:paraId="0B5E9F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新增或修改就业的银行开户信息。</w:t>
      </w:r>
    </w:p>
    <w:p w14:paraId="7B402C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11.5失业开户银行管理</w:t>
      </w:r>
    </w:p>
    <w:p w14:paraId="7EED17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配置失业保险社保开户银行信息，用于请款计划生成时对照银行信息。</w:t>
      </w:r>
    </w:p>
    <w:p w14:paraId="448296C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12、基金划转</w:t>
      </w:r>
    </w:p>
    <w:p w14:paraId="1C80E5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12.1失业资金上划</w:t>
      </w:r>
    </w:p>
    <w:p w14:paraId="585B63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各级上解转移收入、利息收入及其他项目收入资金。</w:t>
      </w:r>
    </w:p>
    <w:p w14:paraId="105965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12.2失业资金上划查询导出</w:t>
      </w:r>
    </w:p>
    <w:p w14:paraId="53EDCF3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查询各级填报的上解转移收入、利息收入及其他项目收入资金。</w:t>
      </w:r>
    </w:p>
    <w:p w14:paraId="3E57140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（十一）部级报表</w:t>
      </w:r>
    </w:p>
    <w:p w14:paraId="6FA69F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基于社会保险系统业务数据及人社数智一体化平台，生成社保部级统计报表，并规范管理部级报表的上报、修改和审核流程。</w:t>
      </w:r>
    </w:p>
    <w:p w14:paraId="2513201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1、职业年金基金账户管理季度报告（按地区）</w:t>
      </w:r>
    </w:p>
    <w:p w14:paraId="5D2FB7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生成职业年金基金账户管理季度报告（按地区）（报告1-2-1），按起止时间查询打印历史报告。</w:t>
      </w:r>
    </w:p>
    <w:p w14:paraId="0405C38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2、职业年金基金账户管理季度报告（按计划）</w:t>
      </w:r>
    </w:p>
    <w:p w14:paraId="0D54C2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生成职业年金基金账户管理季度报告（按计划）（报告1-2-2），按起止时间查询打印历史报告。</w:t>
      </w:r>
    </w:p>
    <w:p w14:paraId="7377A64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3、职业年金基金账户管理年度报告</w:t>
      </w:r>
    </w:p>
    <w:p w14:paraId="65EA82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生成职业年金基金账户管理年度报告（报告1-2-3），按起止时间查询打印历史报告。</w:t>
      </w:r>
    </w:p>
    <w:p w14:paraId="4E7713F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4、机关事业单位职业年金基本情况（SI01)</w:t>
      </w:r>
    </w:p>
    <w:p w14:paraId="45AD11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生成机关事业单位职业年金基本情况（SI01)表，按起止时间查询打印历史表格。</w:t>
      </w:r>
    </w:p>
    <w:p w14:paraId="1072D88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5、机关事业单位职业年金计划管理情况（SI03)</w:t>
      </w:r>
    </w:p>
    <w:p w14:paraId="006183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生成机关事业单位职业年金计划管理情况（SI03)，按起止时间查询打印历史表格。</w:t>
      </w:r>
    </w:p>
    <w:p w14:paraId="7CCACD9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6、报表包授权</w:t>
      </w:r>
    </w:p>
    <w:p w14:paraId="578A1A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将不同的报表包授权给具体的审核岗位。</w:t>
      </w:r>
    </w:p>
    <w:p w14:paraId="045169D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7、表样下载</w:t>
      </w:r>
    </w:p>
    <w:p w14:paraId="07B937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支持下载内置统计报表表样。</w:t>
      </w:r>
    </w:p>
    <w:p w14:paraId="288DEA2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8、数据填报</w:t>
      </w:r>
    </w:p>
    <w:p w14:paraId="112901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人力资源社会保障统计报表制度EI、WI、SI共17张表的样式植入系统，根据统计口径，自动查询生产库数据，生成统计报表，允许对部分指标修正，但修正的要进行记录，内置修改日志。填报完成后推送至报表审核。此功能为统计核心功能，需要全量查询生产库数据，需要考虑数据生成效率。</w:t>
      </w:r>
    </w:p>
    <w:p w14:paraId="2F5F101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9、报表审核</w:t>
      </w:r>
    </w:p>
    <w:p w14:paraId="6F5A7D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用于不同险种报表填报人员交叉审核，同时，内置审核公式，自动对报表逻辑性进行审核。省本级1级审核，其他核算区3级审核，全省4级审核，需对岗位进行精细化配置。审核时自动嵌套电子签名签章。</w:t>
      </w:r>
    </w:p>
    <w:p w14:paraId="635E1E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10、报表上报</w:t>
      </w:r>
    </w:p>
    <w:p w14:paraId="1C4A82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审核完成后，数据填报人员上报。</w:t>
      </w:r>
    </w:p>
    <w:p w14:paraId="480E372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11、报表汇总</w:t>
      </w:r>
    </w:p>
    <w:p w14:paraId="29DD69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市级按照隶属关系，对所属区县的报表进行汇总，省级对所有市州经办机构的报表进行汇总。</w:t>
      </w:r>
    </w:p>
    <w:p w14:paraId="2A97345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12、多险种报表合并</w:t>
      </w:r>
    </w:p>
    <w:p w14:paraId="249C98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各级按险种填报，省级按照人社部报表格式进行合并。</w:t>
      </w:r>
    </w:p>
    <w:p w14:paraId="5B700F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13、历史统计报表上传</w:t>
      </w:r>
    </w:p>
    <w:p w14:paraId="649FD1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上传以前年度统计报表。</w:t>
      </w:r>
    </w:p>
    <w:p w14:paraId="49B71F1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14、流程查询</w:t>
      </w:r>
    </w:p>
    <w:p w14:paraId="2563F3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查询统计报表填报、审核、上报进度。</w:t>
      </w:r>
    </w:p>
    <w:p w14:paraId="57FCBF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15、原始数据查询</w:t>
      </w:r>
    </w:p>
    <w:p w14:paraId="44CDA5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可查询生产库按照统计指标项生成的原始数据。</w:t>
      </w:r>
    </w:p>
    <w:p w14:paraId="1FE59B2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16、系统修正参数</w:t>
      </w:r>
    </w:p>
    <w:p w14:paraId="36D0C1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可导入指定的统计参数修正数据。</w:t>
      </w:r>
    </w:p>
    <w:p w14:paraId="20E3E3E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17、报表查询</w:t>
      </w:r>
    </w:p>
    <w:p w14:paraId="591437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查询已填报的报表数据。</w:t>
      </w:r>
    </w:p>
    <w:p w14:paraId="5D5232F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18、报表打印</w:t>
      </w:r>
    </w:p>
    <w:p w14:paraId="2E8849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打印带签章版的报表及封面。</w:t>
      </w:r>
    </w:p>
    <w:p w14:paraId="709782F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19、多表多机构查询</w:t>
      </w:r>
    </w:p>
    <w:p w14:paraId="5B6D63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支持跨机构、跨表格选择查询指标，并汇总展示。</w:t>
      </w:r>
    </w:p>
    <w:p w14:paraId="08ED933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20、数据过录</w:t>
      </w:r>
    </w:p>
    <w:p w14:paraId="62C83C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按照报表样式过录省市县明细数据。</w:t>
      </w:r>
    </w:p>
    <w:p w14:paraId="7304A69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21、分析表查询</w:t>
      </w:r>
    </w:p>
    <w:p w14:paraId="06679D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设置分析公式，如人均缴费基数等人均指标查询。</w:t>
      </w:r>
    </w:p>
    <w:p w14:paraId="51C07EF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22、报表数据比对分析</w:t>
      </w:r>
    </w:p>
    <w:p w14:paraId="4EA6C2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将原始数据与报表数据的组合比对，自动计算差异情况。</w:t>
      </w:r>
    </w:p>
    <w:p w14:paraId="5A65B5E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23、自定义数据提取</w:t>
      </w:r>
    </w:p>
    <w:p w14:paraId="67F422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内置常用数据提取规则和指令，前台输入数据提取指令，系统自动转化为数据提取代码，如某个时间区间内，参保人员年龄、性别、缴费档次等数据。</w:t>
      </w:r>
    </w:p>
    <w:p w14:paraId="1E398CD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24、基金运行分析月报表</w:t>
      </w:r>
    </w:p>
    <w:p w14:paraId="73CEA3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按照指定表样、指定口径自动提取月度参保人数、基金收支等数据，约20张报表左右。</w:t>
      </w:r>
    </w:p>
    <w:p w14:paraId="2E34E52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25、基金运行分析月度报告</w:t>
      </w:r>
    </w:p>
    <w:p w14:paraId="0EE437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内置制式报告模板，自动填充相关数据，计算增幅等，自动生成分析报告。</w:t>
      </w:r>
    </w:p>
    <w:p w14:paraId="5310E1B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26、基金运行分析年报表</w:t>
      </w:r>
    </w:p>
    <w:p w14:paraId="1FC8279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按照指定表样自动、指定口径提取参保人数、基金收支等数据，约40张报表。</w:t>
      </w:r>
    </w:p>
    <w:p w14:paraId="0EA6B46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27、基金运行分析年度报告</w:t>
      </w:r>
    </w:p>
    <w:p w14:paraId="74CBCD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内置制式报告模板，自动填充相关数据，计算增幅等，自动生成分析报告。</w:t>
      </w:r>
    </w:p>
    <w:p w14:paraId="3F9348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28、自定义分析报表</w:t>
      </w:r>
    </w:p>
    <w:p w14:paraId="3D2CA9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可自由选择人社部基金报表或统计报表指标、时间，勾选同比、环比、年均增幅等计算指标，自动生成分析报表。</w:t>
      </w:r>
    </w:p>
    <w:p w14:paraId="7A33B4A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29、统计报表</w:t>
      </w:r>
    </w:p>
    <w:p w14:paraId="28E765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按照部颁统计报表目录每月自动生成相关险种的统计报表；设置按期号查询、按报表类型查询、按统筹区查询、查询打印；支持各项统计指标生成比对分析图。</w:t>
      </w:r>
    </w:p>
    <w:p w14:paraId="4C30BFD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（十二）查询打印</w:t>
      </w:r>
    </w:p>
    <w:p w14:paraId="4BC703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社会保险一体化系统查询打印功能进行统一管理。</w:t>
      </w:r>
    </w:p>
    <w:p w14:paraId="704B2C3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1、统筹外追款单查询打印</w:t>
      </w:r>
    </w:p>
    <w:p w14:paraId="005D56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存在统筹追款数据的领待人员，通过该功能打印追款单据。</w:t>
      </w:r>
    </w:p>
    <w:p w14:paraId="2954403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2、湖北省养老待遇证明（单位专用）</w:t>
      </w:r>
    </w:p>
    <w:p w14:paraId="429BCB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为单位事项提供批量养老待遇证明。</w:t>
      </w:r>
    </w:p>
    <w:p w14:paraId="499738B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3、湖北省养老待遇证明（个人专用）</w:t>
      </w:r>
    </w:p>
    <w:p w14:paraId="3F42E1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单独为个人提供养老待遇证明。</w:t>
      </w:r>
    </w:p>
    <w:p w14:paraId="6346E19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4、养老待遇计算表查询打印（单位）</w:t>
      </w:r>
    </w:p>
    <w:p w14:paraId="7329546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为单位提供领待人员待遇计算表批量打印。</w:t>
      </w:r>
    </w:p>
    <w:p w14:paraId="1B0FE4D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5、养老待遇计算表查询打印（个人）</w:t>
      </w:r>
    </w:p>
    <w:p w14:paraId="358755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为个人提供领待人员待遇计算表批量打印。</w:t>
      </w:r>
    </w:p>
    <w:p w14:paraId="7F72FB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6、养老待遇发放不成功信息查询（单位）</w:t>
      </w:r>
    </w:p>
    <w:p w14:paraId="541388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为单位提供养老待遇发放结果批量查询。</w:t>
      </w:r>
    </w:p>
    <w:p w14:paraId="3D5CA52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7、离退休待遇发放信息查询（个人）</w:t>
      </w:r>
    </w:p>
    <w:p w14:paraId="7632E3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为个人提供待遇发放信息查询。</w:t>
      </w:r>
    </w:p>
    <w:p w14:paraId="2F58F2B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8、待遇未计算人员查询</w:t>
      </w:r>
    </w:p>
    <w:p w14:paraId="09FB35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查询退休审批通过但未计算待遇人员。</w:t>
      </w:r>
    </w:p>
    <w:p w14:paraId="747D680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9、资格认证情况批量查询</w:t>
      </w:r>
    </w:p>
    <w:p w14:paraId="23FA48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批量查询退休人员资格认证情况。</w:t>
      </w:r>
    </w:p>
    <w:p w14:paraId="1401315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10、异地资格认证情况查询</w:t>
      </w:r>
    </w:p>
    <w:p w14:paraId="25A51D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对统筹外退休人员资格认证情况进行查询。</w:t>
      </w:r>
    </w:p>
    <w:p w14:paraId="6BAE13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11、资格认证批量停发历史查询</w:t>
      </w:r>
    </w:p>
    <w:p w14:paraId="5CCFD9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对资格认证批量停发人员历史情况进行查询。</w:t>
      </w:r>
    </w:p>
    <w:p w14:paraId="0911549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12、超期未认证人员自动停发查询</w:t>
      </w:r>
    </w:p>
    <w:p w14:paraId="53C7B4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对超期未认证停发人员进行查询。</w:t>
      </w:r>
    </w:p>
    <w:p w14:paraId="522164E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13、养老保险待遇停发告知书打印</w:t>
      </w:r>
    </w:p>
    <w:p w14:paraId="230796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依申请对养老待遇停发人员出具停发告知书。</w:t>
      </w:r>
    </w:p>
    <w:p w14:paraId="072C7F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14、待遇清退、恢复函查询</w:t>
      </w:r>
    </w:p>
    <w:p w14:paraId="707197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对重复领待、服刑等违规领取待遇人员已完成待遇清退恢复待遇发放出具文书查询。</w:t>
      </w:r>
    </w:p>
    <w:p w14:paraId="1652F85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15、养老保险参保缴费凭证开具</w:t>
      </w:r>
    </w:p>
    <w:p w14:paraId="44D80B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开具个人参保缴费凭证。</w:t>
      </w:r>
    </w:p>
    <w:p w14:paraId="72B274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16、个人权益记录查询打印</w:t>
      </w:r>
    </w:p>
    <w:p w14:paraId="3B51C4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对个人权益记录的查询打印。</w:t>
      </w:r>
    </w:p>
    <w:p w14:paraId="3E5CFAA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17、个人权益记录单（年度）查询打印</w:t>
      </w:r>
    </w:p>
    <w:p w14:paraId="63B695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查询打印企业养老、职业年金、居民养老的年度个人权益记录单。</w:t>
      </w:r>
    </w:p>
    <w:p w14:paraId="7F5FDF4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18、个人权益记录（参保证明）</w:t>
      </w:r>
    </w:p>
    <w:p w14:paraId="5C22F5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查询打印个人参保证明（时间段）。</w:t>
      </w:r>
    </w:p>
    <w:p w14:paraId="7663822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19、个人权益记录（历年参保缴费证明）</w:t>
      </w:r>
    </w:p>
    <w:p w14:paraId="78C13D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查询打印个人历年缴费证明（按年）。</w:t>
      </w:r>
    </w:p>
    <w:p w14:paraId="2312F4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20、养老待遇计算表查询打印（个人）</w:t>
      </w:r>
    </w:p>
    <w:p w14:paraId="370638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查询打印养老待遇计算表。</w:t>
      </w:r>
    </w:p>
    <w:p w14:paraId="28B54F8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21、养老待遇证明（个人）</w:t>
      </w:r>
    </w:p>
    <w:p w14:paraId="62D80F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查询打印个人养老待遇证明。</w:t>
      </w:r>
    </w:p>
    <w:p w14:paraId="14C4812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22、待遇测算（个人）</w:t>
      </w:r>
    </w:p>
    <w:p w14:paraId="727976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查询打印个人待遇测算情况。</w:t>
      </w:r>
    </w:p>
    <w:p w14:paraId="605F560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23、养老待遇证明（单位）</w:t>
      </w:r>
    </w:p>
    <w:p w14:paraId="009289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查询打印单位养老待遇证明。</w:t>
      </w:r>
    </w:p>
    <w:p w14:paraId="40421A1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24、参保证明（单位）</w:t>
      </w:r>
    </w:p>
    <w:p w14:paraId="4315D1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查询打印单位参保证明。</w:t>
      </w:r>
    </w:p>
    <w:p w14:paraId="0E4BBED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25、建筑工程项目参保证明</w:t>
      </w:r>
    </w:p>
    <w:p w14:paraId="7C26DA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查询打印建筑工程项目参保证明。</w:t>
      </w:r>
    </w:p>
    <w:p w14:paraId="6C95F11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26、单位信息综合查询</w:t>
      </w:r>
    </w:p>
    <w:p w14:paraId="1F69E1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查询参保单位的详细信息，包括单位基本信息、变更信息、参保信息、参保人员信息、征缴信息、各类证明、工程项目信息等。</w:t>
      </w:r>
    </w:p>
    <w:p w14:paraId="411B07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27、单位参保信息查询</w:t>
      </w:r>
    </w:p>
    <w:p w14:paraId="33150CD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查询单位参保信息（在单位信息综合查询基础上去除部分指标项）。</w:t>
      </w:r>
    </w:p>
    <w:p w14:paraId="628801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28、未按期申报单位信息查询</w:t>
      </w:r>
    </w:p>
    <w:p w14:paraId="6D6BE6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查询一定区域一段时间内未按期申报的单位信息。</w:t>
      </w:r>
    </w:p>
    <w:p w14:paraId="6DE69C7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29、滞纳金利息减免标志查询</w:t>
      </w:r>
    </w:p>
    <w:p w14:paraId="68C55F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查询单位利息滞纳金免征标志。</w:t>
      </w:r>
    </w:p>
    <w:p w14:paraId="06672C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30、单位人员变动信息查询</w:t>
      </w:r>
    </w:p>
    <w:p w14:paraId="0F147D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查询单位职工人员变动信息。</w:t>
      </w:r>
    </w:p>
    <w:p w14:paraId="079660B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31、劳务派遣单位置标查询</w:t>
      </w:r>
    </w:p>
    <w:p w14:paraId="008115E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查询一定区域一段时间劳务派遣置标单位信息。</w:t>
      </w:r>
    </w:p>
    <w:p w14:paraId="22FFB29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32、单位缴费综合查询</w:t>
      </w:r>
    </w:p>
    <w:p w14:paraId="336F4A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查询一定区域一段时间内单位缴费情况及明细。</w:t>
      </w:r>
    </w:p>
    <w:p w14:paraId="5E3E9F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33、定向阶段性缓缴单位查询</w:t>
      </w:r>
    </w:p>
    <w:p w14:paraId="4900AF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查询一定区域一段时间内各类缓缴单位信息。</w:t>
      </w:r>
    </w:p>
    <w:p w14:paraId="0D995AC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34、缓缴单位信息查询（税务）</w:t>
      </w:r>
    </w:p>
    <w:p w14:paraId="02FB42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查询全省缓缴单位信息。</w:t>
      </w:r>
    </w:p>
    <w:p w14:paraId="4499EAF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35、单位历史缴费人员信息查询</w:t>
      </w:r>
    </w:p>
    <w:p w14:paraId="003C09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查询参保单位一定时间内有过缴费的人员和缴费信息。</w:t>
      </w:r>
    </w:p>
    <w:p w14:paraId="5CC0B4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36、待遇信息综合查询</w:t>
      </w:r>
    </w:p>
    <w:p w14:paraId="4FBC9E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查询参保单位离退休人员信息。</w:t>
      </w:r>
    </w:p>
    <w:p w14:paraId="2CD152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37、单位人员增减异动查询</w:t>
      </w:r>
    </w:p>
    <w:p w14:paraId="3C7BCD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查询存在异动的单位信息（厅就业处需求）。</w:t>
      </w:r>
    </w:p>
    <w:p w14:paraId="6274CCE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38、人员信息综合查询</w:t>
      </w:r>
    </w:p>
    <w:p w14:paraId="580DFC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查询人员的详细信息，包括基础信息、变更信息、参保信息、缴费信息、个人账户、转移、待遇、稽核等各类信息。</w:t>
      </w:r>
    </w:p>
    <w:p w14:paraId="312AB11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39、人员参保信息查询</w:t>
      </w:r>
    </w:p>
    <w:p w14:paraId="179EA1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查询人员参保信息（在人员信息综合查询基础上去除部分指标项）。</w:t>
      </w:r>
    </w:p>
    <w:p w14:paraId="5BB12FD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40、一人多号查询</w:t>
      </w:r>
    </w:p>
    <w:p w14:paraId="655B4A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根据证件号码，查询多号人员信息。</w:t>
      </w:r>
    </w:p>
    <w:p w14:paraId="542B29E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41、一人多号合并信息查询</w:t>
      </w:r>
    </w:p>
    <w:p w14:paraId="271C13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查询人员合并记录。</w:t>
      </w:r>
    </w:p>
    <w:p w14:paraId="75B363D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42、人员基本信息和缴费基数查询</w:t>
      </w:r>
    </w:p>
    <w:p w14:paraId="53775D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按照区划、单位等维度，查询一定时间内所有人员基本信息和每月缴费基数。</w:t>
      </w:r>
    </w:p>
    <w:p w14:paraId="5A0A919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43、未按期申报灵活就业人员信息查询</w:t>
      </w:r>
    </w:p>
    <w:p w14:paraId="2910F4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按照区划等维度查询未按期申报的灵活就业人员信息。</w:t>
      </w:r>
    </w:p>
    <w:p w14:paraId="0CA2606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44、标识人员信息查询</w:t>
      </w:r>
    </w:p>
    <w:p w14:paraId="72811A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按照区划、单位等维度查询各类标识人员信息。</w:t>
      </w:r>
    </w:p>
    <w:p w14:paraId="6D4F505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45、退役军人信息查询</w:t>
      </w:r>
    </w:p>
    <w:p w14:paraId="05EEBC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按照区划、单位等维度查询退役军人信息。</w:t>
      </w:r>
    </w:p>
    <w:p w14:paraId="33EDBB7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46、退捕渔民信息查询</w:t>
      </w:r>
    </w:p>
    <w:p w14:paraId="7B17C0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按照区划、村等维度查询退捕渔民信息。</w:t>
      </w:r>
    </w:p>
    <w:p w14:paraId="0A38235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47、困难群体信息查询</w:t>
      </w:r>
    </w:p>
    <w:p w14:paraId="0D5F59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按照区划、村等维度查询困难群体信息。</w:t>
      </w:r>
    </w:p>
    <w:p w14:paraId="0534A4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48、被征地农民信息查询</w:t>
      </w:r>
    </w:p>
    <w:p w14:paraId="1362B8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按照区划、村等维度查询被征地农民信息。</w:t>
      </w:r>
    </w:p>
    <w:p w14:paraId="7C3E747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49、原有试点衔接人员查询</w:t>
      </w:r>
    </w:p>
    <w:p w14:paraId="70ABFB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按照区划、单位等维度查询机关保原有试点衔接人员信息。</w:t>
      </w:r>
    </w:p>
    <w:p w14:paraId="40FE39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50、工伤保险新增人员备案查询</w:t>
      </w:r>
    </w:p>
    <w:p w14:paraId="58D00B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按照区划、单位等维度查询工伤保险新增备案人员信息。</w:t>
      </w:r>
    </w:p>
    <w:p w14:paraId="5C3E2AB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51、灵活按月停保人员查询</w:t>
      </w:r>
    </w:p>
    <w:p w14:paraId="4C1844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按照区划、单位等维度查询灵活就业人员停保人员。</w:t>
      </w:r>
    </w:p>
    <w:p w14:paraId="0DC12F8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52、长期暂停缴费人员信息查询</w:t>
      </w:r>
    </w:p>
    <w:p w14:paraId="0B15E7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按照区划、单位等维度查询长期暂停缴费人员信息。</w:t>
      </w:r>
    </w:p>
    <w:p w14:paraId="27B41D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53、待遇审批进度查询</w:t>
      </w:r>
    </w:p>
    <w:p w14:paraId="3CF70D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按照区划、单位等维度查询待遇审批进度情况。</w:t>
      </w:r>
    </w:p>
    <w:p w14:paraId="432ED6F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54、待遇暂停人员信息查询</w:t>
      </w:r>
    </w:p>
    <w:p w14:paraId="1EDAEC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按照区划、单位等维度查询各类型待遇暂停发放人员信息、长期暂停发放人员信息。</w:t>
      </w:r>
    </w:p>
    <w:p w14:paraId="653B620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55、待遇核定信息查询</w:t>
      </w:r>
    </w:p>
    <w:p w14:paraId="746D75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按照区划、单位等维度查询各种待遇核定类型业务对应的人员单位等信息。</w:t>
      </w:r>
    </w:p>
    <w:p w14:paraId="173511B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56、待遇未计算人员查询</w:t>
      </w:r>
    </w:p>
    <w:p w14:paraId="1434D6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按照区划、单位等维度查询已达退休年龄但未做待遇计算人员信息。</w:t>
      </w:r>
    </w:p>
    <w:p w14:paraId="5516DF2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57、领待人员信息分类查询</w:t>
      </w:r>
    </w:p>
    <w:p w14:paraId="4B35E7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按照区划、单位等维度查询各险种领待人员信息。</w:t>
      </w:r>
    </w:p>
    <w:p w14:paraId="7B0D6CA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58、遗属待遇信息查询</w:t>
      </w:r>
    </w:p>
    <w:p w14:paraId="074460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按照区划、单位等维度查询享受遗属待遇人员信息。</w:t>
      </w:r>
    </w:p>
    <w:p w14:paraId="20D3B5D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59、特殊工种提前退休人员信息查询</w:t>
      </w:r>
    </w:p>
    <w:p w14:paraId="5D2E54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按照区划、单位等维度查询特殊工种提前退休人员信息。</w:t>
      </w:r>
    </w:p>
    <w:p w14:paraId="7C385A4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60、发放信息查询</w:t>
      </w:r>
    </w:p>
    <w:p w14:paraId="32001C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按照区划、单位等维度查询各类待遇人员发放信息。</w:t>
      </w:r>
    </w:p>
    <w:p w14:paraId="16A4A43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61、调资信息查询</w:t>
      </w:r>
    </w:p>
    <w:p w14:paraId="7F69EFAF">
      <w:pPr>
        <w:widowControl w:val="0"/>
        <w:wordWrap/>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按照区划、单位等维度查询调待信息。</w:t>
      </w:r>
    </w:p>
    <w:p w14:paraId="2E48120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62、病残津贴综合信息查询</w:t>
      </w:r>
    </w:p>
    <w:p w14:paraId="688D5A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查询病残津贴信息。</w:t>
      </w:r>
    </w:p>
    <w:p w14:paraId="058CE7B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63、代发信息查询</w:t>
      </w:r>
    </w:p>
    <w:p w14:paraId="1F7C5E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按照区划、单位等维度可分类查询各种代发项目信息。</w:t>
      </w:r>
    </w:p>
    <w:p w14:paraId="2ABDFEF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64、养老历史缴费清理分析查询</w:t>
      </w:r>
    </w:p>
    <w:p w14:paraId="2457FB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按照区划、单位等维度查询养老历史缴费分析记录（历史缴费分析是历史缴费记录变更的前置）。</w:t>
      </w:r>
    </w:p>
    <w:p w14:paraId="041217A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65、在途信息查询</w:t>
      </w:r>
    </w:p>
    <w:p w14:paraId="675861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查询个人、单位在途业务数据。</w:t>
      </w:r>
    </w:p>
    <w:p w14:paraId="26BF7FF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66、批量业务失败情况查询</w:t>
      </w:r>
    </w:p>
    <w:p w14:paraId="6146C2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按照区划、单位等维度，查询批量业务失败情况和明细。</w:t>
      </w:r>
    </w:p>
    <w:p w14:paraId="4419CB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67、项目工伤综合查询</w:t>
      </w:r>
    </w:p>
    <w:p w14:paraId="639FFC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查询项目信息和项目工伤参保相关信息。</w:t>
      </w:r>
    </w:p>
    <w:p w14:paraId="0188F6A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68、工伤保险费率综合统计</w:t>
      </w:r>
    </w:p>
    <w:p w14:paraId="264B49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按照区划查询工伤保险费率分类统计信息。</w:t>
      </w:r>
    </w:p>
    <w:p w14:paraId="7848A1A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69、工伤浮动费率调整记录查询</w:t>
      </w:r>
    </w:p>
    <w:p w14:paraId="0A8682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按照区划、单位等维度查询工伤浮动费率调整记录。</w:t>
      </w:r>
    </w:p>
    <w:p w14:paraId="4344ED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70、工伤发生基本情况查询</w:t>
      </w:r>
    </w:p>
    <w:p w14:paraId="2DA87C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按照单位或者个人查询工伤、职业伤害发生相关信息。</w:t>
      </w:r>
    </w:p>
    <w:p w14:paraId="744EE80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71、工伤事故申报信息查询</w:t>
      </w:r>
    </w:p>
    <w:p w14:paraId="2F941E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按照区划、单位等查询工伤事故申报信息。</w:t>
      </w:r>
    </w:p>
    <w:p w14:paraId="3B9972D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72、工伤认定及鉴定信息查询</w:t>
      </w:r>
    </w:p>
    <w:p w14:paraId="61588B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查询工伤认定信息和劳动能力鉴定信息。</w:t>
      </w:r>
    </w:p>
    <w:p w14:paraId="5EDE1B4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73、工伤职工档案综合查询</w:t>
      </w:r>
    </w:p>
    <w:p w14:paraId="0CEA26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查询工伤职工档案资料。</w:t>
      </w:r>
    </w:p>
    <w:p w14:paraId="59DDE3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74、工伤供养亲属查询</w:t>
      </w:r>
    </w:p>
    <w:p w14:paraId="0D3D4A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查询工伤和职业伤害供养亲属信息。</w:t>
      </w:r>
    </w:p>
    <w:p w14:paraId="752B774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75、工伤供养亲属档案综合查询</w:t>
      </w:r>
    </w:p>
    <w:p w14:paraId="10B1E6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查询工伤和职业伤害供养亲属档案信息。</w:t>
      </w:r>
    </w:p>
    <w:p w14:paraId="10FD224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76、辅助器具目录信息查询</w:t>
      </w:r>
    </w:p>
    <w:p w14:paraId="6ECB88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查询工伤辅助器具目录。</w:t>
      </w:r>
    </w:p>
    <w:p w14:paraId="587DBEF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77、药品信息查询</w:t>
      </w:r>
    </w:p>
    <w:p w14:paraId="5226E4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查询医保药品目录。</w:t>
      </w:r>
    </w:p>
    <w:p w14:paraId="23A8E46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78、诊疗项目查询</w:t>
      </w:r>
    </w:p>
    <w:p w14:paraId="34509F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查询诊疗项目目录。</w:t>
      </w:r>
    </w:p>
    <w:p w14:paraId="4E4345D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79、病种信息查询</w:t>
      </w:r>
    </w:p>
    <w:p w14:paraId="6280B8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查询病种信息。</w:t>
      </w:r>
    </w:p>
    <w:p w14:paraId="1B52B6B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80、协议机构查询</w:t>
      </w:r>
    </w:p>
    <w:p w14:paraId="764EAB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查询工伤和职业伤害协议机构信息。</w:t>
      </w:r>
    </w:p>
    <w:p w14:paraId="55EDFC6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81、工伤医疗信息综合查询</w:t>
      </w:r>
    </w:p>
    <w:p w14:paraId="47D174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查询个人就医、科室、医师等工伤医疗信息。</w:t>
      </w:r>
    </w:p>
    <w:p w14:paraId="11BD947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82、医保结算信息查询</w:t>
      </w:r>
    </w:p>
    <w:p w14:paraId="3615C2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查询医保结算信息。</w:t>
      </w:r>
    </w:p>
    <w:p w14:paraId="7F65076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83、职业伤害变更信息查询</w:t>
      </w:r>
    </w:p>
    <w:p w14:paraId="5EC59A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查询职业伤害等级、待遇变更信息。</w:t>
      </w:r>
    </w:p>
    <w:p w14:paraId="4EB3BA8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84、职业伤害事故申报信息查询</w:t>
      </w:r>
    </w:p>
    <w:p w14:paraId="526380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查询职业伤害事故申报信息。</w:t>
      </w:r>
    </w:p>
    <w:p w14:paraId="49A2D64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85、平台企业查询</w:t>
      </w:r>
    </w:p>
    <w:p w14:paraId="5FD761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查询职业伤害平台企业信息。</w:t>
      </w:r>
    </w:p>
    <w:p w14:paraId="778FC76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86、参保订单信息查询统计</w:t>
      </w:r>
    </w:p>
    <w:p w14:paraId="5CF900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查询职业伤害参保订单信息。</w:t>
      </w:r>
    </w:p>
    <w:p w14:paraId="453CBEB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87、流程查询</w:t>
      </w:r>
    </w:p>
    <w:p w14:paraId="1016D8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查询全渠道所有业务流程信息。</w:t>
      </w:r>
    </w:p>
    <w:p w14:paraId="6370632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88、参数查询</w:t>
      </w:r>
    </w:p>
    <w:p w14:paraId="37950A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查询系统中各类参数信息。</w:t>
      </w:r>
    </w:p>
    <w:p w14:paraId="086186A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89、已办业务查询</w:t>
      </w:r>
    </w:p>
    <w:p w14:paraId="1C12C5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查询经办人员已办业务。</w:t>
      </w:r>
    </w:p>
    <w:p w14:paraId="488E98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90、参保扩面比对结果查询</w:t>
      </w:r>
    </w:p>
    <w:p w14:paraId="1F2FA7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与外部数据对接，比对后，生成参保扩面情况，提供查询功能。</w:t>
      </w:r>
    </w:p>
    <w:p w14:paraId="58EE703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91、新开办企业信息查询（未登记）</w:t>
      </w:r>
    </w:p>
    <w:p w14:paraId="46F605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通过与市场监管部门接口查询比对，输出未进行社保登记的单位名单。</w:t>
      </w:r>
    </w:p>
    <w:p w14:paraId="36C2B9E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92、企业注销共享信息查询</w:t>
      </w:r>
    </w:p>
    <w:p w14:paraId="732753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查询市场监督部门企业注销共享信息。</w:t>
      </w:r>
    </w:p>
    <w:p w14:paraId="2574F0E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93、政务对接事项办件查询</w:t>
      </w:r>
    </w:p>
    <w:p w14:paraId="163F1B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查询对接政务网、鄂汇办等政务服务平台的办件量情况。</w:t>
      </w:r>
    </w:p>
    <w:p w14:paraId="76DD0F5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94、部级信息比对查询</w:t>
      </w:r>
    </w:p>
    <w:p w14:paraId="6B3C65F7">
      <w:pPr>
        <w:widowControl w:val="0"/>
        <w:wordWrap/>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查询部平台及部中台的参保、待遇情况。</w:t>
      </w:r>
    </w:p>
    <w:p w14:paraId="2930152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95、部级人力资源服务许可证电子证照信息查询</w:t>
      </w:r>
    </w:p>
    <w:p w14:paraId="55FB30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查询【人社部】人力资源服务许可证电子证照信息。</w:t>
      </w:r>
    </w:p>
    <w:p w14:paraId="49230F5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96、人员信息批量核验</w:t>
      </w:r>
    </w:p>
    <w:p w14:paraId="0A56AA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通过省持卡人基础信息库、省公安库、国家人口库等功能批量核验比对人员信息。</w:t>
      </w:r>
    </w:p>
    <w:p w14:paraId="335EA1E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97、异常单据退费核验情况查询</w:t>
      </w:r>
    </w:p>
    <w:p w14:paraId="63E697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查询税务退费核验是否通过。</w:t>
      </w:r>
    </w:p>
    <w:p w14:paraId="65E136C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98、异常单据查询</w:t>
      </w:r>
    </w:p>
    <w:p w14:paraId="7EF661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查询税务异常单据情况。</w:t>
      </w:r>
    </w:p>
    <w:p w14:paraId="377EC67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99、税务退费信息查询</w:t>
      </w:r>
    </w:p>
    <w:p w14:paraId="5C4E09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查询税务退费信息和状态。</w:t>
      </w:r>
    </w:p>
    <w:p w14:paraId="07C6BC5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100、人员信息自定义查询</w:t>
      </w:r>
    </w:p>
    <w:p w14:paraId="129B39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根据人员信息相关指标项，提供选择并自定义查询功能，支持批量查询。</w:t>
      </w:r>
    </w:p>
    <w:p w14:paraId="6F8FE0E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101、单位信息自定义查询</w:t>
      </w:r>
    </w:p>
    <w:p w14:paraId="5B272F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根据单位信息相关指标项，提供选择并自定义查询功能，支持批量查询。</w:t>
      </w:r>
    </w:p>
    <w:p w14:paraId="2DE0D5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102、缴费信息自定义查询</w:t>
      </w:r>
    </w:p>
    <w:p w14:paraId="1CFB81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根据缴费信息相关指标项，提供选择并自定义查询功能，支持批量查询。</w:t>
      </w:r>
    </w:p>
    <w:p w14:paraId="654EA2F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103、待遇信息自定义查询</w:t>
      </w:r>
    </w:p>
    <w:p w14:paraId="17192E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根据待遇信息相关指标项，提供选择并自定义查询功能，支持批量查询。</w:t>
      </w:r>
    </w:p>
    <w:p w14:paraId="0605050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104、经办人员登录情况查询</w:t>
      </w:r>
    </w:p>
    <w:p w14:paraId="698F47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查询经办人员登录情况。</w:t>
      </w:r>
    </w:p>
    <w:p w14:paraId="2E2638F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105、经办人员岗位信息查询</w:t>
      </w:r>
    </w:p>
    <w:p w14:paraId="64A4E76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查询单个人员对应的岗位信息，可以提供给各部门查询本部门人员对应岗位情况。</w:t>
      </w:r>
    </w:p>
    <w:p w14:paraId="6ECFEFB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106、长时间未登录账户查询</w:t>
      </w:r>
    </w:p>
    <w:p w14:paraId="1B1273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通过选择机构（省、市、县、部门）、未登录时长、人员，可查询：账号创建时间、最后一次登录时间、最后一次登录ip、机构信息、人员姓名、账号名。</w:t>
      </w:r>
    </w:p>
    <w:p w14:paraId="41B1F3D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107、非工作时间业务查询功能</w:t>
      </w:r>
    </w:p>
    <w:p w14:paraId="7428F9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（工作日、工作时间取值按系统设置取值）复制“流程查询”功能的查询条件、相关口径；可查询非工作时间业务办理情况查询。</w:t>
      </w:r>
    </w:p>
    <w:p w14:paraId="60D2712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108、经办账户信息查询</w:t>
      </w:r>
    </w:p>
    <w:p w14:paraId="76041A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查询经办人员账户信息。</w:t>
      </w:r>
    </w:p>
    <w:p w14:paraId="74C63A1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109、授权记录查询</w:t>
      </w:r>
    </w:p>
    <w:p w14:paraId="07FA11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查询人员岗位授权记录。</w:t>
      </w:r>
    </w:p>
    <w:p w14:paraId="4BF0AF8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110、未授权功能查询</w:t>
      </w:r>
    </w:p>
    <w:p w14:paraId="75F4FF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查询已经在系统中发布，但是未授权给任何岗位的功能清单。</w:t>
      </w:r>
    </w:p>
    <w:p w14:paraId="12A5CCA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111、系统功能清单查询</w:t>
      </w:r>
    </w:p>
    <w:p w14:paraId="465675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查询系统功能清单、目录设置、业务视图、业务板块等信息。</w:t>
      </w:r>
    </w:p>
    <w:p w14:paraId="6D1378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112、支付进度查询</w:t>
      </w:r>
    </w:p>
    <w:p w14:paraId="354C35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按批次号、时间等查询批次应付单据的支付进度，如拨付汇总、业财交接、财务审批、社银报盘、银行发放、已发放等。</w:t>
      </w:r>
    </w:p>
    <w:p w14:paraId="1E5F2C8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113、批次支付状态查询</w:t>
      </w:r>
    </w:p>
    <w:p w14:paraId="5E02A0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按批次号、时间等查询所有已完成社银复核的所有应付单据的支付状态，成功、失败、发放中。</w:t>
      </w:r>
    </w:p>
    <w:p w14:paraId="04D19CA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114、个人或单位支付状态查询</w:t>
      </w:r>
    </w:p>
    <w:p w14:paraId="394ECB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按身份证号、姓名、编号等查询某个人或某个单位所有支付的数据状态。</w:t>
      </w:r>
    </w:p>
    <w:p w14:paraId="6E9B631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115、定期待遇发放进度查询</w:t>
      </w:r>
    </w:p>
    <w:p w14:paraId="715F6E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查询各级经办机构定期待遇发放（含调待）所处环节及发放金额。</w:t>
      </w:r>
    </w:p>
    <w:p w14:paraId="318B8A0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116、收入配账情况查询</w:t>
      </w:r>
    </w:p>
    <w:p w14:paraId="76197C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查询本统筹区收入类业务财务已配账、未配账的单据。</w:t>
      </w:r>
    </w:p>
    <w:p w14:paraId="020D6BB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117、业财对账情况查询</w:t>
      </w:r>
    </w:p>
    <w:p w14:paraId="466B86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查询本统筹区收入类、支出类业务财务对账进度、结果。</w:t>
      </w:r>
    </w:p>
    <w:p w14:paraId="1DA870E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118、发放失败情况查询</w:t>
      </w:r>
    </w:p>
    <w:p w14:paraId="4138F8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查询发放失败的业务类型、总人数、总金额。</w:t>
      </w:r>
    </w:p>
    <w:p w14:paraId="265FE8E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119、本地区发放失败情况查询</w:t>
      </w:r>
    </w:p>
    <w:p w14:paraId="706D87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查询本统筹区个人或单位发放失败次数、业务类型、金额。</w:t>
      </w:r>
    </w:p>
    <w:p w14:paraId="6A11E7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120、税务回传查询</w:t>
      </w:r>
    </w:p>
    <w:p w14:paraId="3EC8145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查询税务传输的保费收入数据明细，并注明财务已生成凭证、业务已配账等数据使用情况。</w:t>
      </w:r>
    </w:p>
    <w:p w14:paraId="12BADE9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121、数据导出管理</w:t>
      </w:r>
    </w:p>
    <w:p w14:paraId="7DA094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对于部分功能（可配置范围）查询的明细数据，如需导出，需进行审核，审核通过后，相关数据才能导出。</w:t>
      </w:r>
    </w:p>
    <w:p w14:paraId="738EEC1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122、认证信息查询统计</w:t>
      </w:r>
    </w:p>
    <w:p w14:paraId="09F9AD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查询统计各险种待遇领取资格认证相关信息。</w:t>
      </w:r>
    </w:p>
    <w:p w14:paraId="5599563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123、人员终止信息查询统计查询</w:t>
      </w:r>
    </w:p>
    <w:p w14:paraId="6DA6ED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按照区划、单位等维度，查询人员终止参保、待遇终止等信息及统计。</w:t>
      </w:r>
    </w:p>
    <w:p w14:paraId="54A7BB5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124、各档次缴费人数统计查询</w:t>
      </w:r>
    </w:p>
    <w:p w14:paraId="23950A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按照区划等维度汇总职工、灵活就业人员及城乡居民不同缴费档次的参保、缴费人数。</w:t>
      </w:r>
    </w:p>
    <w:p w14:paraId="34C2C47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125、参保单位情况统计查询</w:t>
      </w:r>
    </w:p>
    <w:p w14:paraId="54E961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按照区划、单位类型等维度查询统计单位参保情况。</w:t>
      </w:r>
    </w:p>
    <w:p w14:paraId="2C100B8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126、单位征缴信息统计查询</w:t>
      </w:r>
    </w:p>
    <w:p w14:paraId="55C948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查询一定区域一段时间内单位征缴信息统计情况。</w:t>
      </w:r>
    </w:p>
    <w:p w14:paraId="2AE26E0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127、工程项目工伤保险统计查询</w:t>
      </w:r>
    </w:p>
    <w:p w14:paraId="4ED3144F">
      <w:pPr>
        <w:widowControl w:val="0"/>
        <w:wordWrap/>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按照区划、单位、项目类型等查询建设工程项目信息、人员信息、项目比对统计信息、人员比对统计信息。</w:t>
      </w:r>
    </w:p>
    <w:p w14:paraId="673F0F0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128、评价统计查询</w:t>
      </w:r>
    </w:p>
    <w:p w14:paraId="51AE2C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按照区划、部门等维度查询办件评价情况（好差评）。</w:t>
      </w:r>
    </w:p>
    <w:p w14:paraId="1545EF4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129、业务办理情况统计查询</w:t>
      </w:r>
    </w:p>
    <w:p w14:paraId="5D5089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按照区划、部门等查询各类业务办理情况统计数据。</w:t>
      </w:r>
    </w:p>
    <w:p w14:paraId="132A125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130、人员参保情况统计分析</w:t>
      </w:r>
    </w:p>
    <w:p w14:paraId="11BE80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（1）考虑与就业、编办专技处（博士后）、人才数据比对，对应参保未参保时间大于一定时长的进行参保提醒；</w:t>
      </w:r>
    </w:p>
    <w:p w14:paraId="3287FA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（2）统计分析在职、退休、人员类别、统筹区、基数、待遇、月度年度实时统计。</w:t>
      </w:r>
    </w:p>
    <w:p w14:paraId="28E1902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131、单位参保情况统计</w:t>
      </w:r>
    </w:p>
    <w:p w14:paraId="7D321B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分统筹区、机关、参公、事业、层级、年度分析。</w:t>
      </w:r>
    </w:p>
    <w:p w14:paraId="2154ABF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132、重点业务检测</w:t>
      </w:r>
    </w:p>
    <w:p w14:paraId="22EB08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（1）对二级、三级审核业务进行检测分析，分统筹区、分时间段，检测高风险业务；</w:t>
      </w:r>
    </w:p>
    <w:p w14:paraId="7D283C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（2）对运维平台进行监测分析，分析业务办理质量。</w:t>
      </w:r>
    </w:p>
    <w:p w14:paraId="3BC37C9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133、基金运行监测</w:t>
      </w:r>
    </w:p>
    <w:p w14:paraId="13E0B6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监测分析基金收支、抚养比、可支付月数。</w:t>
      </w:r>
    </w:p>
    <w:p w14:paraId="200804E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134、查询编辑器</w:t>
      </w:r>
    </w:p>
    <w:p w14:paraId="614493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支持自定义查询字段，前台定制查询统计项，生成查询表。</w:t>
      </w:r>
    </w:p>
    <w:p w14:paraId="72DF3E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135、职业年金记账本息情况查询</w:t>
      </w:r>
    </w:p>
    <w:p w14:paraId="6112D3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按统筹区、单位性质、隶属关系、人员类别、起止时间查询职业年金未做实的记账缴费本息情况。</w:t>
      </w:r>
    </w:p>
    <w:p w14:paraId="0A43A39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136、职业年金记账本息明细查询</w:t>
      </w:r>
    </w:p>
    <w:p w14:paraId="55ADC4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按参保单位、参保人员、起止时间查询职业年金未做实的记账缴费本息情况。</w:t>
      </w:r>
    </w:p>
    <w:p w14:paraId="2A3735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137、职业年金本息做实情况查询</w:t>
      </w:r>
    </w:p>
    <w:p w14:paraId="50B72A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按统筹区、单位性质、隶属关系、人员类别、认定时间、到账状态、到账时间，查询职业年金本息做实情况。</w:t>
      </w:r>
    </w:p>
    <w:p w14:paraId="049705B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138、职业年金本息做实人员明细查询</w:t>
      </w:r>
    </w:p>
    <w:p w14:paraId="79597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按参保单位、参保人员、认定时间、到账状态、到账时间查询职业年金记账缴费本息做实情况。</w:t>
      </w:r>
    </w:p>
    <w:p w14:paraId="096EDDC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139、职业年金记账份额情况查询</w:t>
      </w:r>
    </w:p>
    <w:p w14:paraId="0B566C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按参保人员查询职业年金记账份额转换明细。</w:t>
      </w:r>
    </w:p>
    <w:p w14:paraId="0693E4F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140、补记通知和人员明细打印</w:t>
      </w:r>
    </w:p>
    <w:p w14:paraId="58D070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对已推送税务征收的补记职业年金缴费，按费款期或认定流水号查询打印补记职业年金记实通知和人员明细。</w:t>
      </w:r>
    </w:p>
    <w:p w14:paraId="64FB137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141、补记职业年金人员明细查询</w:t>
      </w:r>
    </w:p>
    <w:p w14:paraId="3A5C04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按参保单位、参保人员、认定时间、到账状态、到账时间查询补记职业年金业务办理情况（含补记退费）。</w:t>
      </w:r>
    </w:p>
    <w:p w14:paraId="131E509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142、补记职业年金情况查询</w:t>
      </w:r>
    </w:p>
    <w:p w14:paraId="1E03A9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按统筹区、单位性质、隶属关系、人员类别、认定时间、到账状态、到账时间，查询补记职业年金业务办理情况。</w:t>
      </w:r>
    </w:p>
    <w:p w14:paraId="7751D3E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143、补记职业年金退费情况查询</w:t>
      </w:r>
    </w:p>
    <w:p w14:paraId="69E766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按统筹区、单位性质、隶属关系、人员类别、认定时间、到账状态、到账时间，查询补记职业年金退费业务办理情况。</w:t>
      </w:r>
    </w:p>
    <w:p w14:paraId="04A1786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144、补记职业年金退费计划查询</w:t>
      </w:r>
    </w:p>
    <w:p w14:paraId="425EA3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按费款期查询打印各级已生成的补记职业年金退费计划及人员明细。</w:t>
      </w:r>
    </w:p>
    <w:p w14:paraId="54B84BF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145、不符合补记条件人员信息查询</w:t>
      </w:r>
    </w:p>
    <w:p w14:paraId="28C30A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查询已申报的不符合补记条件人员信息及审核情况。</w:t>
      </w:r>
    </w:p>
    <w:p w14:paraId="7331E89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146、老机保转入职业年金人员明细查询</w:t>
      </w:r>
    </w:p>
    <w:p w14:paraId="0DDA21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按参保单位、参保人员、缴费状态、退费状态查询老机保转入职业年金人员明细情况。</w:t>
      </w:r>
    </w:p>
    <w:p w14:paraId="34D9FF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147、老机保转入职业年金情况查询</w:t>
      </w:r>
    </w:p>
    <w:p w14:paraId="3B9179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按统筹区、单位性质、隶属关系、缴费状态、退费状态查询老机保转入职业年金情况。</w:t>
      </w:r>
    </w:p>
    <w:p w14:paraId="1883AE3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148、划转缴费退费支付计划查询</w:t>
      </w:r>
    </w:p>
    <w:p w14:paraId="7B9AF6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按费款期查询打印各级已生成的划转缴费退费计划及人员明细。</w:t>
      </w:r>
    </w:p>
    <w:p w14:paraId="510543C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149、职业年金归集计划查询</w:t>
      </w:r>
    </w:p>
    <w:p w14:paraId="64DBFA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查询打印各级已生成的职业年金缴费归集计划和利息归集计划。</w:t>
      </w:r>
    </w:p>
    <w:p w14:paraId="1D7FD22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150、全省职业年金归集计划查询</w:t>
      </w:r>
    </w:p>
    <w:p w14:paraId="2E78D2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查询打印已生成的全省职业年金缴费归集计划和利息归集计划。</w:t>
      </w:r>
    </w:p>
    <w:p w14:paraId="71884FD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151、职业年金待遇领取人员核对</w:t>
      </w:r>
    </w:p>
    <w:p w14:paraId="7E5B309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按支付费款期查询职业年金定期待遇新增人员、减少人员、补扣人员、重算人员、一次性待遇支付人员及计发失败人员明细。</w:t>
      </w:r>
    </w:p>
    <w:p w14:paraId="0866988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152、职业年金计发查询</w:t>
      </w:r>
    </w:p>
    <w:p w14:paraId="1EFE0E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查询职业年金定期待遇计发结果，打印职业年金定期待遇计发表；查询职业年金一次性待遇发放结果，对支付成功的打印职业年金一次性待遇计发表。</w:t>
      </w:r>
    </w:p>
    <w:p w14:paraId="74CF367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153、保留账户人员查询</w:t>
      </w:r>
    </w:p>
    <w:p w14:paraId="5CCEAA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查询保留账户人员职业年金账户情况及待遇计发情况，对未计发职业年金待遇的比对企保和居保基本险待遇发放情况。</w:t>
      </w:r>
    </w:p>
    <w:p w14:paraId="7E9428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154、各级职业年金待遇支付计划查询</w:t>
      </w:r>
    </w:p>
    <w:p w14:paraId="77AF6B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查询各级职业年金待遇支付计划、失败重发计划及对应人员明细。</w:t>
      </w:r>
    </w:p>
    <w:p w14:paraId="2718101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155、各级职业年金退费支付计划查询</w:t>
      </w:r>
    </w:p>
    <w:p w14:paraId="3351CC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查询各级职业年金退费支付计划、失败重发计划及对应人员明细。</w:t>
      </w:r>
    </w:p>
    <w:p w14:paraId="6CFA69B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156、各级职业年金转出计划查询</w:t>
      </w:r>
    </w:p>
    <w:p w14:paraId="613C06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查询各级职业年金转出支付计划、失败重发计划及对应人员明细。</w:t>
      </w:r>
    </w:p>
    <w:p w14:paraId="2B27270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157、各级职业年金转入资金退款计划查询</w:t>
      </w:r>
    </w:p>
    <w:p w14:paraId="72B345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查询各级职业年金转入资金退款支付计划、失败重发计划及对应人员明细。</w:t>
      </w:r>
    </w:p>
    <w:p w14:paraId="767E99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158、职业年金个人权益查询</w:t>
      </w:r>
    </w:p>
    <w:p w14:paraId="502D0A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查询职业年金缴费、投资收益、待遇领取、转移接续等个人账户权益信息。对接政务网及部社保平台、电子社保卡。</w:t>
      </w:r>
    </w:p>
    <w:p w14:paraId="35CF2A6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159、职业年金欠费情况查询</w:t>
      </w:r>
    </w:p>
    <w:p w14:paraId="03CD57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按统筹区、单位性质、隶属关系、人员类别、起止费款期查询职业年金缴费欠费情况。</w:t>
      </w:r>
    </w:p>
    <w:p w14:paraId="2228B5F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160、职业年金单位归集明细查询</w:t>
      </w:r>
    </w:p>
    <w:p w14:paraId="219CDB7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按统筹区、单位性质、隶属关系、起止费款期查询参保单位职业年金缴费归集情况。</w:t>
      </w:r>
    </w:p>
    <w:p w14:paraId="43DB0AD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161、职业年金退费支付情况查询</w:t>
      </w:r>
    </w:p>
    <w:p w14:paraId="657120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按参保单位、参保人员、到账情况、起止费款期查询职业年金单位多缴退费支付情况。</w:t>
      </w:r>
    </w:p>
    <w:p w14:paraId="4AC0FB6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162、职业年金待遇支付情况查询</w:t>
      </w:r>
    </w:p>
    <w:p w14:paraId="4AE7BB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按参保单位、参保人员、到账情况、起止费款期查询职业年金待遇支付人员明细情况。</w:t>
      </w:r>
    </w:p>
    <w:p w14:paraId="3CBB8B9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163、职业年金转出支付情况查询</w:t>
      </w:r>
    </w:p>
    <w:p w14:paraId="6FCE15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按参保单位、参保人员、到账情况、起止费款期查询职业年金转出支付人员明细情况。</w:t>
      </w:r>
    </w:p>
    <w:p w14:paraId="546BA2B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164、职业年金结算情况查询</w:t>
      </w:r>
    </w:p>
    <w:p w14:paraId="680A68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按参保单位、参保人员、起止费款期查询职业年金定期待遇与基本险统筹基金结算人员明细情况。</w:t>
      </w:r>
    </w:p>
    <w:p w14:paraId="67934AB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165、职业年金转入匹配情况查询</w:t>
      </w:r>
    </w:p>
    <w:p w14:paraId="65913E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查询跨省跨制度职业年金转入、军人转入职业年金业务和财务匹配情况。</w:t>
      </w:r>
    </w:p>
    <w:p w14:paraId="69E4657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166、职业年金待遇暂停人员情况查询</w:t>
      </w:r>
    </w:p>
    <w:p w14:paraId="36CC67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查询职业年金待遇暂停人员及待遇扣回明细情况。</w:t>
      </w:r>
    </w:p>
    <w:p w14:paraId="3A5D2FF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167、职业年金个人账户发完情况预测</w:t>
      </w:r>
    </w:p>
    <w:p w14:paraId="7BAE77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查询职业年金个人账户已发完人员明细，根据最新个人账户余额与职业年金定期待遇金额，查询剩余发放时间不足半年/一年的人员明细。</w:t>
      </w:r>
    </w:p>
    <w:p w14:paraId="4CD771C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168、划款通知查询</w:t>
      </w:r>
    </w:p>
    <w:p w14:paraId="35AE5C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查询打印历史已生成的划款通知。</w:t>
      </w:r>
    </w:p>
    <w:p w14:paraId="405EADF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169、管理机构信息查询</w:t>
      </w:r>
    </w:p>
    <w:p w14:paraId="635143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查询年金管理机构登记信息、合同附件，按管理机构展示计划或组合收益率及排名信息、机构差错登记信息。</w:t>
      </w:r>
    </w:p>
    <w:p w14:paraId="0F78F4F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170、职业年金计划信息综合查询</w:t>
      </w:r>
    </w:p>
    <w:p w14:paraId="676438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查询职业年金计划及组合管理人基础信息、投资经理、风险准备金账户信息，当前资金分配比例、计划及组合当期收益率及排名、合同期内收益率及排名、累计收益率及排名等。</w:t>
      </w:r>
    </w:p>
    <w:p w14:paraId="3423324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171、成交报表查询</w:t>
      </w:r>
    </w:p>
    <w:p w14:paraId="4474F6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查询已推送的统一计划和各计划成交报表。</w:t>
      </w:r>
    </w:p>
    <w:p w14:paraId="2BC41B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172、单位净值查询</w:t>
      </w:r>
    </w:p>
    <w:p w14:paraId="2C7F35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按定价日查询统一计划、各计划、各组合单位净值、基金总净值、收益率和份额变动情况。</w:t>
      </w:r>
    </w:p>
    <w:p w14:paraId="04AAD1E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173、投资收益查询</w:t>
      </w:r>
    </w:p>
    <w:p w14:paraId="6134E3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按定价日查询统一计划、各计划、各组合投资本金金额、损益净额、损益标志、收益率等情况。</w:t>
      </w:r>
    </w:p>
    <w:p w14:paraId="79C0BD3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174、职业年金管理费支付情况查询</w:t>
      </w:r>
    </w:p>
    <w:p w14:paraId="296584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查询各计划、各组合职业年金管理费提取及支付情况。</w:t>
      </w:r>
    </w:p>
    <w:p w14:paraId="604FE26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175、职业年金计划管理情况查询</w:t>
      </w:r>
    </w:p>
    <w:p w14:paraId="66770F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生成职业年金计划管理报告（报告1-1），按起止时间查询打印历史报告。</w:t>
      </w:r>
    </w:p>
    <w:p w14:paraId="5253348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176、机关事业单位职业年金账户管理情况表（SI02)</w:t>
      </w:r>
    </w:p>
    <w:p w14:paraId="582904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生成机关事业单位职业年金账户管理情况表（SI02)，按起止时间查询打印历史表格。</w:t>
      </w:r>
    </w:p>
    <w:p w14:paraId="6A12BC2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177、职业年金归集和支付情况表</w:t>
      </w:r>
    </w:p>
    <w:p w14:paraId="42D396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生成职业年金归集和支付情况表，按起止时间查询打印历史表格。</w:t>
      </w:r>
    </w:p>
    <w:p w14:paraId="2B830BB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178、职业年金经办管理常用数据统计</w:t>
      </w:r>
    </w:p>
    <w:p w14:paraId="3DA801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选定指标项，统计职业年金经办常用数据，生成数据表格，指标项包括归集金额、待遇支付金额、退费支付金额、转出支付金额、记账做实金额、记账本息金额等。</w:t>
      </w:r>
    </w:p>
    <w:p w14:paraId="7F5563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179、个人养老金领取资格核验情况查询</w:t>
      </w:r>
    </w:p>
    <w:p w14:paraId="19A9B1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查询个人养老金资格领取核验情况，分类统计各类人员核验情况，对临近超期业务进行提醒。</w:t>
      </w:r>
    </w:p>
    <w:p w14:paraId="51CC6A2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180、居保个人权益记录查询</w:t>
      </w:r>
    </w:p>
    <w:p w14:paraId="7F72F9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社保经办机构应通过互联网渠道，实时为参保人员提供权益信息查询服务；参保人可通过互联网服务渠道或者服务窗口查询打印《权益记录单》。</w:t>
      </w:r>
    </w:p>
    <w:p w14:paraId="1909CEB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181、业务数据查询</w:t>
      </w:r>
    </w:p>
    <w:p w14:paraId="09D8D6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向经办机构提供居保缴费、集体补助、个人资助、领取待遇等数据的查询。</w:t>
      </w:r>
    </w:p>
    <w:p w14:paraId="524DD8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182、工伤职工档案综合查询</w:t>
      </w:r>
    </w:p>
    <w:p w14:paraId="33F52A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查询工伤职工综合档案，包括参保缴费信息、职业伤害确认信息、劳动能力鉴定信息、待遇发放信息等。</w:t>
      </w:r>
    </w:p>
    <w:p w14:paraId="713BE10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183、工亡职工供养亲属档案综合查询</w:t>
      </w:r>
    </w:p>
    <w:p w14:paraId="7CE92E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查询工亡职工供养亲属综合档案信息。</w:t>
      </w:r>
    </w:p>
    <w:p w14:paraId="0F2F934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184、工伤保险办理信息明细查询</w:t>
      </w:r>
    </w:p>
    <w:p w14:paraId="46E17A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查询工伤保险办理信息明细信息。</w:t>
      </w:r>
    </w:p>
    <w:p w14:paraId="22C5CA9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185、工伤保险业务信息查询统计</w:t>
      </w:r>
    </w:p>
    <w:p w14:paraId="6B9196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查询工伤保险办理汇总信息，包括工伤认定、劳动能力鉴定、待遇发放、财务支付等信息。</w:t>
      </w:r>
    </w:p>
    <w:p w14:paraId="658BB1F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186、工伤调查结果查询</w:t>
      </w:r>
    </w:p>
    <w:p w14:paraId="5FCC67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社保行政部门在受理工伤认定申请后，可以根据需要对申请人提供的证据进行调查核实，并录入工伤调查结果并上传相关视频、音频、图片资料后提供查询功能。</w:t>
      </w:r>
    </w:p>
    <w:p w14:paraId="7A8B998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187、工伤案卷查询</w:t>
      </w:r>
    </w:p>
    <w:p w14:paraId="394690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按流程查询相关材料，材料显示页面可直接打印或导出。</w:t>
      </w:r>
    </w:p>
    <w:p w14:paraId="2D44B93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188、工伤认定案件统计</w:t>
      </w:r>
    </w:p>
    <w:p w14:paraId="50AE04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依据查询条件显示本级经办案件的查询结果，并导出电子表格。</w:t>
      </w:r>
    </w:p>
    <w:p w14:paraId="33DB113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189、工伤认定文书查询及打印</w:t>
      </w:r>
    </w:p>
    <w:p w14:paraId="22B779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查询该认定所涉已生成的系统文书，链接该文书具体内容。</w:t>
      </w:r>
    </w:p>
    <w:p w14:paraId="3B0DB0F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打印功能需求：链接文书可直接打印。</w:t>
      </w:r>
    </w:p>
    <w:p w14:paraId="4A1458B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190、工伤待遇查询打印</w:t>
      </w:r>
    </w:p>
    <w:p w14:paraId="664AD7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工伤保险待遇查询打印。</w:t>
      </w:r>
    </w:p>
    <w:p w14:paraId="0248A5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191、工伤保险基金请款查询统计</w:t>
      </w:r>
    </w:p>
    <w:p w14:paraId="6DD445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查询统计各地请款计划。</w:t>
      </w:r>
    </w:p>
    <w:p w14:paraId="06864FB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192、工伤待遇多发追缴查询统计</w:t>
      </w:r>
    </w:p>
    <w:p w14:paraId="7C21A0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对工伤待遇多发追缴情况进行查询统计。</w:t>
      </w:r>
    </w:p>
    <w:p w14:paraId="39A8DF6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193、平台企业综合查询</w:t>
      </w:r>
    </w:p>
    <w:p w14:paraId="2FCA33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查询平台企业基本信息、参保信息、缴费信息、订单信息、职业伤害信息等。</w:t>
      </w:r>
    </w:p>
    <w:p w14:paraId="67C3437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194、参保人员综合查询</w:t>
      </w:r>
    </w:p>
    <w:p w14:paraId="400A82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查询人员基本信息、参保信息、缴费信息、订单信息、职业伤害信息等。</w:t>
      </w:r>
    </w:p>
    <w:p w14:paraId="1480CB5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195、订单信息查询</w:t>
      </w:r>
    </w:p>
    <w:p w14:paraId="54D8AD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根据平台企业、人员、订单期号区间等信息查询订单信息及缴费情况。</w:t>
      </w:r>
    </w:p>
    <w:p w14:paraId="6B71A1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196、平台服务机构查询</w:t>
      </w:r>
    </w:p>
    <w:p w14:paraId="3757E6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查询平台服务机构基本信息、对应平台企业信息、提交待遇给付申请信息等。</w:t>
      </w:r>
    </w:p>
    <w:p w14:paraId="50284C0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197、参保及订单信息查询统计</w:t>
      </w:r>
    </w:p>
    <w:p w14:paraId="4F4036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查询统计各参保平台企业参保人数、接单人数、订单总量、年龄性别分布信息等。</w:t>
      </w:r>
    </w:p>
    <w:p w14:paraId="554BDC7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198、订单缴费信息查询统计</w:t>
      </w:r>
    </w:p>
    <w:p w14:paraId="1EC42E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查询统计各平台企业订单总量、占比、缴费标准、缴费金额（按月）。</w:t>
      </w:r>
    </w:p>
    <w:p w14:paraId="59B6B50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199、数据传递税务状态查询</w:t>
      </w:r>
    </w:p>
    <w:p w14:paraId="0D37E3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数据传递税务状态查询。</w:t>
      </w:r>
    </w:p>
    <w:p w14:paraId="6513DD2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200、委托承办机构查询</w:t>
      </w:r>
    </w:p>
    <w:p w14:paraId="7A416D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查询当前委托承办机构基本信息、机构信息、经办人员信息、管理区域等。</w:t>
      </w:r>
    </w:p>
    <w:p w14:paraId="1BF540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201、职业伤害人员档案综合查询</w:t>
      </w:r>
    </w:p>
    <w:p w14:paraId="2B51D5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查询职业伤害人员综合档案，包括参保缴费信息、职业伤害确认信息、劳动能力鉴定信息、待遇发放信息等。</w:t>
      </w:r>
    </w:p>
    <w:p w14:paraId="39B6C09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202、职业伤害死亡人员供养亲属档案综合查询</w:t>
      </w:r>
    </w:p>
    <w:p w14:paraId="233CE0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查询职业伤害死亡人员供养亲属综合档案信息。</w:t>
      </w:r>
    </w:p>
    <w:p w14:paraId="44BAEA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203、职业伤害办理信息明细查询</w:t>
      </w:r>
    </w:p>
    <w:p w14:paraId="27BB5A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查询职业伤害办理信息明细信息。</w:t>
      </w:r>
    </w:p>
    <w:p w14:paraId="54427C2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204、职业伤害业务信息查询统计</w:t>
      </w:r>
    </w:p>
    <w:p w14:paraId="18D22A8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查询职业伤害办理汇总信息，包括事故备案、待遇给付申请、职业伤害确认、职业伤害劳动能力鉴定、待遇发放、财务支付等信息。</w:t>
      </w:r>
    </w:p>
    <w:p w14:paraId="1B2DAA1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205、职业伤害确认管理</w:t>
      </w:r>
    </w:p>
    <w:p w14:paraId="073F29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对职业伤害“一键报案”进行备案，对职业伤害待遇给付申请事项进行受理、办理和审批。</w:t>
      </w:r>
    </w:p>
    <w:p w14:paraId="47A2A99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206、劳动能力鉴定文书打印</w:t>
      </w:r>
    </w:p>
    <w:p w14:paraId="64E847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劳动能力鉴定文书打印。</w:t>
      </w:r>
    </w:p>
    <w:p w14:paraId="6CDE5A6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207、职业伤害月/年结算报表查询打印</w:t>
      </w:r>
    </w:p>
    <w:p w14:paraId="1C752D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职业伤害月/年结算报表查询打印。</w:t>
      </w:r>
    </w:p>
    <w:p w14:paraId="309AE9A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208、生存认证结果查询比对</w:t>
      </w:r>
    </w:p>
    <w:p w14:paraId="1FD0A0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生存认证结果查询比对。</w:t>
      </w:r>
    </w:p>
    <w:p w14:paraId="679B606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209、死亡人员信息查询比对</w:t>
      </w:r>
    </w:p>
    <w:p w14:paraId="5247EC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死亡人员信息查询比对。</w:t>
      </w:r>
    </w:p>
    <w:p w14:paraId="5199C64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210、外部疑似死亡数据查询</w:t>
      </w:r>
    </w:p>
    <w:p w14:paraId="0135F3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外部疑似死亡数据查询。</w:t>
      </w:r>
    </w:p>
    <w:p w14:paraId="7EFC68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211、职业伤害业务流程查询</w:t>
      </w:r>
    </w:p>
    <w:p w14:paraId="00D37A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职业伤害业务流程查询。</w:t>
      </w:r>
    </w:p>
    <w:p w14:paraId="56BF8E5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212、退费明细查询</w:t>
      </w:r>
    </w:p>
    <w:p w14:paraId="2C63DC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允许参保单位查询本单位办理的退费数据明细，支持按经办时间、单笔退费总金额、退费起止时间等信息查询。</w:t>
      </w:r>
    </w:p>
    <w:p w14:paraId="0F1A080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213、工伤事故发生情况查询</w:t>
      </w:r>
    </w:p>
    <w:p w14:paraId="3AB773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统计查询不同时段、地区、行业领域中不同类别的工伤事故分布情况。</w:t>
      </w:r>
    </w:p>
    <w:p w14:paraId="61CFBD3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214、工伤预防项目立项情况查询</w:t>
      </w:r>
    </w:p>
    <w:p w14:paraId="208408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提供工伤预防项目类别、经费、申报、立项、实施进度、验收结果的统计查询。</w:t>
      </w:r>
    </w:p>
    <w:p w14:paraId="5D8CDD2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215、工伤预防费预算编制及使用情况查询</w:t>
      </w:r>
    </w:p>
    <w:p w14:paraId="20C6A6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提供工伤预防费用使用情况、工伤预防费年度预算编制及编制上限的便捷查询服务。</w:t>
      </w:r>
    </w:p>
    <w:p w14:paraId="1DC10EF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216、工伤预防专家工作情况查询</w:t>
      </w:r>
    </w:p>
    <w:p w14:paraId="131752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统计查询工伤预防专家参与工伤预防项目工作的次数、类型。</w:t>
      </w:r>
    </w:p>
    <w:p w14:paraId="5B46F08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217、工伤预防企业人员参训情况查询</w:t>
      </w:r>
    </w:p>
    <w:p w14:paraId="663BDF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统计查询企业人员参加工伤预防培训的时间、次数。</w:t>
      </w:r>
    </w:p>
    <w:p w14:paraId="734909B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218、查询工伤预防项目信息</w:t>
      </w:r>
    </w:p>
    <w:p w14:paraId="21C95D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综合查询所有工伤预防项目的立项、状态及实施进度详情。</w:t>
      </w:r>
    </w:p>
    <w:p w14:paraId="6DA0A44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219、查询工伤预防费申请信息</w:t>
      </w:r>
    </w:p>
    <w:p w14:paraId="4F21F9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跟踪查询工伤预防费申请的提交、审核及支付状态。</w:t>
      </w:r>
    </w:p>
    <w:p w14:paraId="4394074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220、查询工伤预防项目实施进度信息</w:t>
      </w:r>
    </w:p>
    <w:p w14:paraId="03E665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实时查询特定项目的计划执行与实际进度情况。</w:t>
      </w:r>
    </w:p>
    <w:p w14:paraId="7B75F0E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221、查询工伤预防项目进度监督管理信息</w:t>
      </w:r>
    </w:p>
    <w:p w14:paraId="390CD0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查询监管人员对项目的监督记录与评价信息。</w:t>
      </w:r>
    </w:p>
    <w:p w14:paraId="212FD2A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222、查询工伤预防项目评估验收信息</w:t>
      </w:r>
    </w:p>
    <w:p w14:paraId="5D7C7D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查询项目的评估报告、验收结论及相关证明材料。</w:t>
      </w:r>
    </w:p>
    <w:p w14:paraId="1081959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223、自定义信息查询导出</w:t>
      </w:r>
    </w:p>
    <w:p w14:paraId="133A03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根据自主的选择字段和条件，查询、导出相应信息。</w:t>
      </w:r>
    </w:p>
    <w:p w14:paraId="70BDF9D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224、协议机构月结信息查询</w:t>
      </w:r>
    </w:p>
    <w:p w14:paraId="7B3FA4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用于核查每月协议机构住院月结信息查询，包括医疗、伙食补助、康复和辅助器具配置等费用</w:t>
      </w:r>
    </w:p>
    <w:p w14:paraId="7D99BCE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225、异地备案信息查询</w:t>
      </w:r>
    </w:p>
    <w:p w14:paraId="5448320E">
      <w:pPr>
        <w:widowControl w:val="0"/>
        <w:wordWrap/>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支持社保机构对异地就医备案信息进行查询，包括省内异地和跨省异地，审批标志包括已</w:t>
      </w:r>
      <w:r>
        <w:rPr>
          <w:rFonts w:hint="eastAsia" w:ascii="宋体" w:hAnsi="宋体" w:eastAsia="宋体" w:cs="宋体"/>
          <w:b w:val="0"/>
          <w:bCs w:val="0"/>
          <w:color w:val="auto"/>
          <w:sz w:val="24"/>
          <w:szCs w:val="24"/>
          <w:highlight w:val="none"/>
          <w:lang w:val="en-US" w:eastAsia="zh-CN"/>
        </w:rPr>
        <w:t>审批和未审批</w:t>
      </w:r>
    </w:p>
    <w:p w14:paraId="3873DD5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226、异地住院信息查询</w:t>
      </w:r>
    </w:p>
    <w:p w14:paraId="2B3200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协议机构将住院信息传递社保系统，支持社保机构对省内异地就医住院信息进行查询，预留对跨省异地就医住院信息进行查询</w:t>
      </w:r>
    </w:p>
    <w:p w14:paraId="260C292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227、异地就医结算信息查询</w:t>
      </w:r>
    </w:p>
    <w:p w14:paraId="04C15A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支持社保机构对省内协议机构异地就医费用结算信息进行查询，预留对跨省异地就医住院信息进行查询</w:t>
      </w:r>
    </w:p>
    <w:p w14:paraId="4C9A05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228、异地就医费用清分信息查询</w:t>
      </w:r>
    </w:p>
    <w:p w14:paraId="11E9F9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支持社保机构对工伤异地就医费用清分信息进行查询，包括省内和跨省，省内对接各协议机构、跨省对接全国跨省异地就医信息系统</w:t>
      </w:r>
    </w:p>
    <w:p w14:paraId="0FD7EC3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229、定时任务查询</w:t>
      </w:r>
    </w:p>
    <w:p w14:paraId="5253AB6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职业伤害保障定时任务执行汇总信息、人员信息接收同步、订单信息接收同步、平台企业信息同步、平台企业变更信息同步、平台服务机构信息同步、平台服务机构变更信息同步、月订单汇总信息同步、定时业务执行明细等信息。</w:t>
      </w:r>
    </w:p>
    <w:p w14:paraId="35A70C2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（十三）稽核内控</w:t>
      </w:r>
    </w:p>
    <w:p w14:paraId="37A6A1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对社保风险业务进行事中事前风控管理，包括风控规则管理、风险提示、疑点处理，稽核流程管理等。对接人社部下发全险种业务中台，实现社保业务大管控。</w:t>
      </w:r>
    </w:p>
    <w:p w14:paraId="3B37D4E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1、业务管控</w:t>
      </w:r>
    </w:p>
    <w:p w14:paraId="71AEF5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1.1业务管控规则对应关系查询</w:t>
      </w:r>
    </w:p>
    <w:p w14:paraId="600A1E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查询功能名称、原子服务、部中台表单及字段项、省内自建表单及字段项</w:t>
      </w:r>
    </w:p>
    <w:p w14:paraId="79499F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管控规则的对应关系。</w:t>
      </w:r>
    </w:p>
    <w:p w14:paraId="13CAC8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1.2业务管控触发情况总体情况查询</w:t>
      </w:r>
    </w:p>
    <w:p w14:paraId="634C18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查询业务办理总量、批量业务办理量、非批量业务办理量等各项指标（具</w:t>
      </w:r>
    </w:p>
    <w:p w14:paraId="4F2734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表格样式和指标内容与部中心每月下发表保持一致）。</w:t>
      </w:r>
    </w:p>
    <w:p w14:paraId="5777EF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1.3触发管控规则业务明细查询</w:t>
      </w:r>
    </w:p>
    <w:p w14:paraId="4CA0D5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查询触发规则的业务类型、当事人类型、编号、名称、具体业务受理号、办理人等，具体指标与部中台风控日志表的基础上，增加核实情况、佐证材料两个字段。</w:t>
      </w:r>
    </w:p>
    <w:p w14:paraId="431FF8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1.4触发管控规则业务下发</w:t>
      </w:r>
    </w:p>
    <w:p w14:paraId="4EBB47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查询触发规则业务明细信息后，单个或批量勾选下发给指定经办机构。</w:t>
      </w:r>
    </w:p>
    <w:p w14:paraId="4635B0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1.5触发管控规则业务反馈</w:t>
      </w:r>
    </w:p>
    <w:p w14:paraId="43FBBE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接收到触发管控规则业务的经办机构反馈业务办理核实情况及佐证资料，加盖电子签章。</w:t>
      </w:r>
    </w:p>
    <w:p w14:paraId="100825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1.6触发规则业务核实情况反馈</w:t>
      </w:r>
    </w:p>
    <w:p w14:paraId="71803A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触发管控规则后，选择继续经办的业务，填写继续经办的原因。支持上传佐证材料。（配置在各个功能页面，以弹窗形式展示）。</w:t>
      </w:r>
    </w:p>
    <w:p w14:paraId="6D2AB9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1.7业务管控类电子要件上传</w:t>
      </w:r>
    </w:p>
    <w:p w14:paraId="532E07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调用部中台电子材料库接口，上传指定的电子要件材料。</w:t>
      </w:r>
    </w:p>
    <w:p w14:paraId="001C57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1.8业务管控类电子要件补传</w:t>
      </w:r>
    </w:p>
    <w:p w14:paraId="4DE7ED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调用部中台电子材料库补传接口，将本地补充上传的电子要件材料补传至部中台电子材料库。</w:t>
      </w:r>
    </w:p>
    <w:p w14:paraId="4C6482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1.9经办持续提醒风险</w:t>
      </w:r>
    </w:p>
    <w:p w14:paraId="45FC68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经办人员选择继续办理，后续复核、审核环节持续提示，以便复核审核人员了解业务存在的风险。</w:t>
      </w:r>
    </w:p>
    <w:p w14:paraId="781035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1.10待遇拨付资格核验</w:t>
      </w:r>
    </w:p>
    <w:p w14:paraId="179BD8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险种待遇拨付资格核验：在每月制定各险种待遇拨付计划前，先对应拨付人员进行待遇拨付资格核验，对于存在重复领取、疑似死亡、正在服刑等各类人员通过全省业务数据、外部共享数据、外部接口等进行全量核验。</w:t>
      </w:r>
    </w:p>
    <w:p w14:paraId="1E2F96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1.11待遇支付预警</w:t>
      </w:r>
    </w:p>
    <w:p w14:paraId="6A60EA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大额、均值极值预警：财务人员在传递银行支付报盘前进行大额人员提醒，极值人员提醒。</w:t>
      </w:r>
    </w:p>
    <w:p w14:paraId="5B87921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2、内控监督设置</w:t>
      </w:r>
    </w:p>
    <w:p w14:paraId="26C7A8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2.1一键申述</w:t>
      </w:r>
    </w:p>
    <w:p w14:paraId="709160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（1）对于业务管控规则阻断的业务，对接/跳转部中台业务管控系统，发起申述流程。（2）对于被本地规则阻断的业务，发起申诉流程，推送规定的审核层级后可支持继续经办。</w:t>
      </w:r>
    </w:p>
    <w:p w14:paraId="15A71F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2.2申述业务调用</w:t>
      </w:r>
    </w:p>
    <w:p w14:paraId="3C542B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对于业务管控规则阻断的业务，在完成申诉流程后，再次办理同类业务时，通过此功能获取中台业务事项中心的AAZ874-申诉操作序号。</w:t>
      </w:r>
    </w:p>
    <w:p w14:paraId="1D0EDE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2.3省内事中管控规则配置</w:t>
      </w:r>
    </w:p>
    <w:p w14:paraId="78B6F9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将勾选的管控规则配置到指定的功能点，支持已配置功能取消配置，支持</w:t>
      </w:r>
    </w:p>
    <w:p w14:paraId="3B077F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中规则部分内容调整。</w:t>
      </w:r>
    </w:p>
    <w:p w14:paraId="59EAF7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2.4监督项设置</w:t>
      </w:r>
    </w:p>
    <w:p w14:paraId="4B0F1D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针对业务系统的各项业务进行监督项目的设置。可对业务信息作查询、添加、修改、删除操作。</w:t>
      </w:r>
    </w:p>
    <w:p w14:paraId="316B1FC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2.5风险点设置</w:t>
      </w:r>
    </w:p>
    <w:p w14:paraId="650C24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对监督项配置风险点。支持对风险点进行新增、修改、删除、发布、取消发布。</w:t>
      </w:r>
    </w:p>
    <w:p w14:paraId="76CAC4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2.6风险评估</w:t>
      </w:r>
    </w:p>
    <w:p w14:paraId="539765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通过梳理识别出业务风险点后，对风险的严重程度进行评估。</w:t>
      </w:r>
    </w:p>
    <w:p w14:paraId="01CFD8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2.7流程时限设置</w:t>
      </w:r>
    </w:p>
    <w:p w14:paraId="7D0F88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对下发数据的处理步骤设置处理时间限制。</w:t>
      </w:r>
    </w:p>
    <w:p w14:paraId="5F0A03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2.8采集参数设置</w:t>
      </w:r>
    </w:p>
    <w:p w14:paraId="7E503B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维护风险采集中用到的参数信息（筛选规则中可变的数值等条件）。</w:t>
      </w:r>
    </w:p>
    <w:p w14:paraId="12B12B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2.9地域性采集参数设置</w:t>
      </w:r>
    </w:p>
    <w:p w14:paraId="0F1973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支持各地配置管理员，维护风险采集中用到的参数信息（筛选规则中可变数值等条件）。</w:t>
      </w:r>
    </w:p>
    <w:p w14:paraId="59FF73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2.10筛查规则设置</w:t>
      </w:r>
    </w:p>
    <w:p w14:paraId="71F247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对风险点进行筛查规则维护及校验。</w:t>
      </w:r>
    </w:p>
    <w:p w14:paraId="2574FA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2.11采集抽样设置</w:t>
      </w:r>
    </w:p>
    <w:p w14:paraId="6FB74C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为风险点设置抽样比例、最高数据量、最低数据量。</w:t>
      </w:r>
    </w:p>
    <w:p w14:paraId="2796D3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2.12采集展现设置</w:t>
      </w:r>
    </w:p>
    <w:p w14:paraId="3C1AC8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设置需要查看的业务经办信息。</w:t>
      </w:r>
    </w:p>
    <w:p w14:paraId="39F0AA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2.13数据字典</w:t>
      </w:r>
    </w:p>
    <w:p w14:paraId="0C493D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存储SQL语句及相关数据库信息。</w:t>
      </w:r>
    </w:p>
    <w:p w14:paraId="055233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2.14休息日维护</w:t>
      </w:r>
    </w:p>
    <w:p w14:paraId="1C8ADD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在全年日历上进行节假日的标注。</w:t>
      </w:r>
    </w:p>
    <w:p w14:paraId="590755B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3、组织机构管理</w:t>
      </w:r>
    </w:p>
    <w:p w14:paraId="56AF99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3.1机构人员信息管理</w:t>
      </w:r>
    </w:p>
    <w:p w14:paraId="594D20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对机构人员信息进行管理与维护。</w:t>
      </w:r>
    </w:p>
    <w:p w14:paraId="4EF693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3.2用户岗位信息管理</w:t>
      </w:r>
    </w:p>
    <w:p w14:paraId="6CD391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对机构人员岗位信息进行管理与维护。</w:t>
      </w:r>
    </w:p>
    <w:p w14:paraId="4A6C646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3.3岗位权限信息管理</w:t>
      </w:r>
    </w:p>
    <w:p w14:paraId="3F564C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对业务系统中的岗位权限信息进行记录及维护。</w:t>
      </w:r>
    </w:p>
    <w:p w14:paraId="104BD8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3.4权限信息管理</w:t>
      </w:r>
    </w:p>
    <w:p w14:paraId="3F3085B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根据岗位互斥清单，对岗位权限进行分类，用于互斥。</w:t>
      </w:r>
    </w:p>
    <w:p w14:paraId="5051C9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3.5互斥规则维护</w:t>
      </w:r>
    </w:p>
    <w:p w14:paraId="7D21F3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对岗位互斥、权限互斥、大类互斥、小类互斥等互斥规则进行维护。</w:t>
      </w:r>
    </w:p>
    <w:p w14:paraId="17E1CBF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3.6业务经办权限管控</w:t>
      </w:r>
    </w:p>
    <w:p w14:paraId="6AFE4C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对于经办复核不允许兼任、岗位权限互斥、已退休（离职）人员登录系统、非工作时间办理高风险业务、超过三个月未登录系统冻结等进行强制管控。</w:t>
      </w:r>
    </w:p>
    <w:p w14:paraId="0C6FD90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4、内控监督检查</w:t>
      </w:r>
    </w:p>
    <w:p w14:paraId="6DF145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4.1内控计划制定</w:t>
      </w:r>
    </w:p>
    <w:p w14:paraId="203029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录入内控计划，年度计划等，可生成内控计划报告并打印。</w:t>
      </w:r>
    </w:p>
    <w:p w14:paraId="76FC046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4.2内控工作报告</w:t>
      </w:r>
    </w:p>
    <w:p w14:paraId="487C4F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查看内控整改台账和录入内控工作报告并导出报告。</w:t>
      </w:r>
    </w:p>
    <w:p w14:paraId="65F169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4.3风险提示函</w:t>
      </w:r>
    </w:p>
    <w:p w14:paraId="32AD3A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内控部门针对选定的问题数据生成风险提示函。</w:t>
      </w:r>
    </w:p>
    <w:p w14:paraId="1A0366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4.4社会保险稽核通知书</w:t>
      </w:r>
    </w:p>
    <w:p w14:paraId="090216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内控部门对特定对象发出稽核通知书（非常规稽核），并提供打印等功能。</w:t>
      </w:r>
    </w:p>
    <w:p w14:paraId="41DC34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4.5采集计划日志查询</w:t>
      </w:r>
    </w:p>
    <w:p w14:paraId="23E16D7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采集计划执行结果展示。</w:t>
      </w:r>
    </w:p>
    <w:p w14:paraId="765C2F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4.6本地库维护</w:t>
      </w:r>
    </w:p>
    <w:p w14:paraId="286C63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打造省、市、县部门间共享数据“三库”（死亡库、服刑库、流动库），同时可支持各地上传其他部门共享数据，供业务系统和内控人员使用。</w:t>
      </w:r>
    </w:p>
    <w:p w14:paraId="3FB228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4.7自查报告录入</w:t>
      </w:r>
    </w:p>
    <w:p w14:paraId="0083D1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支持内控部门将业务部门自查报告录入系统。</w:t>
      </w:r>
    </w:p>
    <w:p w14:paraId="40DF7B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4.8自查结果查询</w:t>
      </w:r>
    </w:p>
    <w:p w14:paraId="40235A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内控部门对业务部门自查的数据进行查询。</w:t>
      </w:r>
    </w:p>
    <w:p w14:paraId="6D8EDB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4.9自查汇总查询</w:t>
      </w:r>
    </w:p>
    <w:p w14:paraId="7A10C6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内控部门对业务部门自查结果进行汇总查询。</w:t>
      </w:r>
    </w:p>
    <w:p w14:paraId="0044BD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4.10采集计划设置</w:t>
      </w:r>
    </w:p>
    <w:p w14:paraId="2BB099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内控部门制定采集计划，配置任务调度参数并执行。</w:t>
      </w:r>
    </w:p>
    <w:p w14:paraId="2FAAB1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4.11内控筛查</w:t>
      </w:r>
    </w:p>
    <w:p w14:paraId="16D53B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对采集的结果进行白名单比对、去重后，初步筛查确认是否为疑点数据并推至业务部门。</w:t>
      </w:r>
    </w:p>
    <w:p w14:paraId="1D294E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4.12问题录入</w:t>
      </w:r>
    </w:p>
    <w:p w14:paraId="7AD09F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对其他渠道（如审计、基金监督、纪检部门）查出的问题进行录入。</w:t>
      </w:r>
    </w:p>
    <w:p w14:paraId="6DFD14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4.13问题审核</w:t>
      </w:r>
    </w:p>
    <w:p w14:paraId="35BE06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内控部门对业务部门核查后反馈的结果进行审核，同时将问题数据与自查结果进行比对。</w:t>
      </w:r>
    </w:p>
    <w:p w14:paraId="78F68C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4.14抽查汇总查询</w:t>
      </w:r>
    </w:p>
    <w:p w14:paraId="422718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内控部门对业务抽查结果进行汇总查询，生成汇总表。</w:t>
      </w:r>
    </w:p>
    <w:p w14:paraId="573375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4.15整改报告录入</w:t>
      </w:r>
    </w:p>
    <w:p w14:paraId="2CA85F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内控部门将业务部门书面纸质整改报告上传至系统。</w:t>
      </w:r>
    </w:p>
    <w:p w14:paraId="53A669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4.16白名单管理</w:t>
      </w:r>
    </w:p>
    <w:p w14:paraId="204DF6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针对确认是问题但无法整改的列入白名单，同时支持对白名单进行维护。</w:t>
      </w:r>
    </w:p>
    <w:p w14:paraId="51347B8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4.17检查任务设置（上级）</w:t>
      </w:r>
    </w:p>
    <w:p w14:paraId="525D8E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省、市级内控部门制定检查方案，录入检查计划。上级部门根据计划对检查人员进行授权，设置检查任务时限（到期后检查人员查询权限撤回）。</w:t>
      </w:r>
    </w:p>
    <w:p w14:paraId="008592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4.18检查任务设置（下级）</w:t>
      </w:r>
    </w:p>
    <w:p w14:paraId="13A40F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选择上级分配的任务，拟定检查计划并上交，打印工作函。</w:t>
      </w:r>
    </w:p>
    <w:p w14:paraId="7EB4BF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4.19检查疑点初筛</w:t>
      </w:r>
    </w:p>
    <w:p w14:paraId="6C729A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检查组对系统采集的数据进行筛查，录入筛查结果。</w:t>
      </w:r>
    </w:p>
    <w:p w14:paraId="12B93F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4.20检查问题录入</w:t>
      </w:r>
    </w:p>
    <w:p w14:paraId="5EA6D3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检查组在检查过程中发现的非系统采集任务进行手工录入，或批量导入。</w:t>
      </w:r>
    </w:p>
    <w:p w14:paraId="5D35B57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4.21生成工作底稿</w:t>
      </w:r>
    </w:p>
    <w:p w14:paraId="4AA4A3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可通过查看疑点，并选中疑点生成工作底稿。</w:t>
      </w:r>
    </w:p>
    <w:p w14:paraId="25B8D04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4.22检查报告录入</w:t>
      </w:r>
    </w:p>
    <w:p w14:paraId="6C2538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支持生成检查情况函、检查情况报告及问题清单。</w:t>
      </w:r>
    </w:p>
    <w:p w14:paraId="3B7A47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4.23检查报告确认</w:t>
      </w:r>
    </w:p>
    <w:p w14:paraId="5D9AEC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被检查地对检查报告进行确认。</w:t>
      </w:r>
    </w:p>
    <w:p w14:paraId="7D57E8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4.24检查审核确认</w:t>
      </w:r>
    </w:p>
    <w:p w14:paraId="5913223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检查组对被检查地的反馈结果进行审核。</w:t>
      </w:r>
    </w:p>
    <w:p w14:paraId="161A50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4.25核查汇总查询</w:t>
      </w:r>
    </w:p>
    <w:p w14:paraId="56F53F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核查汇总查询支持多选择查询。</w:t>
      </w:r>
    </w:p>
    <w:p w14:paraId="312198B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5、征缴、待遇稽核</w:t>
      </w:r>
    </w:p>
    <w:p w14:paraId="5C2970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5.1征缴稽核案件登记</w:t>
      </w:r>
    </w:p>
    <w:p w14:paraId="10318F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登记征缴稽核案件并打印相关文书。</w:t>
      </w:r>
    </w:p>
    <w:p w14:paraId="466767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5.2征缴稽核结果处理</w:t>
      </w:r>
    </w:p>
    <w:p w14:paraId="1EF909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支持征缴稽核全流程处理并打印相关文书。</w:t>
      </w:r>
    </w:p>
    <w:p w14:paraId="1E3E62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5.3待遇稽核案件登记</w:t>
      </w:r>
    </w:p>
    <w:p w14:paraId="573B881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登记待遇稽核案件并打印相关文书。</w:t>
      </w:r>
    </w:p>
    <w:p w14:paraId="554882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5.4待遇稽核结果处理</w:t>
      </w:r>
    </w:p>
    <w:p w14:paraId="4F8F39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支持待遇稽核全流程处理并打印相关文书。</w:t>
      </w:r>
    </w:p>
    <w:p w14:paraId="61BB46E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6、外部数据稽核</w:t>
      </w:r>
    </w:p>
    <w:p w14:paraId="5D5C00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6.1自定义模板</w:t>
      </w:r>
    </w:p>
    <w:p w14:paraId="63ACF2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内控部门可自定义外部数据导入模板，供后续自定义导入模块操作。</w:t>
      </w:r>
    </w:p>
    <w:p w14:paraId="42822E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6.2自定义导入</w:t>
      </w:r>
    </w:p>
    <w:p w14:paraId="5E4238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内控部门可根据自定义外部数据导入模板导入外部数据。</w:t>
      </w:r>
    </w:p>
    <w:p w14:paraId="21C0DD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6.3标准导入</w:t>
      </w:r>
    </w:p>
    <w:p w14:paraId="7EBAAD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按照固定格式导入外部提供的疑点数据。</w:t>
      </w:r>
    </w:p>
    <w:p w14:paraId="19F107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6.4筛查去重</w:t>
      </w:r>
    </w:p>
    <w:p w14:paraId="02007E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内控部门对导入的数据进行初步筛查，与历史导入数据和系统采集疑点数据进行比对。</w:t>
      </w:r>
    </w:p>
    <w:p w14:paraId="145E01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6.5问题审核</w:t>
      </w:r>
    </w:p>
    <w:p w14:paraId="0B09018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内控部门查询业务反馈结果，并对反馈结果进行审核。</w:t>
      </w:r>
    </w:p>
    <w:p w14:paraId="13BA7D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6.6疑点数据核实结果查询</w:t>
      </w:r>
    </w:p>
    <w:p w14:paraId="5871CB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查询疑点数据核查结果。</w:t>
      </w:r>
    </w:p>
    <w:p w14:paraId="3FBB14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6.7自定义导出</w:t>
      </w:r>
    </w:p>
    <w:p w14:paraId="60B422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可按照固定格式导出核查结果，可用于导入到其他系统。</w:t>
      </w:r>
    </w:p>
    <w:p w14:paraId="6C00BB4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7、综合查询</w:t>
      </w:r>
    </w:p>
    <w:p w14:paraId="0A718B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7.1人员综合信息查询</w:t>
      </w:r>
    </w:p>
    <w:p w14:paraId="5CF46C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内控部门通过输入姓名、身份证号码，可查询该人员基本信息（如参保情况、领待情况、生存状态、认证记录、死亡信息等）。</w:t>
      </w:r>
    </w:p>
    <w:p w14:paraId="62A4AD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7.2疑点明细查询</w:t>
      </w:r>
    </w:p>
    <w:p w14:paraId="16C398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内控部门查询疑点明细数据。</w:t>
      </w:r>
    </w:p>
    <w:p w14:paraId="575DB3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7.3疑点汇总查询</w:t>
      </w:r>
    </w:p>
    <w:p w14:paraId="247D33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查询疑点汇总数据（按风险点）。</w:t>
      </w:r>
    </w:p>
    <w:p w14:paraId="4C0BE3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7.4企保事中疑点查询</w:t>
      </w:r>
    </w:p>
    <w:p w14:paraId="513AA6C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企保事中疑点查询。</w:t>
      </w:r>
    </w:p>
    <w:p w14:paraId="5DFE9B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7.5机保事中疑点查询</w:t>
      </w:r>
    </w:p>
    <w:p w14:paraId="0E444D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机保事中疑点查询。</w:t>
      </w:r>
    </w:p>
    <w:p w14:paraId="56D73E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7.6居保事中疑点查询</w:t>
      </w:r>
    </w:p>
    <w:p w14:paraId="5FC331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居保事中疑点查询。</w:t>
      </w:r>
    </w:p>
    <w:p w14:paraId="3CA9E8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7.7工伤事中疑点查询</w:t>
      </w:r>
    </w:p>
    <w:p w14:paraId="6586D1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工伤事中疑点查询。</w:t>
      </w:r>
    </w:p>
    <w:p w14:paraId="699942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7.8风险清单</w:t>
      </w:r>
    </w:p>
    <w:p w14:paraId="34F7AA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可查询内控项目所包含的风险点。</w:t>
      </w:r>
    </w:p>
    <w:p w14:paraId="39E5160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7.9规则清单</w:t>
      </w:r>
    </w:p>
    <w:p w14:paraId="324F90A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查询内控项目所包含的规则。</w:t>
      </w:r>
    </w:p>
    <w:p w14:paraId="044D309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8、数据分析</w:t>
      </w:r>
    </w:p>
    <w:p w14:paraId="5B70E0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8.1业务差错率统计</w:t>
      </w:r>
    </w:p>
    <w:p w14:paraId="269E0D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统计业务差错率结果；导出结果列表。</w:t>
      </w:r>
    </w:p>
    <w:p w14:paraId="7FD994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8.2数据差错率统计</w:t>
      </w:r>
    </w:p>
    <w:p w14:paraId="01EE068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统计数据差错率结果；导出结果列表。</w:t>
      </w:r>
    </w:p>
    <w:p w14:paraId="2902A6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8.3业务人员差错率统计</w:t>
      </w:r>
    </w:p>
    <w:p w14:paraId="3B4020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统计业务人员差错率结果；导出结果列表。</w:t>
      </w:r>
    </w:p>
    <w:p w14:paraId="57955F0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9、诚信名单管理</w:t>
      </w:r>
    </w:p>
    <w:p w14:paraId="12F8FD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对诚信名单进行维护，并供业务系统查询。</w:t>
      </w:r>
    </w:p>
    <w:p w14:paraId="4BCEC76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10、稽核报表</w:t>
      </w:r>
    </w:p>
    <w:p w14:paraId="235E95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10.1稽核报表上报</w:t>
      </w:r>
    </w:p>
    <w:p w14:paraId="70BFF2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新增填写稽核报表。</w:t>
      </w:r>
    </w:p>
    <w:p w14:paraId="6F2372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10.2稽核报表管理</w:t>
      </w:r>
    </w:p>
    <w:p w14:paraId="2BB99A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对于报表，上一级机构可进行查看、审批管理。</w:t>
      </w:r>
    </w:p>
    <w:p w14:paraId="586838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10.3稽核报表统计汇总查询</w:t>
      </w:r>
    </w:p>
    <w:p w14:paraId="1C636B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查询、统计各级稽核报表汇总信息。</w:t>
      </w:r>
    </w:p>
    <w:p w14:paraId="72E39E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10.4稽核报表明细查询</w:t>
      </w:r>
    </w:p>
    <w:p w14:paraId="768281A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在汇总查询中双击类别，显示此类数据明细信息。</w:t>
      </w:r>
    </w:p>
    <w:p w14:paraId="0D8E578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11、要情管理</w:t>
      </w:r>
    </w:p>
    <w:p w14:paraId="217125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11.1要情上报</w:t>
      </w:r>
    </w:p>
    <w:p w14:paraId="25DCF4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新增填写要情。</w:t>
      </w:r>
    </w:p>
    <w:p w14:paraId="4ABEDC3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11.2要情管理</w:t>
      </w:r>
    </w:p>
    <w:p w14:paraId="605114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对于要情，上一级机构可进行查看、审批管理。</w:t>
      </w:r>
    </w:p>
    <w:p w14:paraId="7EEE09C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11.3要情统计</w:t>
      </w:r>
    </w:p>
    <w:p w14:paraId="00ACAC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用于统计分析要情情况。</w:t>
      </w:r>
    </w:p>
    <w:p w14:paraId="15D8CA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11.4要情查询</w:t>
      </w:r>
    </w:p>
    <w:p w14:paraId="142FC1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查询要情情况。</w:t>
      </w:r>
    </w:p>
    <w:p w14:paraId="047738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11.5社保要情案件库</w:t>
      </w:r>
    </w:p>
    <w:p w14:paraId="4E5494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立社保要情案件库，以系统化分析和管理上报的要情线索，形成报告，并将发展为案件的纳入要情管理中心，同时可整合纳入其他部门通报的案例；对于案件组织全省社保业务专家、其他部门专家，对案件涉及的发生原因、防控措施等内容进行风险评审，形成新的风险点及风控规则"。</w:t>
      </w:r>
    </w:p>
    <w:p w14:paraId="5EAB1E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11.6要情、案件评审</w:t>
      </w:r>
    </w:p>
    <w:p w14:paraId="366A73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要情进度跟踪结果和案件评审复核入库。</w:t>
      </w:r>
    </w:p>
    <w:p w14:paraId="256DD2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11.7要情案件关联应用</w:t>
      </w:r>
    </w:p>
    <w:p w14:paraId="14AD21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要情报告结论案件关联风险点，并在业务办理过程中对存在的要情案件进行警示提醒。</w:t>
      </w:r>
    </w:p>
    <w:p w14:paraId="425B68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11.8要情案件警示</w:t>
      </w:r>
    </w:p>
    <w:p w14:paraId="38856D1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触发高风险风控规则（涉及要情、案件）：提醒曾经发生过案件要情及详细信息，以便经办人员了解具体内容并避免风险再次发生</w:t>
      </w:r>
    </w:p>
    <w:p w14:paraId="599E21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11.9要情报送清单</w:t>
      </w:r>
    </w:p>
    <w:p w14:paraId="4D6E1C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根据业务系统待遇追回数据，按照要情报告制度自动甄别，形成要情报送清单，便于加强要情管理</w:t>
      </w:r>
    </w:p>
    <w:p w14:paraId="479DE9F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12、多享受待遇追回</w:t>
      </w:r>
    </w:p>
    <w:p w14:paraId="0B2E37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12.1多享受待遇线索移交接收</w:t>
      </w:r>
    </w:p>
    <w:p w14:paraId="443C48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审核业务部门移交的多享受待遇追回问题线索，进行退回或确认移交操作。</w:t>
      </w:r>
    </w:p>
    <w:p w14:paraId="3A012A4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12.2责令、催告</w:t>
      </w:r>
    </w:p>
    <w:p w14:paraId="1B86DD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填写《责令退回多享受社会保险待遇决定书》、《退回多享受社会保险待遇催告书》等文书相关信息并发出。</w:t>
      </w:r>
    </w:p>
    <w:p w14:paraId="614595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12.3送达信息维护</w:t>
      </w:r>
    </w:p>
    <w:p w14:paraId="427622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查看责令书、催告书的送达信息并维护。</w:t>
      </w:r>
    </w:p>
    <w:p w14:paraId="13A7BF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12.4移交司法</w:t>
      </w:r>
    </w:p>
    <w:p w14:paraId="5D92DF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填写申请强制执行信息。</w:t>
      </w:r>
    </w:p>
    <w:p w14:paraId="7F9107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12.5强制执行数据维护</w:t>
      </w:r>
    </w:p>
    <w:p w14:paraId="33C2E7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可查看移交司法的数据，完善终止判决状态或强制执行还款信息。</w:t>
      </w:r>
    </w:p>
    <w:p w14:paraId="051ABE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12.6移交基金监管部门</w:t>
      </w:r>
    </w:p>
    <w:p w14:paraId="6EC5DD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对于涉嫌欺诈骗保的线索，填写《社会保险核查问题线索移交函》，移交至基金监管部门。</w:t>
      </w:r>
    </w:p>
    <w:p w14:paraId="5EA055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12.7移交纪检部门</w:t>
      </w:r>
    </w:p>
    <w:p w14:paraId="79267E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对于内部人员涉嫌欺诈骗保的线索，填写《社会保险基金违纪违法问题线索移送函》，移交至纪检部门。</w:t>
      </w:r>
    </w:p>
    <w:p w14:paraId="2B982B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12.8多享受待遇追缴汇总查询</w:t>
      </w:r>
    </w:p>
    <w:p w14:paraId="5A31E7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查看各业务系统提供的追缴汇总信息。</w:t>
      </w:r>
    </w:p>
    <w:p w14:paraId="295353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12.9多享受待遇追缴明细查询</w:t>
      </w:r>
    </w:p>
    <w:p w14:paraId="6A6D20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查看各业务系统提供的明细信息。</w:t>
      </w:r>
    </w:p>
    <w:p w14:paraId="11275B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12.10多享受待遇追缴超期未还款人员信息查询</w:t>
      </w:r>
    </w:p>
    <w:p w14:paraId="142FC3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对于《退回多享受社会保险待遇告知书》送达时间超过30日仍未还款，且未选择还款方式为抵扣还款或分期还款的，查询列出人员明细。</w:t>
      </w:r>
    </w:p>
    <w:p w14:paraId="369F77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12.11业务部门移交人员汇总查询</w:t>
      </w:r>
    </w:p>
    <w:p w14:paraId="746ED3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查询移交人员的汇总信息。</w:t>
      </w:r>
    </w:p>
    <w:p w14:paraId="776B54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12.12业务部门移交人员明细查询</w:t>
      </w:r>
    </w:p>
    <w:p w14:paraId="3D1715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在汇总查询中双击类别，显示此类数据明细信息。</w:t>
      </w:r>
    </w:p>
    <w:p w14:paraId="6F1384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12.13多享受待遇追缴进度查询</w:t>
      </w:r>
    </w:p>
    <w:p w14:paraId="08B488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对多享受待遇人员的全链条跟踪。</w:t>
      </w:r>
    </w:p>
    <w:p w14:paraId="526A3C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12.14多享受待遇统计查询</w:t>
      </w:r>
    </w:p>
    <w:p w14:paraId="76B11E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用于统计分析多享受待遇追回情况。</w:t>
      </w:r>
    </w:p>
    <w:p w14:paraId="1C6306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12.15异地协查</w:t>
      </w:r>
    </w:p>
    <w:p w14:paraId="4CD9D02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线上业务可直接发起异地协查。</w:t>
      </w:r>
    </w:p>
    <w:p w14:paraId="03CCD9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12.16异地协助抵扣</w:t>
      </w:r>
    </w:p>
    <w:p w14:paraId="28962D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线上业务可直接发起异地协查抵扣，上传相关附件。</w:t>
      </w:r>
    </w:p>
    <w:p w14:paraId="0CD966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12.17异地抵扣资金清算</w:t>
      </w:r>
    </w:p>
    <w:p w14:paraId="4AFEC8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异地协助抵扣完成后，可通过业务生成基金拨付信息，财务可直接通过社银接口进行基金划拨流转。</w:t>
      </w:r>
    </w:p>
    <w:p w14:paraId="2AD92A5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13、规则中心</w:t>
      </w:r>
    </w:p>
    <w:p w14:paraId="6C9018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13.1内部数据整合</w:t>
      </w:r>
    </w:p>
    <w:p w14:paraId="73601A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系统必须整合来自业务（参保登记、待遇申领、待遇支付等）及财务的数据，建立统一、完整的内部数据视图。</w:t>
      </w:r>
    </w:p>
    <w:p w14:paraId="4FC7D9B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13.2规则引擎</w:t>
      </w:r>
    </w:p>
    <w:p w14:paraId="3B980B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需提供可视化界面，配置为系统可自动执行的业务规则，并支持规则的动态更新与版本管理。</w:t>
      </w:r>
    </w:p>
    <w:p w14:paraId="6BF7B7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13.3规则设置与管理</w:t>
      </w:r>
    </w:p>
    <w:p w14:paraId="525B6A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规则建模与配置。系统提供可视化的规则配置界面，允许内控人员灵活定义和组合风险规则。规则应能调用内外部数据字段进行计算和判断。</w:t>
      </w:r>
    </w:p>
    <w:p w14:paraId="2B4424A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13.4规则设置与管理</w:t>
      </w:r>
    </w:p>
    <w:p w14:paraId="021A46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规则库与分类。所有规则需在统一的规则库中进行管理，并支持按业务领域、风险等级等进行多维度分类和标签化管理，便于查找和维护。</w:t>
      </w:r>
    </w:p>
    <w:p w14:paraId="3087084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14、智能预警</w:t>
      </w:r>
    </w:p>
    <w:p w14:paraId="5CBD1E4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14.1风险扫描</w:t>
      </w:r>
    </w:p>
    <w:p w14:paraId="73B438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系统需基于配置的风险规则，对内外部数据进行自动、实时或定时扫描。</w:t>
      </w:r>
    </w:p>
    <w:p w14:paraId="666A1A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14.2接口能力</w:t>
      </w:r>
    </w:p>
    <w:p w14:paraId="39AA768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系统须具备标准、安全、可扩展的外部数据接口能力，支持与政务服务数据平台及外部部门系统进行数据交换与共享。</w:t>
      </w:r>
    </w:p>
    <w:p w14:paraId="1B889B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14.3对接监控</w:t>
      </w:r>
    </w:p>
    <w:p w14:paraId="573A42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系统应提供数据对接监控看板，实时展示各接口调用状态、数据接收量、数据更新时效与质量，并在数据交换失败或异常时主动告警。</w:t>
      </w:r>
    </w:p>
    <w:p w14:paraId="79F64D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14.4运行监测中心</w:t>
      </w:r>
    </w:p>
    <w:p w14:paraId="2CCD9F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实时抽取社保风险防控监管数据，通过直观的可视化界面，让复杂的风险信息变得简单易懂，基于准确的数据和分析结果，精准把控风险趋势</w:t>
      </w:r>
    </w:p>
    <w:p w14:paraId="32F17B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14.5实时风险管控</w:t>
      </w:r>
    </w:p>
    <w:p w14:paraId="64747E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实时监测业务运行触发风控情况，可以调阅业务办理的原业务界面及电子档案材料进行核验，存在问题的业务可以实时告知经办人员。</w:t>
      </w:r>
    </w:p>
    <w:p w14:paraId="274FBC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14.6基层服务平台管控</w:t>
      </w:r>
    </w:p>
    <w:p w14:paraId="5179DB8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实时监测基层服务平台运行情况及触发风控情况。</w:t>
      </w:r>
    </w:p>
    <w:p w14:paraId="7E0E107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14.7AI核查助手</w:t>
      </w:r>
    </w:p>
    <w:p w14:paraId="3E249C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（1）动态业务信息：根据疑点的不同分类，动态展示核查所需要的业务信息。</w:t>
      </w:r>
    </w:p>
    <w:p w14:paraId="4A6B54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（2）AI智能问数：利用AI技术，可以通过对话的方式，帮助核查人员灵活全面了解疑点业务相关数据。</w:t>
      </w:r>
    </w:p>
    <w:p w14:paraId="378C715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15、稽核知识库</w:t>
      </w:r>
    </w:p>
    <w:p w14:paraId="7E9ABD1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15.1风控知识采集</w:t>
      </w:r>
    </w:p>
    <w:p w14:paraId="7FD334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通过标准化定义和标签化管理、前台化动态配置，建立联系，形成风控知识体系，为整个监管平台的运转提供基础支撑和标准化输出能力。按照知识采集——入库审核——发布启用三个环节完成。</w:t>
      </w:r>
    </w:p>
    <w:p w14:paraId="04773E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15.2风控知识体系建设</w:t>
      </w:r>
    </w:p>
    <w:p w14:paraId="7D90CD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通过对风控标准的采集入库，并建立政策法规、风险点、风控规则、风控阈值、业务事项、原子业务、要情、案件等关联关系，形成风控知识体系，并为经办监管平台提供支撑。</w:t>
      </w:r>
    </w:p>
    <w:p w14:paraId="0A402D2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16、跨系统协同和交互</w:t>
      </w:r>
    </w:p>
    <w:p w14:paraId="7B6251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16.1疑点数据上报与接收</w:t>
      </w:r>
    </w:p>
    <w:p w14:paraId="5F8413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支持向基金监管等系统上报高风险线索，并接收外部协查任务。</w:t>
      </w:r>
    </w:p>
    <w:p w14:paraId="416539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16.2任务协同与状态同步</w:t>
      </w:r>
    </w:p>
    <w:p w14:paraId="4F9DA0E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与外部系统保持任务状态的实时或准实时同步。</w:t>
      </w:r>
    </w:p>
    <w:p w14:paraId="29B15C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16.3结果反馈与闭环管理</w:t>
      </w:r>
    </w:p>
    <w:p w14:paraId="47BFFC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向内外部系统反馈数据处理结果，形成协同闭环。</w:t>
      </w:r>
    </w:p>
    <w:p w14:paraId="41E260D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16.4交互记录与看板</w:t>
      </w:r>
    </w:p>
    <w:p w14:paraId="400998D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全程记录交互日志，并提供协同成效可视化看板。</w:t>
      </w:r>
    </w:p>
    <w:p w14:paraId="513626D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（十四）劳动能力鉴定</w:t>
      </w:r>
    </w:p>
    <w:p w14:paraId="5D1A37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对社会保险劳动能力鉴定流程进行统一管理。</w:t>
      </w:r>
    </w:p>
    <w:p w14:paraId="3C0DDF6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1、劳动能力鉴定申请、受理</w:t>
      </w:r>
    </w:p>
    <w:p w14:paraId="57FEF68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工发生工伤、病残、病退、新职业伤害等，经治疗伤情相对稳定后存在残疾，影响劳动能力的，人员申请劳动能力鉴定，劳动能力鉴定机构受理审核，出具受理、不受理等证书。劳动能力鉴定机构受理、办理及审核。包括但不限于初次（再次）鉴定申请、非因工（公）初次（再次）鉴定申请、革命军人旧伤复发鉴定申请、职业伤害人员初次（再次）鉴定申请等。</w:t>
      </w:r>
    </w:p>
    <w:p w14:paraId="590A08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2、劳鉴专家库管理</w:t>
      </w:r>
    </w:p>
    <w:p w14:paraId="1C6BD6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劳鉴专家新申请、培训、审批、考核、聘用（入库、出库）、日常服务、信息维护，调用社保数据</w:t>
      </w:r>
    </w:p>
    <w:p w14:paraId="57C4482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3、劳鉴批次计划制定</w:t>
      </w:r>
    </w:p>
    <w:p w14:paraId="184186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根据受理信息生成本批次鉴定计划（人员、医院、专家等方案）</w:t>
      </w:r>
    </w:p>
    <w:p w14:paraId="6ACEEFB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4、劳鉴专家抽取</w:t>
      </w:r>
    </w:p>
    <w:p w14:paraId="3F2078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根据鉴定批次计划随机抽取对应的专家</w:t>
      </w:r>
    </w:p>
    <w:p w14:paraId="050FA96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5、劳鉴通知</w:t>
      </w:r>
    </w:p>
    <w:p w14:paraId="47317BC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调用智能话务、信息定向推送平台</w:t>
      </w:r>
    </w:p>
    <w:p w14:paraId="3792F83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6、劳鉴现场签到管理</w:t>
      </w:r>
    </w:p>
    <w:p w14:paraId="5BF79D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调用外设接口并将状态发送至现场负责人</w:t>
      </w:r>
    </w:p>
    <w:p w14:paraId="13668C0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7、劳鉴延期申请审核与批次调整</w:t>
      </w:r>
    </w:p>
    <w:p w14:paraId="6B58EC2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劳动能力鉴定延期申请、审核，调整批次和时间</w:t>
      </w:r>
    </w:p>
    <w:p w14:paraId="37EA302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8、劳鉴专家现场查看资料与意见录入</w:t>
      </w:r>
    </w:p>
    <w:p w14:paraId="499581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现场查看相关资料，补充新增病历（高拍仪、扫描仪、拍照上传等），专家根据系统内电子档案进行判断，确定鉴定意见并录入（键盘输入、音频视频）。</w:t>
      </w:r>
    </w:p>
    <w:p w14:paraId="0BC00FC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9、劳鉴专家组合议与结论形成</w:t>
      </w:r>
    </w:p>
    <w:p w14:paraId="33C860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根据模板规则模糊查询，专家手工录入编辑结论</w:t>
      </w:r>
    </w:p>
    <w:p w14:paraId="29FB639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10、劳鉴结论复核</w:t>
      </w:r>
    </w:p>
    <w:p w14:paraId="09DF26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对专家结论进行复核（多级复核层次）</w:t>
      </w:r>
    </w:p>
    <w:p w14:paraId="6FAF78E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11、劳鉴结果文书自动预生成（后台）</w:t>
      </w:r>
    </w:p>
    <w:p w14:paraId="5EC5218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劳鉴结论复核后自动预生成劳鉴结果文书，并与经办结果进行比对，生成上会材料</w:t>
      </w:r>
    </w:p>
    <w:p w14:paraId="1AE9484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12、劳动能力鉴定文书管理</w:t>
      </w:r>
    </w:p>
    <w:p w14:paraId="243FD0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包括劳动能力鉴定文书确认、修改、打印</w:t>
      </w:r>
    </w:p>
    <w:p w14:paraId="0D3210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13、劳动能力鉴定文书送达</w:t>
      </w:r>
    </w:p>
    <w:p w14:paraId="6D530E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劳动能力鉴定文书送达，包括但不限于短信、小程序、邮政送达、现场领取等</w:t>
      </w:r>
    </w:p>
    <w:p w14:paraId="32E37E4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14、劳鉴经费预算编制与审批</w:t>
      </w:r>
    </w:p>
    <w:p w14:paraId="5BD989E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劳动能力鉴定经费预算编制和审批</w:t>
      </w:r>
    </w:p>
    <w:p w14:paraId="6084025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15、进度查询与消息反馈</w:t>
      </w:r>
    </w:p>
    <w:p w14:paraId="41E0571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劳动能力鉴定进度查询</w:t>
      </w:r>
    </w:p>
    <w:p w14:paraId="65B5A70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16、劳动能力鉴定结论纠正与撤销</w:t>
      </w:r>
    </w:p>
    <w:p w14:paraId="04928E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鉴定机构新增、信息维护、退出等</w:t>
      </w:r>
    </w:p>
    <w:p w14:paraId="677FA23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17、劳动能力鉴定状态变更</w:t>
      </w:r>
    </w:p>
    <w:p w14:paraId="070DCC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对已有劳动能力初次（再次）鉴定结果进行变更或撤销并审核，包括但不限于劳动能力初次（再次）变更/撤销、非因工（公）初次（再次）变更/撤销等</w:t>
      </w:r>
    </w:p>
    <w:p w14:paraId="334192A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18、劳动能力鉴定机构维护</w:t>
      </w:r>
    </w:p>
    <w:p w14:paraId="034837D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对劳动能力初次（再次）鉴定状态进行变更，包括补正、办理、审核、中止、撤销。包括但不限于劳动能力初次（再次）鉴定状态变更、非因工（公）初次（再次）鉴定状态变更等。</w:t>
      </w:r>
    </w:p>
    <w:p w14:paraId="1D62A24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19、劳动能力鉴定工作人员维护</w:t>
      </w:r>
    </w:p>
    <w:p w14:paraId="2ABA8B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包括劳动能力鉴定人员新增、退出、信息维护、人员抽取、鉴定录入</w:t>
      </w:r>
    </w:p>
    <w:p w14:paraId="73A7FAD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20、劳动能力鉴定费用办理</w:t>
      </w:r>
    </w:p>
    <w:p w14:paraId="21771E8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劳动能力鉴定费用办理</w:t>
      </w:r>
    </w:p>
    <w:p w14:paraId="58EAF71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21、劳动能力鉴定工作经费申报</w:t>
      </w:r>
    </w:p>
    <w:p w14:paraId="095A68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劳动能力鉴定工作经费申报</w:t>
      </w:r>
    </w:p>
    <w:p w14:paraId="1AA9D36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22、劳动能力鉴定码表维护</w:t>
      </w:r>
    </w:p>
    <w:p w14:paraId="49F60B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劳动能力鉴定二级代码表维护</w:t>
      </w:r>
    </w:p>
    <w:p w14:paraId="64CA80E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23、劳动能力鉴定结论导入</w:t>
      </w:r>
    </w:p>
    <w:p w14:paraId="6AA1534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劳动能力鉴定结论导入</w:t>
      </w:r>
    </w:p>
    <w:p w14:paraId="336CD27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24、劳鉴台账管理</w:t>
      </w:r>
    </w:p>
    <w:p w14:paraId="7CF30C8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劳鉴台账管理</w:t>
      </w:r>
    </w:p>
    <w:p w14:paraId="61B3A28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（十五）工伤认定</w:t>
      </w:r>
    </w:p>
    <w:p w14:paraId="0657B6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人在发生工伤后，领取待遇前，做工伤认定，通过工伤认定等级判定工伤待遇，对工伤认定流程进行统一管理，主要包括工伤认定申请、认定受理、认定材料补正、实地调查、专家抽取、专家结论录入、工伤结论、信息查询等。</w:t>
      </w:r>
    </w:p>
    <w:p w14:paraId="250EF10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1、工伤认定申请/补正</w:t>
      </w:r>
    </w:p>
    <w:p w14:paraId="4D33C3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工伤认定申请提交、材料补正接收、相关资料归集的全流程业务处理。</w:t>
      </w:r>
    </w:p>
    <w:p w14:paraId="0A1B909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2、工伤认定申请时效延长申报审批</w:t>
      </w:r>
    </w:p>
    <w:p w14:paraId="45F7D9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对工伤认定申请时效延长申报进行审批。</w:t>
      </w:r>
    </w:p>
    <w:p w14:paraId="5DDDA5C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3、工伤认定受理</w:t>
      </w:r>
    </w:p>
    <w:p w14:paraId="5023B7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工伤认定申请通过之后，由行政部门应当在15日内办理认定受理业务，网上申报可以在移动端和线上查询《工伤认定申请受理决定书》或《工伤认定申请不予受理决定书》，线下申报有现场送达或邮寄送达。</w:t>
      </w:r>
    </w:p>
    <w:p w14:paraId="7E91F0A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4、工伤认定办理</w:t>
      </w:r>
    </w:p>
    <w:p w14:paraId="601527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单位、个人、近亲属或工会组织申请工伤认定，工伤认定部门办理（对当前办理程序为空的案件可下拉选择【录入】、【中止】、【终止】）工伤认定申请及审核。</w:t>
      </w:r>
    </w:p>
    <w:p w14:paraId="75C3EA1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5、工伤认定举证</w:t>
      </w:r>
    </w:p>
    <w:p w14:paraId="0291099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社保行政部门在受理认定申请后，职工或者其近亲属认为是工伤，用人单位不认为是工伤的，由工伤行政部门填写、打印并向单位送达伤亡事故举证通知书。</w:t>
      </w:r>
    </w:p>
    <w:p w14:paraId="1542093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6、工伤调查任务录入</w:t>
      </w:r>
    </w:p>
    <w:p w14:paraId="675C77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社保行政部门在受理工伤认定申请后，可以根据需要对申请人提供的证据进行调查核实，并录入工伤调查任务内容。</w:t>
      </w:r>
    </w:p>
    <w:p w14:paraId="770ADEE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7、工伤调查记录录入</w:t>
      </w:r>
    </w:p>
    <w:p w14:paraId="05E1C8D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社保行政部门在受理工伤认定申请后，可以根据需要对申请人提供的证据进行调查核实，并录入工伤调查结果并上传相关视频、音频、图片资料。</w:t>
      </w:r>
    </w:p>
    <w:p w14:paraId="5E52AA5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8、工伤调查补充资料上传</w:t>
      </w:r>
    </w:p>
    <w:p w14:paraId="020EB1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社保行政部门在完成工伤调查记录录入后，后续如需补充调查材料，可随时补充上传。</w:t>
      </w:r>
    </w:p>
    <w:p w14:paraId="2A30383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9、工伤认定文书信息维护</w:t>
      </w:r>
    </w:p>
    <w:p w14:paraId="28204A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针对文书描述中存在事实疏漏或书写错误、其他系统输入内容出现错误的情况，进行信息维护。可由工作人员自行选择是否根据当次维护内容导出《（不予）认定工伤决定书更正通知》。</w:t>
      </w:r>
    </w:p>
    <w:p w14:paraId="21F18B5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10、伤情遗漏通知</w:t>
      </w:r>
    </w:p>
    <w:p w14:paraId="5EAAB7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工伤认定决定（含老工伤统筹纳入的）作出后，新发现伤情与此次工伤有关的话，可以进行追加处理。上传相关材料并导出《（不予）认定工伤决定书更正通知》。</w:t>
      </w:r>
    </w:p>
    <w:p w14:paraId="1CC93B9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11、工伤认定结论撤销</w:t>
      </w:r>
    </w:p>
    <w:p w14:paraId="293758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生效的工伤认定决定，由司法部门判决撤销，或因工伤行政部门取得新证据等原因而自行撤销，将该案件退回至保存未提交的办理案件中，出具《撤销工伤认定决定通知书》并书面通知用人单位及受伤职工。被撤销案件返回至办理待提交状态，需继续认定程序并重新作出认定结论。</w:t>
      </w:r>
    </w:p>
    <w:p w14:paraId="11BDC36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12、工伤认定行政复议和行政诉讼登记</w:t>
      </w:r>
    </w:p>
    <w:p w14:paraId="0761D5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工或者其近亲属、用人单位对受理决定不服或者对工伤认定决定不服的，可以依法申请行政复议或者提起行政诉讼。社保经办部门标记涉复议或涉诉案件，并登记相关信息及裁判结果。该模块仅做案件标识及统计使用，与经办实体流程相对独立。</w:t>
      </w:r>
    </w:p>
    <w:p w14:paraId="149C5CD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13、工伤认定文书送达</w:t>
      </w:r>
    </w:p>
    <w:p w14:paraId="6F472E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对选择结果录入送达信息，下拉选择送达方式，包括直接送达、邮寄送达、电子送达、其他送达。可选择添加多条送达信息。</w:t>
      </w:r>
    </w:p>
    <w:p w14:paraId="057AD03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14、工伤资料上传</w:t>
      </w:r>
    </w:p>
    <w:p w14:paraId="3D9BCC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按流程上传相关材料。</w:t>
      </w:r>
    </w:p>
    <w:p w14:paraId="2D60F4E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15、工伤案卷目录清单生成</w:t>
      </w:r>
    </w:p>
    <w:p w14:paraId="62C986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自动生成工伤案卷电子档案，自动生成《目录清单》并可打印或导出。</w:t>
      </w:r>
    </w:p>
    <w:p w14:paraId="08893F3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16、项目工伤工程项目分包关联</w:t>
      </w:r>
    </w:p>
    <w:p w14:paraId="757BA7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对分包工程项目与总包进行关联。</w:t>
      </w:r>
    </w:p>
    <w:p w14:paraId="55E406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17、事故备案</w:t>
      </w:r>
    </w:p>
    <w:p w14:paraId="299B62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就业形态就业人员发生事故伤害后，通过平台企业“一键报案”功能，向平台企业发送事故报案信息，平台企业初步核实后将事故报案信息及时报送全国信息平台，省级业务系统下载国家信息平台数据后自动进行备案，保存事故备案信息和订单信息。生成待办任务并向委托承办机构发送短信通知。</w:t>
      </w:r>
    </w:p>
    <w:p w14:paraId="5146E05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18、事故备案撤销</w:t>
      </w:r>
    </w:p>
    <w:p w14:paraId="2577CD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平台企业调查后确需撤销事故备案时向全国信息平台推送信息，全国信息平台接收到撤销信息后，向省级业务系统发送撤销消息，省级业务系统根据撤销ID，调用事故备案撤销接口，获取事故备案撤销信息后自动进行事故备案撤销。</w:t>
      </w:r>
    </w:p>
    <w:p w14:paraId="01FF5C8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19、事故备案信息处理</w:t>
      </w:r>
    </w:p>
    <w:p w14:paraId="7E536B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委托承办机构对国家信息平台推送过来的系统自动生成的职业伤害事故备案信息进行查询和进一步处理。查询内容包括事故备案信息、材料信息、备案状态，可填写联系方式、联系时间，选择短信则自动向受伤害人员发送预警短信。</w:t>
      </w:r>
    </w:p>
    <w:p w14:paraId="63AF68A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20、职业伤害待遇给付申请</w:t>
      </w:r>
    </w:p>
    <w:p w14:paraId="52D915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委托承办机构根据事故备案信息，联系、指导平台企业进行职业伤害待遇给付申请。省级业务系统通过省级前置系统接收全国信息平台推送的待遇给付申请信息，同时支持新就业形态就业人员、近亲属等通过线下经办窗口，在本地提交待遇给付申请。省级业务系统通过省级前置系统接收全国信息平台推送的待遇申请信息时，自动生成待办任务列表，通过点击待办任务跳转到职业伤害确认受理功能。窗口申请的信息，现场审核材料，直接在职业伤害确认受理功能中进行处理。</w:t>
      </w:r>
    </w:p>
    <w:p w14:paraId="42954CE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21、职业伤害确认</w:t>
      </w:r>
    </w:p>
    <w:p w14:paraId="7BFBD3C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包括职业伤害确认的受理、办理、审核（一级二级审核为委托承办机构审核，三级审核为社保经办机构审核）。</w:t>
      </w:r>
    </w:p>
    <w:p w14:paraId="6B73507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22、职业伤害确认信息变更</w:t>
      </w:r>
    </w:p>
    <w:p w14:paraId="5C1ACC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委托承办机构在职业伤害确认流程审核中发现信息有误的，可以在此功能进行信息变更。</w:t>
      </w:r>
    </w:p>
    <w:p w14:paraId="7C0638A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23、职业伤害确认状态变更</w:t>
      </w:r>
    </w:p>
    <w:p w14:paraId="7E6124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全国信息平台收到职业伤害确认结论前，平台企业可推送撤销平台企业提交的待遇给付申请信息，全国信息平台收到撤销信息后，将撤销的业务流水号写入消息，省级业务系统接收后调用撤销接口获取具体撤销信息并对业务系统中未做出职业伤害确认结论的申请信息进行自动撤销处理。委托承办机构可对职业伤害确认案件状态进行变更，包括申请撤销、结论撤销、终止等操作。</w:t>
      </w:r>
    </w:p>
    <w:p w14:paraId="040DA65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（十六）参数维护</w:t>
      </w:r>
    </w:p>
    <w:p w14:paraId="525CD4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对支撑社会保险业务办理的相关参数进行统一管理，管理人员可通过参数维护进行系统相关政策参数的统一配置管理。</w:t>
      </w:r>
    </w:p>
    <w:p w14:paraId="7C49EB9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1、企保待遇参数维护</w:t>
      </w:r>
    </w:p>
    <w:p w14:paraId="5A76CD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因计发基数等待遇参数信息变更，通过该功能对影响待遇的参数进行信息录入保存。</w:t>
      </w:r>
    </w:p>
    <w:p w14:paraId="5E8C0DC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2、缴费基数标准维护</w:t>
      </w:r>
    </w:p>
    <w:p w14:paraId="629EFE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按年度维护缴费基数标准（社平）。</w:t>
      </w:r>
    </w:p>
    <w:p w14:paraId="29ABF68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3、在职人员缴费工资参数采集</w:t>
      </w:r>
    </w:p>
    <w:p w14:paraId="0C77CE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在职人员缴费工资码表采集。</w:t>
      </w:r>
    </w:p>
    <w:p w14:paraId="284CE79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4、老办法待遇参数维护</w:t>
      </w:r>
    </w:p>
    <w:p w14:paraId="183205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维护老办法待遇码表。</w:t>
      </w:r>
    </w:p>
    <w:p w14:paraId="3E565AD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5、新办法年度地区指数录入</w:t>
      </w:r>
    </w:p>
    <w:p w14:paraId="364E27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维护新办法历年地区指数、启用。</w:t>
      </w:r>
    </w:p>
    <w:p w14:paraId="664127F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6、职务职级并行人员待遇参数维护</w:t>
      </w:r>
    </w:p>
    <w:p w14:paraId="141066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维护职务职级并行人员老办法待遇码表。</w:t>
      </w:r>
    </w:p>
    <w:p w14:paraId="1C260B3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7、地区指数修改权限</w:t>
      </w:r>
    </w:p>
    <w:p w14:paraId="69C5DC8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修改地区指数。</w:t>
      </w:r>
    </w:p>
    <w:p w14:paraId="3FEB1C2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8、退休人员统筹待遇标准参数维护</w:t>
      </w:r>
    </w:p>
    <w:p w14:paraId="4A6341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维护统筹待遇码表。</w:t>
      </w:r>
    </w:p>
    <w:p w14:paraId="004692C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9、个人账户记账利率维护</w:t>
      </w:r>
    </w:p>
    <w:p w14:paraId="40919B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个人账户记账利率由人社部、省人社厅和省财政厅按规定定期发布，社保中心在系统中进行维护。</w:t>
      </w:r>
    </w:p>
    <w:p w14:paraId="157E0B7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10、居保缴费档次及对应补贴设置</w:t>
      </w:r>
    </w:p>
    <w:p w14:paraId="528D24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市州经办机构会同财政部门、税务部门每年10月31日前测算确定当地次年缴费标准，报省厅备案同意。省和地方政府对参保人员缴费给予补贴。在领取待遇时，根据缴费年限加发基础养老金，有条件的地方可在有关标准基础上，根据本地实际适当提高。</w:t>
      </w:r>
    </w:p>
    <w:p w14:paraId="1E5B6F1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11、调整中央和省级基础养老金</w:t>
      </w:r>
    </w:p>
    <w:p w14:paraId="39DB522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根据国家及省有关调整基础养老金文件，进行参数设置。</w:t>
      </w:r>
    </w:p>
    <w:p w14:paraId="4A1C56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12、调整地方（市、县）基础养老金</w:t>
      </w:r>
    </w:p>
    <w:p w14:paraId="4E06C4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调整地方（市、县）基础养老金，逐级上报，省级同意后由各地自行操作。</w:t>
      </w:r>
    </w:p>
    <w:p w14:paraId="35ACD9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13、工伤保险医疗目录信息维护</w:t>
      </w:r>
    </w:p>
    <w:p w14:paraId="349DAC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工伤药品目录信息、工伤诊疗项目信息、住院服务标准、工伤病种信息维护，包括批量维护和单个维护。</w:t>
      </w:r>
    </w:p>
    <w:p w14:paraId="47A38AC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14、辅助器具信息维护</w:t>
      </w:r>
    </w:p>
    <w:p w14:paraId="6D632D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包括辅助器具大类新增、修改、作废，辅助器具新增、修改、作废。</w:t>
      </w:r>
    </w:p>
    <w:p w14:paraId="3EA20AE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15、工伤保险计发基数维护</w:t>
      </w:r>
    </w:p>
    <w:p w14:paraId="0D00BB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上年度全国城镇居民人均可支配收入（用于计算一次性工亡补助金）、统筹地区上年度职工月平均工资（用于计算丧葬补助金和一次性工伤医疗补助金）、上年度全省城镇居民日人均消费支出额的35%（用于计算工伤住院伙食补助费），按项选择维护。</w:t>
      </w:r>
    </w:p>
    <w:p w14:paraId="1D6D1B2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16、职业伤害保障计发基数维护</w:t>
      </w:r>
    </w:p>
    <w:p w14:paraId="575B27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上年度全国城镇居民人均可支配收入（用于计算一次性职业伤害死亡补助金）、统筹地区上年度职工月平均工资（用于计算丧葬补助金）、上年度统筹区城镇职工月平均工资的60%（用于计算职业伤害人员一次性伤残待遇）。</w:t>
      </w:r>
    </w:p>
    <w:p w14:paraId="4B8D2F4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17、节假日维护</w:t>
      </w:r>
    </w:p>
    <w:p w14:paraId="209BC4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对本年度或者下一年度法定节假日进行维护。</w:t>
      </w:r>
    </w:p>
    <w:p w14:paraId="6276C44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18、特殊工种名录维护</w:t>
      </w:r>
    </w:p>
    <w:p w14:paraId="41404B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支持特殊工种名录维护增加、删除、改查。</w:t>
      </w:r>
    </w:p>
    <w:p w14:paraId="5190D52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19、失业待遇档次维护</w:t>
      </w:r>
    </w:p>
    <w:p w14:paraId="6674C1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失业待遇档次的标准设定、调整、生效及历史信息管理的业务处理。</w:t>
      </w:r>
    </w:p>
    <w:p w14:paraId="7DBCD6C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20、平台企业缴费标准维护</w:t>
      </w:r>
    </w:p>
    <w:p w14:paraId="32F868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省本级经办机构通过本功能维护职业伤害保障各参保平台企业缴费基准额以及浮动费率执行标准，并同步到全国信息平台和本省税务部门。</w:t>
      </w:r>
    </w:p>
    <w:p w14:paraId="7125D97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21、调整政策维护(养老)</w:t>
      </w:r>
    </w:p>
    <w:p w14:paraId="63FE562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对待遇普调的政策依据、参数等信息进行调整维护。</w:t>
      </w:r>
    </w:p>
    <w:p w14:paraId="4702A71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（十七）管理支撑</w:t>
      </w:r>
    </w:p>
    <w:p w14:paraId="249ED4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支撑社会保险全险种一体化系统的基础能力要求，辅助和支撑社会保险业务经办。</w:t>
      </w:r>
    </w:p>
    <w:p w14:paraId="66AF0D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1、支撑文档查询调用</w:t>
      </w:r>
    </w:p>
    <w:p w14:paraId="007E3A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内嵌到每个功能页面，支持查询功能关联的政策依据、操作手册及常见问题解答</w:t>
      </w:r>
    </w:p>
    <w:p w14:paraId="3784198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2、档案管理</w:t>
      </w:r>
    </w:p>
    <w:p w14:paraId="0BFA549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全类业务影像上传、影像下载、案卷接收、业务材料移交、档案移交、档案影像利用管理、档案归档管理、档案一次性归档管理</w:t>
      </w:r>
    </w:p>
    <w:p w14:paraId="13B540C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3、任务调度</w:t>
      </w:r>
    </w:p>
    <w:p w14:paraId="52D3AB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支持未完成的任务调度给其他经办人员。</w:t>
      </w:r>
    </w:p>
    <w:p w14:paraId="4E9FC49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4、即时消息发送平台</w:t>
      </w:r>
    </w:p>
    <w:p w14:paraId="087AF4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社保经办人员、参保单位经办人员之间的发送即时消息</w:t>
      </w:r>
    </w:p>
    <w:p w14:paraId="23B17EC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5、消息定向推送平台</w:t>
      </w:r>
    </w:p>
    <w:p w14:paraId="0CB30BA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预设规则，通过人社业务系统、微信12333接口、人社APP接口或短信平台，向参保人或单位经办人推送指定的消息（包括但不限于业务办理结果、定期待遇领取资格认证超期、工伤文书电子送达、居民养老待遇领取告知等）</w:t>
      </w:r>
    </w:p>
    <w:p w14:paraId="3207C1B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6、扫码查进度</w:t>
      </w:r>
    </w:p>
    <w:p w14:paraId="60F9D1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生成业务进度唯一查询二维码，在业务受理回执单上展示，通过微信或支付宝小程序扫码可查询对应业务办理进度</w:t>
      </w:r>
    </w:p>
    <w:p w14:paraId="58D8E85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7、扫码缴费</w:t>
      </w:r>
    </w:p>
    <w:p w14:paraId="5494BF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生成缴费收款码，在面对参保单位、参保个人的追款单、结算单等需支付费用的单据上展示，扫码可直接获取对应业务金额、收款银行账号信息，并调用支付宝、微信或银联相关支付银行渠道，支持即时付款。</w:t>
      </w:r>
    </w:p>
    <w:p w14:paraId="47610D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8、配置管理</w:t>
      </w:r>
    </w:p>
    <w:p w14:paraId="57FCD6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配置统筹区、隶属关系、险种、业务受理范围、统计报表、基金报表范围等，由市州提交申请，省级审核</w:t>
      </w:r>
    </w:p>
    <w:p w14:paraId="350FDD3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9、电子签章、电子签名</w:t>
      </w:r>
    </w:p>
    <w:p w14:paraId="5D2849F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为业务表单添加电子签章、电子签名</w:t>
      </w:r>
    </w:p>
    <w:p w14:paraId="424326A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10、页面加水印</w:t>
      </w:r>
    </w:p>
    <w:p w14:paraId="03E4FF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为加强数据安全管理，在系统所有除决策视图外，其他视图页面中添加水印，水印显示操作人员姓名、联系方式、操作日期、时间。</w:t>
      </w:r>
    </w:p>
    <w:p w14:paraId="2BF9BE9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11、与外部系统对接</w:t>
      </w:r>
    </w:p>
    <w:p w14:paraId="7658349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会保险一体化信息系统需建设社财系统对接财政、社银平台对接银行、建设社税平台对接税务部门，对接年金归集户银行、年金受托机构、工伤（职伤）协议机构，对接部核查平台（稽核考核系统）、部资格认证平台、部转移平台（二期、三期）、部查询比对平台、部特殊工种库、部基金报表平台、部一本账系统、部统计报表系统、部个人养老金平台、全国跨省异地就医平台、全国职伤信息平台等业务相关平台。</w:t>
      </w:r>
    </w:p>
    <w:p w14:paraId="0B3612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12、社银平台</w:t>
      </w:r>
    </w:p>
    <w:p w14:paraId="44D470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一建设与支出户、年金归集户银行间的社银平台，由社保制定技术方案，社保、银行分别按照统一的技术方案开发各自系统。社保向银行通过社银平台发送支付数据及支付指令，银行通过社银平台反馈收发结果。全省目前需要与14家银行对接社银平台。</w:t>
      </w:r>
    </w:p>
    <w:p w14:paraId="6604095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13、社保全景图（大屏）</w:t>
      </w:r>
    </w:p>
    <w:p w14:paraId="2654795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会保险一体化信息系统构建业务运行、参保信息、待遇信息、基金收支、关系转移、参保扩面、风险预警、数据治理、社保考核等社保全景图，并对接人社一体化“数字化指挥中心”。具体内容根据实际需要进行确定和调整。</w:t>
      </w:r>
    </w:p>
    <w:p w14:paraId="0399BF7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14、受托接口</w:t>
      </w:r>
    </w:p>
    <w:p w14:paraId="637482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按照《职业年金基金数据交换规范》（人社厅发【2016】171号）规定对接。其他接口规范根据具体功能需求制定。</w:t>
      </w:r>
    </w:p>
    <w:p w14:paraId="0B78CBB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15、归集户银行接口</w:t>
      </w:r>
    </w:p>
    <w:p w14:paraId="042FA21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对接各级归集户银行，实现银行流水传输、对账情况传输等功能。</w:t>
      </w:r>
    </w:p>
    <w:p w14:paraId="3E6FF4F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16、业务回退</w:t>
      </w:r>
    </w:p>
    <w:p w14:paraId="270439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对未审核业务可直接回退，删除对应业务数据；对需复核业务逐级回退。</w:t>
      </w:r>
    </w:p>
    <w:p w14:paraId="26EEE85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17、业务财务一体化</w:t>
      </w:r>
    </w:p>
    <w:p w14:paraId="19FF60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将所有收支进行业务款项与财务科目对照关系内置系统。</w:t>
      </w:r>
    </w:p>
    <w:p w14:paraId="7B08760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18、同步全国基金“一本账”</w:t>
      </w:r>
    </w:p>
    <w:p w14:paraId="3C82AD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所有已记账凭证数据，按照人社部对接全国基金一本账要求，实现实时同步。</w:t>
      </w:r>
    </w:p>
    <w:p w14:paraId="1D55CE7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19、同步人社部金保二期报表系统</w:t>
      </w:r>
    </w:p>
    <w:p w14:paraId="79B193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本地季报、年报同步至人社部金保二期报表系统</w:t>
      </w:r>
    </w:p>
    <w:p w14:paraId="0A4E7FD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20、财务凭证归档</w:t>
      </w:r>
    </w:p>
    <w:p w14:paraId="41BAA0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需调用对应业务财务交接单据、银行电子回单进行归档。</w:t>
      </w:r>
    </w:p>
    <w:p w14:paraId="607F2C4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21、业务办理时限预警</w:t>
      </w:r>
    </w:p>
    <w:p w14:paraId="6452F62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计算各流程时效，以颜色对受理后的业务进度进行标识，对超期风险较高的业务在平台首页进行列表提示。</w:t>
      </w:r>
    </w:p>
    <w:p w14:paraId="5C8B3B7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22、共享信息比对平台</w:t>
      </w:r>
    </w:p>
    <w:p w14:paraId="3AD875F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对接所有外部共享数据接口（含导入功能），支持按规则进行数据间比对后，提供给对应的业务功能调用核验。对业务核验后有误的共享数据，进行标注，按照要求屏蔽调用等。</w:t>
      </w:r>
    </w:p>
    <w:p w14:paraId="51A8524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23、智能话务</w:t>
      </w:r>
    </w:p>
    <w:p w14:paraId="7275735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通过接口查询方式对接智能话务平台，查询常用场景信息内容并将查询结果通过电话端告知来电人。</w:t>
      </w:r>
    </w:p>
    <w:p w14:paraId="022B28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24、待遇资格认证平台</w:t>
      </w:r>
    </w:p>
    <w:p w14:paraId="469698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各险种待遇领取资格认证平台</w:t>
      </w:r>
    </w:p>
    <w:p w14:paraId="03870D3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25、医保追溯码采集</w:t>
      </w:r>
    </w:p>
    <w:p w14:paraId="4C56EB7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协议机构采集工伤人员/职业伤害人员用药药品追溯码信息，通过接口传递给社保经办机构，社保系统汇总后通过接口传递到医保系统</w:t>
      </w:r>
    </w:p>
    <w:p w14:paraId="3487B2E9">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26、医保追溯码采集信息查询</w:t>
      </w:r>
    </w:p>
    <w:p w14:paraId="31AD86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按时间段，属地，协议机构名称的等查询医保追溯码采集、传递信息</w:t>
      </w:r>
    </w:p>
    <w:p w14:paraId="1683816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27、外部设备通用接口</w:t>
      </w:r>
    </w:p>
    <w:p w14:paraId="54AF2AF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对于高拍仪、签字版、身份证读卡器、社保卡读卡器、高速扫描仪、摄像头、面部识别器、打印机、扫码盒子（扫码枪）、叫号器、LED显示屏等外部设备开发通用数据接口规范，以便于各品牌外设快速稳定接入，减少单独适配操作，包括但不限于国产操作系统平台和Windows操作系统平台。</w:t>
      </w:r>
    </w:p>
    <w:p w14:paraId="3AC5D65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28、移动办公对接</w:t>
      </w:r>
    </w:p>
    <w:p w14:paraId="457A71C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包括不限于对接移动办公PAD、小程序或其他方式，实现社保移动办公审批。</w:t>
      </w:r>
    </w:p>
    <w:p w14:paraId="3C20CF9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29、业务协同对接</w:t>
      </w:r>
    </w:p>
    <w:p w14:paraId="43DC7F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同人社其他业务系统进行对接，实现人社内部的业务协同。</w:t>
      </w:r>
    </w:p>
    <w:p w14:paraId="7C614DE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（十八）社会保险本省自建业务中台</w:t>
      </w:r>
    </w:p>
    <w:p w14:paraId="0E75300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中台是通过对业务、数据、技术的抽象，对服务能力进行复用，构建行业级的服务能力输出。构建人社业务中台，识别、提炼反映业务运行逻辑模块数据，对业务系统提供运行支撑，对接人社部下发中台。社会保险业务中台包括社保政策参数中心、登记变更中心、征收缴费中心、关系转移中心、待遇核发中心、工伤联网结算中心、工伤认定鉴定中心、工伤康复中心、工伤预防中心、社保查询中心、职业伤害中心、职业年金中心。</w:t>
      </w:r>
    </w:p>
    <w:p w14:paraId="626CC6BE">
      <w:pPr>
        <w:widowControl w:val="0"/>
        <w:wordWrap/>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（十九）</w:t>
      </w:r>
      <w:r>
        <w:rPr>
          <w:rFonts w:hint="eastAsia" w:ascii="宋体" w:hAnsi="宋体" w:eastAsia="宋体" w:cs="宋体"/>
          <w:color w:val="auto"/>
          <w:sz w:val="24"/>
          <w:szCs w:val="24"/>
          <w:highlight w:val="none"/>
          <w:lang w:val="en-US" w:eastAsia="zh-CN"/>
        </w:rPr>
        <w:t>部下发全险种业务中台部署及对接</w:t>
      </w:r>
    </w:p>
    <w:p w14:paraId="34B4C7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人社部最新制定的社会保险全险种业务中台数据结构、指标代码、原子业务清单和原子业务处理逻辑、风险防控规则等全国统一数据标准和技术规范，基于信创环境部署最新部级下发全险种业务中台并完成与社会保险全险种一体化系统及人社部的对接联调测试和数据同步工作。</w:t>
      </w:r>
    </w:p>
    <w:p w14:paraId="66854DB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1、概述</w:t>
      </w:r>
    </w:p>
    <w:p w14:paraId="33A3D9E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下发全险种业务中台具体包括基础信息中心、参保登记中心、征收缴费中心、关系转移中心、待遇核发中心、失业补贴中心、工伤认定鉴定中心、工伤医疗管理中心、工伤预防管理中心、金融支付中心、基金财务中心、政策参数中心、业务事项中心、电子材料中心、风控预警中心、城职转移业务交互中心共16个中心，为社会保险全险种业务提供信息查询类服务、原子业务服务、原子业务组合服务、风控校验类服务等服务支持。</w:t>
      </w:r>
    </w:p>
    <w:p w14:paraId="017D803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2、功能结构图</w:t>
      </w:r>
    </w:p>
    <w:p w14:paraId="3809CB5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部下发全险种业务中台采用统一集中管理模式，全部险种部署一套部下发全险种业务中台应用和一套部下发全险种业务中台数据库，企业社会保险、机关事业单位社会保险、城乡居民社会保险、职业伤害保障系统及基金财务系统、电子档案管理系统等都调用统一的部下发全险种业务中台服务进行相关业务办理，相关业务数据按照部下发全险种业务中台数据标准存入部下发全险种业务中台数据库中。如下图所示：</w:t>
      </w:r>
    </w:p>
    <w:p w14:paraId="2C230394">
      <w:pPr>
        <w:pStyle w:val="20"/>
        <w:ind w:left="0" w:leftChars="0" w:firstLine="0" w:firstLineChars="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drawing>
          <wp:inline distT="0" distB="0" distL="114300" distR="114300">
            <wp:extent cx="5274310" cy="2345690"/>
            <wp:effectExtent l="0" t="0" r="2540" b="16510"/>
            <wp:docPr id="3" name="图片 3" descr="图形用户界面, 表格&#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表格&#10;&#10;AI 生成的内容可能不正确。"/>
                    <pic:cNvPicPr>
                      <a:picLocks noChangeAspect="1"/>
                    </pic:cNvPicPr>
                  </pic:nvPicPr>
                  <pic:blipFill>
                    <a:blip r:embed="rId10"/>
                    <a:stretch>
                      <a:fillRect/>
                    </a:stretch>
                  </pic:blipFill>
                  <pic:spPr>
                    <a:xfrm>
                      <a:off x="0" y="0"/>
                      <a:ext cx="5274310" cy="2345690"/>
                    </a:xfrm>
                    <a:prstGeom prst="rect">
                      <a:avLst/>
                    </a:prstGeom>
                    <a:noFill/>
                    <a:ln>
                      <a:noFill/>
                    </a:ln>
                  </pic:spPr>
                </pic:pic>
              </a:graphicData>
            </a:graphic>
          </wp:inline>
        </w:drawing>
      </w:r>
    </w:p>
    <w:p w14:paraId="5708CE6C">
      <w:pPr>
        <w:widowControl w:val="0"/>
        <w:wordWrap/>
        <w:adjustRightInd/>
        <w:snapToGrid/>
        <w:spacing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图3 部下发全险种业务中台功能结构图</w:t>
      </w:r>
    </w:p>
    <w:p w14:paraId="146DC44E">
      <w:pPr>
        <w:widowControl w:val="0"/>
        <w:wordWrap/>
        <w:adjustRightInd/>
        <w:snapToGrid/>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（注：实施过程以部下发最新的中台功能图为准）</w:t>
      </w:r>
    </w:p>
    <w:p w14:paraId="4CAC735F">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基础信息中心</w:t>
      </w:r>
    </w:p>
    <w:p w14:paraId="26D59D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础信息中心主要对单位公共基础信息和人员公共基础信息进行管理，单位和人员公共基础信息发生变更时，记录变更事件及变更明细。基础信息中心主要提供对单位和人员基础信息的查询类服务和原子业务服务。</w:t>
      </w:r>
    </w:p>
    <w:p w14:paraId="6286B2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2.1逻辑结构设计</w:t>
      </w:r>
    </w:p>
    <w:p w14:paraId="03125B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基础信息中心对单位公共基础信息和人员公共基础信息进行管理。单位和人员公共基础信息发生变更时，记录变更事件及变更明细。</w:t>
      </w:r>
    </w:p>
    <w:p w14:paraId="6AEB7C6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273"/>
        <w:gridCol w:w="3799"/>
        <w:gridCol w:w="1543"/>
        <w:gridCol w:w="1669"/>
      </w:tblGrid>
      <w:tr w14:paraId="6E64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19" w:type="pct"/>
            <w:shd w:val="clear" w:color="auto" w:fill="D9D9D9"/>
            <w:noWrap w:val="0"/>
            <w:vAlign w:val="center"/>
          </w:tcPr>
          <w:p w14:paraId="42C0255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序号</w:t>
            </w:r>
          </w:p>
        </w:tc>
        <w:tc>
          <w:tcPr>
            <w:tcW w:w="688" w:type="pct"/>
            <w:shd w:val="clear" w:color="auto" w:fill="D9D9D9"/>
            <w:noWrap w:val="0"/>
            <w:vAlign w:val="center"/>
          </w:tcPr>
          <w:p w14:paraId="161BFBA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表编码</w:t>
            </w:r>
          </w:p>
        </w:tc>
        <w:tc>
          <w:tcPr>
            <w:tcW w:w="2054" w:type="pct"/>
            <w:shd w:val="clear" w:color="auto" w:fill="D9D9D9"/>
            <w:noWrap w:val="0"/>
            <w:vAlign w:val="center"/>
          </w:tcPr>
          <w:p w14:paraId="525458E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表名称</w:t>
            </w:r>
          </w:p>
        </w:tc>
        <w:tc>
          <w:tcPr>
            <w:tcW w:w="834" w:type="pct"/>
            <w:shd w:val="clear" w:color="auto" w:fill="D9D9D9"/>
            <w:noWrap w:val="0"/>
            <w:vAlign w:val="top"/>
          </w:tcPr>
          <w:p w14:paraId="2DB8ADE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适用险种</w:t>
            </w:r>
          </w:p>
        </w:tc>
        <w:tc>
          <w:tcPr>
            <w:tcW w:w="902" w:type="pct"/>
            <w:shd w:val="clear" w:color="auto" w:fill="D9D9D9"/>
            <w:noWrap w:val="0"/>
            <w:vAlign w:val="top"/>
          </w:tcPr>
          <w:p w14:paraId="5FD27EA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备注</w:t>
            </w:r>
          </w:p>
        </w:tc>
      </w:tr>
      <w:tr w14:paraId="5239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19" w:type="pct"/>
            <w:shd w:val="clear" w:color="auto" w:fill="FFFFFF"/>
            <w:noWrap/>
            <w:vAlign w:val="top"/>
          </w:tcPr>
          <w:p w14:paraId="1FFF6FD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688" w:type="pct"/>
            <w:shd w:val="clear" w:color="auto" w:fill="FFFFFF"/>
            <w:noWrap/>
            <w:vAlign w:val="top"/>
          </w:tcPr>
          <w:p w14:paraId="23EA63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AB99</w:t>
            </w:r>
          </w:p>
        </w:tc>
        <w:tc>
          <w:tcPr>
            <w:tcW w:w="2054" w:type="pct"/>
            <w:shd w:val="clear" w:color="auto" w:fill="FFFFFF"/>
            <w:noWrap w:val="0"/>
            <w:vAlign w:val="top"/>
          </w:tcPr>
          <w:p w14:paraId="11C3B0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单位公共基础信息</w:t>
            </w:r>
          </w:p>
        </w:tc>
        <w:tc>
          <w:tcPr>
            <w:tcW w:w="834" w:type="pct"/>
            <w:shd w:val="clear" w:color="auto" w:fill="FFFFFF"/>
            <w:noWrap w:val="0"/>
            <w:vAlign w:val="center"/>
          </w:tcPr>
          <w:p w14:paraId="1D4BBB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02" w:type="pct"/>
            <w:shd w:val="clear" w:color="auto" w:fill="FFFFFF"/>
            <w:noWrap w:val="0"/>
            <w:vAlign w:val="center"/>
          </w:tcPr>
          <w:p w14:paraId="541221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2D8A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19" w:type="pct"/>
            <w:shd w:val="clear" w:color="auto" w:fill="FFFFFF"/>
            <w:noWrap/>
            <w:vAlign w:val="top"/>
          </w:tcPr>
          <w:p w14:paraId="5EEA181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688" w:type="pct"/>
            <w:shd w:val="clear" w:color="auto" w:fill="FFFFFF"/>
            <w:noWrap/>
            <w:vAlign w:val="top"/>
          </w:tcPr>
          <w:p w14:paraId="4CE85E9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AC99</w:t>
            </w:r>
          </w:p>
        </w:tc>
        <w:tc>
          <w:tcPr>
            <w:tcW w:w="2054" w:type="pct"/>
            <w:shd w:val="clear" w:color="auto" w:fill="FFFFFF"/>
            <w:noWrap w:val="0"/>
            <w:vAlign w:val="top"/>
          </w:tcPr>
          <w:p w14:paraId="0D76F327">
            <w:pPr>
              <w:keepNext w:val="0"/>
              <w:keepLines w:val="0"/>
              <w:pageBreakBefore w:val="0"/>
              <w:kinsoku/>
              <w:wordWrap/>
              <w:overflowPunct/>
              <w:topLinePunct w:val="0"/>
              <w:autoSpaceDE/>
              <w:autoSpaceDN/>
              <w:bidi w:val="0"/>
              <w:adjustRightInd w:val="0"/>
              <w:snapToGrid w:val="0"/>
              <w:spacing w:line="240" w:lineRule="atLeast"/>
              <w:ind w:lef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人员公共基础信息</w:t>
            </w:r>
          </w:p>
        </w:tc>
        <w:tc>
          <w:tcPr>
            <w:tcW w:w="834" w:type="pct"/>
            <w:shd w:val="clear" w:color="auto" w:fill="FFFFFF"/>
            <w:noWrap w:val="0"/>
            <w:vAlign w:val="center"/>
          </w:tcPr>
          <w:p w14:paraId="1CF7A38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02" w:type="pct"/>
            <w:shd w:val="clear" w:color="auto" w:fill="FFFFFF"/>
            <w:noWrap w:val="0"/>
            <w:vAlign w:val="center"/>
          </w:tcPr>
          <w:p w14:paraId="59DC5A1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1145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19" w:type="pct"/>
            <w:shd w:val="clear" w:color="auto" w:fill="FFFFFF"/>
            <w:noWrap/>
            <w:vAlign w:val="top"/>
          </w:tcPr>
          <w:p w14:paraId="7F837DE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688" w:type="pct"/>
            <w:shd w:val="clear" w:color="auto" w:fill="FFFFFF"/>
            <w:noWrap/>
            <w:vAlign w:val="center"/>
          </w:tcPr>
          <w:p w14:paraId="2865E0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AE99</w:t>
            </w:r>
          </w:p>
        </w:tc>
        <w:tc>
          <w:tcPr>
            <w:tcW w:w="2054" w:type="pct"/>
            <w:shd w:val="clear" w:color="auto" w:fill="FFFFFF"/>
            <w:noWrap w:val="0"/>
            <w:vAlign w:val="center"/>
          </w:tcPr>
          <w:p w14:paraId="6A5321EF">
            <w:pPr>
              <w:keepNext w:val="0"/>
              <w:keepLines w:val="0"/>
              <w:pageBreakBefore w:val="0"/>
              <w:kinsoku/>
              <w:wordWrap/>
              <w:overflowPunct/>
              <w:topLinePunct w:val="0"/>
              <w:autoSpaceDE/>
              <w:autoSpaceDN/>
              <w:bidi w:val="0"/>
              <w:adjustRightInd w:val="0"/>
              <w:snapToGrid w:val="0"/>
              <w:spacing w:line="240" w:lineRule="atLeast"/>
              <w:ind w:lef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当事人公共基础信息</w:t>
            </w:r>
          </w:p>
        </w:tc>
        <w:tc>
          <w:tcPr>
            <w:tcW w:w="834" w:type="pct"/>
            <w:shd w:val="clear" w:color="auto" w:fill="FFFFFF"/>
            <w:noWrap w:val="0"/>
            <w:vAlign w:val="center"/>
          </w:tcPr>
          <w:p w14:paraId="649C64F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02" w:type="pct"/>
            <w:shd w:val="clear" w:color="auto" w:fill="FFFFFF"/>
            <w:noWrap w:val="0"/>
            <w:vAlign w:val="center"/>
          </w:tcPr>
          <w:p w14:paraId="57E30ED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C45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19" w:type="pct"/>
            <w:shd w:val="clear" w:color="auto" w:fill="FFFFFF"/>
            <w:noWrap/>
            <w:vAlign w:val="top"/>
          </w:tcPr>
          <w:p w14:paraId="2DE51A6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688" w:type="pct"/>
            <w:shd w:val="clear" w:color="auto" w:fill="FFFFFF"/>
            <w:noWrap/>
            <w:vAlign w:val="top"/>
          </w:tcPr>
          <w:p w14:paraId="052933E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AE97</w:t>
            </w:r>
          </w:p>
        </w:tc>
        <w:tc>
          <w:tcPr>
            <w:tcW w:w="2054" w:type="pct"/>
            <w:shd w:val="clear" w:color="auto" w:fill="FFFFFF"/>
            <w:noWrap w:val="0"/>
            <w:vAlign w:val="top"/>
          </w:tcPr>
          <w:p w14:paraId="3A871CD1">
            <w:pPr>
              <w:keepNext w:val="0"/>
              <w:keepLines w:val="0"/>
              <w:pageBreakBefore w:val="0"/>
              <w:kinsoku/>
              <w:wordWrap/>
              <w:overflowPunct/>
              <w:topLinePunct w:val="0"/>
              <w:autoSpaceDE/>
              <w:autoSpaceDN/>
              <w:bidi w:val="0"/>
              <w:adjustRightInd w:val="0"/>
              <w:snapToGrid w:val="0"/>
              <w:spacing w:line="240" w:lineRule="atLeast"/>
              <w:ind w:lef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当事人公共基础资料变更事件</w:t>
            </w:r>
          </w:p>
        </w:tc>
        <w:tc>
          <w:tcPr>
            <w:tcW w:w="834" w:type="pct"/>
            <w:shd w:val="clear" w:color="auto" w:fill="FFFFFF"/>
            <w:noWrap w:val="0"/>
            <w:vAlign w:val="center"/>
          </w:tcPr>
          <w:p w14:paraId="35DDE8F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02" w:type="pct"/>
            <w:shd w:val="clear" w:color="auto" w:fill="FFFFFF"/>
            <w:noWrap w:val="0"/>
            <w:vAlign w:val="center"/>
          </w:tcPr>
          <w:p w14:paraId="47282FE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2411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19" w:type="pct"/>
            <w:shd w:val="clear" w:color="auto" w:fill="FFFFFF"/>
            <w:noWrap/>
            <w:vAlign w:val="top"/>
          </w:tcPr>
          <w:p w14:paraId="0766C0E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688" w:type="pct"/>
            <w:shd w:val="clear" w:color="auto" w:fill="FFFFFF"/>
            <w:noWrap/>
            <w:vAlign w:val="top"/>
          </w:tcPr>
          <w:p w14:paraId="4C62C9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AE98</w:t>
            </w:r>
          </w:p>
        </w:tc>
        <w:tc>
          <w:tcPr>
            <w:tcW w:w="2054" w:type="pct"/>
            <w:shd w:val="clear" w:color="auto" w:fill="FFFFFF"/>
            <w:noWrap w:val="0"/>
            <w:vAlign w:val="top"/>
          </w:tcPr>
          <w:p w14:paraId="49ED0B6E">
            <w:pPr>
              <w:keepNext w:val="0"/>
              <w:keepLines w:val="0"/>
              <w:pageBreakBefore w:val="0"/>
              <w:kinsoku/>
              <w:wordWrap/>
              <w:overflowPunct/>
              <w:topLinePunct w:val="0"/>
              <w:autoSpaceDE/>
              <w:autoSpaceDN/>
              <w:bidi w:val="0"/>
              <w:adjustRightInd w:val="0"/>
              <w:snapToGrid w:val="0"/>
              <w:spacing w:line="240" w:lineRule="atLeast"/>
              <w:ind w:left="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当事人公共基础资料变更明细</w:t>
            </w:r>
          </w:p>
        </w:tc>
        <w:tc>
          <w:tcPr>
            <w:tcW w:w="834" w:type="pct"/>
            <w:shd w:val="clear" w:color="auto" w:fill="FFFFFF"/>
            <w:noWrap w:val="0"/>
            <w:vAlign w:val="center"/>
          </w:tcPr>
          <w:p w14:paraId="420C631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02" w:type="pct"/>
            <w:shd w:val="clear" w:color="auto" w:fill="FFFFFF"/>
            <w:noWrap w:val="0"/>
            <w:vAlign w:val="center"/>
          </w:tcPr>
          <w:p w14:paraId="69E29A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bl>
    <w:p w14:paraId="35DA31AE">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表1基础信息中心数据库列表</w:t>
      </w:r>
    </w:p>
    <w:p w14:paraId="40F5B72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3、参保登记中心</w:t>
      </w:r>
    </w:p>
    <w:p w14:paraId="226437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保登记中心主要对人员信息、单位信息、单位参保信息、人员参保信息、当事人账户信息及参保变更明细信息进行管理。参保登记中心主要提供单位基础信息、人员基础信息、参保信息及缴费工资基数信息等业务相关业务的查询类、原子业务服务和原子业务组合服务。</w:t>
      </w:r>
    </w:p>
    <w:p w14:paraId="20AA24B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3.1逻辑结构设计</w:t>
      </w:r>
    </w:p>
    <w:p w14:paraId="07BBE7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对人员信息、单位信息、单位参保信息、人员参保信息、当事人账户信息及参保变更明细信息进行管理。</w:t>
      </w:r>
    </w:p>
    <w:p w14:paraId="778A7F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3.2数据库列表</w:t>
      </w:r>
    </w:p>
    <w:tbl>
      <w:tblPr>
        <w:tblStyle w:val="14"/>
        <w:tblW w:w="5000" w:type="pct"/>
        <w:tblInd w:w="0" w:type="dxa"/>
        <w:tblLayout w:type="autofit"/>
        <w:tblCellMar>
          <w:top w:w="0" w:type="dxa"/>
          <w:left w:w="108" w:type="dxa"/>
          <w:bottom w:w="0" w:type="dxa"/>
          <w:right w:w="108" w:type="dxa"/>
        </w:tblCellMar>
      </w:tblPr>
      <w:tblGrid>
        <w:gridCol w:w="848"/>
        <w:gridCol w:w="1023"/>
        <w:gridCol w:w="2456"/>
        <w:gridCol w:w="2937"/>
        <w:gridCol w:w="1979"/>
      </w:tblGrid>
      <w:tr w14:paraId="2738E7D1">
        <w:tblPrEx>
          <w:tblCellMar>
            <w:top w:w="0" w:type="dxa"/>
            <w:left w:w="108" w:type="dxa"/>
            <w:bottom w:w="0" w:type="dxa"/>
            <w:right w:w="108" w:type="dxa"/>
          </w:tblCellMar>
        </w:tblPrEx>
        <w:trPr>
          <w:trHeight w:val="386" w:hRule="atLeast"/>
        </w:trPr>
        <w:tc>
          <w:tcPr>
            <w:tcW w:w="45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DEC25A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553" w:type="pct"/>
            <w:tcBorders>
              <w:top w:val="single" w:color="auto" w:sz="4" w:space="0"/>
              <w:left w:val="nil"/>
              <w:bottom w:val="single" w:color="auto" w:sz="4" w:space="0"/>
              <w:right w:val="single" w:color="auto" w:sz="4" w:space="0"/>
            </w:tcBorders>
            <w:shd w:val="clear" w:color="auto" w:fill="D9D9D9"/>
            <w:noWrap w:val="0"/>
            <w:vAlign w:val="center"/>
          </w:tcPr>
          <w:p w14:paraId="14B3D21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表编码</w:t>
            </w:r>
          </w:p>
        </w:tc>
        <w:tc>
          <w:tcPr>
            <w:tcW w:w="1328" w:type="pct"/>
            <w:tcBorders>
              <w:top w:val="single" w:color="auto" w:sz="4" w:space="0"/>
              <w:left w:val="nil"/>
              <w:bottom w:val="single" w:color="auto" w:sz="4" w:space="0"/>
              <w:right w:val="single" w:color="auto" w:sz="4" w:space="0"/>
            </w:tcBorders>
            <w:shd w:val="clear" w:color="auto" w:fill="D9D9D9"/>
            <w:noWrap w:val="0"/>
            <w:vAlign w:val="center"/>
          </w:tcPr>
          <w:p w14:paraId="68CFC5F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表名称</w:t>
            </w:r>
          </w:p>
        </w:tc>
        <w:tc>
          <w:tcPr>
            <w:tcW w:w="1588" w:type="pct"/>
            <w:tcBorders>
              <w:top w:val="single" w:color="auto" w:sz="4" w:space="0"/>
              <w:left w:val="nil"/>
              <w:bottom w:val="single" w:color="auto" w:sz="4" w:space="0"/>
              <w:right w:val="single" w:color="auto" w:sz="4" w:space="0"/>
            </w:tcBorders>
            <w:shd w:val="clear" w:color="auto" w:fill="D9D9D9"/>
            <w:noWrap w:val="0"/>
            <w:vAlign w:val="top"/>
          </w:tcPr>
          <w:p w14:paraId="5F569B7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适用险种</w:t>
            </w:r>
          </w:p>
        </w:tc>
        <w:tc>
          <w:tcPr>
            <w:tcW w:w="1070" w:type="pct"/>
            <w:tcBorders>
              <w:top w:val="single" w:color="auto" w:sz="4" w:space="0"/>
              <w:left w:val="nil"/>
              <w:bottom w:val="single" w:color="auto" w:sz="4" w:space="0"/>
              <w:right w:val="single" w:color="auto" w:sz="4" w:space="0"/>
            </w:tcBorders>
            <w:shd w:val="clear" w:color="auto" w:fill="D9D9D9"/>
            <w:noWrap w:val="0"/>
            <w:vAlign w:val="top"/>
          </w:tcPr>
          <w:p w14:paraId="6DC4BBA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备注</w:t>
            </w:r>
          </w:p>
        </w:tc>
      </w:tr>
      <w:tr w14:paraId="6E727F1F">
        <w:tblPrEx>
          <w:tblCellMar>
            <w:top w:w="0" w:type="dxa"/>
            <w:left w:w="108" w:type="dxa"/>
            <w:bottom w:w="0" w:type="dxa"/>
            <w:right w:w="108" w:type="dxa"/>
          </w:tblCellMar>
        </w:tblPrEx>
        <w:trPr>
          <w:trHeight w:val="285" w:hRule="atLeast"/>
        </w:trPr>
        <w:tc>
          <w:tcPr>
            <w:tcW w:w="459" w:type="pct"/>
            <w:tcBorders>
              <w:top w:val="nil"/>
              <w:left w:val="single" w:color="auto" w:sz="4" w:space="0"/>
              <w:bottom w:val="single" w:color="auto" w:sz="4" w:space="0"/>
              <w:right w:val="single" w:color="auto" w:sz="4" w:space="0"/>
            </w:tcBorders>
            <w:shd w:val="clear" w:color="auto" w:fill="FFFFFF"/>
            <w:noWrap/>
            <w:vAlign w:val="center"/>
          </w:tcPr>
          <w:p w14:paraId="15AC29A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553" w:type="pct"/>
            <w:tcBorders>
              <w:top w:val="nil"/>
              <w:left w:val="nil"/>
              <w:bottom w:val="single" w:color="auto" w:sz="4" w:space="0"/>
              <w:right w:val="single" w:color="auto" w:sz="4" w:space="0"/>
            </w:tcBorders>
            <w:shd w:val="clear" w:color="auto" w:fill="FFFFFF"/>
            <w:noWrap/>
            <w:vAlign w:val="center"/>
          </w:tcPr>
          <w:p w14:paraId="59CC51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AE01</w:t>
            </w:r>
          </w:p>
        </w:tc>
        <w:tc>
          <w:tcPr>
            <w:tcW w:w="1328" w:type="pct"/>
            <w:tcBorders>
              <w:top w:val="nil"/>
              <w:left w:val="nil"/>
              <w:bottom w:val="single" w:color="auto" w:sz="4" w:space="0"/>
              <w:right w:val="single" w:color="auto" w:sz="4" w:space="0"/>
            </w:tcBorders>
            <w:shd w:val="clear" w:color="auto" w:fill="FFFFFF"/>
            <w:noWrap w:val="0"/>
            <w:vAlign w:val="center"/>
          </w:tcPr>
          <w:p w14:paraId="4F09087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w:t>
            </w:r>
          </w:p>
        </w:tc>
        <w:tc>
          <w:tcPr>
            <w:tcW w:w="1588" w:type="pct"/>
            <w:tcBorders>
              <w:top w:val="nil"/>
              <w:left w:val="nil"/>
              <w:bottom w:val="single" w:color="auto" w:sz="4" w:space="0"/>
              <w:right w:val="single" w:color="auto" w:sz="4" w:space="0"/>
            </w:tcBorders>
            <w:shd w:val="clear" w:color="auto" w:fill="FFFFFF"/>
            <w:noWrap w:val="0"/>
            <w:vAlign w:val="center"/>
          </w:tcPr>
          <w:p w14:paraId="4059FA0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nil"/>
              <w:left w:val="nil"/>
              <w:bottom w:val="single" w:color="auto" w:sz="4" w:space="0"/>
              <w:right w:val="single" w:color="auto" w:sz="4" w:space="0"/>
            </w:tcBorders>
            <w:shd w:val="clear" w:color="auto" w:fill="FFFFFF"/>
            <w:noWrap w:val="0"/>
            <w:vAlign w:val="center"/>
          </w:tcPr>
          <w:p w14:paraId="0CD7FE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4BA9F5D3">
        <w:tblPrEx>
          <w:tblCellMar>
            <w:top w:w="0" w:type="dxa"/>
            <w:left w:w="108" w:type="dxa"/>
            <w:bottom w:w="0" w:type="dxa"/>
            <w:right w:w="108" w:type="dxa"/>
          </w:tblCellMar>
        </w:tblPrEx>
        <w:trPr>
          <w:trHeight w:val="285" w:hRule="atLeast"/>
        </w:trPr>
        <w:tc>
          <w:tcPr>
            <w:tcW w:w="459" w:type="pct"/>
            <w:tcBorders>
              <w:top w:val="nil"/>
              <w:left w:val="single" w:color="auto" w:sz="4" w:space="0"/>
              <w:bottom w:val="single" w:color="auto" w:sz="4" w:space="0"/>
              <w:right w:val="single" w:color="auto" w:sz="4" w:space="0"/>
            </w:tcBorders>
            <w:shd w:val="clear" w:color="auto" w:fill="FFFFFF"/>
            <w:noWrap/>
            <w:vAlign w:val="top"/>
          </w:tcPr>
          <w:p w14:paraId="1DBB025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553" w:type="pct"/>
            <w:tcBorders>
              <w:top w:val="nil"/>
              <w:left w:val="nil"/>
              <w:bottom w:val="single" w:color="auto" w:sz="4" w:space="0"/>
              <w:right w:val="single" w:color="auto" w:sz="4" w:space="0"/>
            </w:tcBorders>
            <w:shd w:val="clear" w:color="auto" w:fill="FFFFFF"/>
            <w:noWrap/>
            <w:vAlign w:val="top"/>
          </w:tcPr>
          <w:p w14:paraId="32FFAEB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AB01</w:t>
            </w:r>
          </w:p>
        </w:tc>
        <w:tc>
          <w:tcPr>
            <w:tcW w:w="1328" w:type="pct"/>
            <w:tcBorders>
              <w:top w:val="nil"/>
              <w:left w:val="nil"/>
              <w:bottom w:val="single" w:color="auto" w:sz="4" w:space="0"/>
              <w:right w:val="single" w:color="auto" w:sz="4" w:space="0"/>
            </w:tcBorders>
            <w:shd w:val="clear" w:color="auto" w:fill="FFFFFF"/>
            <w:noWrap w:val="0"/>
            <w:vAlign w:val="top"/>
          </w:tcPr>
          <w:p w14:paraId="37E0F83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588" w:type="pct"/>
            <w:tcBorders>
              <w:top w:val="nil"/>
              <w:left w:val="nil"/>
              <w:bottom w:val="single" w:color="auto" w:sz="4" w:space="0"/>
              <w:right w:val="single" w:color="auto" w:sz="4" w:space="0"/>
            </w:tcBorders>
            <w:shd w:val="clear" w:color="auto" w:fill="FFFFFF"/>
            <w:noWrap w:val="0"/>
            <w:vAlign w:val="center"/>
          </w:tcPr>
          <w:p w14:paraId="08FAEC1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全险种，本次调整机关事业单位养老保险</w:t>
            </w:r>
          </w:p>
        </w:tc>
        <w:tc>
          <w:tcPr>
            <w:tcW w:w="1070" w:type="pct"/>
            <w:tcBorders>
              <w:top w:val="nil"/>
              <w:left w:val="nil"/>
              <w:bottom w:val="single" w:color="auto" w:sz="4" w:space="0"/>
              <w:right w:val="single" w:color="auto" w:sz="4" w:space="0"/>
            </w:tcBorders>
            <w:shd w:val="clear" w:color="auto" w:fill="FFFFFF"/>
            <w:noWrap w:val="0"/>
            <w:vAlign w:val="center"/>
          </w:tcPr>
          <w:p w14:paraId="4A0F429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已有表，新增指标</w:t>
            </w:r>
          </w:p>
        </w:tc>
      </w:tr>
      <w:tr w14:paraId="5E69B7CB">
        <w:tblPrEx>
          <w:tblCellMar>
            <w:top w:w="0" w:type="dxa"/>
            <w:left w:w="108" w:type="dxa"/>
            <w:bottom w:w="0" w:type="dxa"/>
            <w:right w:w="108" w:type="dxa"/>
          </w:tblCellMar>
        </w:tblPrEx>
        <w:trPr>
          <w:trHeight w:val="285" w:hRule="atLeast"/>
        </w:trPr>
        <w:tc>
          <w:tcPr>
            <w:tcW w:w="459" w:type="pct"/>
            <w:tcBorders>
              <w:top w:val="nil"/>
              <w:left w:val="single" w:color="auto" w:sz="4" w:space="0"/>
              <w:bottom w:val="single" w:color="auto" w:sz="4" w:space="0"/>
              <w:right w:val="single" w:color="auto" w:sz="4" w:space="0"/>
            </w:tcBorders>
            <w:shd w:val="clear" w:color="auto" w:fill="FFFFFF"/>
            <w:noWrap/>
            <w:vAlign w:val="center"/>
          </w:tcPr>
          <w:p w14:paraId="4AD3B6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553" w:type="pct"/>
            <w:tcBorders>
              <w:top w:val="nil"/>
              <w:left w:val="nil"/>
              <w:bottom w:val="single" w:color="auto" w:sz="4" w:space="0"/>
              <w:right w:val="single" w:color="auto" w:sz="4" w:space="0"/>
            </w:tcBorders>
            <w:shd w:val="clear" w:color="auto" w:fill="FFFFFF"/>
            <w:noWrap/>
            <w:vAlign w:val="center"/>
          </w:tcPr>
          <w:p w14:paraId="5F86F9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AB02</w:t>
            </w:r>
          </w:p>
        </w:tc>
        <w:tc>
          <w:tcPr>
            <w:tcW w:w="1328" w:type="pct"/>
            <w:tcBorders>
              <w:top w:val="nil"/>
              <w:left w:val="nil"/>
              <w:bottom w:val="single" w:color="auto" w:sz="4" w:space="0"/>
              <w:right w:val="single" w:color="auto" w:sz="4" w:space="0"/>
            </w:tcBorders>
            <w:shd w:val="clear" w:color="auto" w:fill="FFFFFF"/>
            <w:noWrap w:val="0"/>
            <w:vAlign w:val="center"/>
          </w:tcPr>
          <w:p w14:paraId="52C6528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单位参保情况</w:t>
            </w:r>
          </w:p>
        </w:tc>
        <w:tc>
          <w:tcPr>
            <w:tcW w:w="1588" w:type="pct"/>
            <w:tcBorders>
              <w:top w:val="nil"/>
              <w:left w:val="nil"/>
              <w:bottom w:val="single" w:color="auto" w:sz="4" w:space="0"/>
              <w:right w:val="single" w:color="auto" w:sz="4" w:space="0"/>
            </w:tcBorders>
            <w:shd w:val="clear" w:color="auto" w:fill="FFFFFF"/>
            <w:noWrap w:val="0"/>
            <w:vAlign w:val="center"/>
          </w:tcPr>
          <w:p w14:paraId="4E8785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nil"/>
              <w:left w:val="nil"/>
              <w:bottom w:val="single" w:color="auto" w:sz="4" w:space="0"/>
              <w:right w:val="single" w:color="auto" w:sz="4" w:space="0"/>
            </w:tcBorders>
            <w:shd w:val="clear" w:color="auto" w:fill="FFFFFF"/>
            <w:noWrap w:val="0"/>
            <w:vAlign w:val="center"/>
          </w:tcPr>
          <w:p w14:paraId="556341F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26AC244B">
        <w:tblPrEx>
          <w:tblCellMar>
            <w:top w:w="0" w:type="dxa"/>
            <w:left w:w="108" w:type="dxa"/>
            <w:bottom w:w="0" w:type="dxa"/>
            <w:right w:w="108" w:type="dxa"/>
          </w:tblCellMar>
        </w:tblPrEx>
        <w:trPr>
          <w:trHeight w:val="285" w:hRule="atLeast"/>
        </w:trPr>
        <w:tc>
          <w:tcPr>
            <w:tcW w:w="459" w:type="pct"/>
            <w:tcBorders>
              <w:top w:val="nil"/>
              <w:left w:val="single" w:color="auto" w:sz="4" w:space="0"/>
              <w:bottom w:val="single" w:color="auto" w:sz="4" w:space="0"/>
              <w:right w:val="single" w:color="auto" w:sz="4" w:space="0"/>
            </w:tcBorders>
            <w:shd w:val="clear" w:color="auto" w:fill="FFFFFF"/>
            <w:noWrap/>
            <w:vAlign w:val="center"/>
          </w:tcPr>
          <w:p w14:paraId="7810F8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553" w:type="pct"/>
            <w:tcBorders>
              <w:top w:val="nil"/>
              <w:left w:val="nil"/>
              <w:bottom w:val="single" w:color="auto" w:sz="4" w:space="0"/>
              <w:right w:val="single" w:color="auto" w:sz="4" w:space="0"/>
            </w:tcBorders>
            <w:shd w:val="clear" w:color="auto" w:fill="FFFFFF"/>
            <w:noWrap/>
            <w:vAlign w:val="top"/>
          </w:tcPr>
          <w:p w14:paraId="60782C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AC01</w:t>
            </w:r>
          </w:p>
        </w:tc>
        <w:tc>
          <w:tcPr>
            <w:tcW w:w="1328" w:type="pct"/>
            <w:tcBorders>
              <w:top w:val="nil"/>
              <w:left w:val="nil"/>
              <w:bottom w:val="single" w:color="auto" w:sz="4" w:space="0"/>
              <w:right w:val="single" w:color="auto" w:sz="4" w:space="0"/>
            </w:tcBorders>
            <w:shd w:val="clear" w:color="auto" w:fill="FFFFFF"/>
            <w:noWrap w:val="0"/>
            <w:vAlign w:val="top"/>
          </w:tcPr>
          <w:p w14:paraId="358ECB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w:t>
            </w:r>
          </w:p>
        </w:tc>
        <w:tc>
          <w:tcPr>
            <w:tcW w:w="1588" w:type="pct"/>
            <w:tcBorders>
              <w:top w:val="nil"/>
              <w:left w:val="nil"/>
              <w:bottom w:val="single" w:color="auto" w:sz="4" w:space="0"/>
              <w:right w:val="single" w:color="auto" w:sz="4" w:space="0"/>
            </w:tcBorders>
            <w:shd w:val="clear" w:color="auto" w:fill="FFFFFF"/>
            <w:noWrap w:val="0"/>
            <w:vAlign w:val="center"/>
          </w:tcPr>
          <w:p w14:paraId="2112B58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nil"/>
              <w:left w:val="nil"/>
              <w:bottom w:val="single" w:color="auto" w:sz="4" w:space="0"/>
              <w:right w:val="single" w:color="auto" w:sz="4" w:space="0"/>
            </w:tcBorders>
            <w:shd w:val="clear" w:color="auto" w:fill="FFFFFF"/>
            <w:noWrap w:val="0"/>
            <w:vAlign w:val="center"/>
          </w:tcPr>
          <w:p w14:paraId="4CBBEF0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1B71C0D7">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40EC54A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7CE775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AC02</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5EFCA0C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人员参保关系</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60C807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全险种，本次调整工伤保险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562350B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已有表，新增指标</w:t>
            </w:r>
          </w:p>
        </w:tc>
      </w:tr>
      <w:tr w14:paraId="169B3CDA">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A1025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70D4E72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AE06</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6B3068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当事人参保基础资料变更事件</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3C6038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34A14E1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25EC7D97">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84BF5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2A013A1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AE07</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73D68AA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当事人参保基础资料变更明细</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322BE1A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557E045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3948FB9F">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D34490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2300290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AB32</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0BE8EA1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单位参保情况变更事件</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6D9B31B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77A70B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243D827E">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8CE633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4932EEB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AC20</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7B7EE5B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人员社会保险参保关系明细</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5FDB2EE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30BB94E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2874004D">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01B87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6B2864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AC05</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286368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人员险种参保记录变更事件</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0D4725C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2AAA76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00AFB364">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4120E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7717CF9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AE03</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6235967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当事人银行账号</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346A3F6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7C6522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2A45A5DC">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DB0E5F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3725A97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AE36</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7DD54DB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当事人参保关系资料变更明细</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4BB435A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5302604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18A6276B">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F70FD4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1A6050F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AE32</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5D2FD5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当事人被合并记录表</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0B78268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60B4399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312D91A8">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B25F8F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14</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0F0863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AB36</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631968C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单位职工工资申报记录</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48CCBB6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除城乡居民养老保险外的其他险种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4849251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119EE99B">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AAEED9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15</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69E9D9D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AC35</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3BFF1E4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人员工资</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3D8963D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除城乡居民养老保险外的其他险种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4588CF9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5075A2C5">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C2C77B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16</w:t>
            </w:r>
          </w:p>
        </w:tc>
        <w:tc>
          <w:tcPr>
            <w:tcW w:w="553" w:type="pct"/>
            <w:tcBorders>
              <w:top w:val="single" w:color="auto" w:sz="4" w:space="0"/>
              <w:left w:val="nil"/>
              <w:bottom w:val="single" w:color="auto" w:sz="4" w:space="0"/>
              <w:right w:val="single" w:color="auto" w:sz="4" w:space="0"/>
            </w:tcBorders>
            <w:shd w:val="clear" w:color="auto" w:fill="FFFFFF"/>
            <w:noWrap/>
            <w:vAlign w:val="center"/>
          </w:tcPr>
          <w:p w14:paraId="38EA630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AC04</w:t>
            </w:r>
          </w:p>
        </w:tc>
        <w:tc>
          <w:tcPr>
            <w:tcW w:w="1328" w:type="pct"/>
            <w:tcBorders>
              <w:top w:val="single" w:color="auto" w:sz="4" w:space="0"/>
              <w:left w:val="nil"/>
              <w:bottom w:val="single" w:color="auto" w:sz="4" w:space="0"/>
              <w:right w:val="single" w:color="auto" w:sz="4" w:space="0"/>
            </w:tcBorders>
            <w:shd w:val="clear" w:color="auto" w:fill="FFFFFF"/>
            <w:noWrap w:val="0"/>
            <w:vAlign w:val="center"/>
          </w:tcPr>
          <w:p w14:paraId="734AD20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人员缴费基数</w:t>
            </w:r>
          </w:p>
        </w:tc>
        <w:tc>
          <w:tcPr>
            <w:tcW w:w="1588" w:type="pct"/>
            <w:tcBorders>
              <w:top w:val="single" w:color="auto" w:sz="4" w:space="0"/>
              <w:left w:val="nil"/>
              <w:bottom w:val="single" w:color="auto" w:sz="4" w:space="0"/>
              <w:right w:val="single" w:color="auto" w:sz="4" w:space="0"/>
            </w:tcBorders>
            <w:shd w:val="clear" w:color="auto" w:fill="FFFFFF"/>
            <w:noWrap w:val="0"/>
            <w:vAlign w:val="center"/>
          </w:tcPr>
          <w:p w14:paraId="278178D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除城乡居民养老保险外的其他险种</w:t>
            </w:r>
          </w:p>
        </w:tc>
        <w:tc>
          <w:tcPr>
            <w:tcW w:w="1070" w:type="pct"/>
            <w:tcBorders>
              <w:top w:val="single" w:color="auto" w:sz="4" w:space="0"/>
              <w:left w:val="nil"/>
              <w:bottom w:val="single" w:color="auto" w:sz="4" w:space="0"/>
              <w:right w:val="single" w:color="auto" w:sz="4" w:space="0"/>
            </w:tcBorders>
            <w:shd w:val="clear" w:color="auto" w:fill="FFFFFF"/>
            <w:noWrap w:val="0"/>
            <w:vAlign w:val="center"/>
          </w:tcPr>
          <w:p w14:paraId="10E744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已有表</w:t>
            </w:r>
          </w:p>
        </w:tc>
      </w:tr>
      <w:tr w14:paraId="64F6478C">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742306B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17</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177EAD6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AF02</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63D428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社区或村</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274A51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城乡居民养老保险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1BADB3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2022242E">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26E933A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18</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52B7B70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AF08</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0BE1C38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街道乡镇</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52EE1D5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城乡居民养老保险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41AC9D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6825028E">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2A646C2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19</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4D282B0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AC10</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074B43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城乡居保特殊人员信息</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0B7739B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城乡居民养老保险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1FBDA34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317C1E57">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5BF2BBA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1120BC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AB58</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2B27CFB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工程项目信息</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24FDA6F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30169C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5F328D3B">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0067DB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21</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3BD5DA1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AB08</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3393506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工程项目变更事件</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7A239B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6013CB2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1C8D4D7A">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2461BD6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1D613B9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AB09</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3FC918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工程项目变更明细</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631BAF6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3A65E5C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477A3142">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34F979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23</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46D5ED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AC88</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4E62879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工程项目人员备案事件</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625B80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379419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r w14:paraId="42F7E604">
        <w:tblPrEx>
          <w:tblCellMar>
            <w:top w:w="0" w:type="dxa"/>
            <w:left w:w="108" w:type="dxa"/>
            <w:bottom w:w="0" w:type="dxa"/>
            <w:right w:w="108" w:type="dxa"/>
          </w:tblCellMar>
        </w:tblPrEx>
        <w:trPr>
          <w:trHeight w:val="285" w:hRule="atLeast"/>
        </w:trPr>
        <w:tc>
          <w:tcPr>
            <w:tcW w:w="459" w:type="pct"/>
            <w:tcBorders>
              <w:top w:val="single" w:color="auto" w:sz="4" w:space="0"/>
              <w:left w:val="single" w:color="auto" w:sz="4" w:space="0"/>
              <w:bottom w:val="single" w:color="auto" w:sz="4" w:space="0"/>
              <w:right w:val="single" w:color="auto" w:sz="4" w:space="0"/>
            </w:tcBorders>
            <w:shd w:val="clear" w:color="auto" w:fill="FFFFFF"/>
            <w:noWrap/>
            <w:vAlign w:val="top"/>
          </w:tcPr>
          <w:p w14:paraId="6FB692D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24</w:t>
            </w:r>
          </w:p>
        </w:tc>
        <w:tc>
          <w:tcPr>
            <w:tcW w:w="553" w:type="pct"/>
            <w:tcBorders>
              <w:top w:val="single" w:color="auto" w:sz="4" w:space="0"/>
              <w:left w:val="nil"/>
              <w:bottom w:val="single" w:color="auto" w:sz="4" w:space="0"/>
              <w:right w:val="single" w:color="auto" w:sz="4" w:space="0"/>
            </w:tcBorders>
            <w:shd w:val="clear" w:color="auto" w:fill="FFFFFF"/>
            <w:noWrap/>
            <w:vAlign w:val="top"/>
          </w:tcPr>
          <w:p w14:paraId="6D9FE65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AC89</w:t>
            </w:r>
          </w:p>
        </w:tc>
        <w:tc>
          <w:tcPr>
            <w:tcW w:w="1328" w:type="pct"/>
            <w:tcBorders>
              <w:top w:val="single" w:color="auto" w:sz="4" w:space="0"/>
              <w:left w:val="nil"/>
              <w:bottom w:val="single" w:color="auto" w:sz="4" w:space="0"/>
              <w:right w:val="single" w:color="auto" w:sz="4" w:space="0"/>
            </w:tcBorders>
            <w:shd w:val="clear" w:color="auto" w:fill="FFFFFF"/>
            <w:noWrap w:val="0"/>
            <w:vAlign w:val="top"/>
          </w:tcPr>
          <w:p w14:paraId="13C285E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工程项目人员备案信息</w:t>
            </w:r>
          </w:p>
        </w:tc>
        <w:tc>
          <w:tcPr>
            <w:tcW w:w="1588" w:type="pct"/>
            <w:tcBorders>
              <w:top w:val="single" w:color="auto" w:sz="4" w:space="0"/>
              <w:left w:val="nil"/>
              <w:bottom w:val="single" w:color="auto" w:sz="4" w:space="0"/>
              <w:right w:val="single" w:color="auto" w:sz="4" w:space="0"/>
            </w:tcBorders>
            <w:shd w:val="clear" w:color="auto" w:fill="FFFFFF"/>
            <w:noWrap w:val="0"/>
            <w:vAlign w:val="top"/>
          </w:tcPr>
          <w:p w14:paraId="6788466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工伤保险</w:t>
            </w:r>
          </w:p>
        </w:tc>
        <w:tc>
          <w:tcPr>
            <w:tcW w:w="1070" w:type="pct"/>
            <w:tcBorders>
              <w:top w:val="single" w:color="auto" w:sz="4" w:space="0"/>
              <w:left w:val="nil"/>
              <w:bottom w:val="single" w:color="auto" w:sz="4" w:space="0"/>
              <w:right w:val="single" w:color="auto" w:sz="4" w:space="0"/>
            </w:tcBorders>
            <w:shd w:val="clear" w:color="auto" w:fill="FFFFFF"/>
            <w:noWrap w:val="0"/>
            <w:vAlign w:val="top"/>
          </w:tcPr>
          <w:p w14:paraId="0B557FC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新增表</w:t>
            </w:r>
          </w:p>
        </w:tc>
      </w:tr>
    </w:tbl>
    <w:p w14:paraId="10D34943">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表2参保登记中心数据库列表</w:t>
      </w:r>
    </w:p>
    <w:p w14:paraId="02E89E5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4、征收缴费中心</w:t>
      </w:r>
    </w:p>
    <w:p w14:paraId="772A678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征收缴费中心主要支持人社领域各类征收缴费业务，同时为人社其他业务领域提供调用服务信息的能力。征收缴费中心主要提供缴费核定管理、费用补退管理、基金征集管理、到账实收管理等业务相关的查询类服务、原子业务服务和原子业务组合服务。</w:t>
      </w:r>
    </w:p>
    <w:p w14:paraId="038E6E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4.1逻辑结构设计</w:t>
      </w:r>
    </w:p>
    <w:p w14:paraId="08C14C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征收缴费中心主要支持人社领域各类征收缴费业务，同时为人社其他业务领域提供调用服务信息的能力。核心业务流程功能包括：缴费核定管理、费用补退管理、基金征集管理、到账实收管理。</w:t>
      </w:r>
    </w:p>
    <w:p w14:paraId="0A4E287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4.2数据库列表</w:t>
      </w:r>
    </w:p>
    <w:tbl>
      <w:tblPr>
        <w:tblStyle w:val="14"/>
        <w:tblW w:w="5000" w:type="pct"/>
        <w:tblInd w:w="0" w:type="dxa"/>
        <w:tblLayout w:type="autofit"/>
        <w:tblCellMar>
          <w:top w:w="0" w:type="dxa"/>
          <w:left w:w="108" w:type="dxa"/>
          <w:bottom w:w="0" w:type="dxa"/>
          <w:right w:w="108" w:type="dxa"/>
        </w:tblCellMar>
      </w:tblPr>
      <w:tblGrid>
        <w:gridCol w:w="952"/>
        <w:gridCol w:w="1269"/>
        <w:gridCol w:w="2087"/>
        <w:gridCol w:w="2897"/>
        <w:gridCol w:w="2038"/>
      </w:tblGrid>
      <w:tr w14:paraId="42F6EECF">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EFDB5C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686" w:type="pct"/>
            <w:tcBorders>
              <w:top w:val="single" w:color="auto" w:sz="4" w:space="0"/>
              <w:left w:val="nil"/>
              <w:bottom w:val="single" w:color="auto" w:sz="4" w:space="0"/>
              <w:right w:val="single" w:color="auto" w:sz="4" w:space="0"/>
            </w:tcBorders>
            <w:shd w:val="clear" w:color="auto" w:fill="D9D9D9"/>
            <w:noWrap w:val="0"/>
            <w:vAlign w:val="center"/>
          </w:tcPr>
          <w:p w14:paraId="2EAF775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128" w:type="pct"/>
            <w:tcBorders>
              <w:top w:val="single" w:color="auto" w:sz="4" w:space="0"/>
              <w:left w:val="nil"/>
              <w:bottom w:val="single" w:color="auto" w:sz="4" w:space="0"/>
              <w:right w:val="single" w:color="auto" w:sz="4" w:space="0"/>
            </w:tcBorders>
            <w:shd w:val="clear" w:color="auto" w:fill="D9D9D9"/>
            <w:noWrap w:val="0"/>
            <w:vAlign w:val="center"/>
          </w:tcPr>
          <w:p w14:paraId="4D39BB2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1566" w:type="pct"/>
            <w:tcBorders>
              <w:top w:val="single" w:color="auto" w:sz="4" w:space="0"/>
              <w:left w:val="nil"/>
              <w:bottom w:val="single" w:color="auto" w:sz="4" w:space="0"/>
              <w:right w:val="single" w:color="auto" w:sz="4" w:space="0"/>
            </w:tcBorders>
            <w:shd w:val="clear" w:color="auto" w:fill="D9D9D9"/>
            <w:noWrap w:val="0"/>
            <w:vAlign w:val="center"/>
          </w:tcPr>
          <w:p w14:paraId="03B43D2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1102" w:type="pct"/>
            <w:tcBorders>
              <w:top w:val="single" w:color="auto" w:sz="4" w:space="0"/>
              <w:left w:val="nil"/>
              <w:bottom w:val="single" w:color="auto" w:sz="4" w:space="0"/>
              <w:right w:val="single" w:color="auto" w:sz="4" w:space="0"/>
            </w:tcBorders>
            <w:shd w:val="clear" w:color="auto" w:fill="D9D9D9"/>
            <w:noWrap w:val="0"/>
            <w:vAlign w:val="center"/>
          </w:tcPr>
          <w:p w14:paraId="796C5EF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79481E9D">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D7DEA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62814A1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AC43</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4AD55C0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人员征缴明细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19A7E0C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除城乡居民养老保险外的其他险种，本次调整机关事业单位养老保险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D59FEF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已有表，新增指标</w:t>
            </w:r>
          </w:p>
        </w:tc>
      </w:tr>
      <w:tr w14:paraId="45D11C13">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1E3FA6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05B6F4C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AB07</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312579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单位征缴明细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34A49B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除城乡居民养老保险外的其他险种，本次调整工伤保险和机关事业单位养老保险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22EE9D4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已有表，新增指标</w:t>
            </w:r>
          </w:p>
        </w:tc>
      </w:tr>
      <w:tr w14:paraId="0C0C4BB4">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893197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7949AA4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AB14</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2C1FC07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到账明细信息</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79FE1E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3AA1B77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124F5C29">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87EA4E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147838E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AC08</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406784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养老保险人员实收明细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397C82F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2A42A2A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6B548684">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7E4E66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4A5F17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AC95</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6C6BD7F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失业保险人员实收明细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466C060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707D530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B593C47">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72D9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1DB69D3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AC96</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51472D6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工伤保险人员实收明细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5F26CF0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8584D5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4FC7536">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8F1E3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41FDC66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AE22</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64D2CFF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特殊缴费记录</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09FB2A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57A9FE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AB1D075">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E8C65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733DD9A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AE38</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04630C6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欠费核销记录</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56085A4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58494A8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69B7840F">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34FC4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449C6C7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AE31</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3B5AEE8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人员退费记录</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7A8A369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42109B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9C99F0E">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EB9288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6DC0A46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AC50</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274142F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在职个人账户</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2EBEB62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7663BD9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CDD3AC4">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A204E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70B272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AC51</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1F13B90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在职人员账户年度台账</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56F2F74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3F0B923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59ADAEC">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44225D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5C6056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AB18</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1B3C7C3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缓缴事件</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56E2328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4CF689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18725B07">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5952BC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4DEF7EA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AB19</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3F08CAE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缓缴计划</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4F3B98A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407D9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A44F9B0">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34FAEA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0F3D939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AC27</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54DBE12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城乡居保人员征缴明细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47C1DE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778C5DE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78408BF">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0A2BF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1CF7E3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AC09</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277D604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城乡居保人员实收明细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3B4B87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817CB6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834319B">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94B472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16</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1A6CA82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AC11</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34E4728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城乡居保个人账户</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49EDE6E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308A796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7E08D282">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1E3839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17</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6295848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AC12</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0F5D63F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城乡居保人员账户年度台账</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0A8ABD0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城乡居民养老保险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EF0CDA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820596C">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7970A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357FD94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AC59</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144822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失业保险核定使用实收明细</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38BC0A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617A5D4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3006A01">
        <w:tblPrEx>
          <w:tblCellMar>
            <w:top w:w="0" w:type="dxa"/>
            <w:left w:w="108" w:type="dxa"/>
            <w:bottom w:w="0" w:type="dxa"/>
            <w:right w:w="108" w:type="dxa"/>
          </w:tblCellMar>
        </w:tblPrEx>
        <w:trPr>
          <w:trHeight w:val="317" w:hRule="atLeast"/>
        </w:trPr>
        <w:tc>
          <w:tcPr>
            <w:tcW w:w="515"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9A2039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w:t>
            </w:r>
          </w:p>
        </w:tc>
        <w:tc>
          <w:tcPr>
            <w:tcW w:w="686" w:type="pct"/>
            <w:tcBorders>
              <w:top w:val="single" w:color="auto" w:sz="4" w:space="0"/>
              <w:left w:val="nil"/>
              <w:bottom w:val="single" w:color="auto" w:sz="4" w:space="0"/>
              <w:right w:val="single" w:color="auto" w:sz="4" w:space="0"/>
            </w:tcBorders>
            <w:shd w:val="clear" w:color="auto" w:fill="FFFFFF"/>
            <w:noWrap/>
            <w:vAlign w:val="center"/>
          </w:tcPr>
          <w:p w14:paraId="64E148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AA55</w:t>
            </w:r>
          </w:p>
        </w:tc>
        <w:tc>
          <w:tcPr>
            <w:tcW w:w="1128" w:type="pct"/>
            <w:tcBorders>
              <w:top w:val="single" w:color="auto" w:sz="4" w:space="0"/>
              <w:left w:val="nil"/>
              <w:bottom w:val="single" w:color="auto" w:sz="4" w:space="0"/>
              <w:right w:val="single" w:color="auto" w:sz="4" w:space="0"/>
            </w:tcBorders>
            <w:shd w:val="clear" w:color="auto" w:fill="FFFFFF"/>
            <w:noWrap w:val="0"/>
            <w:vAlign w:val="center"/>
          </w:tcPr>
          <w:p w14:paraId="0240C4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工伤浮动费率信息</w:t>
            </w:r>
          </w:p>
        </w:tc>
        <w:tc>
          <w:tcPr>
            <w:tcW w:w="1566" w:type="pct"/>
            <w:tcBorders>
              <w:top w:val="single" w:color="auto" w:sz="4" w:space="0"/>
              <w:left w:val="nil"/>
              <w:bottom w:val="single" w:color="auto" w:sz="4" w:space="0"/>
              <w:right w:val="single" w:color="auto" w:sz="4" w:space="0"/>
            </w:tcBorders>
            <w:shd w:val="clear" w:color="auto" w:fill="FFFFFF"/>
            <w:noWrap w:val="0"/>
            <w:vAlign w:val="center"/>
          </w:tcPr>
          <w:p w14:paraId="48C80D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1102" w:type="pct"/>
            <w:tcBorders>
              <w:top w:val="single" w:color="auto" w:sz="4" w:space="0"/>
              <w:left w:val="nil"/>
              <w:bottom w:val="single" w:color="auto" w:sz="4" w:space="0"/>
              <w:right w:val="single" w:color="auto" w:sz="4" w:space="0"/>
            </w:tcBorders>
            <w:shd w:val="clear" w:color="auto" w:fill="FFFFFF"/>
            <w:noWrap w:val="0"/>
            <w:vAlign w:val="center"/>
          </w:tcPr>
          <w:p w14:paraId="551F1A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bl>
    <w:p w14:paraId="7DEE983E">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表3征收缴费中心数据库列表</w:t>
      </w:r>
    </w:p>
    <w:p w14:paraId="3DB1508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5、待遇核发中心</w:t>
      </w:r>
    </w:p>
    <w:p w14:paraId="7F902F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待遇核发中心主要负责社保全险种待遇核定、待遇变更及待遇发放等业务，待遇核发中心主要提供包括待遇管理、待遇支付等业务相关的查询类服务、原子业务服务和原子业务组合服务。</w:t>
      </w:r>
    </w:p>
    <w:p w14:paraId="2AF0A4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5.1逻辑结构设计</w:t>
      </w:r>
    </w:p>
    <w:p w14:paraId="6A58E51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待遇核发中心负责社保系统中养老待遇核定、待遇变更及待遇发放等业务，数据结构主要有：享受待遇人员基本信息、养老待遇享受人员信息、待遇发放信息、人员待遇待追回余额、人员待遇追回处理明细、享受待遇人员定期待遇信息、待遇审核事件、待遇补发退发信息明细、享受待遇人员非定期待遇信息、人员变更信息。</w:t>
      </w:r>
    </w:p>
    <w:p w14:paraId="0EB86D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5.2数据库列表</w:t>
      </w:r>
    </w:p>
    <w:tbl>
      <w:tblPr>
        <w:tblStyle w:val="14"/>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969"/>
        <w:gridCol w:w="2852"/>
        <w:gridCol w:w="3039"/>
        <w:gridCol w:w="1686"/>
      </w:tblGrid>
      <w:tr w14:paraId="49BC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96974A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序号</w:t>
            </w:r>
          </w:p>
        </w:tc>
        <w:tc>
          <w:tcPr>
            <w:tcW w:w="524"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2BA86D1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表编码</w:t>
            </w:r>
          </w:p>
        </w:tc>
        <w:tc>
          <w:tcPr>
            <w:tcW w:w="1542"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06335FC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表名称</w:t>
            </w:r>
          </w:p>
        </w:tc>
        <w:tc>
          <w:tcPr>
            <w:tcW w:w="1643"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507B2A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适用险种</w:t>
            </w:r>
          </w:p>
        </w:tc>
        <w:tc>
          <w:tcPr>
            <w:tcW w:w="911"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7B20620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备注</w:t>
            </w:r>
          </w:p>
        </w:tc>
      </w:tr>
      <w:tr w14:paraId="29F1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33297A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1</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0A45A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E75EE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享受待遇基本信息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0C349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5FB75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1A4B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3093B3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CBB9B3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AC70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3F339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人员待遇申请事件</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B1881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84C0D7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B43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4F9F0C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7F14F2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IC18</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3AECB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病残津贴领取资格审核</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6C8F1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694EEF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5C1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CA8BF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83C3E1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IC19</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EABB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病残津贴享受人员</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C014C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53AC33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0B1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12CE5A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D889C3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IC08</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8BE26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退休行政审批</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8D799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企业职工基本养老保险、机关事业单位养老保险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B406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已有表，新增指标</w:t>
            </w:r>
          </w:p>
        </w:tc>
      </w:tr>
      <w:tr w14:paraId="0011F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1DF1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4A90A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7FCE3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养老待遇享受人员</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5A7F0C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基本养老保险，本次调整城乡居民养老保险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1B14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已有表，新增指标</w:t>
            </w:r>
          </w:p>
        </w:tc>
      </w:tr>
      <w:tr w14:paraId="53EF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10578A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6ACA0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AC63</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3217F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待遇发放信息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C0663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B557D2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8153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1F096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01FDD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AC14</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1A40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影响待遇发放经历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31A34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4042F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BE8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58C251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7B6051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B470A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人员定期待遇项目明细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D7F48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5D43DD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F4F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C5BD3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D70C51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AC79</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42FE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人员定期待遇调整项目明细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977B7C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34B51D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2DD7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1CC25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4530CC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AC18</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87311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享受待遇人员年发一次性待遇</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3E8F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20D406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212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A58BE7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9C20C4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AC57</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AE004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享受待遇人员一次性待遇明细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3526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032582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0B97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DF83D0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FA4E7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AC76</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AB6EB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人员待遇补发扣发项目明细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D1AAA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01769B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FBF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46779F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4F3272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0472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供养亲属</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9E263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D0C91E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A784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CDCAA2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D774BC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AC90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D1805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待遇领取资格认证</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FFFF0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基本养老保险、工伤保险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3D9F2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839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2A0C6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F37534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AC64</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6646D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人员待遇待追回余额</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E1E8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433AC1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AFC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55104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2F1022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AC65</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4BEF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人员待遇追回处理明细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E1F1F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A94B63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96E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FCF822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B25451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AC13</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5C6E1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待遇退款方式</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6821E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BF9963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0CAF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769DD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42118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AC58</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C553E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人员待遇应追回到账明细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10A8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F75615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A99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BCFFF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40ADB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AC82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19E5E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人员月应付核定记录</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DEB6F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AE28A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EE08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66201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21</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446C11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AC83</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5A39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人员应付核定计划项目明细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484B4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D68543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1DBA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72226C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22</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6BD04D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3D3BB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养老待遇享受人员年账户</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B7991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基本养老保险，本次调整城乡居民养老保险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77E7F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已有表，新增指标</w:t>
            </w:r>
          </w:p>
        </w:tc>
      </w:tr>
      <w:tr w14:paraId="6CFF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26730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23</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193127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IC13</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AD084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养老待遇享受人员账户汇总信息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6A13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基本养老保险，本次调整城乡居民养老保险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5705B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已有表，新增指标</w:t>
            </w:r>
          </w:p>
        </w:tc>
      </w:tr>
      <w:tr w14:paraId="73D86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F0044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24</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96A610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IA01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342EC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待遇调整政策文件信息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C4278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58C2FA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B84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8ABD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25</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7F925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AC19</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5DF98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人员特殊工作经历信息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D39D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基本养老保险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49BF6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0DD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DC1AB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26</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784CE7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AC15</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895C5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享受待遇人员变更明细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8FAE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EA5E59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1125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D3CA6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27</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5D1FEB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AA46</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704D2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待遇项目政策文件</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06240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C3636E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CFFD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CF6853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28</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3D3E95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AA47</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A71A0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待遇计算公式配置</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696AD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FCBD49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53B0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616D7C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29</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ED95C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AC16</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2D299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待遇计算过程记录</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8BBE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2479FF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29AD7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84D4A1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30</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6FE2B0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IC02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2EAD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缴费指数明细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AFDD5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企业职工基本养老保险、机关事业单位养老保险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BF53DD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01C96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6CFA20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5BE603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IC20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8DF6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领取养老金申请事件</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B04A0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0D6105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0AC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9373A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B98964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IC21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D5595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病残津贴申请事件</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39B0E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企业职工基本养老保险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462FCA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AE6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89A5AB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AA83A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IC11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47FA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机关事业单位工作人员退休信息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A47F8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机关事业单位养老保险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B9F5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596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CB1BC6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34</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8B2B0D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IC22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F113A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机关事业单位工作人员受处分处罚信息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7498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机关事业单位养老保险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2A13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760B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417DEA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35</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60EBA2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0130D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失业待遇享受人员</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890A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24C27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1516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B497D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36</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BA37C0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79084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技能提升补贴人员明细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AACEF5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9A7806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1CD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00BEA8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37</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9073C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3FEE5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失业代缴医保（含生育）人员信息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48689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B6554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8C2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9C0059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38</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343434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JC13</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A9244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失业代缴医保（含生育）缴费信息</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F955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0EF31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67EC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FC3F91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39</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35C444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LC01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6B0BC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工伤待遇享受人员</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2DB9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B9BA2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9ED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0162CA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40</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47FEC9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LC30</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9F67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工伤申报</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F8455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DE0D4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4D5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0761E0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452F97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LC41</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A02B2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工伤医疗（康复及辅助器具配置）费用报销汇总</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FC0B1A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8518C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BC0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2B2CF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w:t>
            </w:r>
          </w:p>
        </w:tc>
        <w:tc>
          <w:tcPr>
            <w:tcW w:w="524"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DBAA58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LC42</w:t>
            </w:r>
          </w:p>
        </w:tc>
        <w:tc>
          <w:tcPr>
            <w:tcW w:w="154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C3F57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工伤医疗（康复及辅助器具配置）费报销明细</w:t>
            </w:r>
          </w:p>
        </w:tc>
        <w:tc>
          <w:tcPr>
            <w:tcW w:w="1643"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1D1B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91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E6F2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bl>
    <w:p w14:paraId="3290930A">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表4待遇核发中心数据库列表</w:t>
      </w:r>
    </w:p>
    <w:p w14:paraId="52A68B1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6、失业补贴中心</w:t>
      </w:r>
    </w:p>
    <w:p w14:paraId="08C3EE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失业补贴中心主要负责记录面向各类机构或单位的失业补贴待遇核定及待遇发放等业务。失业补贴中心主要提供包括失业补贴待遇管理、待遇支付等业务相关的查询类服务、原子业务服务和原子业务组合服务。</w:t>
      </w:r>
    </w:p>
    <w:p w14:paraId="0B9E0A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6.1逻辑结构设计</w:t>
      </w:r>
    </w:p>
    <w:p w14:paraId="61CA09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失业补贴中心负责记录面向各类机构或单位的失业补贴待遇核定及待遇发放等业务。在失业补贴中心，新增职业培训/介绍机构表（AF03）、职业培训/介绍补贴人员明细表（JC15）、失业补贴核定事件表（JB12）、稳岗返还核定表（JB13）、一次性扩岗补助核定表（JB14）、一次性扩岗补助人员明细表（JC14）、失业补贴待遇信息表（JB15）、失业补贴月应付核定汇总表（JB16）、失业补贴月应付核定明细表（JB17）、失业补贴补发扣发信息表（JB18）、失业补贴待追回余额表（JB19）及失业补贴追回处理明细表（JB20）。</w:t>
      </w:r>
    </w:p>
    <w:p w14:paraId="15A83F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461"/>
        <w:gridCol w:w="3119"/>
        <w:gridCol w:w="1567"/>
        <w:gridCol w:w="2024"/>
      </w:tblGrid>
      <w:tr w14:paraId="1C2A2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3A9DEBD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序号</w:t>
            </w:r>
          </w:p>
        </w:tc>
        <w:tc>
          <w:tcPr>
            <w:tcW w:w="790"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641E76D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表编码</w:t>
            </w:r>
          </w:p>
        </w:tc>
        <w:tc>
          <w:tcPr>
            <w:tcW w:w="168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45B55B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表名称</w:t>
            </w:r>
          </w:p>
        </w:tc>
        <w:tc>
          <w:tcPr>
            <w:tcW w:w="847"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1330187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适用险种</w:t>
            </w:r>
          </w:p>
        </w:tc>
        <w:tc>
          <w:tcPr>
            <w:tcW w:w="1094"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6242C9A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备注</w:t>
            </w:r>
          </w:p>
        </w:tc>
      </w:tr>
      <w:tr w14:paraId="77D39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BD44BB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1</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4C4353D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AF03</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ABAAD7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职业培训/介绍机构</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6910C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FFFDF6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95DB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1811C0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E67A4F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JC15</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12818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职业培训/介绍补贴人员明细</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46948C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C4122B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27B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57F6B6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1DF312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JB12</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FEB71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失业补贴核定事件</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3E1E37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D6B83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4A4EE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DA9290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1F1EBF6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JB13</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47548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稳岗返还核定</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B8B41F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004CBD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58D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78AFF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2D8EAE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JB14</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73F230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一次性扩岗补助核定</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E47207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A426FE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A472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D5B9E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32A8453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JC14</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E2BE4D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一次性扩岗补助人员明细</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08F7D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C54DA8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847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68049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691C60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JB15</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83DBA8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失业补贴待遇信息</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B8136E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D3C4C4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2AA8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81F761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2F09EFC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JB16</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445E2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失业补贴月应付核定汇总</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568C5F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4E501D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4B6C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B804F4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6897201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JB17</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6E504E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失业补贴月应付核定明细</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CC8EAA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9048D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2DE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4AF3A6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367A573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JB18</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40E90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失业补贴补发扣发信息</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722F2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E1D520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F2A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D63505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04826BC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JB19</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FF445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失业补贴待追回余额</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7676BD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F27E6F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2DB7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3543B4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w:t>
            </w:r>
          </w:p>
        </w:tc>
        <w:tc>
          <w:tcPr>
            <w:tcW w:w="790" w:type="pct"/>
            <w:tcBorders>
              <w:top w:val="single" w:color="auto" w:sz="4" w:space="0"/>
              <w:left w:val="single" w:color="auto" w:sz="4" w:space="0"/>
              <w:bottom w:val="single" w:color="auto" w:sz="4" w:space="0"/>
              <w:right w:val="single" w:color="auto" w:sz="4" w:space="0"/>
            </w:tcBorders>
            <w:shd w:val="clear" w:color="auto" w:fill="FFFFFF"/>
            <w:noWrap/>
            <w:vAlign w:val="top"/>
          </w:tcPr>
          <w:p w14:paraId="2CB3CA1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JB20</w:t>
            </w:r>
          </w:p>
        </w:tc>
        <w:tc>
          <w:tcPr>
            <w:tcW w:w="1686"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3296B0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失业补贴追回处理明细</w:t>
            </w:r>
          </w:p>
        </w:tc>
        <w:tc>
          <w:tcPr>
            <w:tcW w:w="8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58AABA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失业保险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E55A20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bl>
    <w:p w14:paraId="23851A13">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表5失业补贴中心数据库列表</w:t>
      </w:r>
    </w:p>
    <w:p w14:paraId="7ECC11BE">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7、工伤认定鉴定中心</w:t>
      </w:r>
    </w:p>
    <w:p w14:paraId="797872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认定鉴定中心主要负责记录社会保险行政部门的工伤认定，劳动能力鉴定部门的工伤职工劳动能力鉴定、因病或非因工致残人员丧失劳动能力鉴定等业务。工伤认定鉴定中心主要提供包括工伤认定、劳动能力鉴定等业务相关的查询类服务、原子业务服务和原子业务组合服务。</w:t>
      </w:r>
    </w:p>
    <w:p w14:paraId="13A217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7.1逻辑结构设计</w:t>
      </w:r>
    </w:p>
    <w:p w14:paraId="6B97769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认定鉴定中心负责记录社会保险行政部门的工伤认定，劳动能力鉴定部门的工伤职工劳动能力鉴定、因病或非因工致残人员丧失劳动能力鉴定等业务。在工伤认定鉴定中心，新增工伤认定申请及结论表（LC31）、劳动能力鉴定申请表（LC50）、劳动能力鉴定结论表（LC03）、辅助器具配置确认表（LC51）、鉴定专家信息表（LC52）、鉴定专家意见表（LC53）、鉴定专家组意见表（LC54）、伤害部位信息表（LC55）、职业病信息表（LC56）、护理项目信息表（LC57）、科别信息表（LC58）、回避日信息表（LC59）、工伤文书信息表（LC60）、工伤文书送达信息表（LC61）、鉴定批次信息表（LC62）、抽取专家信息表（LC63）、工伤认定鉴定变更事件表（LC64）、工伤认定鉴定变更明细表（LC65）、劳动能力鉴定费用核定支付（LB40）及职业伤害委托承办费用核定支付（LB41）。</w:t>
      </w:r>
    </w:p>
    <w:p w14:paraId="35B9DB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53"/>
        <w:gridCol w:w="2751"/>
        <w:gridCol w:w="1841"/>
        <w:gridCol w:w="2024"/>
      </w:tblGrid>
      <w:tr w14:paraId="0AF8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661E1B3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序号</w:t>
            </w:r>
          </w:p>
        </w:tc>
        <w:tc>
          <w:tcPr>
            <w:tcW w:w="840"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627F0D8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表编码</w:t>
            </w:r>
          </w:p>
        </w:tc>
        <w:tc>
          <w:tcPr>
            <w:tcW w:w="1487"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6E466AB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表名称</w:t>
            </w:r>
          </w:p>
        </w:tc>
        <w:tc>
          <w:tcPr>
            <w:tcW w:w="995"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1A17714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适用险种</w:t>
            </w:r>
          </w:p>
        </w:tc>
        <w:tc>
          <w:tcPr>
            <w:tcW w:w="1094"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24AF870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备注</w:t>
            </w:r>
          </w:p>
        </w:tc>
      </w:tr>
      <w:tr w14:paraId="464F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9E61C5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1</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15796C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LC31</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9C27C2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工伤认定申请及结论</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5FFEAB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9DCB5E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4589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919E82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1E6BD33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LC50</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294E95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劳动能力鉴定申请</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07C717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783A2E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41CF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987295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214ACDB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LC03</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0A9C5E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劳动能力鉴定结论</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E4C8B6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2AAEB3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61308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5A5BF8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769F9BD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LC51</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59E6AB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辅助器具配置确认</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FFC38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27B682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826F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C64F49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4177205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LC52</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71BFCA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鉴定专家信息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42F84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27A57B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47B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C4A6B6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1FD115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LC53</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89A0F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鉴定专家意见</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7670C7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592D4F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6C8E3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9C198F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63AAD73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LC54</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A13792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鉴定专家组意见</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D89834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76EC3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956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8D2C59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9136BB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LC55</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30EF5E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伤害部位信息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9F9AAC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699DAF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4220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341D4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4DBB47B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LC56</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EE0630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职业病信息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CA6DF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5425DD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34D7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90117A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759E2E8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LC57</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DA2540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护理项目信息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E907A1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E41E2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2A46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DDC1C8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7382FB3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LC58</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C99E10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科别信息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4A305D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86402B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5D8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5AC86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3E0A39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LC59</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9BB837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回避日信息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212039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E13F5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4A6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9E409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6C085E7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LC60</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2106FB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工伤文书信息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B9A377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79C12B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722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CB1C7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F8AA4E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LC61</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EA4D92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工伤文书送达信息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11548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47840A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0A405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81C3E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056425B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LC62</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4873D4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鉴定批次信息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68D86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1E125E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76D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D45AA6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26ABEE1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LC63</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6A429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抽取专家信息</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21F169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8AE0EF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7AD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F5C1B6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06B72B5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LC64</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9E44AC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工伤认定鉴定变更事件</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FEBA6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EC0382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52C4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15FB0F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301F0AD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LC65</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E70FE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工伤认定鉴定变更明细</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B010B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0513DE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3D28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B5944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7CB19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LB40</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69B3E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劳动能力鉴定费用核定支付</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23751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8AC6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r w14:paraId="7131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3FEB7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F0690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LB41</w:t>
            </w:r>
          </w:p>
        </w:tc>
        <w:tc>
          <w:tcPr>
            <w:tcW w:w="148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6E0A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职业伤害委托承办费用核定支付</w:t>
            </w:r>
          </w:p>
        </w:tc>
        <w:tc>
          <w:tcPr>
            <w:tcW w:w="99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13BA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工伤保险</w:t>
            </w:r>
          </w:p>
        </w:tc>
        <w:tc>
          <w:tcPr>
            <w:tcW w:w="109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009C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新增表</w:t>
            </w:r>
          </w:p>
        </w:tc>
      </w:tr>
    </w:tbl>
    <w:p w14:paraId="5795695A">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表6 工伤认定鉴定中心数据库列表</w:t>
      </w:r>
    </w:p>
    <w:p w14:paraId="0A497D8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8、工伤医疗管理中心</w:t>
      </w:r>
    </w:p>
    <w:p w14:paraId="19B61C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医疗管理中心主要负责与工伤医疗、康复项目及辅助器具配置管理及直接结算相关业务。工伤医疗管理中心主要提供包括工伤医疗管理、康复项目管理、辅助器具管理等业务相关的查询类服务、原子业务服务和原子业务组合服务。</w:t>
      </w:r>
    </w:p>
    <w:p w14:paraId="406B5F6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8.1逻辑结构设计</w:t>
      </w:r>
    </w:p>
    <w:p w14:paraId="7D899B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医疗管理中心负责与工伤医疗、康复项目及辅助器具配置管理及直接结算相关业务。在工伤医疗管理中心，新增工伤药品目录表（LA10）、工伤诊疗项目及服务设施目录表（LA11）、工伤医用材料目录表（LA12）、工伤辅助器具项目表（LA06）、工伤医疗最高支付限额信息表（LA07）、工伤病种信息表（LA08）、工伤康复项目表（LA09）、工伤协议机构信息表（LB01）、工伤普通医疗就诊备案信息表（LC20）、工伤辅助器具项目申请及结论表（LC21）、工伤康复项目申请及结论表（LC22）、工伤保险异地就医备案信息表（LC23）、工伤医疗费就诊资料信息表（LC24）、工伤医疗费处方明细信息表（LC25）、工伤医疗费结算信息表（LC26）、工伤辅助器具配置就诊资料信息表（LC47）、工伤辅助器具配置结算明细表（LC43）、工伤辅助器具配置结算信息表（LC44）、工伤康复项目就诊资料信息表（LC48）、工伤康复项目结算明细表（LC45）、工伤康复项目结算信息表（LC46）、工伤审核扣款信息表（LB06）、工伤月结算汇总信息表（LB03）、工伤月结算明细信息表（LB04）、工伤协议机构年度结算信息表（LB02）、工伤协议机构待追回余额表（LB05）、工伤协议机构追回处理明细表（LB08）、工伤医疗（康复及辅助器具配置）变更事件表（LB09）及工伤医疗（康复及辅助器具配置）变更明细表（LB10）。</w:t>
      </w:r>
    </w:p>
    <w:p w14:paraId="4698F3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287"/>
        <w:gridCol w:w="4572"/>
        <w:gridCol w:w="1363"/>
        <w:gridCol w:w="1012"/>
      </w:tblGrid>
      <w:tr w14:paraId="69793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214FDAE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696"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36868DB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2472"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885860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737"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75E7B2D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547"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381431B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70F2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C794F1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1</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4552F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LA10</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A8C2B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工伤药品目录</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9CD87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46809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C7D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A7FF67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35494C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LA11</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771E0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工伤诊疗项目及服务设施目录</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D8203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18323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7C1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84487B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E09851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LA12</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17A53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工伤医用材料目录</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044A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8C2933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270A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B2C1B2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5AAB7C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LA06</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D6E92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工伤辅助器具项目</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7CEB4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EF3D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A012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459E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6A39E7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LA07</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2AF82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工伤医疗最高支付限额信息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962E0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FB05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FB2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0FEBDB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8FB624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LA08</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B032C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工伤病种信息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F81DE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3A800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E00E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0018CF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22F0CC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LA09</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6C6AD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工伤康复项目</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26851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1914BF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D86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1DCD8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FEACF3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LB01</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5F152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工伤协议机构信息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1256A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7621DF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3781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F6850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42A041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LC20</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4E9D1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工伤普通医疗就诊备案信息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FED1F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BEA1F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ADF9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8E556C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356E2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LC21</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4122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工伤辅助器具项目申请及结论</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C036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01C1D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3BE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7ABB85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D284ED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LC22</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225AF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工伤康复项目申请及结论</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4EE77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6F76D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2FCD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A22A84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73F49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LC23</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A8E51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工伤保险异地就医备案信息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35FFD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EB13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A74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69BB2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90D6D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LC24</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F5F47D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工伤医疗费就诊资料信息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AB154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B7CA5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ABA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F2056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5F03A9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LC25</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5190D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工伤医疗费处方明细信息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40EE8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DCA86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F89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DFF63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50F28D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LC26</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2DFBBB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工伤医疗费结算信息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135B4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2802B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5D8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6106DF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16</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0EDA8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LC47</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FD5A3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工伤辅助器具配置就诊资料信息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95F0F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DAF8CC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64E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CD590E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17</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DE00F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LC43</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92CE0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工伤辅助器具配置结算明细</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6D67E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CA23C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2827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7ED574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0D58D3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LC44</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E82C57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工伤辅助器具配置结算信息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7A287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90AB0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29E21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4DF0CC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255C44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LC48</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F0A90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工伤康复项目就诊资料信息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E3E59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0A362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A15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87304E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169D6F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LC45</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9AD2EC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工伤康复项目结算明细</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76B6C2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DFD205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91C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CF91DF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21</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044A0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LC46</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41E09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工伤康复项目结算信息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68C6E6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3008B8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6C3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B02F50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22</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670692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LB06</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E4EE1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工伤审核扣款信息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2195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1CE7A4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1064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62D105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1EF940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LB03</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E8B4BF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工伤月结算汇总信息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9ADB0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A986C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AC44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BC7470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24</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C41BD0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LB04</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27C86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工伤月结算明细信息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CCC97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DD063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29E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020365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40847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LB02</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96D0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工伤协议机构年度结算信息</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E9AC3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55E4E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A0B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264377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26</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0173AB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LB05</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B8142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工伤协议机构待追回余额</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2D88A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478D9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10DE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7A4EC9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27</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BD8634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LB08</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7429A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工伤协议机构追回处理明细</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109699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40107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728E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21837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73DC25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LB09</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0132A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工伤医疗（康复及辅助器具配置）变更事件</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BCE01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C876E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BF4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4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6431A1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29</w:t>
            </w:r>
          </w:p>
        </w:tc>
        <w:tc>
          <w:tcPr>
            <w:tcW w:w="696"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A7A301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LB10</w:t>
            </w:r>
          </w:p>
        </w:tc>
        <w:tc>
          <w:tcPr>
            <w:tcW w:w="2472"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9AC40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工伤医疗（康复及辅助器具配置）变更明细</w:t>
            </w:r>
          </w:p>
        </w:tc>
        <w:tc>
          <w:tcPr>
            <w:tcW w:w="7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837B3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54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1220C5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bl>
    <w:p w14:paraId="7A0A3D48">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表7工伤医疗管理中心数据库列表</w:t>
      </w:r>
    </w:p>
    <w:p w14:paraId="30978ED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9、工伤预防管理中心</w:t>
      </w:r>
    </w:p>
    <w:p w14:paraId="36B37F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预防管理中心主要负责记录工伤预防项目实施情况和工伤预防费用使用情况。工伤预防管理中心主要提供包括工伤预防项目管理、工伤预防费用管理等业务相关的查询类服务、原子业务服务和原子业务组合服务。</w:t>
      </w:r>
    </w:p>
    <w:p w14:paraId="3375DD0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9.1逻辑结构设计</w:t>
      </w:r>
    </w:p>
    <w:p w14:paraId="5A886C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伤预防管理中心负责记录工伤预防项目实施情况和工伤预防费用使用情况。在工伤预防管理中心，新增工伤预防项目登记信息表（LB30）、工伤预防项目费用支付表（LB31）、工伤预防项目变更事件表（LB32）及工伤预防项目变更明细表（LB33）。</w:t>
      </w:r>
    </w:p>
    <w:p w14:paraId="0371DC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1553"/>
        <w:gridCol w:w="3124"/>
        <w:gridCol w:w="1901"/>
        <w:gridCol w:w="1590"/>
      </w:tblGrid>
      <w:tr w14:paraId="2495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0A2DEAA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序号</w:t>
            </w:r>
          </w:p>
        </w:tc>
        <w:tc>
          <w:tcPr>
            <w:tcW w:w="840"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7953709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表编码</w:t>
            </w:r>
          </w:p>
        </w:tc>
        <w:tc>
          <w:tcPr>
            <w:tcW w:w="168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2EECF5B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表名称</w:t>
            </w:r>
          </w:p>
        </w:tc>
        <w:tc>
          <w:tcPr>
            <w:tcW w:w="1028"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7F16BEF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适用险种</w:t>
            </w:r>
          </w:p>
        </w:tc>
        <w:tc>
          <w:tcPr>
            <w:tcW w:w="860"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32A1518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lang w:bidi="ar"/>
              </w:rPr>
            </w:pPr>
            <w:r>
              <w:rPr>
                <w:rFonts w:hint="eastAsia" w:ascii="宋体" w:hAnsi="宋体" w:eastAsia="宋体" w:cs="宋体"/>
                <w:b/>
                <w:bCs/>
                <w:color w:val="auto"/>
                <w:kern w:val="0"/>
                <w:sz w:val="22"/>
                <w:szCs w:val="22"/>
                <w:highlight w:val="none"/>
                <w:lang w:bidi="ar"/>
              </w:rPr>
              <w:t>备注</w:t>
            </w:r>
          </w:p>
        </w:tc>
      </w:tr>
      <w:tr w14:paraId="50E6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DC5767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6E84F17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LB30</w:t>
            </w:r>
          </w:p>
        </w:tc>
        <w:tc>
          <w:tcPr>
            <w:tcW w:w="1689"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726685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工伤预防项目登记信息</w:t>
            </w:r>
          </w:p>
        </w:tc>
        <w:tc>
          <w:tcPr>
            <w:tcW w:w="1028"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B6F08B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工伤保险</w:t>
            </w:r>
          </w:p>
        </w:tc>
        <w:tc>
          <w:tcPr>
            <w:tcW w:w="860"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7B3E61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新增表</w:t>
            </w:r>
          </w:p>
        </w:tc>
      </w:tr>
      <w:tr w14:paraId="3AB58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A32E05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5504532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LB31</w:t>
            </w:r>
          </w:p>
        </w:tc>
        <w:tc>
          <w:tcPr>
            <w:tcW w:w="1689"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002C1C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工伤预防项目费用支付</w:t>
            </w:r>
          </w:p>
        </w:tc>
        <w:tc>
          <w:tcPr>
            <w:tcW w:w="1028"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64EA077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工伤保险</w:t>
            </w:r>
          </w:p>
        </w:tc>
        <w:tc>
          <w:tcPr>
            <w:tcW w:w="860"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5DD6FF9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新增表</w:t>
            </w:r>
          </w:p>
        </w:tc>
      </w:tr>
      <w:tr w14:paraId="3949B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21C994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12428E8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LB32</w:t>
            </w:r>
          </w:p>
        </w:tc>
        <w:tc>
          <w:tcPr>
            <w:tcW w:w="1689"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43A8955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工伤预防项目变更事件</w:t>
            </w:r>
          </w:p>
        </w:tc>
        <w:tc>
          <w:tcPr>
            <w:tcW w:w="1028"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E2431C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工伤保险</w:t>
            </w:r>
          </w:p>
        </w:tc>
        <w:tc>
          <w:tcPr>
            <w:tcW w:w="860"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207E2C6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新增表</w:t>
            </w:r>
          </w:p>
        </w:tc>
      </w:tr>
      <w:tr w14:paraId="4BCBF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58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1954CC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w:t>
            </w:r>
          </w:p>
        </w:tc>
        <w:tc>
          <w:tcPr>
            <w:tcW w:w="840" w:type="pct"/>
            <w:tcBorders>
              <w:top w:val="single" w:color="auto" w:sz="4" w:space="0"/>
              <w:left w:val="single" w:color="auto" w:sz="4" w:space="0"/>
              <w:bottom w:val="single" w:color="auto" w:sz="4" w:space="0"/>
              <w:right w:val="single" w:color="auto" w:sz="4" w:space="0"/>
            </w:tcBorders>
            <w:shd w:val="clear" w:color="auto" w:fill="FFFFFF"/>
            <w:noWrap/>
            <w:vAlign w:val="top"/>
          </w:tcPr>
          <w:p w14:paraId="4373D28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LB33</w:t>
            </w:r>
          </w:p>
        </w:tc>
        <w:tc>
          <w:tcPr>
            <w:tcW w:w="1689"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16B0C55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工伤预防项目变更明细</w:t>
            </w:r>
          </w:p>
        </w:tc>
        <w:tc>
          <w:tcPr>
            <w:tcW w:w="1028"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362CDD2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工伤保险</w:t>
            </w:r>
          </w:p>
        </w:tc>
        <w:tc>
          <w:tcPr>
            <w:tcW w:w="860" w:type="pct"/>
            <w:tcBorders>
              <w:top w:val="single" w:color="auto" w:sz="4" w:space="0"/>
              <w:left w:val="single" w:color="auto" w:sz="4" w:space="0"/>
              <w:bottom w:val="single" w:color="auto" w:sz="4" w:space="0"/>
              <w:right w:val="single" w:color="auto" w:sz="4" w:space="0"/>
            </w:tcBorders>
            <w:shd w:val="clear" w:color="auto" w:fill="FFFFFF"/>
            <w:noWrap w:val="0"/>
            <w:vAlign w:val="top"/>
          </w:tcPr>
          <w:p w14:paraId="73995DB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新增表</w:t>
            </w:r>
          </w:p>
        </w:tc>
      </w:tr>
    </w:tbl>
    <w:p w14:paraId="774A4453">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表8工伤预防管理中心数据库列表</w:t>
      </w:r>
    </w:p>
    <w:p w14:paraId="37F8754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10、关系转移中心</w:t>
      </w:r>
    </w:p>
    <w:p w14:paraId="67E1AB9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关系转移中心，主要是对社会保险关系转移进行统一规范的管理，包括保险关系转入申请、养老保险关系转出、养老保险关系转入及相关信息的查询维护。关系转移中心主要提供包括基本养老保险关系转移、退役军人养老保险关系转移、跨制度衔接等业务相关的查询类服务和原子业务服务。</w:t>
      </w:r>
    </w:p>
    <w:p w14:paraId="4D387A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10.1逻辑结构设计</w:t>
      </w:r>
    </w:p>
    <w:p w14:paraId="5A027E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关系转移中心，对社会保险关系转移进行统一规范的管理，包括保险关系转入申请、养老保险关系转出、养老保险关系转入及相关信息的查询维护。</w:t>
      </w:r>
    </w:p>
    <w:p w14:paraId="531CFC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10.2数据库列表</w:t>
      </w:r>
    </w:p>
    <w:tbl>
      <w:tblPr>
        <w:tblStyle w:val="14"/>
        <w:tblW w:w="5000" w:type="pct"/>
        <w:tblInd w:w="0" w:type="dxa"/>
        <w:tblLayout w:type="fixed"/>
        <w:tblCellMar>
          <w:top w:w="0" w:type="dxa"/>
          <w:left w:w="108" w:type="dxa"/>
          <w:bottom w:w="0" w:type="dxa"/>
          <w:right w:w="108" w:type="dxa"/>
        </w:tblCellMar>
      </w:tblPr>
      <w:tblGrid>
        <w:gridCol w:w="1040"/>
        <w:gridCol w:w="1556"/>
        <w:gridCol w:w="2887"/>
        <w:gridCol w:w="2443"/>
        <w:gridCol w:w="1317"/>
      </w:tblGrid>
      <w:tr w14:paraId="13F7EC9A">
        <w:tblPrEx>
          <w:tblCellMar>
            <w:top w:w="0" w:type="dxa"/>
            <w:left w:w="108" w:type="dxa"/>
            <w:bottom w:w="0" w:type="dxa"/>
            <w:right w:w="108" w:type="dxa"/>
          </w:tblCellMar>
        </w:tblPrEx>
        <w:trPr>
          <w:trHeight w:val="317" w:hRule="atLeast"/>
        </w:trPr>
        <w:tc>
          <w:tcPr>
            <w:tcW w:w="563" w:type="pct"/>
            <w:tcBorders>
              <w:top w:val="single" w:color="auto" w:sz="4" w:space="0"/>
              <w:left w:val="single" w:color="auto" w:sz="4" w:space="0"/>
              <w:bottom w:val="single" w:color="auto" w:sz="4" w:space="0"/>
              <w:right w:val="single" w:color="auto" w:sz="4" w:space="0"/>
            </w:tcBorders>
            <w:shd w:val="clear" w:color="auto" w:fill="D9D9D9"/>
            <w:noWrap/>
            <w:vAlign w:val="center"/>
          </w:tcPr>
          <w:p w14:paraId="5E7934E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841" w:type="pct"/>
            <w:tcBorders>
              <w:top w:val="single" w:color="auto" w:sz="4" w:space="0"/>
              <w:left w:val="nil"/>
              <w:bottom w:val="single" w:color="auto" w:sz="4" w:space="0"/>
              <w:right w:val="single" w:color="auto" w:sz="4" w:space="0"/>
            </w:tcBorders>
            <w:shd w:val="clear" w:color="auto" w:fill="D9D9D9"/>
            <w:noWrap/>
            <w:vAlign w:val="center"/>
          </w:tcPr>
          <w:p w14:paraId="096AB77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561" w:type="pct"/>
            <w:tcBorders>
              <w:top w:val="single" w:color="auto" w:sz="4" w:space="0"/>
              <w:left w:val="nil"/>
              <w:bottom w:val="single" w:color="auto" w:sz="4" w:space="0"/>
              <w:right w:val="single" w:color="auto" w:sz="4" w:space="0"/>
            </w:tcBorders>
            <w:shd w:val="clear" w:color="auto" w:fill="D9D9D9"/>
            <w:noWrap/>
            <w:vAlign w:val="center"/>
          </w:tcPr>
          <w:p w14:paraId="6F78A7F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1320" w:type="pct"/>
            <w:tcBorders>
              <w:top w:val="single" w:color="auto" w:sz="4" w:space="0"/>
              <w:left w:val="nil"/>
              <w:bottom w:val="single" w:color="auto" w:sz="4" w:space="0"/>
              <w:right w:val="single" w:color="auto" w:sz="4" w:space="0"/>
            </w:tcBorders>
            <w:shd w:val="clear" w:color="auto" w:fill="D9D9D9"/>
            <w:noWrap w:val="0"/>
            <w:vAlign w:val="center"/>
          </w:tcPr>
          <w:p w14:paraId="101C1F0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712" w:type="pct"/>
            <w:tcBorders>
              <w:top w:val="single" w:color="auto" w:sz="4" w:space="0"/>
              <w:left w:val="nil"/>
              <w:bottom w:val="single" w:color="auto" w:sz="4" w:space="0"/>
              <w:right w:val="single" w:color="auto" w:sz="4" w:space="0"/>
            </w:tcBorders>
            <w:shd w:val="clear" w:color="auto" w:fill="D9D9D9"/>
            <w:noWrap w:val="0"/>
            <w:vAlign w:val="center"/>
          </w:tcPr>
          <w:p w14:paraId="0B6B11C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01E0A1E9">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74CB11C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w:t>
            </w:r>
          </w:p>
        </w:tc>
        <w:tc>
          <w:tcPr>
            <w:tcW w:w="841" w:type="pct"/>
            <w:tcBorders>
              <w:top w:val="nil"/>
              <w:left w:val="nil"/>
              <w:bottom w:val="single" w:color="auto" w:sz="4" w:space="0"/>
              <w:right w:val="single" w:color="auto" w:sz="4" w:space="0"/>
            </w:tcBorders>
            <w:noWrap/>
            <w:vAlign w:val="center"/>
          </w:tcPr>
          <w:p w14:paraId="0DB9D5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IC65</w:t>
            </w:r>
          </w:p>
        </w:tc>
        <w:tc>
          <w:tcPr>
            <w:tcW w:w="1561" w:type="pct"/>
            <w:tcBorders>
              <w:top w:val="nil"/>
              <w:left w:val="nil"/>
              <w:bottom w:val="single" w:color="auto" w:sz="4" w:space="0"/>
              <w:right w:val="single" w:color="auto" w:sz="4" w:space="0"/>
            </w:tcBorders>
            <w:noWrap/>
            <w:vAlign w:val="center"/>
          </w:tcPr>
          <w:p w14:paraId="3F6F3FD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机关基本养老保险关系转移接续联系函信息</w:t>
            </w:r>
          </w:p>
        </w:tc>
        <w:tc>
          <w:tcPr>
            <w:tcW w:w="1320" w:type="pct"/>
            <w:tcBorders>
              <w:top w:val="nil"/>
              <w:left w:val="nil"/>
              <w:bottom w:val="single" w:color="auto" w:sz="4" w:space="0"/>
              <w:right w:val="single" w:color="auto" w:sz="4" w:space="0"/>
            </w:tcBorders>
            <w:noWrap w:val="0"/>
            <w:vAlign w:val="center"/>
          </w:tcPr>
          <w:p w14:paraId="15BFDBB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center"/>
          </w:tcPr>
          <w:p w14:paraId="7C95526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05FBABF0">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2DFB05B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841" w:type="pct"/>
            <w:tcBorders>
              <w:top w:val="nil"/>
              <w:left w:val="nil"/>
              <w:bottom w:val="single" w:color="auto" w:sz="4" w:space="0"/>
              <w:right w:val="single" w:color="auto" w:sz="4" w:space="0"/>
            </w:tcBorders>
            <w:noWrap/>
            <w:vAlign w:val="center"/>
          </w:tcPr>
          <w:p w14:paraId="2D0E7D4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IC66</w:t>
            </w:r>
          </w:p>
        </w:tc>
        <w:tc>
          <w:tcPr>
            <w:tcW w:w="1561" w:type="pct"/>
            <w:tcBorders>
              <w:top w:val="nil"/>
              <w:left w:val="nil"/>
              <w:bottom w:val="single" w:color="auto" w:sz="4" w:space="0"/>
              <w:right w:val="single" w:color="auto" w:sz="4" w:space="0"/>
            </w:tcBorders>
            <w:noWrap/>
            <w:vAlign w:val="center"/>
          </w:tcPr>
          <w:p w14:paraId="7817C18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机关参保人员基本信息及养老保险基金转移信息</w:t>
            </w:r>
          </w:p>
        </w:tc>
        <w:tc>
          <w:tcPr>
            <w:tcW w:w="1320" w:type="pct"/>
            <w:tcBorders>
              <w:top w:val="nil"/>
              <w:left w:val="nil"/>
              <w:bottom w:val="single" w:color="auto" w:sz="4" w:space="0"/>
              <w:right w:val="single" w:color="auto" w:sz="4" w:space="0"/>
            </w:tcBorders>
            <w:noWrap w:val="0"/>
            <w:vAlign w:val="center"/>
          </w:tcPr>
          <w:p w14:paraId="69510F4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top"/>
          </w:tcPr>
          <w:p w14:paraId="7D81415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22A2641">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3EBAFCA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841" w:type="pct"/>
            <w:tcBorders>
              <w:top w:val="nil"/>
              <w:left w:val="nil"/>
              <w:bottom w:val="single" w:color="auto" w:sz="4" w:space="0"/>
              <w:right w:val="single" w:color="auto" w:sz="4" w:space="0"/>
            </w:tcBorders>
            <w:noWrap/>
            <w:vAlign w:val="center"/>
          </w:tcPr>
          <w:p w14:paraId="782FA2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IC67</w:t>
            </w:r>
          </w:p>
        </w:tc>
        <w:tc>
          <w:tcPr>
            <w:tcW w:w="1561" w:type="pct"/>
            <w:tcBorders>
              <w:top w:val="nil"/>
              <w:left w:val="nil"/>
              <w:bottom w:val="single" w:color="auto" w:sz="4" w:space="0"/>
              <w:right w:val="single" w:color="auto" w:sz="4" w:space="0"/>
            </w:tcBorders>
            <w:noWrap/>
            <w:vAlign w:val="center"/>
          </w:tcPr>
          <w:p w14:paraId="0EF693E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机关参保人员历年缴费及个人账户记账信息</w:t>
            </w:r>
          </w:p>
        </w:tc>
        <w:tc>
          <w:tcPr>
            <w:tcW w:w="1320" w:type="pct"/>
            <w:tcBorders>
              <w:top w:val="nil"/>
              <w:left w:val="nil"/>
              <w:bottom w:val="single" w:color="auto" w:sz="4" w:space="0"/>
              <w:right w:val="single" w:color="auto" w:sz="4" w:space="0"/>
            </w:tcBorders>
            <w:noWrap w:val="0"/>
            <w:vAlign w:val="center"/>
          </w:tcPr>
          <w:p w14:paraId="2CB621B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top"/>
          </w:tcPr>
          <w:p w14:paraId="4AF1E10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061B514">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3756A8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c>
          <w:tcPr>
            <w:tcW w:w="841" w:type="pct"/>
            <w:tcBorders>
              <w:top w:val="nil"/>
              <w:left w:val="nil"/>
              <w:bottom w:val="single" w:color="auto" w:sz="4" w:space="0"/>
              <w:right w:val="single" w:color="auto" w:sz="4" w:space="0"/>
            </w:tcBorders>
            <w:noWrap/>
            <w:vAlign w:val="center"/>
          </w:tcPr>
          <w:p w14:paraId="0D39FFB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IC68</w:t>
            </w:r>
          </w:p>
        </w:tc>
        <w:tc>
          <w:tcPr>
            <w:tcW w:w="1561" w:type="pct"/>
            <w:tcBorders>
              <w:top w:val="nil"/>
              <w:left w:val="nil"/>
              <w:bottom w:val="single" w:color="auto" w:sz="4" w:space="0"/>
              <w:right w:val="single" w:color="auto" w:sz="4" w:space="0"/>
            </w:tcBorders>
            <w:noWrap/>
            <w:vAlign w:val="center"/>
          </w:tcPr>
          <w:p w14:paraId="627F764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机关基本养老保险信息表附表信息</w:t>
            </w:r>
          </w:p>
        </w:tc>
        <w:tc>
          <w:tcPr>
            <w:tcW w:w="1320" w:type="pct"/>
            <w:tcBorders>
              <w:top w:val="nil"/>
              <w:left w:val="nil"/>
              <w:bottom w:val="single" w:color="auto" w:sz="4" w:space="0"/>
              <w:right w:val="single" w:color="auto" w:sz="4" w:space="0"/>
            </w:tcBorders>
            <w:noWrap w:val="0"/>
            <w:vAlign w:val="center"/>
          </w:tcPr>
          <w:p w14:paraId="21DEA7A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top"/>
          </w:tcPr>
          <w:p w14:paraId="74F2797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DE514D7">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EC3727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c>
          <w:tcPr>
            <w:tcW w:w="841" w:type="pct"/>
            <w:tcBorders>
              <w:top w:val="nil"/>
              <w:left w:val="nil"/>
              <w:bottom w:val="single" w:color="auto" w:sz="4" w:space="0"/>
              <w:right w:val="single" w:color="auto" w:sz="4" w:space="0"/>
            </w:tcBorders>
            <w:noWrap/>
            <w:vAlign w:val="center"/>
          </w:tcPr>
          <w:p w14:paraId="389D387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IC70</w:t>
            </w:r>
          </w:p>
        </w:tc>
        <w:tc>
          <w:tcPr>
            <w:tcW w:w="1561" w:type="pct"/>
            <w:tcBorders>
              <w:top w:val="nil"/>
              <w:left w:val="nil"/>
              <w:bottom w:val="single" w:color="auto" w:sz="4" w:space="0"/>
              <w:right w:val="single" w:color="auto" w:sz="4" w:space="0"/>
            </w:tcBorders>
            <w:noWrap/>
            <w:vAlign w:val="center"/>
          </w:tcPr>
          <w:p w14:paraId="450F42B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城乡养老保险制度衔接申请表</w:t>
            </w:r>
          </w:p>
        </w:tc>
        <w:tc>
          <w:tcPr>
            <w:tcW w:w="1320" w:type="pct"/>
            <w:tcBorders>
              <w:top w:val="nil"/>
              <w:left w:val="nil"/>
              <w:bottom w:val="single" w:color="auto" w:sz="4" w:space="0"/>
              <w:right w:val="single" w:color="auto" w:sz="4" w:space="0"/>
            </w:tcBorders>
            <w:noWrap w:val="0"/>
            <w:vAlign w:val="center"/>
          </w:tcPr>
          <w:p w14:paraId="77FA18F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3ADB258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4CF1E0E">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3B3B68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c>
          <w:tcPr>
            <w:tcW w:w="841" w:type="pct"/>
            <w:tcBorders>
              <w:top w:val="nil"/>
              <w:left w:val="nil"/>
              <w:bottom w:val="single" w:color="auto" w:sz="4" w:space="0"/>
              <w:right w:val="single" w:color="auto" w:sz="4" w:space="0"/>
            </w:tcBorders>
            <w:noWrap/>
            <w:vAlign w:val="center"/>
          </w:tcPr>
          <w:p w14:paraId="6850144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IC71</w:t>
            </w:r>
          </w:p>
        </w:tc>
        <w:tc>
          <w:tcPr>
            <w:tcW w:w="1561" w:type="pct"/>
            <w:tcBorders>
              <w:top w:val="nil"/>
              <w:left w:val="nil"/>
              <w:bottom w:val="single" w:color="auto" w:sz="4" w:space="0"/>
              <w:right w:val="single" w:color="auto" w:sz="4" w:space="0"/>
            </w:tcBorders>
            <w:noWrap/>
            <w:vAlign w:val="center"/>
          </w:tcPr>
          <w:p w14:paraId="5BBC17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城乡养老保险制度衔接联系函</w:t>
            </w:r>
          </w:p>
        </w:tc>
        <w:tc>
          <w:tcPr>
            <w:tcW w:w="1320" w:type="pct"/>
            <w:tcBorders>
              <w:top w:val="nil"/>
              <w:left w:val="nil"/>
              <w:bottom w:val="single" w:color="auto" w:sz="4" w:space="0"/>
              <w:right w:val="single" w:color="auto" w:sz="4" w:space="0"/>
            </w:tcBorders>
            <w:noWrap w:val="0"/>
            <w:vAlign w:val="center"/>
          </w:tcPr>
          <w:p w14:paraId="3243B3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3444CBD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249DC5E2">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47F3A45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w:t>
            </w:r>
          </w:p>
        </w:tc>
        <w:tc>
          <w:tcPr>
            <w:tcW w:w="841" w:type="pct"/>
            <w:tcBorders>
              <w:top w:val="nil"/>
              <w:left w:val="nil"/>
              <w:bottom w:val="single" w:color="auto" w:sz="4" w:space="0"/>
              <w:right w:val="single" w:color="auto" w:sz="4" w:space="0"/>
            </w:tcBorders>
            <w:noWrap/>
            <w:vAlign w:val="center"/>
          </w:tcPr>
          <w:p w14:paraId="1A7CC15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IC72</w:t>
            </w:r>
          </w:p>
        </w:tc>
        <w:tc>
          <w:tcPr>
            <w:tcW w:w="1561" w:type="pct"/>
            <w:tcBorders>
              <w:top w:val="nil"/>
              <w:left w:val="nil"/>
              <w:bottom w:val="single" w:color="auto" w:sz="4" w:space="0"/>
              <w:right w:val="single" w:color="auto" w:sz="4" w:space="0"/>
            </w:tcBorders>
            <w:noWrap/>
            <w:vAlign w:val="center"/>
          </w:tcPr>
          <w:p w14:paraId="7B364C6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城乡养老保险制度衔接信息表</w:t>
            </w:r>
          </w:p>
        </w:tc>
        <w:tc>
          <w:tcPr>
            <w:tcW w:w="1320" w:type="pct"/>
            <w:tcBorders>
              <w:top w:val="nil"/>
              <w:left w:val="nil"/>
              <w:bottom w:val="single" w:color="auto" w:sz="4" w:space="0"/>
              <w:right w:val="single" w:color="auto" w:sz="4" w:space="0"/>
            </w:tcBorders>
            <w:noWrap w:val="0"/>
            <w:vAlign w:val="center"/>
          </w:tcPr>
          <w:p w14:paraId="2E1B6B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76881E1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940CD54">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20B282A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c>
          <w:tcPr>
            <w:tcW w:w="841" w:type="pct"/>
            <w:tcBorders>
              <w:top w:val="nil"/>
              <w:left w:val="nil"/>
              <w:bottom w:val="single" w:color="auto" w:sz="4" w:space="0"/>
              <w:right w:val="single" w:color="auto" w:sz="4" w:space="0"/>
            </w:tcBorders>
            <w:noWrap/>
            <w:vAlign w:val="center"/>
          </w:tcPr>
          <w:p w14:paraId="29F0436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IC73</w:t>
            </w:r>
          </w:p>
        </w:tc>
        <w:tc>
          <w:tcPr>
            <w:tcW w:w="1561" w:type="pct"/>
            <w:tcBorders>
              <w:top w:val="nil"/>
              <w:left w:val="nil"/>
              <w:bottom w:val="single" w:color="auto" w:sz="4" w:space="0"/>
              <w:right w:val="single" w:color="auto" w:sz="4" w:space="0"/>
            </w:tcBorders>
            <w:noWrap/>
            <w:vAlign w:val="center"/>
          </w:tcPr>
          <w:p w14:paraId="58BC8D3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城乡居民养老保险历年缴费明细</w:t>
            </w:r>
          </w:p>
        </w:tc>
        <w:tc>
          <w:tcPr>
            <w:tcW w:w="1320" w:type="pct"/>
            <w:tcBorders>
              <w:top w:val="nil"/>
              <w:left w:val="nil"/>
              <w:bottom w:val="single" w:color="auto" w:sz="4" w:space="0"/>
              <w:right w:val="single" w:color="auto" w:sz="4" w:space="0"/>
            </w:tcBorders>
            <w:noWrap w:val="0"/>
            <w:vAlign w:val="center"/>
          </w:tcPr>
          <w:p w14:paraId="5549C27D">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5FF31F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1A242C41">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4E03915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c>
          <w:tcPr>
            <w:tcW w:w="841" w:type="pct"/>
            <w:tcBorders>
              <w:top w:val="nil"/>
              <w:left w:val="nil"/>
              <w:bottom w:val="single" w:color="auto" w:sz="4" w:space="0"/>
              <w:right w:val="single" w:color="auto" w:sz="4" w:space="0"/>
            </w:tcBorders>
            <w:noWrap/>
            <w:vAlign w:val="center"/>
          </w:tcPr>
          <w:p w14:paraId="432A757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IC74</w:t>
            </w:r>
          </w:p>
        </w:tc>
        <w:tc>
          <w:tcPr>
            <w:tcW w:w="1561" w:type="pct"/>
            <w:tcBorders>
              <w:top w:val="nil"/>
              <w:left w:val="nil"/>
              <w:bottom w:val="single" w:color="auto" w:sz="4" w:space="0"/>
              <w:right w:val="single" w:color="auto" w:sz="4" w:space="0"/>
            </w:tcBorders>
            <w:noWrap/>
            <w:vAlign w:val="center"/>
          </w:tcPr>
          <w:p w14:paraId="7D72466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城镇职工基本养老保险信息表</w:t>
            </w:r>
          </w:p>
        </w:tc>
        <w:tc>
          <w:tcPr>
            <w:tcW w:w="1320" w:type="pct"/>
            <w:tcBorders>
              <w:top w:val="nil"/>
              <w:left w:val="nil"/>
              <w:bottom w:val="single" w:color="auto" w:sz="4" w:space="0"/>
              <w:right w:val="single" w:color="auto" w:sz="4" w:space="0"/>
            </w:tcBorders>
            <w:noWrap w:val="0"/>
            <w:vAlign w:val="center"/>
          </w:tcPr>
          <w:p w14:paraId="667B9E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587CBD0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390D5E1">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F79893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w:t>
            </w:r>
          </w:p>
        </w:tc>
        <w:tc>
          <w:tcPr>
            <w:tcW w:w="841" w:type="pct"/>
            <w:tcBorders>
              <w:top w:val="nil"/>
              <w:left w:val="nil"/>
              <w:bottom w:val="single" w:color="auto" w:sz="4" w:space="0"/>
              <w:right w:val="single" w:color="auto" w:sz="4" w:space="0"/>
            </w:tcBorders>
            <w:noWrap/>
            <w:vAlign w:val="center"/>
          </w:tcPr>
          <w:p w14:paraId="4F88712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IC75</w:t>
            </w:r>
          </w:p>
        </w:tc>
        <w:tc>
          <w:tcPr>
            <w:tcW w:w="1561" w:type="pct"/>
            <w:tcBorders>
              <w:top w:val="nil"/>
              <w:left w:val="nil"/>
              <w:bottom w:val="single" w:color="auto" w:sz="4" w:space="0"/>
              <w:right w:val="single" w:color="auto" w:sz="4" w:space="0"/>
            </w:tcBorders>
            <w:noWrap/>
            <w:vAlign w:val="center"/>
          </w:tcPr>
          <w:p w14:paraId="74A9A04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城镇职工养老保险历年缴费明细</w:t>
            </w:r>
          </w:p>
        </w:tc>
        <w:tc>
          <w:tcPr>
            <w:tcW w:w="1320" w:type="pct"/>
            <w:tcBorders>
              <w:top w:val="nil"/>
              <w:left w:val="nil"/>
              <w:bottom w:val="single" w:color="auto" w:sz="4" w:space="0"/>
              <w:right w:val="single" w:color="auto" w:sz="4" w:space="0"/>
            </w:tcBorders>
            <w:noWrap w:val="0"/>
            <w:vAlign w:val="center"/>
          </w:tcPr>
          <w:p w14:paraId="29DE338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城乡居民基本养老保险、企业职工基本养老保险</w:t>
            </w:r>
          </w:p>
        </w:tc>
        <w:tc>
          <w:tcPr>
            <w:tcW w:w="712" w:type="pct"/>
            <w:tcBorders>
              <w:top w:val="nil"/>
              <w:left w:val="nil"/>
              <w:bottom w:val="single" w:color="auto" w:sz="4" w:space="0"/>
              <w:right w:val="single" w:color="auto" w:sz="4" w:space="0"/>
            </w:tcBorders>
            <w:noWrap w:val="0"/>
            <w:vAlign w:val="top"/>
          </w:tcPr>
          <w:p w14:paraId="795FC08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8135D17">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586885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11</w:t>
            </w:r>
          </w:p>
        </w:tc>
        <w:tc>
          <w:tcPr>
            <w:tcW w:w="841" w:type="pct"/>
            <w:tcBorders>
              <w:top w:val="nil"/>
              <w:left w:val="nil"/>
              <w:bottom w:val="single" w:color="auto" w:sz="4" w:space="0"/>
              <w:right w:val="single" w:color="auto" w:sz="4" w:space="0"/>
            </w:tcBorders>
            <w:noWrap/>
            <w:vAlign w:val="center"/>
          </w:tcPr>
          <w:p w14:paraId="54AFF84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IC76</w:t>
            </w:r>
          </w:p>
        </w:tc>
        <w:tc>
          <w:tcPr>
            <w:tcW w:w="1561" w:type="pct"/>
            <w:tcBorders>
              <w:top w:val="nil"/>
              <w:left w:val="nil"/>
              <w:bottom w:val="single" w:color="auto" w:sz="4" w:space="0"/>
              <w:right w:val="single" w:color="auto" w:sz="4" w:space="0"/>
            </w:tcBorders>
            <w:noWrap/>
            <w:vAlign w:val="center"/>
          </w:tcPr>
          <w:p w14:paraId="7AB6C67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城乡居民基本养老保险转入接收函</w:t>
            </w:r>
          </w:p>
        </w:tc>
        <w:tc>
          <w:tcPr>
            <w:tcW w:w="1320" w:type="pct"/>
            <w:tcBorders>
              <w:top w:val="nil"/>
              <w:left w:val="nil"/>
              <w:bottom w:val="single" w:color="auto" w:sz="4" w:space="0"/>
              <w:right w:val="single" w:color="auto" w:sz="4" w:space="0"/>
            </w:tcBorders>
            <w:noWrap w:val="0"/>
            <w:vAlign w:val="center"/>
          </w:tcPr>
          <w:p w14:paraId="77FC852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w:t>
            </w:r>
          </w:p>
        </w:tc>
        <w:tc>
          <w:tcPr>
            <w:tcW w:w="712" w:type="pct"/>
            <w:tcBorders>
              <w:top w:val="nil"/>
              <w:left w:val="nil"/>
              <w:bottom w:val="single" w:color="auto" w:sz="4" w:space="0"/>
              <w:right w:val="single" w:color="auto" w:sz="4" w:space="0"/>
            </w:tcBorders>
            <w:noWrap w:val="0"/>
            <w:vAlign w:val="top"/>
          </w:tcPr>
          <w:p w14:paraId="5AD86FE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4AFE47A">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595D4CD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12</w:t>
            </w:r>
          </w:p>
        </w:tc>
        <w:tc>
          <w:tcPr>
            <w:tcW w:w="841" w:type="pct"/>
            <w:tcBorders>
              <w:top w:val="nil"/>
              <w:left w:val="nil"/>
              <w:bottom w:val="single" w:color="auto" w:sz="4" w:space="0"/>
              <w:right w:val="single" w:color="auto" w:sz="4" w:space="0"/>
            </w:tcBorders>
            <w:noWrap/>
            <w:vAlign w:val="center"/>
          </w:tcPr>
          <w:p w14:paraId="041DF4D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IC77</w:t>
            </w:r>
          </w:p>
        </w:tc>
        <w:tc>
          <w:tcPr>
            <w:tcW w:w="1561" w:type="pct"/>
            <w:tcBorders>
              <w:top w:val="nil"/>
              <w:left w:val="nil"/>
              <w:bottom w:val="single" w:color="auto" w:sz="4" w:space="0"/>
              <w:right w:val="single" w:color="auto" w:sz="4" w:space="0"/>
            </w:tcBorders>
            <w:noWrap/>
            <w:vAlign w:val="center"/>
          </w:tcPr>
          <w:p w14:paraId="01FE2A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城乡居民基本养老保险关系转出审批表</w:t>
            </w:r>
          </w:p>
        </w:tc>
        <w:tc>
          <w:tcPr>
            <w:tcW w:w="1320" w:type="pct"/>
            <w:tcBorders>
              <w:top w:val="nil"/>
              <w:left w:val="nil"/>
              <w:bottom w:val="single" w:color="auto" w:sz="4" w:space="0"/>
              <w:right w:val="single" w:color="auto" w:sz="4" w:space="0"/>
            </w:tcBorders>
            <w:noWrap w:val="0"/>
            <w:vAlign w:val="center"/>
          </w:tcPr>
          <w:p w14:paraId="12E70B8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w:t>
            </w:r>
          </w:p>
        </w:tc>
        <w:tc>
          <w:tcPr>
            <w:tcW w:w="712" w:type="pct"/>
            <w:tcBorders>
              <w:top w:val="nil"/>
              <w:left w:val="nil"/>
              <w:bottom w:val="single" w:color="auto" w:sz="4" w:space="0"/>
              <w:right w:val="single" w:color="auto" w:sz="4" w:space="0"/>
            </w:tcBorders>
            <w:noWrap w:val="0"/>
            <w:vAlign w:val="top"/>
          </w:tcPr>
          <w:p w14:paraId="1ECFEF8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0F801B44">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372B19C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13</w:t>
            </w:r>
          </w:p>
        </w:tc>
        <w:tc>
          <w:tcPr>
            <w:tcW w:w="841" w:type="pct"/>
            <w:tcBorders>
              <w:top w:val="nil"/>
              <w:left w:val="nil"/>
              <w:bottom w:val="single" w:color="auto" w:sz="4" w:space="0"/>
              <w:right w:val="single" w:color="auto" w:sz="4" w:space="0"/>
            </w:tcBorders>
            <w:noWrap/>
            <w:vAlign w:val="center"/>
          </w:tcPr>
          <w:p w14:paraId="32EC9D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IC78</w:t>
            </w:r>
          </w:p>
        </w:tc>
        <w:tc>
          <w:tcPr>
            <w:tcW w:w="1561" w:type="pct"/>
            <w:tcBorders>
              <w:top w:val="nil"/>
              <w:left w:val="nil"/>
              <w:bottom w:val="single" w:color="auto" w:sz="4" w:space="0"/>
              <w:right w:val="single" w:color="auto" w:sz="4" w:space="0"/>
            </w:tcBorders>
            <w:noWrap/>
            <w:vAlign w:val="center"/>
          </w:tcPr>
          <w:p w14:paraId="03019B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城乡养老保险审批表历年个人账户明细</w:t>
            </w:r>
          </w:p>
        </w:tc>
        <w:tc>
          <w:tcPr>
            <w:tcW w:w="1320" w:type="pct"/>
            <w:tcBorders>
              <w:top w:val="nil"/>
              <w:left w:val="nil"/>
              <w:bottom w:val="single" w:color="auto" w:sz="4" w:space="0"/>
              <w:right w:val="single" w:color="auto" w:sz="4" w:space="0"/>
            </w:tcBorders>
            <w:noWrap w:val="0"/>
            <w:vAlign w:val="center"/>
          </w:tcPr>
          <w:p w14:paraId="709C3C1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城乡居民基本养老保险</w:t>
            </w:r>
          </w:p>
        </w:tc>
        <w:tc>
          <w:tcPr>
            <w:tcW w:w="712" w:type="pct"/>
            <w:tcBorders>
              <w:top w:val="nil"/>
              <w:left w:val="nil"/>
              <w:bottom w:val="single" w:color="auto" w:sz="4" w:space="0"/>
              <w:right w:val="single" w:color="auto" w:sz="4" w:space="0"/>
            </w:tcBorders>
            <w:noWrap w:val="0"/>
            <w:vAlign w:val="top"/>
          </w:tcPr>
          <w:p w14:paraId="403B79D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61871725">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7BCEB96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14</w:t>
            </w:r>
          </w:p>
        </w:tc>
        <w:tc>
          <w:tcPr>
            <w:tcW w:w="841" w:type="pct"/>
            <w:tcBorders>
              <w:top w:val="nil"/>
              <w:left w:val="nil"/>
              <w:bottom w:val="single" w:color="auto" w:sz="4" w:space="0"/>
              <w:right w:val="single" w:color="auto" w:sz="4" w:space="0"/>
            </w:tcBorders>
            <w:noWrap/>
            <w:vAlign w:val="center"/>
          </w:tcPr>
          <w:p w14:paraId="544C0F3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IC87</w:t>
            </w:r>
          </w:p>
        </w:tc>
        <w:tc>
          <w:tcPr>
            <w:tcW w:w="1561" w:type="pct"/>
            <w:tcBorders>
              <w:top w:val="nil"/>
              <w:left w:val="nil"/>
              <w:bottom w:val="single" w:color="auto" w:sz="4" w:space="0"/>
              <w:right w:val="single" w:color="auto" w:sz="4" w:space="0"/>
            </w:tcBorders>
            <w:noWrap/>
            <w:vAlign w:val="center"/>
          </w:tcPr>
          <w:p w14:paraId="0FAC0CA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转移申请信息</w:t>
            </w:r>
          </w:p>
        </w:tc>
        <w:tc>
          <w:tcPr>
            <w:tcW w:w="1320" w:type="pct"/>
            <w:tcBorders>
              <w:top w:val="nil"/>
              <w:left w:val="nil"/>
              <w:bottom w:val="single" w:color="auto" w:sz="4" w:space="0"/>
              <w:right w:val="single" w:color="auto" w:sz="4" w:space="0"/>
            </w:tcBorders>
            <w:noWrap w:val="0"/>
            <w:vAlign w:val="center"/>
          </w:tcPr>
          <w:p w14:paraId="28250C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基本养老保险</w:t>
            </w:r>
          </w:p>
        </w:tc>
        <w:tc>
          <w:tcPr>
            <w:tcW w:w="712" w:type="pct"/>
            <w:tcBorders>
              <w:top w:val="nil"/>
              <w:left w:val="nil"/>
              <w:bottom w:val="single" w:color="auto" w:sz="4" w:space="0"/>
              <w:right w:val="single" w:color="auto" w:sz="4" w:space="0"/>
            </w:tcBorders>
            <w:noWrap w:val="0"/>
            <w:vAlign w:val="top"/>
          </w:tcPr>
          <w:p w14:paraId="0C3F804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3F40C6C">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5EBA8FE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15</w:t>
            </w:r>
          </w:p>
        </w:tc>
        <w:tc>
          <w:tcPr>
            <w:tcW w:w="841" w:type="pct"/>
            <w:tcBorders>
              <w:top w:val="nil"/>
              <w:left w:val="nil"/>
              <w:bottom w:val="single" w:color="auto" w:sz="4" w:space="0"/>
              <w:right w:val="single" w:color="auto" w:sz="4" w:space="0"/>
            </w:tcBorders>
            <w:noWrap/>
            <w:vAlign w:val="center"/>
          </w:tcPr>
          <w:p w14:paraId="3B0A08A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IC88</w:t>
            </w:r>
          </w:p>
        </w:tc>
        <w:tc>
          <w:tcPr>
            <w:tcW w:w="1561" w:type="pct"/>
            <w:tcBorders>
              <w:top w:val="nil"/>
              <w:left w:val="nil"/>
              <w:bottom w:val="single" w:color="auto" w:sz="4" w:space="0"/>
              <w:right w:val="single" w:color="auto" w:sz="4" w:space="0"/>
            </w:tcBorders>
            <w:noWrap/>
            <w:vAlign w:val="center"/>
          </w:tcPr>
          <w:p w14:paraId="6F503D22">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转移申请审核结果信息</w:t>
            </w:r>
          </w:p>
        </w:tc>
        <w:tc>
          <w:tcPr>
            <w:tcW w:w="1320" w:type="pct"/>
            <w:tcBorders>
              <w:top w:val="nil"/>
              <w:left w:val="nil"/>
              <w:bottom w:val="single" w:color="auto" w:sz="4" w:space="0"/>
              <w:right w:val="single" w:color="auto" w:sz="4" w:space="0"/>
            </w:tcBorders>
            <w:noWrap w:val="0"/>
            <w:vAlign w:val="center"/>
          </w:tcPr>
          <w:p w14:paraId="7D19F64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基本养老保险</w:t>
            </w:r>
          </w:p>
        </w:tc>
        <w:tc>
          <w:tcPr>
            <w:tcW w:w="712" w:type="pct"/>
            <w:tcBorders>
              <w:top w:val="nil"/>
              <w:left w:val="nil"/>
              <w:bottom w:val="single" w:color="auto" w:sz="4" w:space="0"/>
              <w:right w:val="single" w:color="auto" w:sz="4" w:space="0"/>
            </w:tcBorders>
            <w:noWrap w:val="0"/>
            <w:vAlign w:val="top"/>
          </w:tcPr>
          <w:p w14:paraId="2FC38EF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0F35045F">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B423FB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16</w:t>
            </w:r>
          </w:p>
        </w:tc>
        <w:tc>
          <w:tcPr>
            <w:tcW w:w="841" w:type="pct"/>
            <w:tcBorders>
              <w:top w:val="nil"/>
              <w:left w:val="nil"/>
              <w:bottom w:val="single" w:color="auto" w:sz="4" w:space="0"/>
              <w:right w:val="single" w:color="auto" w:sz="4" w:space="0"/>
            </w:tcBorders>
            <w:noWrap/>
            <w:vAlign w:val="center"/>
          </w:tcPr>
          <w:p w14:paraId="0CD60DC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IC89</w:t>
            </w:r>
          </w:p>
        </w:tc>
        <w:tc>
          <w:tcPr>
            <w:tcW w:w="1561" w:type="pct"/>
            <w:tcBorders>
              <w:top w:val="nil"/>
              <w:left w:val="nil"/>
              <w:bottom w:val="single" w:color="auto" w:sz="4" w:space="0"/>
              <w:right w:val="single" w:color="auto" w:sz="4" w:space="0"/>
            </w:tcBorders>
            <w:noWrap/>
            <w:vAlign w:val="center"/>
          </w:tcPr>
          <w:p w14:paraId="72DD748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基本养老保险关系转移接续联系函信息</w:t>
            </w:r>
          </w:p>
        </w:tc>
        <w:tc>
          <w:tcPr>
            <w:tcW w:w="1320" w:type="pct"/>
            <w:tcBorders>
              <w:top w:val="nil"/>
              <w:left w:val="nil"/>
              <w:bottom w:val="single" w:color="auto" w:sz="4" w:space="0"/>
              <w:right w:val="single" w:color="auto" w:sz="4" w:space="0"/>
            </w:tcBorders>
            <w:noWrap w:val="0"/>
            <w:vAlign w:val="center"/>
          </w:tcPr>
          <w:p w14:paraId="5CC7412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w:t>
            </w:r>
          </w:p>
        </w:tc>
        <w:tc>
          <w:tcPr>
            <w:tcW w:w="712" w:type="pct"/>
            <w:tcBorders>
              <w:top w:val="nil"/>
              <w:left w:val="nil"/>
              <w:bottom w:val="single" w:color="auto" w:sz="4" w:space="0"/>
              <w:right w:val="single" w:color="auto" w:sz="4" w:space="0"/>
            </w:tcBorders>
            <w:noWrap w:val="0"/>
            <w:vAlign w:val="top"/>
          </w:tcPr>
          <w:p w14:paraId="6636AD8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A69A835">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2DC6AF2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17</w:t>
            </w:r>
          </w:p>
        </w:tc>
        <w:tc>
          <w:tcPr>
            <w:tcW w:w="841" w:type="pct"/>
            <w:tcBorders>
              <w:top w:val="nil"/>
              <w:left w:val="nil"/>
              <w:bottom w:val="single" w:color="auto" w:sz="4" w:space="0"/>
              <w:right w:val="single" w:color="auto" w:sz="4" w:space="0"/>
            </w:tcBorders>
            <w:noWrap/>
            <w:vAlign w:val="center"/>
          </w:tcPr>
          <w:p w14:paraId="60B6C86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IC90</w:t>
            </w:r>
          </w:p>
        </w:tc>
        <w:tc>
          <w:tcPr>
            <w:tcW w:w="1561" w:type="pct"/>
            <w:tcBorders>
              <w:top w:val="nil"/>
              <w:left w:val="nil"/>
              <w:bottom w:val="single" w:color="auto" w:sz="4" w:space="0"/>
              <w:right w:val="single" w:color="auto" w:sz="4" w:space="0"/>
            </w:tcBorders>
            <w:noWrap/>
            <w:vAlign w:val="center"/>
          </w:tcPr>
          <w:p w14:paraId="48D8A96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基本养老保险关系转移接续信息表信息</w:t>
            </w:r>
          </w:p>
        </w:tc>
        <w:tc>
          <w:tcPr>
            <w:tcW w:w="1320" w:type="pct"/>
            <w:tcBorders>
              <w:top w:val="nil"/>
              <w:left w:val="nil"/>
              <w:bottom w:val="single" w:color="auto" w:sz="4" w:space="0"/>
              <w:right w:val="single" w:color="auto" w:sz="4" w:space="0"/>
            </w:tcBorders>
            <w:noWrap w:val="0"/>
            <w:vAlign w:val="center"/>
          </w:tcPr>
          <w:p w14:paraId="6CACE87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w:t>
            </w:r>
          </w:p>
        </w:tc>
        <w:tc>
          <w:tcPr>
            <w:tcW w:w="712" w:type="pct"/>
            <w:tcBorders>
              <w:top w:val="nil"/>
              <w:left w:val="nil"/>
              <w:bottom w:val="single" w:color="auto" w:sz="4" w:space="0"/>
              <w:right w:val="single" w:color="auto" w:sz="4" w:space="0"/>
            </w:tcBorders>
            <w:noWrap w:val="0"/>
            <w:vAlign w:val="top"/>
          </w:tcPr>
          <w:p w14:paraId="521094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C954DF0">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20E7EED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18</w:t>
            </w:r>
          </w:p>
        </w:tc>
        <w:tc>
          <w:tcPr>
            <w:tcW w:w="841" w:type="pct"/>
            <w:tcBorders>
              <w:top w:val="nil"/>
              <w:left w:val="nil"/>
              <w:bottom w:val="single" w:color="auto" w:sz="4" w:space="0"/>
              <w:right w:val="single" w:color="auto" w:sz="4" w:space="0"/>
            </w:tcBorders>
            <w:noWrap/>
            <w:vAlign w:val="center"/>
          </w:tcPr>
          <w:p w14:paraId="2C7BE1B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IC91</w:t>
            </w:r>
          </w:p>
        </w:tc>
        <w:tc>
          <w:tcPr>
            <w:tcW w:w="1561" w:type="pct"/>
            <w:tcBorders>
              <w:top w:val="nil"/>
              <w:left w:val="nil"/>
              <w:bottom w:val="single" w:color="auto" w:sz="4" w:space="0"/>
              <w:right w:val="single" w:color="auto" w:sz="4" w:space="0"/>
            </w:tcBorders>
            <w:noWrap/>
            <w:vAlign w:val="center"/>
          </w:tcPr>
          <w:p w14:paraId="2C27C9B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参保人员历年缴费及个人账户记账信息</w:t>
            </w:r>
          </w:p>
        </w:tc>
        <w:tc>
          <w:tcPr>
            <w:tcW w:w="1320" w:type="pct"/>
            <w:tcBorders>
              <w:top w:val="nil"/>
              <w:left w:val="nil"/>
              <w:bottom w:val="single" w:color="auto" w:sz="4" w:space="0"/>
              <w:right w:val="single" w:color="auto" w:sz="4" w:space="0"/>
            </w:tcBorders>
            <w:noWrap w:val="0"/>
            <w:vAlign w:val="center"/>
          </w:tcPr>
          <w:p w14:paraId="713DFBD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w:t>
            </w:r>
          </w:p>
        </w:tc>
        <w:tc>
          <w:tcPr>
            <w:tcW w:w="712" w:type="pct"/>
            <w:tcBorders>
              <w:top w:val="nil"/>
              <w:left w:val="nil"/>
              <w:bottom w:val="single" w:color="auto" w:sz="4" w:space="0"/>
              <w:right w:val="single" w:color="auto" w:sz="4" w:space="0"/>
            </w:tcBorders>
            <w:noWrap w:val="0"/>
            <w:vAlign w:val="top"/>
          </w:tcPr>
          <w:p w14:paraId="444E208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0B5E903E">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BC824F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19</w:t>
            </w:r>
          </w:p>
        </w:tc>
        <w:tc>
          <w:tcPr>
            <w:tcW w:w="841" w:type="pct"/>
            <w:tcBorders>
              <w:top w:val="nil"/>
              <w:left w:val="nil"/>
              <w:bottom w:val="single" w:color="auto" w:sz="4" w:space="0"/>
              <w:right w:val="single" w:color="auto" w:sz="4" w:space="0"/>
            </w:tcBorders>
            <w:noWrap/>
            <w:vAlign w:val="center"/>
          </w:tcPr>
          <w:p w14:paraId="04A83D8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IC92</w:t>
            </w:r>
          </w:p>
        </w:tc>
        <w:tc>
          <w:tcPr>
            <w:tcW w:w="1561" w:type="pct"/>
            <w:tcBorders>
              <w:top w:val="nil"/>
              <w:left w:val="nil"/>
              <w:bottom w:val="single" w:color="auto" w:sz="4" w:space="0"/>
              <w:right w:val="single" w:color="auto" w:sz="4" w:space="0"/>
            </w:tcBorders>
            <w:noWrap/>
            <w:vAlign w:val="center"/>
          </w:tcPr>
          <w:p w14:paraId="58F13F8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建立临时基本养老保险缴费账户通知书信息</w:t>
            </w:r>
          </w:p>
        </w:tc>
        <w:tc>
          <w:tcPr>
            <w:tcW w:w="1320" w:type="pct"/>
            <w:tcBorders>
              <w:top w:val="nil"/>
              <w:left w:val="nil"/>
              <w:bottom w:val="single" w:color="auto" w:sz="4" w:space="0"/>
              <w:right w:val="single" w:color="auto" w:sz="4" w:space="0"/>
            </w:tcBorders>
            <w:noWrap w:val="0"/>
            <w:vAlign w:val="center"/>
          </w:tcPr>
          <w:p w14:paraId="5966589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w:t>
            </w:r>
          </w:p>
        </w:tc>
        <w:tc>
          <w:tcPr>
            <w:tcW w:w="712" w:type="pct"/>
            <w:tcBorders>
              <w:top w:val="nil"/>
              <w:left w:val="nil"/>
              <w:bottom w:val="single" w:color="auto" w:sz="4" w:space="0"/>
              <w:right w:val="single" w:color="auto" w:sz="4" w:space="0"/>
            </w:tcBorders>
            <w:noWrap w:val="0"/>
            <w:vAlign w:val="top"/>
          </w:tcPr>
          <w:p w14:paraId="02F3692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7ABBD12">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5FEB34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20</w:t>
            </w:r>
          </w:p>
        </w:tc>
        <w:tc>
          <w:tcPr>
            <w:tcW w:w="841" w:type="pct"/>
            <w:tcBorders>
              <w:top w:val="nil"/>
              <w:left w:val="nil"/>
              <w:bottom w:val="single" w:color="auto" w:sz="4" w:space="0"/>
              <w:right w:val="single" w:color="auto" w:sz="4" w:space="0"/>
            </w:tcBorders>
            <w:noWrap/>
            <w:vAlign w:val="center"/>
          </w:tcPr>
          <w:p w14:paraId="51AAEE5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IC95</w:t>
            </w:r>
          </w:p>
        </w:tc>
        <w:tc>
          <w:tcPr>
            <w:tcW w:w="1561" w:type="pct"/>
            <w:tcBorders>
              <w:top w:val="nil"/>
              <w:left w:val="nil"/>
              <w:bottom w:val="single" w:color="auto" w:sz="4" w:space="0"/>
              <w:right w:val="single" w:color="auto" w:sz="4" w:space="0"/>
            </w:tcBorders>
            <w:noWrap/>
            <w:vAlign w:val="center"/>
          </w:tcPr>
          <w:p w14:paraId="363983D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军人退役养老保险参保缴费凭证信息</w:t>
            </w:r>
          </w:p>
        </w:tc>
        <w:tc>
          <w:tcPr>
            <w:tcW w:w="1320" w:type="pct"/>
            <w:tcBorders>
              <w:top w:val="nil"/>
              <w:left w:val="nil"/>
              <w:bottom w:val="single" w:color="auto" w:sz="4" w:space="0"/>
              <w:right w:val="single" w:color="auto" w:sz="4" w:space="0"/>
            </w:tcBorders>
            <w:noWrap w:val="0"/>
            <w:vAlign w:val="center"/>
          </w:tcPr>
          <w:p w14:paraId="1FC4A8C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top"/>
          </w:tcPr>
          <w:p w14:paraId="6166B92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2A63279">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5DECF8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21</w:t>
            </w:r>
          </w:p>
        </w:tc>
        <w:tc>
          <w:tcPr>
            <w:tcW w:w="841" w:type="pct"/>
            <w:tcBorders>
              <w:top w:val="nil"/>
              <w:left w:val="nil"/>
              <w:bottom w:val="single" w:color="auto" w:sz="4" w:space="0"/>
              <w:right w:val="single" w:color="auto" w:sz="4" w:space="0"/>
            </w:tcBorders>
            <w:noWrap/>
            <w:vAlign w:val="center"/>
          </w:tcPr>
          <w:p w14:paraId="68FA448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IC96</w:t>
            </w:r>
          </w:p>
        </w:tc>
        <w:tc>
          <w:tcPr>
            <w:tcW w:w="1561" w:type="pct"/>
            <w:tcBorders>
              <w:top w:val="nil"/>
              <w:left w:val="nil"/>
              <w:bottom w:val="single" w:color="auto" w:sz="4" w:space="0"/>
              <w:right w:val="single" w:color="auto" w:sz="4" w:space="0"/>
            </w:tcBorders>
            <w:noWrap/>
            <w:vAlign w:val="center"/>
          </w:tcPr>
          <w:p w14:paraId="2EAC8A0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军人退役养老保险关系转移接续信息表参保基本信息</w:t>
            </w:r>
          </w:p>
        </w:tc>
        <w:tc>
          <w:tcPr>
            <w:tcW w:w="1320" w:type="pct"/>
            <w:tcBorders>
              <w:top w:val="nil"/>
              <w:left w:val="nil"/>
              <w:bottom w:val="single" w:color="auto" w:sz="4" w:space="0"/>
              <w:right w:val="single" w:color="auto" w:sz="4" w:space="0"/>
            </w:tcBorders>
            <w:noWrap w:val="0"/>
            <w:vAlign w:val="center"/>
          </w:tcPr>
          <w:p w14:paraId="4AF8A5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center"/>
          </w:tcPr>
          <w:p w14:paraId="6DD0415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3AA223A">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9F0AD9E">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22</w:t>
            </w:r>
          </w:p>
        </w:tc>
        <w:tc>
          <w:tcPr>
            <w:tcW w:w="841" w:type="pct"/>
            <w:tcBorders>
              <w:top w:val="nil"/>
              <w:left w:val="nil"/>
              <w:bottom w:val="single" w:color="auto" w:sz="4" w:space="0"/>
              <w:right w:val="single" w:color="auto" w:sz="4" w:space="0"/>
            </w:tcBorders>
            <w:noWrap/>
            <w:vAlign w:val="center"/>
          </w:tcPr>
          <w:p w14:paraId="6936D00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IC97</w:t>
            </w:r>
          </w:p>
        </w:tc>
        <w:tc>
          <w:tcPr>
            <w:tcW w:w="1561" w:type="pct"/>
            <w:tcBorders>
              <w:top w:val="nil"/>
              <w:left w:val="nil"/>
              <w:bottom w:val="single" w:color="auto" w:sz="4" w:space="0"/>
              <w:right w:val="single" w:color="auto" w:sz="4" w:space="0"/>
            </w:tcBorders>
            <w:noWrap/>
            <w:vAlign w:val="center"/>
          </w:tcPr>
          <w:p w14:paraId="5A5C231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军人退役养老保险关系转移接续信息表个人和单位缴费信息</w:t>
            </w:r>
          </w:p>
        </w:tc>
        <w:tc>
          <w:tcPr>
            <w:tcW w:w="1320" w:type="pct"/>
            <w:tcBorders>
              <w:top w:val="nil"/>
              <w:left w:val="nil"/>
              <w:bottom w:val="single" w:color="auto" w:sz="4" w:space="0"/>
              <w:right w:val="single" w:color="auto" w:sz="4" w:space="0"/>
            </w:tcBorders>
            <w:noWrap w:val="0"/>
            <w:vAlign w:val="center"/>
          </w:tcPr>
          <w:p w14:paraId="58B82F6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企业职工基本养老保险、机关事业单位养老保险</w:t>
            </w:r>
          </w:p>
        </w:tc>
        <w:tc>
          <w:tcPr>
            <w:tcW w:w="712" w:type="pct"/>
            <w:tcBorders>
              <w:top w:val="nil"/>
              <w:left w:val="nil"/>
              <w:bottom w:val="single" w:color="auto" w:sz="4" w:space="0"/>
              <w:right w:val="single" w:color="auto" w:sz="4" w:space="0"/>
            </w:tcBorders>
            <w:noWrap w:val="0"/>
            <w:vAlign w:val="center"/>
          </w:tcPr>
          <w:p w14:paraId="48934C1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59C8C6D8">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2126F4D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23</w:t>
            </w:r>
          </w:p>
        </w:tc>
        <w:tc>
          <w:tcPr>
            <w:tcW w:w="841" w:type="pct"/>
            <w:tcBorders>
              <w:top w:val="nil"/>
              <w:left w:val="nil"/>
              <w:bottom w:val="single" w:color="auto" w:sz="4" w:space="0"/>
              <w:right w:val="single" w:color="auto" w:sz="4" w:space="0"/>
            </w:tcBorders>
            <w:noWrap/>
            <w:vAlign w:val="center"/>
          </w:tcPr>
          <w:p w14:paraId="3BFACD3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IC69</w:t>
            </w:r>
          </w:p>
        </w:tc>
        <w:tc>
          <w:tcPr>
            <w:tcW w:w="1561" w:type="pct"/>
            <w:tcBorders>
              <w:top w:val="nil"/>
              <w:left w:val="nil"/>
              <w:bottom w:val="single" w:color="auto" w:sz="4" w:space="0"/>
              <w:right w:val="single" w:color="auto" w:sz="4" w:space="0"/>
            </w:tcBorders>
            <w:noWrap/>
            <w:vAlign w:val="center"/>
          </w:tcPr>
          <w:p w14:paraId="02818D61">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职业年金关系转移接续联系函信息</w:t>
            </w:r>
          </w:p>
        </w:tc>
        <w:tc>
          <w:tcPr>
            <w:tcW w:w="1320" w:type="pct"/>
            <w:tcBorders>
              <w:top w:val="nil"/>
              <w:left w:val="nil"/>
              <w:bottom w:val="single" w:color="auto" w:sz="4" w:space="0"/>
              <w:right w:val="single" w:color="auto" w:sz="4" w:space="0"/>
            </w:tcBorders>
            <w:noWrap w:val="0"/>
            <w:vAlign w:val="center"/>
          </w:tcPr>
          <w:p w14:paraId="46BFDDA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职业年金</w:t>
            </w:r>
          </w:p>
        </w:tc>
        <w:tc>
          <w:tcPr>
            <w:tcW w:w="712" w:type="pct"/>
            <w:tcBorders>
              <w:top w:val="nil"/>
              <w:left w:val="nil"/>
              <w:bottom w:val="single" w:color="auto" w:sz="4" w:space="0"/>
              <w:right w:val="single" w:color="auto" w:sz="4" w:space="0"/>
            </w:tcBorders>
            <w:noWrap w:val="0"/>
            <w:vAlign w:val="center"/>
          </w:tcPr>
          <w:p w14:paraId="4EE046F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5E88535">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CD2CB3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24</w:t>
            </w:r>
          </w:p>
        </w:tc>
        <w:tc>
          <w:tcPr>
            <w:tcW w:w="841" w:type="pct"/>
            <w:tcBorders>
              <w:top w:val="nil"/>
              <w:left w:val="nil"/>
              <w:bottom w:val="single" w:color="auto" w:sz="4" w:space="0"/>
              <w:right w:val="single" w:color="auto" w:sz="4" w:space="0"/>
            </w:tcBorders>
            <w:noWrap/>
            <w:vAlign w:val="center"/>
          </w:tcPr>
          <w:p w14:paraId="08A0B44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IC60</w:t>
            </w:r>
          </w:p>
        </w:tc>
        <w:tc>
          <w:tcPr>
            <w:tcW w:w="1561" w:type="pct"/>
            <w:tcBorders>
              <w:top w:val="nil"/>
              <w:left w:val="nil"/>
              <w:bottom w:val="single" w:color="auto" w:sz="4" w:space="0"/>
              <w:right w:val="single" w:color="auto" w:sz="4" w:space="0"/>
            </w:tcBorders>
            <w:noWrap/>
            <w:vAlign w:val="center"/>
          </w:tcPr>
          <w:p w14:paraId="4E35618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职业年金关系转移接续信息表</w:t>
            </w:r>
          </w:p>
        </w:tc>
        <w:tc>
          <w:tcPr>
            <w:tcW w:w="1320" w:type="pct"/>
            <w:tcBorders>
              <w:top w:val="nil"/>
              <w:left w:val="nil"/>
              <w:bottom w:val="single" w:color="auto" w:sz="4" w:space="0"/>
              <w:right w:val="single" w:color="auto" w:sz="4" w:space="0"/>
            </w:tcBorders>
            <w:noWrap w:val="0"/>
            <w:vAlign w:val="center"/>
          </w:tcPr>
          <w:p w14:paraId="2197C8A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职业年金</w:t>
            </w:r>
          </w:p>
        </w:tc>
        <w:tc>
          <w:tcPr>
            <w:tcW w:w="712" w:type="pct"/>
            <w:tcBorders>
              <w:top w:val="nil"/>
              <w:left w:val="nil"/>
              <w:bottom w:val="single" w:color="auto" w:sz="4" w:space="0"/>
              <w:right w:val="single" w:color="auto" w:sz="4" w:space="0"/>
            </w:tcBorders>
            <w:noWrap w:val="0"/>
            <w:vAlign w:val="center"/>
          </w:tcPr>
          <w:p w14:paraId="07BF91B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2D1BD02A">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387DE32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25</w:t>
            </w:r>
          </w:p>
        </w:tc>
        <w:tc>
          <w:tcPr>
            <w:tcW w:w="841" w:type="pct"/>
            <w:tcBorders>
              <w:top w:val="nil"/>
              <w:left w:val="nil"/>
              <w:bottom w:val="single" w:color="auto" w:sz="4" w:space="0"/>
              <w:right w:val="single" w:color="auto" w:sz="4" w:space="0"/>
            </w:tcBorders>
            <w:noWrap/>
            <w:vAlign w:val="center"/>
          </w:tcPr>
          <w:p w14:paraId="60DF67D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JC87</w:t>
            </w:r>
          </w:p>
        </w:tc>
        <w:tc>
          <w:tcPr>
            <w:tcW w:w="1561" w:type="pct"/>
            <w:tcBorders>
              <w:top w:val="nil"/>
              <w:left w:val="nil"/>
              <w:bottom w:val="single" w:color="auto" w:sz="4" w:space="0"/>
              <w:right w:val="single" w:color="auto" w:sz="4" w:space="0"/>
            </w:tcBorders>
            <w:noWrap/>
            <w:vAlign w:val="center"/>
          </w:tcPr>
          <w:p w14:paraId="5055FAF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失业保险关系网上转移申请信息</w:t>
            </w:r>
          </w:p>
        </w:tc>
        <w:tc>
          <w:tcPr>
            <w:tcW w:w="1320" w:type="pct"/>
            <w:tcBorders>
              <w:top w:val="nil"/>
              <w:left w:val="nil"/>
              <w:bottom w:val="single" w:color="auto" w:sz="4" w:space="0"/>
              <w:right w:val="single" w:color="auto" w:sz="4" w:space="0"/>
            </w:tcBorders>
            <w:noWrap w:val="0"/>
            <w:vAlign w:val="center"/>
          </w:tcPr>
          <w:p w14:paraId="2EB660C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712" w:type="pct"/>
            <w:tcBorders>
              <w:top w:val="nil"/>
              <w:left w:val="nil"/>
              <w:bottom w:val="single" w:color="auto" w:sz="4" w:space="0"/>
              <w:right w:val="single" w:color="auto" w:sz="4" w:space="0"/>
            </w:tcBorders>
            <w:noWrap w:val="0"/>
            <w:vAlign w:val="center"/>
          </w:tcPr>
          <w:p w14:paraId="396321B9">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17CD783E">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746A2FB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26</w:t>
            </w:r>
          </w:p>
        </w:tc>
        <w:tc>
          <w:tcPr>
            <w:tcW w:w="841" w:type="pct"/>
            <w:tcBorders>
              <w:top w:val="nil"/>
              <w:left w:val="nil"/>
              <w:bottom w:val="single" w:color="auto" w:sz="4" w:space="0"/>
              <w:right w:val="single" w:color="auto" w:sz="4" w:space="0"/>
            </w:tcBorders>
            <w:noWrap/>
            <w:vAlign w:val="center"/>
          </w:tcPr>
          <w:p w14:paraId="0ABBF11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JC88</w:t>
            </w:r>
          </w:p>
        </w:tc>
        <w:tc>
          <w:tcPr>
            <w:tcW w:w="1561" w:type="pct"/>
            <w:tcBorders>
              <w:top w:val="nil"/>
              <w:left w:val="nil"/>
              <w:bottom w:val="single" w:color="auto" w:sz="4" w:space="0"/>
              <w:right w:val="single" w:color="auto" w:sz="4" w:space="0"/>
            </w:tcBorders>
            <w:noWrap/>
            <w:vAlign w:val="center"/>
          </w:tcPr>
          <w:p w14:paraId="6746033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失业保险关系转移网上申请审核结果反馈信息</w:t>
            </w:r>
          </w:p>
        </w:tc>
        <w:tc>
          <w:tcPr>
            <w:tcW w:w="1320" w:type="pct"/>
            <w:tcBorders>
              <w:top w:val="nil"/>
              <w:left w:val="nil"/>
              <w:bottom w:val="single" w:color="auto" w:sz="4" w:space="0"/>
              <w:right w:val="single" w:color="auto" w:sz="4" w:space="0"/>
            </w:tcBorders>
            <w:noWrap w:val="0"/>
            <w:vAlign w:val="center"/>
          </w:tcPr>
          <w:p w14:paraId="470447D6">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712" w:type="pct"/>
            <w:tcBorders>
              <w:top w:val="nil"/>
              <w:left w:val="nil"/>
              <w:bottom w:val="single" w:color="auto" w:sz="4" w:space="0"/>
              <w:right w:val="single" w:color="auto" w:sz="4" w:space="0"/>
            </w:tcBorders>
            <w:noWrap w:val="0"/>
            <w:vAlign w:val="center"/>
          </w:tcPr>
          <w:p w14:paraId="4E760A9C">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1BA5C36">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0C0E3DB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27</w:t>
            </w:r>
          </w:p>
        </w:tc>
        <w:tc>
          <w:tcPr>
            <w:tcW w:w="841" w:type="pct"/>
            <w:tcBorders>
              <w:top w:val="nil"/>
              <w:left w:val="nil"/>
              <w:bottom w:val="single" w:color="auto" w:sz="4" w:space="0"/>
              <w:right w:val="single" w:color="auto" w:sz="4" w:space="0"/>
            </w:tcBorders>
            <w:noWrap/>
            <w:vAlign w:val="center"/>
          </w:tcPr>
          <w:p w14:paraId="177EBD1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JC89</w:t>
            </w:r>
          </w:p>
        </w:tc>
        <w:tc>
          <w:tcPr>
            <w:tcW w:w="1561" w:type="pct"/>
            <w:tcBorders>
              <w:top w:val="nil"/>
              <w:left w:val="nil"/>
              <w:bottom w:val="single" w:color="auto" w:sz="4" w:space="0"/>
              <w:right w:val="single" w:color="auto" w:sz="4" w:space="0"/>
            </w:tcBorders>
            <w:noWrap/>
            <w:vAlign w:val="center"/>
          </w:tcPr>
          <w:p w14:paraId="669B3CAF">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失业保险关系转移接续联系函信息</w:t>
            </w:r>
          </w:p>
        </w:tc>
        <w:tc>
          <w:tcPr>
            <w:tcW w:w="1320" w:type="pct"/>
            <w:tcBorders>
              <w:top w:val="nil"/>
              <w:left w:val="nil"/>
              <w:bottom w:val="single" w:color="auto" w:sz="4" w:space="0"/>
              <w:right w:val="single" w:color="auto" w:sz="4" w:space="0"/>
            </w:tcBorders>
            <w:noWrap w:val="0"/>
            <w:vAlign w:val="center"/>
          </w:tcPr>
          <w:p w14:paraId="13D4FAA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712" w:type="pct"/>
            <w:tcBorders>
              <w:top w:val="nil"/>
              <w:left w:val="nil"/>
              <w:bottom w:val="single" w:color="auto" w:sz="4" w:space="0"/>
              <w:right w:val="single" w:color="auto" w:sz="4" w:space="0"/>
            </w:tcBorders>
            <w:noWrap w:val="0"/>
            <w:vAlign w:val="center"/>
          </w:tcPr>
          <w:p w14:paraId="1FA6091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6ADA5288">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11CC2903">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28</w:t>
            </w:r>
          </w:p>
        </w:tc>
        <w:tc>
          <w:tcPr>
            <w:tcW w:w="841" w:type="pct"/>
            <w:tcBorders>
              <w:top w:val="nil"/>
              <w:left w:val="nil"/>
              <w:bottom w:val="single" w:color="auto" w:sz="4" w:space="0"/>
              <w:right w:val="single" w:color="auto" w:sz="4" w:space="0"/>
            </w:tcBorders>
            <w:noWrap/>
            <w:vAlign w:val="center"/>
          </w:tcPr>
          <w:p w14:paraId="49C2933B">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JC90</w:t>
            </w:r>
          </w:p>
        </w:tc>
        <w:tc>
          <w:tcPr>
            <w:tcW w:w="1561" w:type="pct"/>
            <w:tcBorders>
              <w:top w:val="nil"/>
              <w:left w:val="nil"/>
              <w:bottom w:val="single" w:color="auto" w:sz="4" w:space="0"/>
              <w:right w:val="single" w:color="auto" w:sz="4" w:space="0"/>
            </w:tcBorders>
            <w:noWrap/>
            <w:vAlign w:val="center"/>
          </w:tcPr>
          <w:p w14:paraId="0FA8310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失业保险参保人员基本信息及失业保险基金转移信息</w:t>
            </w:r>
          </w:p>
        </w:tc>
        <w:tc>
          <w:tcPr>
            <w:tcW w:w="1320" w:type="pct"/>
            <w:tcBorders>
              <w:top w:val="nil"/>
              <w:left w:val="nil"/>
              <w:bottom w:val="single" w:color="auto" w:sz="4" w:space="0"/>
              <w:right w:val="single" w:color="auto" w:sz="4" w:space="0"/>
            </w:tcBorders>
            <w:noWrap w:val="0"/>
            <w:vAlign w:val="center"/>
          </w:tcPr>
          <w:p w14:paraId="2B41E6A8">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712" w:type="pct"/>
            <w:tcBorders>
              <w:top w:val="nil"/>
              <w:left w:val="nil"/>
              <w:bottom w:val="single" w:color="auto" w:sz="4" w:space="0"/>
              <w:right w:val="single" w:color="auto" w:sz="4" w:space="0"/>
            </w:tcBorders>
            <w:noWrap w:val="0"/>
            <w:vAlign w:val="center"/>
          </w:tcPr>
          <w:p w14:paraId="7D78A00A">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2C2B3CDD">
        <w:tblPrEx>
          <w:tblCellMar>
            <w:top w:w="0" w:type="dxa"/>
            <w:left w:w="108" w:type="dxa"/>
            <w:bottom w:w="0" w:type="dxa"/>
            <w:right w:w="108" w:type="dxa"/>
          </w:tblCellMar>
        </w:tblPrEx>
        <w:trPr>
          <w:trHeight w:val="317" w:hRule="atLeast"/>
        </w:trPr>
        <w:tc>
          <w:tcPr>
            <w:tcW w:w="563" w:type="pct"/>
            <w:tcBorders>
              <w:top w:val="nil"/>
              <w:left w:val="single" w:color="auto" w:sz="4" w:space="0"/>
              <w:bottom w:val="single" w:color="auto" w:sz="4" w:space="0"/>
              <w:right w:val="single" w:color="auto" w:sz="4" w:space="0"/>
            </w:tcBorders>
            <w:noWrap/>
            <w:vAlign w:val="center"/>
          </w:tcPr>
          <w:p w14:paraId="5FEAC5D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29</w:t>
            </w:r>
          </w:p>
        </w:tc>
        <w:tc>
          <w:tcPr>
            <w:tcW w:w="841" w:type="pct"/>
            <w:tcBorders>
              <w:top w:val="nil"/>
              <w:left w:val="nil"/>
              <w:bottom w:val="single" w:color="auto" w:sz="4" w:space="0"/>
              <w:right w:val="single" w:color="auto" w:sz="4" w:space="0"/>
            </w:tcBorders>
            <w:noWrap/>
            <w:vAlign w:val="center"/>
          </w:tcPr>
          <w:p w14:paraId="6017C977">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JC91</w:t>
            </w:r>
          </w:p>
        </w:tc>
        <w:tc>
          <w:tcPr>
            <w:tcW w:w="1561" w:type="pct"/>
            <w:tcBorders>
              <w:top w:val="nil"/>
              <w:left w:val="nil"/>
              <w:bottom w:val="single" w:color="auto" w:sz="4" w:space="0"/>
              <w:right w:val="single" w:color="auto" w:sz="4" w:space="0"/>
            </w:tcBorders>
            <w:noWrap/>
            <w:vAlign w:val="center"/>
          </w:tcPr>
          <w:p w14:paraId="35FF9DC5">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失业保险参保人员历年缴费记账信息</w:t>
            </w:r>
          </w:p>
        </w:tc>
        <w:tc>
          <w:tcPr>
            <w:tcW w:w="1320" w:type="pct"/>
            <w:tcBorders>
              <w:top w:val="nil"/>
              <w:left w:val="nil"/>
              <w:bottom w:val="single" w:color="auto" w:sz="4" w:space="0"/>
              <w:right w:val="single" w:color="auto" w:sz="4" w:space="0"/>
            </w:tcBorders>
            <w:noWrap w:val="0"/>
            <w:vAlign w:val="center"/>
          </w:tcPr>
          <w:p w14:paraId="49E62C90">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712" w:type="pct"/>
            <w:tcBorders>
              <w:top w:val="nil"/>
              <w:left w:val="nil"/>
              <w:bottom w:val="single" w:color="auto" w:sz="4" w:space="0"/>
              <w:right w:val="single" w:color="auto" w:sz="4" w:space="0"/>
            </w:tcBorders>
            <w:noWrap w:val="0"/>
            <w:vAlign w:val="center"/>
          </w:tcPr>
          <w:p w14:paraId="2EEDC364">
            <w:pPr>
              <w:keepNext w:val="0"/>
              <w:keepLines w:val="0"/>
              <w:pageBreakBefore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bl>
    <w:p w14:paraId="2D9CC616">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表9关系转移中心数据库列表</w:t>
      </w:r>
    </w:p>
    <w:p w14:paraId="3D3BCA0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11、金融支付中心</w:t>
      </w:r>
    </w:p>
    <w:p w14:paraId="613829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金融支付中心主要包含收发银行接口，查询人社账号流水等。金融支付中心主要提供包括金融支付管理等业务相关的查询、原子业务服务。</w:t>
      </w:r>
    </w:p>
    <w:p w14:paraId="05F5F7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11.1逻辑结构设计</w:t>
      </w:r>
    </w:p>
    <w:p w14:paraId="436B77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金融支付中心包含收发银行接口，查询人社账号流水等。</w:t>
      </w:r>
    </w:p>
    <w:p w14:paraId="705B67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11.2数据库列表</w:t>
      </w:r>
    </w:p>
    <w:tbl>
      <w:tblPr>
        <w:tblStyle w:val="14"/>
        <w:tblW w:w="5000" w:type="pct"/>
        <w:jc w:val="center"/>
        <w:tblLayout w:type="autofit"/>
        <w:tblCellMar>
          <w:top w:w="0" w:type="dxa"/>
          <w:left w:w="108" w:type="dxa"/>
          <w:bottom w:w="0" w:type="dxa"/>
          <w:right w:w="108" w:type="dxa"/>
        </w:tblCellMar>
      </w:tblPr>
      <w:tblGrid>
        <w:gridCol w:w="840"/>
        <w:gridCol w:w="1317"/>
        <w:gridCol w:w="3550"/>
        <w:gridCol w:w="2125"/>
        <w:gridCol w:w="1411"/>
      </w:tblGrid>
      <w:tr w14:paraId="29A93E0E">
        <w:tblPrEx>
          <w:tblCellMar>
            <w:top w:w="0" w:type="dxa"/>
            <w:left w:w="108" w:type="dxa"/>
            <w:bottom w:w="0" w:type="dxa"/>
            <w:right w:w="108" w:type="dxa"/>
          </w:tblCellMar>
        </w:tblPrEx>
        <w:trPr>
          <w:trHeight w:val="283" w:hRule="atLeast"/>
          <w:jc w:val="center"/>
        </w:trPr>
        <w:tc>
          <w:tcPr>
            <w:tcW w:w="454"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EC15AE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序号</w:t>
            </w:r>
          </w:p>
        </w:tc>
        <w:tc>
          <w:tcPr>
            <w:tcW w:w="712" w:type="pct"/>
            <w:tcBorders>
              <w:top w:val="single" w:color="auto" w:sz="4" w:space="0"/>
              <w:left w:val="nil"/>
              <w:bottom w:val="single" w:color="auto" w:sz="4" w:space="0"/>
              <w:right w:val="single" w:color="auto" w:sz="4" w:space="0"/>
            </w:tcBorders>
            <w:shd w:val="clear" w:color="auto" w:fill="D9D9D9"/>
            <w:noWrap w:val="0"/>
            <w:vAlign w:val="center"/>
          </w:tcPr>
          <w:p w14:paraId="7EFD17D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表编码</w:t>
            </w:r>
          </w:p>
        </w:tc>
        <w:tc>
          <w:tcPr>
            <w:tcW w:w="1919" w:type="pct"/>
            <w:tcBorders>
              <w:top w:val="single" w:color="auto" w:sz="4" w:space="0"/>
              <w:left w:val="nil"/>
              <w:bottom w:val="single" w:color="auto" w:sz="4" w:space="0"/>
              <w:right w:val="single" w:color="auto" w:sz="4" w:space="0"/>
            </w:tcBorders>
            <w:shd w:val="clear" w:color="auto" w:fill="D9D9D9"/>
            <w:noWrap w:val="0"/>
            <w:vAlign w:val="center"/>
          </w:tcPr>
          <w:p w14:paraId="2924E05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表名称</w:t>
            </w:r>
          </w:p>
        </w:tc>
        <w:tc>
          <w:tcPr>
            <w:tcW w:w="1149" w:type="pct"/>
            <w:tcBorders>
              <w:top w:val="single" w:color="auto" w:sz="4" w:space="0"/>
              <w:left w:val="nil"/>
              <w:bottom w:val="single" w:color="auto" w:sz="4" w:space="0"/>
              <w:right w:val="single" w:color="auto" w:sz="4" w:space="0"/>
            </w:tcBorders>
            <w:shd w:val="clear" w:color="auto" w:fill="D9D9D9"/>
            <w:noWrap w:val="0"/>
            <w:vAlign w:val="top"/>
          </w:tcPr>
          <w:p w14:paraId="2819F1B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适用险种</w:t>
            </w:r>
          </w:p>
        </w:tc>
        <w:tc>
          <w:tcPr>
            <w:tcW w:w="763" w:type="pct"/>
            <w:tcBorders>
              <w:top w:val="single" w:color="auto" w:sz="4" w:space="0"/>
              <w:left w:val="nil"/>
              <w:bottom w:val="single" w:color="auto" w:sz="4" w:space="0"/>
              <w:right w:val="single" w:color="auto" w:sz="4" w:space="0"/>
            </w:tcBorders>
            <w:shd w:val="clear" w:color="auto" w:fill="D9D9D9"/>
            <w:noWrap w:val="0"/>
            <w:vAlign w:val="top"/>
          </w:tcPr>
          <w:p w14:paraId="487E0C4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bidi="ar"/>
              </w:rPr>
              <w:t>备注</w:t>
            </w:r>
          </w:p>
        </w:tc>
      </w:tr>
      <w:tr w14:paraId="465C6ED1">
        <w:tblPrEx>
          <w:tblCellMar>
            <w:top w:w="0" w:type="dxa"/>
            <w:left w:w="108" w:type="dxa"/>
            <w:bottom w:w="0" w:type="dxa"/>
            <w:right w:w="108" w:type="dxa"/>
          </w:tblCellMar>
        </w:tblPrEx>
        <w:trPr>
          <w:trHeight w:val="283" w:hRule="atLeast"/>
          <w:jc w:val="center"/>
        </w:trPr>
        <w:tc>
          <w:tcPr>
            <w:tcW w:w="454" w:type="pct"/>
            <w:tcBorders>
              <w:top w:val="nil"/>
              <w:left w:val="single" w:color="auto" w:sz="4" w:space="0"/>
              <w:bottom w:val="single" w:color="auto" w:sz="4" w:space="0"/>
              <w:right w:val="single" w:color="auto" w:sz="4" w:space="0"/>
            </w:tcBorders>
            <w:shd w:val="clear" w:color="auto" w:fill="FFFFFF"/>
            <w:noWrap/>
            <w:vAlign w:val="bottom"/>
          </w:tcPr>
          <w:p w14:paraId="550AA97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712" w:type="pct"/>
            <w:tcBorders>
              <w:top w:val="nil"/>
              <w:left w:val="nil"/>
              <w:bottom w:val="single" w:color="auto" w:sz="4" w:space="0"/>
              <w:right w:val="single" w:color="auto" w:sz="4" w:space="0"/>
            </w:tcBorders>
            <w:shd w:val="clear" w:color="auto" w:fill="FFFFFF"/>
            <w:noWrap/>
            <w:vAlign w:val="bottom"/>
          </w:tcPr>
          <w:p w14:paraId="2AD49DA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AD52</w:t>
            </w:r>
          </w:p>
        </w:tc>
        <w:tc>
          <w:tcPr>
            <w:tcW w:w="1919" w:type="pct"/>
            <w:tcBorders>
              <w:top w:val="nil"/>
              <w:left w:val="nil"/>
              <w:bottom w:val="single" w:color="auto" w:sz="4" w:space="0"/>
              <w:right w:val="single" w:color="auto" w:sz="4" w:space="0"/>
            </w:tcBorders>
            <w:shd w:val="clear" w:color="auto" w:fill="FFFFFF"/>
            <w:noWrap w:val="0"/>
            <w:vAlign w:val="bottom"/>
          </w:tcPr>
          <w:p w14:paraId="6E3E506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批量支付文件发送表</w:t>
            </w:r>
          </w:p>
        </w:tc>
        <w:tc>
          <w:tcPr>
            <w:tcW w:w="1149" w:type="pct"/>
            <w:tcBorders>
              <w:top w:val="nil"/>
              <w:left w:val="nil"/>
              <w:bottom w:val="single" w:color="auto" w:sz="4" w:space="0"/>
              <w:right w:val="single" w:color="auto" w:sz="4" w:space="0"/>
            </w:tcBorders>
            <w:shd w:val="clear" w:color="auto" w:fill="FFFFFF"/>
            <w:noWrap w:val="0"/>
            <w:vAlign w:val="top"/>
          </w:tcPr>
          <w:p w14:paraId="6518B8A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3" w:type="pct"/>
            <w:tcBorders>
              <w:top w:val="nil"/>
              <w:left w:val="nil"/>
              <w:bottom w:val="single" w:color="auto" w:sz="4" w:space="0"/>
              <w:right w:val="single" w:color="auto" w:sz="4" w:space="0"/>
            </w:tcBorders>
            <w:shd w:val="clear" w:color="auto" w:fill="FFFFFF"/>
            <w:noWrap w:val="0"/>
            <w:vAlign w:val="top"/>
          </w:tcPr>
          <w:p w14:paraId="42A9D30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02331181">
        <w:tblPrEx>
          <w:tblCellMar>
            <w:top w:w="0" w:type="dxa"/>
            <w:left w:w="108" w:type="dxa"/>
            <w:bottom w:w="0" w:type="dxa"/>
            <w:right w:w="108" w:type="dxa"/>
          </w:tblCellMar>
        </w:tblPrEx>
        <w:trPr>
          <w:trHeight w:val="283" w:hRule="atLeast"/>
          <w:jc w:val="center"/>
        </w:trPr>
        <w:tc>
          <w:tcPr>
            <w:tcW w:w="454" w:type="pct"/>
            <w:tcBorders>
              <w:top w:val="nil"/>
              <w:left w:val="single" w:color="auto" w:sz="4" w:space="0"/>
              <w:bottom w:val="single" w:color="auto" w:sz="4" w:space="0"/>
              <w:right w:val="single" w:color="auto" w:sz="4" w:space="0"/>
            </w:tcBorders>
            <w:shd w:val="clear" w:color="auto" w:fill="FFFFFF"/>
            <w:noWrap/>
            <w:vAlign w:val="bottom"/>
          </w:tcPr>
          <w:p w14:paraId="454F97E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2</w:t>
            </w:r>
          </w:p>
        </w:tc>
        <w:tc>
          <w:tcPr>
            <w:tcW w:w="712" w:type="pct"/>
            <w:tcBorders>
              <w:top w:val="nil"/>
              <w:left w:val="nil"/>
              <w:bottom w:val="single" w:color="auto" w:sz="4" w:space="0"/>
              <w:right w:val="single" w:color="auto" w:sz="4" w:space="0"/>
            </w:tcBorders>
            <w:shd w:val="clear" w:color="auto" w:fill="FFFFFF"/>
            <w:noWrap/>
            <w:vAlign w:val="bottom"/>
          </w:tcPr>
          <w:p w14:paraId="10EF6C6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AD53</w:t>
            </w:r>
          </w:p>
        </w:tc>
        <w:tc>
          <w:tcPr>
            <w:tcW w:w="1919" w:type="pct"/>
            <w:tcBorders>
              <w:top w:val="nil"/>
              <w:left w:val="nil"/>
              <w:bottom w:val="single" w:color="auto" w:sz="4" w:space="0"/>
              <w:right w:val="single" w:color="auto" w:sz="4" w:space="0"/>
            </w:tcBorders>
            <w:shd w:val="clear" w:color="auto" w:fill="FFFFFF"/>
            <w:noWrap w:val="0"/>
            <w:vAlign w:val="bottom"/>
          </w:tcPr>
          <w:p w14:paraId="65F4364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批量支付文件银行处理反馈表</w:t>
            </w:r>
          </w:p>
        </w:tc>
        <w:tc>
          <w:tcPr>
            <w:tcW w:w="1149" w:type="pct"/>
            <w:tcBorders>
              <w:top w:val="nil"/>
              <w:left w:val="nil"/>
              <w:bottom w:val="single" w:color="auto" w:sz="4" w:space="0"/>
              <w:right w:val="single" w:color="auto" w:sz="4" w:space="0"/>
            </w:tcBorders>
            <w:shd w:val="clear" w:color="auto" w:fill="FFFFFF"/>
            <w:noWrap w:val="0"/>
            <w:vAlign w:val="top"/>
          </w:tcPr>
          <w:p w14:paraId="0399C94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3" w:type="pct"/>
            <w:tcBorders>
              <w:top w:val="nil"/>
              <w:left w:val="nil"/>
              <w:bottom w:val="single" w:color="auto" w:sz="4" w:space="0"/>
              <w:right w:val="single" w:color="auto" w:sz="4" w:space="0"/>
            </w:tcBorders>
            <w:shd w:val="clear" w:color="auto" w:fill="FFFFFF"/>
            <w:noWrap w:val="0"/>
            <w:vAlign w:val="top"/>
          </w:tcPr>
          <w:p w14:paraId="4341687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50F705B">
        <w:tblPrEx>
          <w:tblCellMar>
            <w:top w:w="0" w:type="dxa"/>
            <w:left w:w="108" w:type="dxa"/>
            <w:bottom w:w="0" w:type="dxa"/>
            <w:right w:w="108" w:type="dxa"/>
          </w:tblCellMar>
        </w:tblPrEx>
        <w:trPr>
          <w:trHeight w:val="283" w:hRule="atLeast"/>
          <w:jc w:val="center"/>
        </w:trPr>
        <w:tc>
          <w:tcPr>
            <w:tcW w:w="454" w:type="pct"/>
            <w:tcBorders>
              <w:top w:val="nil"/>
              <w:left w:val="single" w:color="auto" w:sz="4" w:space="0"/>
              <w:bottom w:val="single" w:color="auto" w:sz="4" w:space="0"/>
              <w:right w:val="single" w:color="auto" w:sz="4" w:space="0"/>
            </w:tcBorders>
            <w:shd w:val="clear" w:color="auto" w:fill="FFFFFF"/>
            <w:noWrap/>
            <w:vAlign w:val="bottom"/>
          </w:tcPr>
          <w:p w14:paraId="2817B36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3</w:t>
            </w:r>
          </w:p>
        </w:tc>
        <w:tc>
          <w:tcPr>
            <w:tcW w:w="712" w:type="pct"/>
            <w:tcBorders>
              <w:top w:val="nil"/>
              <w:left w:val="nil"/>
              <w:bottom w:val="single" w:color="auto" w:sz="4" w:space="0"/>
              <w:right w:val="single" w:color="auto" w:sz="4" w:space="0"/>
            </w:tcBorders>
            <w:shd w:val="clear" w:color="auto" w:fill="FFFFFF"/>
            <w:noWrap/>
            <w:vAlign w:val="bottom"/>
          </w:tcPr>
          <w:p w14:paraId="6B24864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AD64</w:t>
            </w:r>
          </w:p>
        </w:tc>
        <w:tc>
          <w:tcPr>
            <w:tcW w:w="1919" w:type="pct"/>
            <w:tcBorders>
              <w:top w:val="nil"/>
              <w:left w:val="nil"/>
              <w:bottom w:val="single" w:color="auto" w:sz="4" w:space="0"/>
              <w:right w:val="single" w:color="auto" w:sz="4" w:space="0"/>
            </w:tcBorders>
            <w:shd w:val="clear" w:color="auto" w:fill="FFFFFF"/>
            <w:noWrap w:val="0"/>
            <w:vAlign w:val="bottom"/>
          </w:tcPr>
          <w:p w14:paraId="5FD906C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人社机构银行账号表</w:t>
            </w:r>
          </w:p>
        </w:tc>
        <w:tc>
          <w:tcPr>
            <w:tcW w:w="1149" w:type="pct"/>
            <w:tcBorders>
              <w:top w:val="nil"/>
              <w:left w:val="nil"/>
              <w:bottom w:val="single" w:color="auto" w:sz="4" w:space="0"/>
              <w:right w:val="single" w:color="auto" w:sz="4" w:space="0"/>
            </w:tcBorders>
            <w:shd w:val="clear" w:color="auto" w:fill="FFFFFF"/>
            <w:noWrap w:val="0"/>
            <w:vAlign w:val="top"/>
          </w:tcPr>
          <w:p w14:paraId="521542C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全险种</w:t>
            </w:r>
          </w:p>
        </w:tc>
        <w:tc>
          <w:tcPr>
            <w:tcW w:w="763" w:type="pct"/>
            <w:tcBorders>
              <w:top w:val="nil"/>
              <w:left w:val="nil"/>
              <w:bottom w:val="single" w:color="auto" w:sz="4" w:space="0"/>
              <w:right w:val="single" w:color="auto" w:sz="4" w:space="0"/>
            </w:tcBorders>
            <w:shd w:val="clear" w:color="auto" w:fill="FFFFFF"/>
            <w:noWrap w:val="0"/>
            <w:vAlign w:val="top"/>
          </w:tcPr>
          <w:p w14:paraId="1F15EF7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bidi="ar"/>
              </w:rPr>
              <w:t>已有表</w:t>
            </w:r>
          </w:p>
        </w:tc>
      </w:tr>
    </w:tbl>
    <w:p w14:paraId="4C8A38CB">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表10金融支付中心数据库列表</w:t>
      </w:r>
    </w:p>
    <w:p w14:paraId="17DE795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12、基金财务中心</w:t>
      </w:r>
    </w:p>
    <w:p w14:paraId="3EB963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基金财务中心主要用于衔接业务数据与财务数据，推进业务财务一体化。基金财务中心主要提供包括基金财务管理等业务相关的查询、原子业务服务。</w:t>
      </w:r>
    </w:p>
    <w:p w14:paraId="0FD042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12.1逻辑结构设计</w:t>
      </w:r>
    </w:p>
    <w:p w14:paraId="62DD1D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基金财务中心主要用于衔接业务数据与财务数据，推进业务财务一体化。</w:t>
      </w:r>
    </w:p>
    <w:p w14:paraId="55D304E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12.2数据库列表</w:t>
      </w:r>
    </w:p>
    <w:tbl>
      <w:tblPr>
        <w:tblStyle w:val="14"/>
        <w:tblW w:w="5000" w:type="pct"/>
        <w:tblInd w:w="0" w:type="dxa"/>
        <w:tblLayout w:type="autofit"/>
        <w:tblCellMar>
          <w:top w:w="0" w:type="dxa"/>
          <w:left w:w="108" w:type="dxa"/>
          <w:bottom w:w="0" w:type="dxa"/>
          <w:right w:w="108" w:type="dxa"/>
        </w:tblCellMar>
      </w:tblPr>
      <w:tblGrid>
        <w:gridCol w:w="950"/>
        <w:gridCol w:w="1489"/>
        <w:gridCol w:w="2976"/>
        <w:gridCol w:w="2450"/>
        <w:gridCol w:w="1378"/>
      </w:tblGrid>
      <w:tr w14:paraId="097B66F5">
        <w:tblPrEx>
          <w:tblCellMar>
            <w:top w:w="0" w:type="dxa"/>
            <w:left w:w="108" w:type="dxa"/>
            <w:bottom w:w="0" w:type="dxa"/>
            <w:right w:w="108" w:type="dxa"/>
          </w:tblCellMar>
        </w:tblPrEx>
        <w:trPr>
          <w:trHeight w:val="391" w:hRule="atLeast"/>
        </w:trPr>
        <w:tc>
          <w:tcPr>
            <w:tcW w:w="514"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A02C21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805" w:type="pct"/>
            <w:tcBorders>
              <w:top w:val="single" w:color="auto" w:sz="4" w:space="0"/>
              <w:left w:val="nil"/>
              <w:bottom w:val="single" w:color="auto" w:sz="4" w:space="0"/>
              <w:right w:val="single" w:color="auto" w:sz="4" w:space="0"/>
            </w:tcBorders>
            <w:shd w:val="clear" w:color="auto" w:fill="D9D9D9"/>
            <w:noWrap w:val="0"/>
            <w:vAlign w:val="center"/>
          </w:tcPr>
          <w:p w14:paraId="0F13B55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609" w:type="pct"/>
            <w:tcBorders>
              <w:top w:val="single" w:color="auto" w:sz="4" w:space="0"/>
              <w:left w:val="nil"/>
              <w:bottom w:val="single" w:color="auto" w:sz="4" w:space="0"/>
              <w:right w:val="single" w:color="auto" w:sz="4" w:space="0"/>
            </w:tcBorders>
            <w:shd w:val="clear" w:color="auto" w:fill="D9D9D9"/>
            <w:noWrap w:val="0"/>
            <w:vAlign w:val="center"/>
          </w:tcPr>
          <w:p w14:paraId="631F13F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1325" w:type="pct"/>
            <w:tcBorders>
              <w:top w:val="single" w:color="auto" w:sz="4" w:space="0"/>
              <w:left w:val="nil"/>
              <w:bottom w:val="single" w:color="auto" w:sz="4" w:space="0"/>
              <w:right w:val="single" w:color="auto" w:sz="4" w:space="0"/>
            </w:tcBorders>
            <w:shd w:val="clear" w:color="auto" w:fill="D9D9D9"/>
            <w:noWrap w:val="0"/>
            <w:vAlign w:val="top"/>
          </w:tcPr>
          <w:p w14:paraId="4C70138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745" w:type="pct"/>
            <w:tcBorders>
              <w:top w:val="single" w:color="auto" w:sz="4" w:space="0"/>
              <w:left w:val="nil"/>
              <w:bottom w:val="single" w:color="auto" w:sz="4" w:space="0"/>
              <w:right w:val="single" w:color="auto" w:sz="4" w:space="0"/>
            </w:tcBorders>
            <w:shd w:val="clear" w:color="auto" w:fill="D9D9D9"/>
            <w:noWrap w:val="0"/>
            <w:vAlign w:val="top"/>
          </w:tcPr>
          <w:p w14:paraId="5648ECC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17CB7AD6">
        <w:tblPrEx>
          <w:tblCellMar>
            <w:top w:w="0" w:type="dxa"/>
            <w:left w:w="108" w:type="dxa"/>
            <w:bottom w:w="0" w:type="dxa"/>
            <w:right w:w="108" w:type="dxa"/>
          </w:tblCellMar>
        </w:tblPrEx>
        <w:trPr>
          <w:trHeight w:val="391" w:hRule="atLeast"/>
        </w:trPr>
        <w:tc>
          <w:tcPr>
            <w:tcW w:w="514" w:type="pct"/>
            <w:tcBorders>
              <w:top w:val="nil"/>
              <w:left w:val="single" w:color="auto" w:sz="4" w:space="0"/>
              <w:bottom w:val="single" w:color="auto" w:sz="4" w:space="0"/>
              <w:right w:val="single" w:color="auto" w:sz="4" w:space="0"/>
            </w:tcBorders>
            <w:noWrap/>
            <w:vAlign w:val="center"/>
          </w:tcPr>
          <w:p w14:paraId="534C80A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1</w:t>
            </w:r>
          </w:p>
        </w:tc>
        <w:tc>
          <w:tcPr>
            <w:tcW w:w="805" w:type="pct"/>
            <w:tcBorders>
              <w:top w:val="nil"/>
              <w:left w:val="nil"/>
              <w:bottom w:val="single" w:color="auto" w:sz="4" w:space="0"/>
              <w:right w:val="single" w:color="auto" w:sz="4" w:space="0"/>
            </w:tcBorders>
            <w:noWrap/>
            <w:vAlign w:val="center"/>
          </w:tcPr>
          <w:p w14:paraId="289E0E3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AD50</w:t>
            </w:r>
          </w:p>
        </w:tc>
        <w:tc>
          <w:tcPr>
            <w:tcW w:w="1609" w:type="pct"/>
            <w:tcBorders>
              <w:top w:val="nil"/>
              <w:left w:val="nil"/>
              <w:bottom w:val="single" w:color="auto" w:sz="4" w:space="0"/>
              <w:right w:val="single" w:color="auto" w:sz="4" w:space="0"/>
            </w:tcBorders>
            <w:noWrap w:val="0"/>
            <w:vAlign w:val="center"/>
          </w:tcPr>
          <w:p w14:paraId="5B0E050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财务接口表</w:t>
            </w:r>
          </w:p>
        </w:tc>
        <w:tc>
          <w:tcPr>
            <w:tcW w:w="1325" w:type="pct"/>
            <w:tcBorders>
              <w:top w:val="nil"/>
              <w:left w:val="nil"/>
              <w:bottom w:val="single" w:color="auto" w:sz="4" w:space="0"/>
              <w:right w:val="single" w:color="auto" w:sz="4" w:space="0"/>
            </w:tcBorders>
            <w:noWrap w:val="0"/>
            <w:vAlign w:val="top"/>
          </w:tcPr>
          <w:p w14:paraId="1905CB9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745" w:type="pct"/>
            <w:tcBorders>
              <w:top w:val="nil"/>
              <w:left w:val="nil"/>
              <w:bottom w:val="single" w:color="auto" w:sz="4" w:space="0"/>
              <w:right w:val="single" w:color="auto" w:sz="4" w:space="0"/>
            </w:tcBorders>
            <w:noWrap w:val="0"/>
            <w:vAlign w:val="top"/>
          </w:tcPr>
          <w:p w14:paraId="5E774C1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29B0DD32">
        <w:tblPrEx>
          <w:tblCellMar>
            <w:top w:w="0" w:type="dxa"/>
            <w:left w:w="108" w:type="dxa"/>
            <w:bottom w:w="0" w:type="dxa"/>
            <w:right w:w="108" w:type="dxa"/>
          </w:tblCellMar>
        </w:tblPrEx>
        <w:trPr>
          <w:trHeight w:val="391" w:hRule="atLeast"/>
        </w:trPr>
        <w:tc>
          <w:tcPr>
            <w:tcW w:w="514" w:type="pct"/>
            <w:tcBorders>
              <w:top w:val="single" w:color="auto" w:sz="4" w:space="0"/>
              <w:left w:val="single" w:color="auto" w:sz="4" w:space="0"/>
              <w:bottom w:val="single" w:color="auto" w:sz="4" w:space="0"/>
              <w:right w:val="single" w:color="auto" w:sz="4" w:space="0"/>
            </w:tcBorders>
            <w:noWrap/>
            <w:vAlign w:val="center"/>
          </w:tcPr>
          <w:p w14:paraId="087E50B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2</w:t>
            </w:r>
          </w:p>
        </w:tc>
        <w:tc>
          <w:tcPr>
            <w:tcW w:w="805" w:type="pct"/>
            <w:tcBorders>
              <w:top w:val="single" w:color="auto" w:sz="4" w:space="0"/>
              <w:left w:val="nil"/>
              <w:bottom w:val="single" w:color="auto" w:sz="4" w:space="0"/>
              <w:right w:val="single" w:color="auto" w:sz="4" w:space="0"/>
            </w:tcBorders>
            <w:noWrap/>
            <w:vAlign w:val="center"/>
          </w:tcPr>
          <w:p w14:paraId="7F9C0EB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AD51</w:t>
            </w:r>
          </w:p>
        </w:tc>
        <w:tc>
          <w:tcPr>
            <w:tcW w:w="1609" w:type="pct"/>
            <w:tcBorders>
              <w:top w:val="single" w:color="auto" w:sz="4" w:space="0"/>
              <w:left w:val="nil"/>
              <w:bottom w:val="single" w:color="auto" w:sz="4" w:space="0"/>
              <w:right w:val="single" w:color="auto" w:sz="4" w:space="0"/>
            </w:tcBorders>
            <w:noWrap w:val="0"/>
            <w:vAlign w:val="center"/>
          </w:tcPr>
          <w:p w14:paraId="066E99F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财务接口明细表</w:t>
            </w:r>
          </w:p>
        </w:tc>
        <w:tc>
          <w:tcPr>
            <w:tcW w:w="1325" w:type="pct"/>
            <w:tcBorders>
              <w:top w:val="single" w:color="auto" w:sz="4" w:space="0"/>
              <w:left w:val="nil"/>
              <w:bottom w:val="single" w:color="auto" w:sz="4" w:space="0"/>
              <w:right w:val="single" w:color="auto" w:sz="4" w:space="0"/>
            </w:tcBorders>
            <w:noWrap w:val="0"/>
            <w:vAlign w:val="top"/>
          </w:tcPr>
          <w:p w14:paraId="5952616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745" w:type="pct"/>
            <w:tcBorders>
              <w:top w:val="single" w:color="auto" w:sz="4" w:space="0"/>
              <w:left w:val="nil"/>
              <w:bottom w:val="single" w:color="auto" w:sz="4" w:space="0"/>
              <w:right w:val="single" w:color="auto" w:sz="4" w:space="0"/>
            </w:tcBorders>
            <w:noWrap w:val="0"/>
            <w:vAlign w:val="top"/>
          </w:tcPr>
          <w:p w14:paraId="4E858E9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434AFBC3">
        <w:tblPrEx>
          <w:tblCellMar>
            <w:top w:w="0" w:type="dxa"/>
            <w:left w:w="108" w:type="dxa"/>
            <w:bottom w:w="0" w:type="dxa"/>
            <w:right w:w="108" w:type="dxa"/>
          </w:tblCellMar>
        </w:tblPrEx>
        <w:trPr>
          <w:trHeight w:val="391" w:hRule="atLeast"/>
        </w:trPr>
        <w:tc>
          <w:tcPr>
            <w:tcW w:w="514" w:type="pct"/>
            <w:tcBorders>
              <w:top w:val="single" w:color="auto" w:sz="4" w:space="0"/>
              <w:left w:val="single" w:color="auto" w:sz="4" w:space="0"/>
              <w:bottom w:val="single" w:color="auto" w:sz="4" w:space="0"/>
              <w:right w:val="single" w:color="auto" w:sz="4" w:space="0"/>
            </w:tcBorders>
            <w:noWrap/>
            <w:vAlign w:val="center"/>
          </w:tcPr>
          <w:p w14:paraId="25F78F2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3</w:t>
            </w:r>
          </w:p>
        </w:tc>
        <w:tc>
          <w:tcPr>
            <w:tcW w:w="805" w:type="pct"/>
            <w:tcBorders>
              <w:top w:val="single" w:color="auto" w:sz="4" w:space="0"/>
              <w:left w:val="nil"/>
              <w:bottom w:val="single" w:color="auto" w:sz="4" w:space="0"/>
              <w:right w:val="single" w:color="auto" w:sz="4" w:space="0"/>
            </w:tcBorders>
            <w:noWrap/>
            <w:vAlign w:val="center"/>
          </w:tcPr>
          <w:p w14:paraId="2EFA13D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AD66</w:t>
            </w:r>
          </w:p>
        </w:tc>
        <w:tc>
          <w:tcPr>
            <w:tcW w:w="1609" w:type="pct"/>
            <w:tcBorders>
              <w:top w:val="single" w:color="auto" w:sz="4" w:space="0"/>
              <w:left w:val="nil"/>
              <w:bottom w:val="single" w:color="auto" w:sz="4" w:space="0"/>
              <w:right w:val="single" w:color="auto" w:sz="4" w:space="0"/>
            </w:tcBorders>
            <w:noWrap w:val="0"/>
            <w:vAlign w:val="center"/>
          </w:tcPr>
          <w:p w14:paraId="1BC03FD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业务财务关联表</w:t>
            </w:r>
          </w:p>
        </w:tc>
        <w:tc>
          <w:tcPr>
            <w:tcW w:w="1325" w:type="pct"/>
            <w:tcBorders>
              <w:top w:val="single" w:color="auto" w:sz="4" w:space="0"/>
              <w:left w:val="nil"/>
              <w:bottom w:val="single" w:color="auto" w:sz="4" w:space="0"/>
              <w:right w:val="single" w:color="auto" w:sz="4" w:space="0"/>
            </w:tcBorders>
            <w:noWrap w:val="0"/>
            <w:vAlign w:val="top"/>
          </w:tcPr>
          <w:p w14:paraId="33E49FB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745" w:type="pct"/>
            <w:tcBorders>
              <w:top w:val="single" w:color="auto" w:sz="4" w:space="0"/>
              <w:left w:val="nil"/>
              <w:bottom w:val="single" w:color="auto" w:sz="4" w:space="0"/>
              <w:right w:val="single" w:color="auto" w:sz="4" w:space="0"/>
            </w:tcBorders>
            <w:noWrap w:val="0"/>
            <w:vAlign w:val="top"/>
          </w:tcPr>
          <w:p w14:paraId="70BD6E4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bl>
    <w:p w14:paraId="2A9574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表11基金财务中心数据库列表</w:t>
      </w:r>
    </w:p>
    <w:p w14:paraId="74ECB4C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13、政策参数中心</w:t>
      </w:r>
    </w:p>
    <w:p w14:paraId="283483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策参数中心，主要用于存储工资、社会保险经办机构、代码等主要参数信息。由政策参数中心统一对各个业务板块参数信息进行维护及查询。政策参数中心主要是对业务中台服务提供综合参数、代码表查询、保存等操作。</w:t>
      </w:r>
    </w:p>
    <w:p w14:paraId="58872E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13.1逻辑结构设计</w:t>
      </w:r>
    </w:p>
    <w:p w14:paraId="09502F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政策参数中心，主要用于存储工资、社会保险经办机构、代码等主要参数信息。由政策参数中心统一对各个业务板块参数信息进行维护及查询。</w:t>
      </w:r>
    </w:p>
    <w:p w14:paraId="07BA52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13.2数据库列表</w:t>
      </w:r>
    </w:p>
    <w:tbl>
      <w:tblPr>
        <w:tblStyle w:val="14"/>
        <w:tblW w:w="5000" w:type="pct"/>
        <w:tblInd w:w="0" w:type="dxa"/>
        <w:tblLayout w:type="autofit"/>
        <w:tblCellMar>
          <w:top w:w="0" w:type="dxa"/>
          <w:left w:w="108" w:type="dxa"/>
          <w:bottom w:w="0" w:type="dxa"/>
          <w:right w:w="108" w:type="dxa"/>
        </w:tblCellMar>
      </w:tblPr>
      <w:tblGrid>
        <w:gridCol w:w="1015"/>
        <w:gridCol w:w="1274"/>
        <w:gridCol w:w="2454"/>
        <w:gridCol w:w="3229"/>
        <w:gridCol w:w="1271"/>
      </w:tblGrid>
      <w:tr w14:paraId="78997546">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6C72989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689" w:type="pct"/>
            <w:tcBorders>
              <w:top w:val="single" w:color="auto" w:sz="4" w:space="0"/>
              <w:left w:val="nil"/>
              <w:bottom w:val="single" w:color="auto" w:sz="4" w:space="0"/>
              <w:right w:val="single" w:color="auto" w:sz="4" w:space="0"/>
            </w:tcBorders>
            <w:shd w:val="clear" w:color="auto" w:fill="D9D9D9"/>
            <w:noWrap w:val="0"/>
            <w:vAlign w:val="center"/>
          </w:tcPr>
          <w:p w14:paraId="019D553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327" w:type="pct"/>
            <w:tcBorders>
              <w:top w:val="single" w:color="auto" w:sz="4" w:space="0"/>
              <w:left w:val="nil"/>
              <w:bottom w:val="single" w:color="auto" w:sz="4" w:space="0"/>
              <w:right w:val="single" w:color="auto" w:sz="4" w:space="0"/>
            </w:tcBorders>
            <w:shd w:val="clear" w:color="auto" w:fill="D9D9D9"/>
            <w:noWrap w:val="0"/>
            <w:vAlign w:val="center"/>
          </w:tcPr>
          <w:p w14:paraId="7F3180A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1746" w:type="pct"/>
            <w:tcBorders>
              <w:top w:val="single" w:color="auto" w:sz="4" w:space="0"/>
              <w:left w:val="nil"/>
              <w:bottom w:val="single" w:color="auto" w:sz="4" w:space="0"/>
              <w:right w:val="single" w:color="auto" w:sz="4" w:space="0"/>
            </w:tcBorders>
            <w:shd w:val="clear" w:color="auto" w:fill="D9D9D9"/>
            <w:noWrap w:val="0"/>
            <w:vAlign w:val="center"/>
          </w:tcPr>
          <w:p w14:paraId="7018B3B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687" w:type="pct"/>
            <w:tcBorders>
              <w:top w:val="single" w:color="auto" w:sz="4" w:space="0"/>
              <w:left w:val="nil"/>
              <w:bottom w:val="single" w:color="auto" w:sz="4" w:space="0"/>
              <w:right w:val="single" w:color="auto" w:sz="4" w:space="0"/>
            </w:tcBorders>
            <w:shd w:val="clear" w:color="auto" w:fill="D9D9D9"/>
            <w:noWrap w:val="0"/>
            <w:vAlign w:val="center"/>
          </w:tcPr>
          <w:p w14:paraId="0333817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2C95240B">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0F8B4F1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1</w:t>
            </w:r>
          </w:p>
        </w:tc>
        <w:tc>
          <w:tcPr>
            <w:tcW w:w="689" w:type="pct"/>
            <w:tcBorders>
              <w:top w:val="single" w:color="auto" w:sz="4" w:space="0"/>
              <w:left w:val="single" w:color="auto" w:sz="4" w:space="0"/>
              <w:bottom w:val="single" w:color="auto" w:sz="4" w:space="0"/>
              <w:right w:val="single" w:color="auto" w:sz="4" w:space="0"/>
            </w:tcBorders>
            <w:noWrap/>
            <w:vAlign w:val="center"/>
          </w:tcPr>
          <w:p w14:paraId="577C745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AA01</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7B08C25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综合参数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6D7B0BC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33A9121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00728075">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42D4F4D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2</w:t>
            </w:r>
          </w:p>
        </w:tc>
        <w:tc>
          <w:tcPr>
            <w:tcW w:w="689" w:type="pct"/>
            <w:tcBorders>
              <w:top w:val="single" w:color="auto" w:sz="4" w:space="0"/>
              <w:left w:val="single" w:color="auto" w:sz="4" w:space="0"/>
              <w:bottom w:val="single" w:color="auto" w:sz="4" w:space="0"/>
              <w:right w:val="single" w:color="auto" w:sz="4" w:space="0"/>
            </w:tcBorders>
            <w:noWrap/>
            <w:vAlign w:val="center"/>
          </w:tcPr>
          <w:p w14:paraId="3AAB603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AA02</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3A3A9F9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工资参数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1F20719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5F285BD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058E5167">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7D4301D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3</w:t>
            </w:r>
          </w:p>
        </w:tc>
        <w:tc>
          <w:tcPr>
            <w:tcW w:w="689" w:type="pct"/>
            <w:tcBorders>
              <w:top w:val="single" w:color="auto" w:sz="4" w:space="0"/>
              <w:left w:val="single" w:color="auto" w:sz="4" w:space="0"/>
              <w:bottom w:val="single" w:color="auto" w:sz="4" w:space="0"/>
              <w:right w:val="single" w:color="auto" w:sz="4" w:space="0"/>
            </w:tcBorders>
            <w:noWrap/>
            <w:vAlign w:val="center"/>
          </w:tcPr>
          <w:p w14:paraId="2EFA54E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AA10</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6F065BB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代码</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392DC74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28AA2AF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26BB5020">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722AD38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4</w:t>
            </w:r>
          </w:p>
        </w:tc>
        <w:tc>
          <w:tcPr>
            <w:tcW w:w="689" w:type="pct"/>
            <w:tcBorders>
              <w:top w:val="single" w:color="auto" w:sz="4" w:space="0"/>
              <w:left w:val="single" w:color="auto" w:sz="4" w:space="0"/>
              <w:bottom w:val="single" w:color="auto" w:sz="4" w:space="0"/>
              <w:right w:val="single" w:color="auto" w:sz="4" w:space="0"/>
            </w:tcBorders>
            <w:noWrap/>
            <w:vAlign w:val="center"/>
          </w:tcPr>
          <w:p w14:paraId="1AA8DF7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AF01</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3C924D6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社会保险经办机构</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092A982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7108AB0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1661561">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6AF5289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5</w:t>
            </w:r>
          </w:p>
        </w:tc>
        <w:tc>
          <w:tcPr>
            <w:tcW w:w="689" w:type="pct"/>
            <w:tcBorders>
              <w:top w:val="single" w:color="auto" w:sz="4" w:space="0"/>
              <w:left w:val="single" w:color="auto" w:sz="4" w:space="0"/>
              <w:bottom w:val="single" w:color="auto" w:sz="4" w:space="0"/>
              <w:right w:val="single" w:color="auto" w:sz="4" w:space="0"/>
            </w:tcBorders>
            <w:noWrap/>
            <w:vAlign w:val="center"/>
          </w:tcPr>
          <w:p w14:paraId="03F5020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AA03</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23ADFE2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利率参数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72618C0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基本养老保险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464BEF0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1DEF29AD">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2258DFE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6</w:t>
            </w:r>
          </w:p>
        </w:tc>
        <w:tc>
          <w:tcPr>
            <w:tcW w:w="689" w:type="pct"/>
            <w:tcBorders>
              <w:top w:val="single" w:color="auto" w:sz="4" w:space="0"/>
              <w:left w:val="single" w:color="auto" w:sz="4" w:space="0"/>
              <w:bottom w:val="single" w:color="auto" w:sz="4" w:space="0"/>
              <w:right w:val="single" w:color="auto" w:sz="4" w:space="0"/>
            </w:tcBorders>
            <w:noWrap/>
            <w:vAlign w:val="center"/>
          </w:tcPr>
          <w:p w14:paraId="0121E90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AA20</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48AD63F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延迟法定退休年龄对照表</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20A614C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企业职工养老保险、机关事业单位养老保险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275B361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2E9443B2">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30FEADE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7</w:t>
            </w:r>
          </w:p>
        </w:tc>
        <w:tc>
          <w:tcPr>
            <w:tcW w:w="689" w:type="pct"/>
            <w:tcBorders>
              <w:top w:val="single" w:color="auto" w:sz="4" w:space="0"/>
              <w:left w:val="single" w:color="auto" w:sz="4" w:space="0"/>
              <w:bottom w:val="single" w:color="auto" w:sz="4" w:space="0"/>
              <w:right w:val="single" w:color="auto" w:sz="4" w:space="0"/>
            </w:tcBorders>
            <w:noWrap/>
            <w:vAlign w:val="center"/>
          </w:tcPr>
          <w:p w14:paraId="5827AF3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AA21</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042FE66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最低缴费年限情况表</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3057598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企业职工养老保险、机关事业单位养老保险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2E64C7A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CD61F73">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0C3A9B6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8</w:t>
            </w:r>
          </w:p>
        </w:tc>
        <w:tc>
          <w:tcPr>
            <w:tcW w:w="689" w:type="pct"/>
            <w:tcBorders>
              <w:top w:val="single" w:color="auto" w:sz="4" w:space="0"/>
              <w:left w:val="single" w:color="auto" w:sz="4" w:space="0"/>
              <w:bottom w:val="single" w:color="auto" w:sz="4" w:space="0"/>
              <w:right w:val="single" w:color="auto" w:sz="4" w:space="0"/>
            </w:tcBorders>
            <w:noWrap/>
            <w:vAlign w:val="center"/>
          </w:tcPr>
          <w:p w14:paraId="79BB69D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AA22</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1EF6B60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特殊工种提前退休年龄对照表</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098DFCC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企业职工养老保险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001B955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39457A4A">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6E30847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9</w:t>
            </w:r>
          </w:p>
        </w:tc>
        <w:tc>
          <w:tcPr>
            <w:tcW w:w="689" w:type="pct"/>
            <w:tcBorders>
              <w:top w:val="single" w:color="auto" w:sz="4" w:space="0"/>
              <w:left w:val="single" w:color="auto" w:sz="4" w:space="0"/>
              <w:bottom w:val="single" w:color="auto" w:sz="4" w:space="0"/>
              <w:right w:val="single" w:color="auto" w:sz="4" w:space="0"/>
            </w:tcBorders>
            <w:noWrap/>
            <w:vAlign w:val="center"/>
          </w:tcPr>
          <w:p w14:paraId="009F018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AA54</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2D4ADAF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bidi="ar"/>
              </w:rPr>
              <w:t>工伤基准费率参数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37602E0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工伤保险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0B4BA57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B2107D2">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0350578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10</w:t>
            </w:r>
          </w:p>
        </w:tc>
        <w:tc>
          <w:tcPr>
            <w:tcW w:w="689" w:type="pct"/>
            <w:tcBorders>
              <w:top w:val="single" w:color="auto" w:sz="4" w:space="0"/>
              <w:left w:val="single" w:color="auto" w:sz="4" w:space="0"/>
              <w:bottom w:val="single" w:color="auto" w:sz="4" w:space="0"/>
              <w:right w:val="single" w:color="auto" w:sz="4" w:space="0"/>
            </w:tcBorders>
            <w:noWrap/>
            <w:vAlign w:val="center"/>
          </w:tcPr>
          <w:p w14:paraId="7F8BD77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JA01</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2CFD44C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失业保险待遇金额标准参数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584CB3D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42AE0EE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19392C5">
        <w:tblPrEx>
          <w:tblCellMar>
            <w:top w:w="0" w:type="dxa"/>
            <w:left w:w="108" w:type="dxa"/>
            <w:bottom w:w="0" w:type="dxa"/>
            <w:right w:w="108" w:type="dxa"/>
          </w:tblCellMar>
        </w:tblPrEx>
        <w:trPr>
          <w:trHeight w:val="403" w:hRule="atLeast"/>
        </w:trPr>
        <w:tc>
          <w:tcPr>
            <w:tcW w:w="549" w:type="pct"/>
            <w:tcBorders>
              <w:top w:val="single" w:color="auto" w:sz="4" w:space="0"/>
              <w:left w:val="single" w:color="auto" w:sz="4" w:space="0"/>
              <w:bottom w:val="single" w:color="auto" w:sz="4" w:space="0"/>
              <w:right w:val="single" w:color="auto" w:sz="4" w:space="0"/>
            </w:tcBorders>
            <w:noWrap/>
            <w:vAlign w:val="center"/>
          </w:tcPr>
          <w:p w14:paraId="1E5CD5D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11</w:t>
            </w:r>
          </w:p>
        </w:tc>
        <w:tc>
          <w:tcPr>
            <w:tcW w:w="689" w:type="pct"/>
            <w:tcBorders>
              <w:top w:val="single" w:color="auto" w:sz="4" w:space="0"/>
              <w:left w:val="single" w:color="auto" w:sz="4" w:space="0"/>
              <w:bottom w:val="single" w:color="auto" w:sz="4" w:space="0"/>
              <w:right w:val="single" w:color="auto" w:sz="4" w:space="0"/>
            </w:tcBorders>
            <w:noWrap/>
            <w:vAlign w:val="center"/>
          </w:tcPr>
          <w:p w14:paraId="39101B7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JA02</w:t>
            </w:r>
          </w:p>
        </w:tc>
        <w:tc>
          <w:tcPr>
            <w:tcW w:w="1327" w:type="pct"/>
            <w:tcBorders>
              <w:top w:val="single" w:color="auto" w:sz="4" w:space="0"/>
              <w:left w:val="single" w:color="auto" w:sz="4" w:space="0"/>
              <w:bottom w:val="single" w:color="auto" w:sz="4" w:space="0"/>
              <w:right w:val="single" w:color="auto" w:sz="4" w:space="0"/>
            </w:tcBorders>
            <w:noWrap w:val="0"/>
            <w:vAlign w:val="center"/>
          </w:tcPr>
          <w:p w14:paraId="6A74B95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失业保险金享受期限标准参数</w:t>
            </w:r>
          </w:p>
        </w:tc>
        <w:tc>
          <w:tcPr>
            <w:tcW w:w="1746" w:type="pct"/>
            <w:tcBorders>
              <w:top w:val="single" w:color="auto" w:sz="4" w:space="0"/>
              <w:left w:val="single" w:color="auto" w:sz="4" w:space="0"/>
              <w:bottom w:val="single" w:color="auto" w:sz="4" w:space="0"/>
              <w:right w:val="single" w:color="auto" w:sz="4" w:space="0"/>
            </w:tcBorders>
            <w:noWrap w:val="0"/>
            <w:vAlign w:val="center"/>
          </w:tcPr>
          <w:p w14:paraId="73CF814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失业保险</w:t>
            </w:r>
          </w:p>
        </w:tc>
        <w:tc>
          <w:tcPr>
            <w:tcW w:w="687" w:type="pct"/>
            <w:tcBorders>
              <w:top w:val="single" w:color="auto" w:sz="4" w:space="0"/>
              <w:left w:val="single" w:color="auto" w:sz="4" w:space="0"/>
              <w:bottom w:val="single" w:color="auto" w:sz="4" w:space="0"/>
              <w:right w:val="single" w:color="auto" w:sz="4" w:space="0"/>
            </w:tcBorders>
            <w:noWrap w:val="0"/>
            <w:vAlign w:val="center"/>
          </w:tcPr>
          <w:p w14:paraId="2B943C4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bl>
    <w:p w14:paraId="35C84B3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表12政策参数中心数据库列表</w:t>
      </w:r>
    </w:p>
    <w:p w14:paraId="6B69314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14、业务事项中心</w:t>
      </w:r>
    </w:p>
    <w:p w14:paraId="5EF2F7F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业务事项中心主要管理模块、原子业务等基础信息及关联关系，记录业务日志信息。业务事项中心主要提供包括业务事项中心日志的查询管理服务。</w:t>
      </w:r>
    </w:p>
    <w:p w14:paraId="21F4D3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14.1逻辑结构设计</w:t>
      </w:r>
    </w:p>
    <w:p w14:paraId="210F9E2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业务事项中心主要管理模块、原子业务等基础信息及关联关系，记录业务日志信息。</w:t>
      </w:r>
    </w:p>
    <w:p w14:paraId="4D9D392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原子业务信息表、电子材料信息表、业务表信息表、原子业务电子材料关联表、原子业务数据范围关联表、原子业务数据逻辑关联表、校验点配置表由部级统一维护，省级只提供查询权限，不能够修改。模块信息表、模块与原子业务关联表由省级自行维护。</w:t>
      </w:r>
    </w:p>
    <w:p w14:paraId="2B4158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14.2数据库列表</w:t>
      </w:r>
    </w:p>
    <w:tbl>
      <w:tblPr>
        <w:tblStyle w:val="14"/>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0"/>
        <w:gridCol w:w="1558"/>
        <w:gridCol w:w="3380"/>
        <w:gridCol w:w="1822"/>
        <w:gridCol w:w="1413"/>
      </w:tblGrid>
      <w:tr w14:paraId="0859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8BBDB0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序号</w:t>
            </w:r>
          </w:p>
        </w:tc>
        <w:tc>
          <w:tcPr>
            <w:tcW w:w="842"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F20804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表编码</w:t>
            </w:r>
          </w:p>
        </w:tc>
        <w:tc>
          <w:tcPr>
            <w:tcW w:w="1827"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2E79820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表名称</w:t>
            </w:r>
          </w:p>
        </w:tc>
        <w:tc>
          <w:tcPr>
            <w:tcW w:w="985"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4410E45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适用险种</w:t>
            </w:r>
          </w:p>
        </w:tc>
        <w:tc>
          <w:tcPr>
            <w:tcW w:w="764" w:type="pct"/>
            <w:tcBorders>
              <w:top w:val="single" w:color="auto" w:sz="4" w:space="0"/>
              <w:left w:val="single" w:color="auto" w:sz="4" w:space="0"/>
              <w:bottom w:val="single" w:color="auto" w:sz="4" w:space="0"/>
              <w:right w:val="single" w:color="auto" w:sz="4" w:space="0"/>
            </w:tcBorders>
            <w:shd w:val="clear" w:color="auto" w:fill="D9D9D9"/>
            <w:noWrap w:val="0"/>
            <w:vAlign w:val="top"/>
          </w:tcPr>
          <w:p w14:paraId="03CA98C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备注</w:t>
            </w:r>
          </w:p>
        </w:tc>
      </w:tr>
      <w:tr w14:paraId="2278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AFD3E2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55770F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ZE51</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FEF6C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模块信息表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4FFEAA0">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A6B6A4">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CF5F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4199CC9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AA0451C">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ZE52</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AD5738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原子业务信息表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8D80B7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FFE54F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C04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5055E9D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872DA5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ZE53</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828C2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模块与原子业务关联表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8E279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8F8A8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A95D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258E738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FA0C3B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ZE54</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F3C15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电子材料信息表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02540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A66E1B">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204C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6127244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4854A7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ZE55</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289961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业务表信息表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71181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37650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A647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4A27A4A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1D4A57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ZE56</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0F9502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原子业务电子材料关联表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18111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2A78E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4C7D3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111D9F6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BD844E4">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ZE57</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B5059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原子业务数据范围关联表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17EEB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F31CF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AF3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0C80518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F45D7C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ZE58</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48B158">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业务日志表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2C59A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5D8BD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0264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5A8CEE1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EB5566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ZE59</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58C75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业务日志补充信息表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CF38F5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977E71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F13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5F34A79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21A572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ZE60</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CD309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业务日志当事人明细表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412319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21B50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56E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3E18A6B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013C45C">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ZE61</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B41C2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原子业务数据逻辑关联表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9716D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39663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672A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3BC1CE4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CD2599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ZE62</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68C5C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校验点配置表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2059A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3C7F0C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205D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1F84841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3268A4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ZE63</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700B4E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业务日志错误信息表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FFC12B">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9281810">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1AFF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4199EDC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4D703A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ZE64</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CE2018">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业务经办违规汇总表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B1FB1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5F1ADF">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575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49BEB50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9F80E0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ZE65</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96B9F8">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业务经办违规明细表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62BA5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BBF3C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3C0B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06FD06BB">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593819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ZE69</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CF0797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事项熔断日志表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8B67568">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BB5C49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658F2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768BD605">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F33D3A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ZE70</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230869A">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事项事中转事后日志表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21E1ED">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AE8CF3">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77930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753973C9">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18</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F7073E6">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ZE71</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D3B81C">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风控校验参数配置表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71A6E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A3ED4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0EB3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7236216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19</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6D1550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ZE74</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02372F7">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风控申诉信息表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EDD9C0">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87282E">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r w14:paraId="50C9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9" w:type="pct"/>
            <w:tcBorders>
              <w:top w:val="single" w:color="auto" w:sz="4" w:space="0"/>
              <w:left w:val="single" w:color="auto" w:sz="4" w:space="0"/>
              <w:bottom w:val="single" w:color="auto" w:sz="4" w:space="0"/>
              <w:right w:val="single" w:color="auto" w:sz="4" w:space="0"/>
            </w:tcBorders>
            <w:shd w:val="clear" w:color="auto" w:fill="FFFFFF"/>
            <w:noWrap/>
            <w:vAlign w:val="bottom"/>
          </w:tcPr>
          <w:p w14:paraId="04F2C7C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20</w:t>
            </w:r>
          </w:p>
        </w:tc>
        <w:tc>
          <w:tcPr>
            <w:tcW w:w="842"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828C280">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ZE77</w:t>
            </w:r>
          </w:p>
        </w:tc>
        <w:tc>
          <w:tcPr>
            <w:tcW w:w="182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6BC052">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风控申诉规则明细表</w:t>
            </w:r>
          </w:p>
        </w:tc>
        <w:tc>
          <w:tcPr>
            <w:tcW w:w="985"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0DD47A1">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全险种</w:t>
            </w:r>
          </w:p>
        </w:tc>
        <w:tc>
          <w:tcPr>
            <w:tcW w:w="764"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0FDE934">
            <w:pPr>
              <w:keepNext w:val="0"/>
              <w:keepLines w:val="0"/>
              <w:pageBreakBefore w:val="0"/>
              <w:widowControl w:val="0"/>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已有表</w:t>
            </w:r>
          </w:p>
        </w:tc>
      </w:tr>
    </w:tbl>
    <w:p w14:paraId="2E7D0C8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表13业务事项中心数据库列表</w:t>
      </w:r>
    </w:p>
    <w:p w14:paraId="2A245AF4">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15、电子材料中心</w:t>
      </w:r>
    </w:p>
    <w:p w14:paraId="456ABB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电子材料中心主要为高风险重点业务提供业务材料存储服务，支持业务经办需要，包含文件信息表和原件信息表，分别用来存储文件 信息和上传的材料原件信息。电子材料中心主要为电子材料稽核、人工智能风控提供基础支撑。</w:t>
      </w:r>
    </w:p>
    <w:p w14:paraId="1F840A4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15.1逻辑结构设计</w:t>
      </w:r>
    </w:p>
    <w:p w14:paraId="1307DD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电子材料中心是为高风险重点业务提供业务材料存储服务，支持业务经办需要，包含文件信息表和原件信息表，分别用来存储文件信息和上传的材料原件信息。</w:t>
      </w:r>
    </w:p>
    <w:p w14:paraId="5BA1D8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15.2数据库列表</w:t>
      </w:r>
    </w:p>
    <w:tbl>
      <w:tblPr>
        <w:tblStyle w:val="14"/>
        <w:tblW w:w="5000" w:type="pct"/>
        <w:tblInd w:w="0" w:type="dxa"/>
        <w:tblLayout w:type="autofit"/>
        <w:tblCellMar>
          <w:top w:w="0" w:type="dxa"/>
          <w:left w:w="108" w:type="dxa"/>
          <w:bottom w:w="0" w:type="dxa"/>
          <w:right w:w="108" w:type="dxa"/>
        </w:tblCellMar>
      </w:tblPr>
      <w:tblGrid>
        <w:gridCol w:w="1076"/>
        <w:gridCol w:w="2492"/>
        <w:gridCol w:w="2443"/>
        <w:gridCol w:w="1819"/>
        <w:gridCol w:w="1413"/>
      </w:tblGrid>
      <w:tr w14:paraId="6D0726EC">
        <w:tblPrEx>
          <w:tblCellMar>
            <w:top w:w="0" w:type="dxa"/>
            <w:left w:w="108" w:type="dxa"/>
            <w:bottom w:w="0" w:type="dxa"/>
            <w:right w:w="108" w:type="dxa"/>
          </w:tblCellMar>
        </w:tblPrEx>
        <w:trPr>
          <w:trHeight w:val="390" w:hRule="atLeast"/>
        </w:trPr>
        <w:tc>
          <w:tcPr>
            <w:tcW w:w="582"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0B8619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1348" w:type="pct"/>
            <w:tcBorders>
              <w:top w:val="single" w:color="auto" w:sz="4" w:space="0"/>
              <w:left w:val="nil"/>
              <w:bottom w:val="single" w:color="auto" w:sz="4" w:space="0"/>
              <w:right w:val="single" w:color="auto" w:sz="4" w:space="0"/>
            </w:tcBorders>
            <w:shd w:val="clear" w:color="auto" w:fill="D9D9D9"/>
            <w:noWrap w:val="0"/>
            <w:vAlign w:val="center"/>
          </w:tcPr>
          <w:p w14:paraId="3BF6F06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321" w:type="pct"/>
            <w:tcBorders>
              <w:top w:val="single" w:color="auto" w:sz="4" w:space="0"/>
              <w:left w:val="nil"/>
              <w:bottom w:val="single" w:color="auto" w:sz="4" w:space="0"/>
              <w:right w:val="single" w:color="auto" w:sz="4" w:space="0"/>
            </w:tcBorders>
            <w:shd w:val="clear" w:color="auto" w:fill="D9D9D9"/>
            <w:noWrap w:val="0"/>
            <w:vAlign w:val="center"/>
          </w:tcPr>
          <w:p w14:paraId="7EF0F62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984" w:type="pct"/>
            <w:tcBorders>
              <w:top w:val="single" w:color="auto" w:sz="4" w:space="0"/>
              <w:left w:val="nil"/>
              <w:bottom w:val="single" w:color="auto" w:sz="4" w:space="0"/>
              <w:right w:val="single" w:color="auto" w:sz="4" w:space="0"/>
            </w:tcBorders>
            <w:shd w:val="clear" w:color="auto" w:fill="D9D9D9"/>
            <w:noWrap w:val="0"/>
            <w:vAlign w:val="center"/>
          </w:tcPr>
          <w:p w14:paraId="4F2A9F0B">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764" w:type="pct"/>
            <w:tcBorders>
              <w:top w:val="single" w:color="auto" w:sz="4" w:space="0"/>
              <w:left w:val="nil"/>
              <w:bottom w:val="single" w:color="auto" w:sz="4" w:space="0"/>
              <w:right w:val="single" w:color="auto" w:sz="4" w:space="0"/>
            </w:tcBorders>
            <w:shd w:val="clear" w:color="auto" w:fill="D9D9D9"/>
            <w:noWrap w:val="0"/>
            <w:vAlign w:val="center"/>
          </w:tcPr>
          <w:p w14:paraId="204FEBA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4BC7D86D">
        <w:tblPrEx>
          <w:tblCellMar>
            <w:top w:w="0" w:type="dxa"/>
            <w:left w:w="108" w:type="dxa"/>
            <w:bottom w:w="0" w:type="dxa"/>
            <w:right w:w="108" w:type="dxa"/>
          </w:tblCellMar>
        </w:tblPrEx>
        <w:trPr>
          <w:trHeight w:val="390" w:hRule="atLeast"/>
        </w:trPr>
        <w:tc>
          <w:tcPr>
            <w:tcW w:w="582" w:type="pct"/>
            <w:tcBorders>
              <w:top w:val="nil"/>
              <w:left w:val="single" w:color="auto" w:sz="4" w:space="0"/>
              <w:bottom w:val="single" w:color="auto" w:sz="4" w:space="0"/>
              <w:right w:val="single" w:color="auto" w:sz="4" w:space="0"/>
            </w:tcBorders>
            <w:noWrap/>
            <w:vAlign w:val="center"/>
          </w:tcPr>
          <w:p w14:paraId="0872FD0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1</w:t>
            </w:r>
          </w:p>
        </w:tc>
        <w:tc>
          <w:tcPr>
            <w:tcW w:w="1348" w:type="pct"/>
            <w:tcBorders>
              <w:top w:val="nil"/>
              <w:left w:val="nil"/>
              <w:bottom w:val="single" w:color="auto" w:sz="4" w:space="0"/>
              <w:right w:val="single" w:color="auto" w:sz="4" w:space="0"/>
            </w:tcBorders>
            <w:noWrap/>
            <w:vAlign w:val="center"/>
          </w:tcPr>
          <w:p w14:paraId="76C1FD1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ZE91</w:t>
            </w:r>
          </w:p>
        </w:tc>
        <w:tc>
          <w:tcPr>
            <w:tcW w:w="1321" w:type="pct"/>
            <w:tcBorders>
              <w:top w:val="nil"/>
              <w:left w:val="nil"/>
              <w:bottom w:val="single" w:color="auto" w:sz="4" w:space="0"/>
              <w:right w:val="single" w:color="auto" w:sz="4" w:space="0"/>
            </w:tcBorders>
            <w:noWrap w:val="0"/>
            <w:vAlign w:val="center"/>
          </w:tcPr>
          <w:p w14:paraId="0BA7428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文件信息表</w:t>
            </w:r>
          </w:p>
        </w:tc>
        <w:tc>
          <w:tcPr>
            <w:tcW w:w="984" w:type="pct"/>
            <w:tcBorders>
              <w:top w:val="nil"/>
              <w:left w:val="nil"/>
              <w:bottom w:val="single" w:color="auto" w:sz="4" w:space="0"/>
              <w:right w:val="single" w:color="auto" w:sz="4" w:space="0"/>
            </w:tcBorders>
            <w:noWrap w:val="0"/>
            <w:vAlign w:val="center"/>
          </w:tcPr>
          <w:p w14:paraId="7862E18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764" w:type="pct"/>
            <w:tcBorders>
              <w:top w:val="nil"/>
              <w:left w:val="nil"/>
              <w:bottom w:val="single" w:color="auto" w:sz="4" w:space="0"/>
              <w:right w:val="single" w:color="auto" w:sz="4" w:space="0"/>
            </w:tcBorders>
            <w:noWrap w:val="0"/>
            <w:vAlign w:val="center"/>
          </w:tcPr>
          <w:p w14:paraId="5F8FBE1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3D4AE836">
        <w:tblPrEx>
          <w:tblCellMar>
            <w:top w:w="0" w:type="dxa"/>
            <w:left w:w="108" w:type="dxa"/>
            <w:bottom w:w="0" w:type="dxa"/>
            <w:right w:w="108" w:type="dxa"/>
          </w:tblCellMar>
        </w:tblPrEx>
        <w:trPr>
          <w:trHeight w:val="390" w:hRule="atLeast"/>
        </w:trPr>
        <w:tc>
          <w:tcPr>
            <w:tcW w:w="582" w:type="pct"/>
            <w:tcBorders>
              <w:top w:val="nil"/>
              <w:left w:val="single" w:color="auto" w:sz="4" w:space="0"/>
              <w:bottom w:val="single" w:color="auto" w:sz="4" w:space="0"/>
              <w:right w:val="single" w:color="auto" w:sz="4" w:space="0"/>
            </w:tcBorders>
            <w:noWrap/>
            <w:vAlign w:val="center"/>
          </w:tcPr>
          <w:p w14:paraId="46F3D71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2</w:t>
            </w:r>
          </w:p>
        </w:tc>
        <w:tc>
          <w:tcPr>
            <w:tcW w:w="1348" w:type="pct"/>
            <w:tcBorders>
              <w:top w:val="nil"/>
              <w:left w:val="nil"/>
              <w:bottom w:val="single" w:color="auto" w:sz="4" w:space="0"/>
              <w:right w:val="single" w:color="auto" w:sz="4" w:space="0"/>
            </w:tcBorders>
            <w:noWrap/>
            <w:vAlign w:val="center"/>
          </w:tcPr>
          <w:p w14:paraId="5C9DFAF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ZE92</w:t>
            </w:r>
          </w:p>
        </w:tc>
        <w:tc>
          <w:tcPr>
            <w:tcW w:w="1321" w:type="pct"/>
            <w:tcBorders>
              <w:top w:val="nil"/>
              <w:left w:val="nil"/>
              <w:bottom w:val="single" w:color="auto" w:sz="4" w:space="0"/>
              <w:right w:val="single" w:color="auto" w:sz="4" w:space="0"/>
            </w:tcBorders>
            <w:noWrap w:val="0"/>
            <w:vAlign w:val="center"/>
          </w:tcPr>
          <w:p w14:paraId="18D84ED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原件信息表</w:t>
            </w:r>
          </w:p>
        </w:tc>
        <w:tc>
          <w:tcPr>
            <w:tcW w:w="984" w:type="pct"/>
            <w:tcBorders>
              <w:top w:val="nil"/>
              <w:left w:val="nil"/>
              <w:bottom w:val="single" w:color="auto" w:sz="4" w:space="0"/>
              <w:right w:val="single" w:color="auto" w:sz="4" w:space="0"/>
            </w:tcBorders>
            <w:noWrap w:val="0"/>
            <w:vAlign w:val="center"/>
          </w:tcPr>
          <w:p w14:paraId="7F33458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764" w:type="pct"/>
            <w:tcBorders>
              <w:top w:val="nil"/>
              <w:left w:val="nil"/>
              <w:bottom w:val="single" w:color="auto" w:sz="4" w:space="0"/>
              <w:right w:val="single" w:color="auto" w:sz="4" w:space="0"/>
            </w:tcBorders>
            <w:noWrap w:val="0"/>
            <w:vAlign w:val="center"/>
          </w:tcPr>
          <w:p w14:paraId="6D041B7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bl>
    <w:p w14:paraId="2E350C41">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表14电子材料中心数据库列表</w:t>
      </w:r>
    </w:p>
    <w:p w14:paraId="3E00C63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16、风控预警中心</w:t>
      </w:r>
    </w:p>
    <w:p w14:paraId="2ADFF0D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风控预警中心主要支持社保领域各类预警数据业务功能，提供业务调用风控预警服务信息的能力。风控预警中心主要提供对业务事项风控点的校验服务，从风险控制层级、业务控制机制、风险处理方式三个维度分析并划分风控点，针对风控点提供用于支撑业务经办的风控校验服务。业务风险防控机制分为事中和事后，风险处理方式分为发现即中断和风险提示。</w:t>
      </w:r>
    </w:p>
    <w:p w14:paraId="2A2DD90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16.1逻辑结构设计</w:t>
      </w:r>
    </w:p>
    <w:p w14:paraId="760865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风控预警中心主要支持社保领域各类预警数据业务功能，提供业务调用风控预警服务信息的能力。风控中心包含规则集表、事中风控日志、经办对象事中风控日志、风控事中转事后日志、风控熔断日志表和经办对象事中风控日志明细。本中心所包含的所有表在省级只提供查询权限，省级不能够修改。</w:t>
      </w:r>
    </w:p>
    <w:p w14:paraId="5B57AA9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16.2数据库列表</w:t>
      </w:r>
    </w:p>
    <w:tbl>
      <w:tblPr>
        <w:tblStyle w:val="14"/>
        <w:tblW w:w="5000" w:type="pct"/>
        <w:tblInd w:w="113" w:type="dxa"/>
        <w:tblLayout w:type="autofit"/>
        <w:tblCellMar>
          <w:top w:w="0" w:type="dxa"/>
          <w:left w:w="108" w:type="dxa"/>
          <w:bottom w:w="0" w:type="dxa"/>
          <w:right w:w="108" w:type="dxa"/>
        </w:tblCellMar>
      </w:tblPr>
      <w:tblGrid>
        <w:gridCol w:w="1111"/>
        <w:gridCol w:w="1542"/>
        <w:gridCol w:w="2968"/>
        <w:gridCol w:w="2119"/>
        <w:gridCol w:w="1503"/>
      </w:tblGrid>
      <w:tr w14:paraId="5451F35B">
        <w:tblPrEx>
          <w:tblCellMar>
            <w:top w:w="0" w:type="dxa"/>
            <w:left w:w="108" w:type="dxa"/>
            <w:bottom w:w="0" w:type="dxa"/>
            <w:right w:w="108" w:type="dxa"/>
          </w:tblCellMar>
        </w:tblPrEx>
        <w:trPr>
          <w:trHeight w:val="285" w:hRule="atLeast"/>
        </w:trPr>
        <w:tc>
          <w:tcPr>
            <w:tcW w:w="601"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488A53F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834" w:type="pct"/>
            <w:tcBorders>
              <w:top w:val="single" w:color="auto" w:sz="4" w:space="0"/>
              <w:left w:val="nil"/>
              <w:bottom w:val="single" w:color="auto" w:sz="4" w:space="0"/>
              <w:right w:val="single" w:color="auto" w:sz="4" w:space="0"/>
            </w:tcBorders>
            <w:shd w:val="clear" w:color="auto" w:fill="D9D9D9"/>
            <w:noWrap w:val="0"/>
            <w:vAlign w:val="center"/>
          </w:tcPr>
          <w:p w14:paraId="5E7F27B7">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1605" w:type="pct"/>
            <w:tcBorders>
              <w:top w:val="single" w:color="auto" w:sz="4" w:space="0"/>
              <w:left w:val="nil"/>
              <w:bottom w:val="single" w:color="auto" w:sz="4" w:space="0"/>
              <w:right w:val="single" w:color="auto" w:sz="4" w:space="0"/>
            </w:tcBorders>
            <w:shd w:val="clear" w:color="auto" w:fill="D9D9D9"/>
            <w:noWrap w:val="0"/>
            <w:vAlign w:val="center"/>
          </w:tcPr>
          <w:p w14:paraId="6D28D26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1146" w:type="pct"/>
            <w:tcBorders>
              <w:top w:val="single" w:color="auto" w:sz="4" w:space="0"/>
              <w:left w:val="nil"/>
              <w:bottom w:val="single" w:color="auto" w:sz="4" w:space="0"/>
              <w:right w:val="single" w:color="auto" w:sz="4" w:space="0"/>
            </w:tcBorders>
            <w:shd w:val="clear" w:color="auto" w:fill="D9D9D9"/>
            <w:noWrap w:val="0"/>
            <w:vAlign w:val="center"/>
          </w:tcPr>
          <w:p w14:paraId="1FFF961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813"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5F5A9D4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18657B41">
        <w:tblPrEx>
          <w:tblCellMar>
            <w:top w:w="0" w:type="dxa"/>
            <w:left w:w="108" w:type="dxa"/>
            <w:bottom w:w="0" w:type="dxa"/>
            <w:right w:w="108" w:type="dxa"/>
          </w:tblCellMar>
        </w:tblPrEx>
        <w:trPr>
          <w:trHeight w:val="285" w:hRule="atLeast"/>
        </w:trPr>
        <w:tc>
          <w:tcPr>
            <w:tcW w:w="601" w:type="pct"/>
            <w:tcBorders>
              <w:top w:val="nil"/>
              <w:left w:val="single" w:color="auto" w:sz="4" w:space="0"/>
              <w:bottom w:val="single" w:color="auto" w:sz="4" w:space="0"/>
              <w:right w:val="single" w:color="auto" w:sz="4" w:space="0"/>
            </w:tcBorders>
            <w:shd w:val="clear" w:color="auto" w:fill="FFFFFF"/>
            <w:noWrap/>
            <w:vAlign w:val="center"/>
          </w:tcPr>
          <w:p w14:paraId="017BE10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1</w:t>
            </w:r>
          </w:p>
        </w:tc>
        <w:tc>
          <w:tcPr>
            <w:tcW w:w="834" w:type="pct"/>
            <w:tcBorders>
              <w:top w:val="nil"/>
              <w:left w:val="nil"/>
              <w:bottom w:val="single" w:color="auto" w:sz="4" w:space="0"/>
              <w:right w:val="single" w:color="auto" w:sz="4" w:space="0"/>
            </w:tcBorders>
            <w:noWrap/>
            <w:vAlign w:val="bottom"/>
          </w:tcPr>
          <w:p w14:paraId="0EE19F75">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ZE01</w:t>
            </w:r>
          </w:p>
        </w:tc>
        <w:tc>
          <w:tcPr>
            <w:tcW w:w="1605" w:type="pct"/>
            <w:tcBorders>
              <w:top w:val="nil"/>
              <w:left w:val="nil"/>
              <w:bottom w:val="single" w:color="auto" w:sz="4" w:space="0"/>
              <w:right w:val="single" w:color="auto" w:sz="4" w:space="0"/>
            </w:tcBorders>
            <w:noWrap/>
            <w:vAlign w:val="bottom"/>
          </w:tcPr>
          <w:p w14:paraId="60DA531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规则集表</w:t>
            </w:r>
          </w:p>
        </w:tc>
        <w:tc>
          <w:tcPr>
            <w:tcW w:w="1146" w:type="pct"/>
            <w:tcBorders>
              <w:top w:val="single" w:color="auto" w:sz="4" w:space="0"/>
              <w:left w:val="nil"/>
              <w:bottom w:val="single" w:color="auto" w:sz="4" w:space="0"/>
              <w:right w:val="single" w:color="auto" w:sz="4" w:space="0"/>
            </w:tcBorders>
            <w:noWrap w:val="0"/>
            <w:vAlign w:val="center"/>
          </w:tcPr>
          <w:p w14:paraId="13B49F2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349BD04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7081EA54">
        <w:tblPrEx>
          <w:tblCellMar>
            <w:top w:w="0" w:type="dxa"/>
            <w:left w:w="108" w:type="dxa"/>
            <w:bottom w:w="0" w:type="dxa"/>
            <w:right w:w="108" w:type="dxa"/>
          </w:tblCellMar>
        </w:tblPrEx>
        <w:trPr>
          <w:trHeight w:val="285" w:hRule="atLeast"/>
        </w:trPr>
        <w:tc>
          <w:tcPr>
            <w:tcW w:w="601" w:type="pct"/>
            <w:tcBorders>
              <w:top w:val="nil"/>
              <w:left w:val="single" w:color="auto" w:sz="4" w:space="0"/>
              <w:bottom w:val="single" w:color="auto" w:sz="4" w:space="0"/>
              <w:right w:val="single" w:color="auto" w:sz="4" w:space="0"/>
            </w:tcBorders>
            <w:shd w:val="clear" w:color="auto" w:fill="FFFFFF"/>
            <w:noWrap/>
            <w:vAlign w:val="center"/>
          </w:tcPr>
          <w:p w14:paraId="2AA37F3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2</w:t>
            </w:r>
          </w:p>
        </w:tc>
        <w:tc>
          <w:tcPr>
            <w:tcW w:w="834" w:type="pct"/>
            <w:tcBorders>
              <w:top w:val="nil"/>
              <w:left w:val="nil"/>
              <w:bottom w:val="single" w:color="auto" w:sz="4" w:space="0"/>
              <w:right w:val="single" w:color="auto" w:sz="4" w:space="0"/>
            </w:tcBorders>
            <w:noWrap/>
            <w:vAlign w:val="bottom"/>
          </w:tcPr>
          <w:p w14:paraId="758D48EA">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ZE02</w:t>
            </w:r>
          </w:p>
        </w:tc>
        <w:tc>
          <w:tcPr>
            <w:tcW w:w="1605" w:type="pct"/>
            <w:tcBorders>
              <w:top w:val="nil"/>
              <w:left w:val="nil"/>
              <w:bottom w:val="single" w:color="auto" w:sz="4" w:space="0"/>
              <w:right w:val="single" w:color="auto" w:sz="4" w:space="0"/>
            </w:tcBorders>
            <w:noWrap/>
            <w:vAlign w:val="bottom"/>
          </w:tcPr>
          <w:p w14:paraId="72DBF2E4">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事中风控日志</w:t>
            </w:r>
          </w:p>
        </w:tc>
        <w:tc>
          <w:tcPr>
            <w:tcW w:w="1146" w:type="pct"/>
            <w:tcBorders>
              <w:top w:val="single" w:color="auto" w:sz="4" w:space="0"/>
              <w:left w:val="nil"/>
              <w:bottom w:val="single" w:color="auto" w:sz="4" w:space="0"/>
              <w:right w:val="single" w:color="auto" w:sz="4" w:space="0"/>
            </w:tcBorders>
            <w:noWrap w:val="0"/>
            <w:vAlign w:val="center"/>
          </w:tcPr>
          <w:p w14:paraId="235EA9F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4E4C048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2C635AAE">
        <w:tblPrEx>
          <w:tblCellMar>
            <w:top w:w="0" w:type="dxa"/>
            <w:left w:w="108" w:type="dxa"/>
            <w:bottom w:w="0" w:type="dxa"/>
            <w:right w:w="108" w:type="dxa"/>
          </w:tblCellMar>
        </w:tblPrEx>
        <w:trPr>
          <w:trHeight w:val="285" w:hRule="atLeast"/>
        </w:trPr>
        <w:tc>
          <w:tcPr>
            <w:tcW w:w="60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633A19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3</w:t>
            </w:r>
          </w:p>
        </w:tc>
        <w:tc>
          <w:tcPr>
            <w:tcW w:w="834" w:type="pct"/>
            <w:tcBorders>
              <w:top w:val="single" w:color="auto" w:sz="4" w:space="0"/>
              <w:left w:val="nil"/>
              <w:bottom w:val="single" w:color="auto" w:sz="4" w:space="0"/>
              <w:right w:val="single" w:color="auto" w:sz="4" w:space="0"/>
            </w:tcBorders>
            <w:noWrap/>
            <w:vAlign w:val="bottom"/>
          </w:tcPr>
          <w:p w14:paraId="687B7D1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ZE03</w:t>
            </w:r>
          </w:p>
        </w:tc>
        <w:tc>
          <w:tcPr>
            <w:tcW w:w="1605" w:type="pct"/>
            <w:tcBorders>
              <w:top w:val="single" w:color="auto" w:sz="4" w:space="0"/>
              <w:left w:val="nil"/>
              <w:bottom w:val="single" w:color="auto" w:sz="4" w:space="0"/>
              <w:right w:val="single" w:color="auto" w:sz="4" w:space="0"/>
            </w:tcBorders>
            <w:noWrap/>
            <w:vAlign w:val="bottom"/>
          </w:tcPr>
          <w:p w14:paraId="68F7CE6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经办对象事中风控日志</w:t>
            </w:r>
          </w:p>
        </w:tc>
        <w:tc>
          <w:tcPr>
            <w:tcW w:w="1146" w:type="pct"/>
            <w:tcBorders>
              <w:top w:val="single" w:color="auto" w:sz="4" w:space="0"/>
              <w:left w:val="nil"/>
              <w:bottom w:val="single" w:color="auto" w:sz="4" w:space="0"/>
              <w:right w:val="single" w:color="auto" w:sz="4" w:space="0"/>
            </w:tcBorders>
            <w:noWrap w:val="0"/>
            <w:vAlign w:val="center"/>
          </w:tcPr>
          <w:p w14:paraId="36245CA1">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01858D63">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58D1633A">
        <w:tblPrEx>
          <w:tblCellMar>
            <w:top w:w="0" w:type="dxa"/>
            <w:left w:w="108" w:type="dxa"/>
            <w:bottom w:w="0" w:type="dxa"/>
            <w:right w:w="108" w:type="dxa"/>
          </w:tblCellMar>
        </w:tblPrEx>
        <w:trPr>
          <w:trHeight w:val="285" w:hRule="atLeast"/>
        </w:trPr>
        <w:tc>
          <w:tcPr>
            <w:tcW w:w="60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710D3EF">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4</w:t>
            </w:r>
          </w:p>
        </w:tc>
        <w:tc>
          <w:tcPr>
            <w:tcW w:w="834" w:type="pct"/>
            <w:tcBorders>
              <w:top w:val="single" w:color="auto" w:sz="4" w:space="0"/>
              <w:left w:val="nil"/>
              <w:bottom w:val="single" w:color="auto" w:sz="4" w:space="0"/>
              <w:right w:val="single" w:color="auto" w:sz="4" w:space="0"/>
            </w:tcBorders>
            <w:noWrap/>
            <w:vAlign w:val="bottom"/>
          </w:tcPr>
          <w:p w14:paraId="485FAFAC">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ZE04</w:t>
            </w:r>
          </w:p>
        </w:tc>
        <w:tc>
          <w:tcPr>
            <w:tcW w:w="1605" w:type="pct"/>
            <w:tcBorders>
              <w:top w:val="single" w:color="auto" w:sz="4" w:space="0"/>
              <w:left w:val="nil"/>
              <w:bottom w:val="single" w:color="auto" w:sz="4" w:space="0"/>
              <w:right w:val="single" w:color="auto" w:sz="4" w:space="0"/>
            </w:tcBorders>
            <w:noWrap/>
            <w:vAlign w:val="bottom"/>
          </w:tcPr>
          <w:p w14:paraId="2FD246A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风控事中转事后日志</w:t>
            </w:r>
          </w:p>
        </w:tc>
        <w:tc>
          <w:tcPr>
            <w:tcW w:w="1146" w:type="pct"/>
            <w:tcBorders>
              <w:top w:val="single" w:color="auto" w:sz="4" w:space="0"/>
              <w:left w:val="nil"/>
              <w:bottom w:val="single" w:color="auto" w:sz="4" w:space="0"/>
              <w:right w:val="single" w:color="auto" w:sz="4" w:space="0"/>
            </w:tcBorders>
            <w:noWrap w:val="0"/>
            <w:vAlign w:val="center"/>
          </w:tcPr>
          <w:p w14:paraId="2FB91282">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5668CE5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已有表</w:t>
            </w:r>
          </w:p>
        </w:tc>
      </w:tr>
      <w:tr w14:paraId="7E45A9BA">
        <w:tblPrEx>
          <w:tblCellMar>
            <w:top w:w="0" w:type="dxa"/>
            <w:left w:w="108" w:type="dxa"/>
            <w:bottom w:w="0" w:type="dxa"/>
            <w:right w:w="108" w:type="dxa"/>
          </w:tblCellMar>
        </w:tblPrEx>
        <w:trPr>
          <w:trHeight w:val="285" w:hRule="atLeast"/>
        </w:trPr>
        <w:tc>
          <w:tcPr>
            <w:tcW w:w="60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1F2B5F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5</w:t>
            </w:r>
          </w:p>
        </w:tc>
        <w:tc>
          <w:tcPr>
            <w:tcW w:w="834" w:type="pct"/>
            <w:tcBorders>
              <w:top w:val="single" w:color="auto" w:sz="4" w:space="0"/>
              <w:left w:val="nil"/>
              <w:bottom w:val="single" w:color="auto" w:sz="4" w:space="0"/>
              <w:right w:val="single" w:color="auto" w:sz="4" w:space="0"/>
            </w:tcBorders>
            <w:noWrap/>
            <w:vAlign w:val="bottom"/>
          </w:tcPr>
          <w:p w14:paraId="7DC2E89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ZE05</w:t>
            </w:r>
          </w:p>
        </w:tc>
        <w:tc>
          <w:tcPr>
            <w:tcW w:w="1605" w:type="pct"/>
            <w:tcBorders>
              <w:top w:val="single" w:color="auto" w:sz="4" w:space="0"/>
              <w:left w:val="nil"/>
              <w:bottom w:val="single" w:color="auto" w:sz="4" w:space="0"/>
              <w:right w:val="single" w:color="auto" w:sz="4" w:space="0"/>
            </w:tcBorders>
            <w:noWrap/>
            <w:vAlign w:val="bottom"/>
          </w:tcPr>
          <w:p w14:paraId="3E46BF6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风控熔断日志表</w:t>
            </w:r>
          </w:p>
        </w:tc>
        <w:tc>
          <w:tcPr>
            <w:tcW w:w="1146" w:type="pct"/>
            <w:tcBorders>
              <w:top w:val="single" w:color="auto" w:sz="4" w:space="0"/>
              <w:left w:val="nil"/>
              <w:bottom w:val="single" w:color="auto" w:sz="4" w:space="0"/>
              <w:right w:val="single" w:color="auto" w:sz="4" w:space="0"/>
            </w:tcBorders>
            <w:noWrap w:val="0"/>
            <w:vAlign w:val="center"/>
          </w:tcPr>
          <w:p w14:paraId="7BB08B86">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0C3DFA00">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r w14:paraId="6237E80F">
        <w:tblPrEx>
          <w:tblCellMar>
            <w:top w:w="0" w:type="dxa"/>
            <w:left w:w="108" w:type="dxa"/>
            <w:bottom w:w="0" w:type="dxa"/>
            <w:right w:w="108" w:type="dxa"/>
          </w:tblCellMar>
        </w:tblPrEx>
        <w:trPr>
          <w:trHeight w:val="285" w:hRule="atLeast"/>
        </w:trPr>
        <w:tc>
          <w:tcPr>
            <w:tcW w:w="60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D86AFB9">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6</w:t>
            </w:r>
          </w:p>
        </w:tc>
        <w:tc>
          <w:tcPr>
            <w:tcW w:w="834" w:type="pct"/>
            <w:tcBorders>
              <w:top w:val="single" w:color="auto" w:sz="4" w:space="0"/>
              <w:left w:val="nil"/>
              <w:bottom w:val="single" w:color="auto" w:sz="4" w:space="0"/>
              <w:right w:val="single" w:color="auto" w:sz="4" w:space="0"/>
            </w:tcBorders>
            <w:noWrap/>
            <w:vAlign w:val="bottom"/>
          </w:tcPr>
          <w:p w14:paraId="40707C5E">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ZE06</w:t>
            </w:r>
          </w:p>
        </w:tc>
        <w:tc>
          <w:tcPr>
            <w:tcW w:w="1605" w:type="pct"/>
            <w:tcBorders>
              <w:top w:val="single" w:color="auto" w:sz="4" w:space="0"/>
              <w:left w:val="nil"/>
              <w:bottom w:val="single" w:color="auto" w:sz="4" w:space="0"/>
              <w:right w:val="single" w:color="auto" w:sz="4" w:space="0"/>
            </w:tcBorders>
            <w:noWrap/>
            <w:vAlign w:val="bottom"/>
          </w:tcPr>
          <w:p w14:paraId="323ED69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经办对象事中风控日志明细</w:t>
            </w:r>
          </w:p>
        </w:tc>
        <w:tc>
          <w:tcPr>
            <w:tcW w:w="1146" w:type="pct"/>
            <w:tcBorders>
              <w:top w:val="single" w:color="auto" w:sz="4" w:space="0"/>
              <w:left w:val="nil"/>
              <w:bottom w:val="single" w:color="auto" w:sz="4" w:space="0"/>
              <w:right w:val="single" w:color="auto" w:sz="4" w:space="0"/>
            </w:tcBorders>
            <w:noWrap w:val="0"/>
            <w:vAlign w:val="center"/>
          </w:tcPr>
          <w:p w14:paraId="6841358D">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全险种</w:t>
            </w:r>
          </w:p>
        </w:tc>
        <w:tc>
          <w:tcPr>
            <w:tcW w:w="813" w:type="pct"/>
            <w:tcBorders>
              <w:top w:val="single" w:color="auto" w:sz="4" w:space="0"/>
              <w:left w:val="single" w:color="auto" w:sz="4" w:space="0"/>
              <w:bottom w:val="single" w:color="auto" w:sz="4" w:space="0"/>
              <w:right w:val="single" w:color="auto" w:sz="4" w:space="0"/>
            </w:tcBorders>
            <w:noWrap w:val="0"/>
            <w:vAlign w:val="center"/>
          </w:tcPr>
          <w:p w14:paraId="118FF738">
            <w:pPr>
              <w:keepNext w:val="0"/>
              <w:keepLines w:val="0"/>
              <w:pageBreakBefore w:val="0"/>
              <w:widowControl/>
              <w:kinsoku/>
              <w:wordWrap/>
              <w:overflowPunct/>
              <w:topLinePunct w:val="0"/>
              <w:autoSpaceDE/>
              <w:autoSpaceDN/>
              <w:bidi w:val="0"/>
              <w:adjustRightInd w:val="0"/>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已有表</w:t>
            </w:r>
          </w:p>
        </w:tc>
      </w:tr>
    </w:tbl>
    <w:p w14:paraId="45F6F211">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表14风控预警中心数据库列表</w:t>
      </w:r>
    </w:p>
    <w:p w14:paraId="51F55E0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17、城职转移业务交互中心</w:t>
      </w:r>
    </w:p>
    <w:p w14:paraId="175B39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城职转移业务交互中心，主要是对人社部社会保险最新关系转移业务进行统一管理。用于接收部下发全国社会保险关系转移数据。</w:t>
      </w:r>
    </w:p>
    <w:p w14:paraId="5D74AB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17.1逻辑结构设计</w:t>
      </w:r>
    </w:p>
    <w:p w14:paraId="0EA6014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负责城职养老转移数据同步相关业务，新增转移申请信息（IC14）、基本养老保险关系转移接续信息表（IC15）、参保人员历年缴费及个人账户记账信息（IC16 ）、资金划转信息（IC98 ）、资金划转明细信息（AE41）、资金支付信息（IC99）、资金到账信息（AE13）、确认接收信息（AE17）、《信息表》撤销申请信息（AE86）、《信息表》撤销审核信息（AE16）。</w:t>
      </w:r>
    </w:p>
    <w:p w14:paraId="2F4F835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17.2数据库列表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1275"/>
        <w:gridCol w:w="4552"/>
        <w:gridCol w:w="1384"/>
        <w:gridCol w:w="1017"/>
      </w:tblGrid>
      <w:tr w14:paraId="346E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30E343DC">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序号</w:t>
            </w:r>
          </w:p>
        </w:tc>
        <w:tc>
          <w:tcPr>
            <w:tcW w:w="689"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3ECDDCBF">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表编码</w:t>
            </w:r>
          </w:p>
        </w:tc>
        <w:tc>
          <w:tcPr>
            <w:tcW w:w="2461"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58899FA">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表名称</w:t>
            </w:r>
          </w:p>
        </w:tc>
        <w:tc>
          <w:tcPr>
            <w:tcW w:w="748"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11C87D0C">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适用险种</w:t>
            </w:r>
          </w:p>
        </w:tc>
        <w:tc>
          <w:tcPr>
            <w:tcW w:w="550" w:type="pct"/>
            <w:tcBorders>
              <w:top w:val="single" w:color="auto" w:sz="4" w:space="0"/>
              <w:left w:val="single" w:color="auto" w:sz="4" w:space="0"/>
              <w:bottom w:val="single" w:color="auto" w:sz="4" w:space="0"/>
              <w:right w:val="single" w:color="auto" w:sz="4" w:space="0"/>
            </w:tcBorders>
            <w:shd w:val="clear" w:color="auto" w:fill="D9D9D9"/>
            <w:noWrap w:val="0"/>
            <w:vAlign w:val="center"/>
          </w:tcPr>
          <w:p w14:paraId="75B0962F">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b/>
                <w:bCs/>
                <w:color w:val="auto"/>
                <w:kern w:val="0"/>
                <w:sz w:val="22"/>
                <w:szCs w:val="22"/>
                <w:highlight w:val="none"/>
              </w:rPr>
            </w:pPr>
            <w:r>
              <w:rPr>
                <w:rFonts w:hint="eastAsia" w:ascii="宋体" w:hAnsi="宋体" w:eastAsia="宋体" w:cs="宋体"/>
                <w:b/>
                <w:bCs/>
                <w:color w:val="auto"/>
                <w:kern w:val="0"/>
                <w:sz w:val="22"/>
                <w:szCs w:val="22"/>
                <w:highlight w:val="none"/>
                <w:lang w:bidi="ar"/>
              </w:rPr>
              <w:t>备注</w:t>
            </w:r>
          </w:p>
        </w:tc>
      </w:tr>
      <w:tr w14:paraId="095C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309B196">
            <w:pPr>
              <w:keepNext w:val="0"/>
              <w:keepLines w:val="0"/>
              <w:pageBreakBefore w:val="0"/>
              <w:widowControl/>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sz w:val="22"/>
                <w:szCs w:val="22"/>
                <w:highlight w:val="none"/>
                <w:lang w:bidi="ar"/>
              </w:rPr>
              <w:t>1</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FD465E5">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IC14</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82CE1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转移申请信息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8B8ADC3">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BD0C3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72BD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D8363C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2</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419A77">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IC15</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2E5297">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基本养老保险关系转移接续信息表</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A131AE">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FEF444">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70F6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051D6C1">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A871A3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IC16</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348720">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参保人员历年缴费及个人账户记账信息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22DE53">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2C1C9E">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1B75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1D50033">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4</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4ABD540">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IC98</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632C9F7">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资金划转信息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F4C372">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1E6B23">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59A1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2DAAF4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5</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F8DD951">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AE41</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AE101D">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资金划转明细信息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4BC8EB">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F3311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7C851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955B0BC">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6</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809DE7E">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IC99</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CE205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资金支付信息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FE502C">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5E4B4C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4300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45B14F0">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7</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554795A">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AE13</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DC37BF7">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资金到账信息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113F70">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26F5EF">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45FF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2335471">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8</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8AEB183">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AE17</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E92C0BD">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确认接收信息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45C53B">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4512A8">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3212D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8A6B668">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9</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495A31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AE86</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1C57516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《信息表》撤销申请信息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DEE876">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ED3474E">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r w14:paraId="06DB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4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EF40862">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10</w:t>
            </w:r>
          </w:p>
        </w:tc>
        <w:tc>
          <w:tcPr>
            <w:tcW w:w="689"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495F56AC">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AE16</w:t>
            </w:r>
          </w:p>
        </w:tc>
        <w:tc>
          <w:tcPr>
            <w:tcW w:w="2461"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0B277B">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《信息表》撤销审核信息</w:t>
            </w:r>
          </w:p>
        </w:tc>
        <w:tc>
          <w:tcPr>
            <w:tcW w:w="748"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ED0F0FB">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城职养老</w:t>
            </w:r>
          </w:p>
        </w:tc>
        <w:tc>
          <w:tcPr>
            <w:tcW w:w="550"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9B30A9">
            <w:pPr>
              <w:keepNext w:val="0"/>
              <w:keepLines w:val="0"/>
              <w:pageBreakBefore w:val="0"/>
              <w:kinsoku/>
              <w:wordWrap/>
              <w:overflowPunct/>
              <w:topLinePunct w:val="0"/>
              <w:autoSpaceDE/>
              <w:autoSpaceDN/>
              <w:bidi w:val="0"/>
              <w:adjustRightInd/>
              <w:snapToGrid w:val="0"/>
              <w:spacing w:line="240" w:lineRule="atLeast"/>
              <w:ind w:left="0" w:firstLine="0" w:firstLineChars="0"/>
              <w:jc w:val="center"/>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新增表</w:t>
            </w:r>
          </w:p>
        </w:tc>
      </w:tr>
    </w:tbl>
    <w:p w14:paraId="7963C549">
      <w:pPr>
        <w:widowControl w:val="0"/>
        <w:wordWrap/>
        <w:adjustRightInd/>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表15城职转移业务交互中心数据库列表</w:t>
      </w:r>
    </w:p>
    <w:p w14:paraId="123A21C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（二十）配套子系统对接改造</w:t>
      </w:r>
    </w:p>
    <w:p w14:paraId="30BAB9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本项目基于信创环境对社会保险相关配套子系统进行改造升级，包括社银平台、社税平台，并全面对接人社一体化经办平台和一体化服务平台，实现统一经办管理和统一服务支撑。</w:t>
      </w:r>
    </w:p>
    <w:p w14:paraId="482031E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1、概述</w:t>
      </w:r>
    </w:p>
    <w:p w14:paraId="3BC17F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获取稳定可靠、高效集成的数字底座支撑服务，并有效实现与一体化服务平台、一体化经办平台以及业务系统在技术架构、数据规范及业务流程层面的深度适配与无缝对接，需深度整合湖北省人社厅已有的信息化建设成果，对相关配套子系统实施针对性的接口开发、协议适配及功能优化等对接改造工作，从而确保各类业务经办事项与业务管理活动能够在跨系统、跨平台环境下实现顺畅、精准的协同流转与信息共享，从而有力推动湖北省人社业务应用体系向一体化、集约化、智能化方向整体迈进，全面提升业务办理效率、数据治理水平及综合服务能力。</w:t>
      </w:r>
    </w:p>
    <w:p w14:paraId="3AA07CB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2、社银平台</w:t>
      </w:r>
    </w:p>
    <w:p w14:paraId="305B10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将升级改造社银平台，以全面取消用手工报盘形式传递数据、消除人社各类待遇、补贴发放数据离库操作风险为目标，依托人社厅数据中心与各银行已搭建的业务专线，保障各类待遇、补贴发放业务的联网办理和发放数据及时安全交换，同步实现各类待遇的支付、划解、对账、统计的全程电子化处理，加强基金拨付操作监管，提高管理效率。</w:t>
      </w:r>
    </w:p>
    <w:p w14:paraId="19CFAD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2.1制定平台接口标准</w:t>
      </w:r>
    </w:p>
    <w:p w14:paraId="3880A7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根据部社银接口技术规范，结合我省实际，进一步细化、完善，制定《湖北省社银平台接口设计规范》和《湖北省社银平台接口开发规范》。</w:t>
      </w:r>
    </w:p>
    <w:p w14:paraId="2BBDEC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2.2社银接口开发实施</w:t>
      </w:r>
    </w:p>
    <w:p w14:paraId="2D0A61E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湖北省社银平台接口开发规范》，社会保险经办机构、合作银行各自改造业务系统，完成与社银平台接口对接。社银平台接口交互主要包括社会保险待遇发放批量发放业务、社保单笔支付业务以及社保基金查询类三类应用场景共9个联机交易和4个文件交易。</w:t>
      </w:r>
    </w:p>
    <w:p w14:paraId="6010E10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（1）联机交易</w:t>
      </w:r>
    </w:p>
    <w:p w14:paraId="083D0EF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系统连通性测试：检测社保调用银行的网络端口连通性，验证报文传输、数字签名有效性。</w:t>
      </w:r>
    </w:p>
    <w:p w14:paraId="4BE601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系统连通性测试：检测银行调用社保的网络端口连通性，验证报文传输、数字签名有效性。</w:t>
      </w:r>
    </w:p>
    <w:p w14:paraId="4A8B41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单笔结算：社保财务发起的上缴财政、资金调拨时调用此接口实施传递转账数据给银行，银行根据社保发送数据实时进行账务处理并返回转账结果。</w:t>
      </w:r>
    </w:p>
    <w:p w14:paraId="2CE3A03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批量文件就绪通知：社保经办机构生成代发数据文件并上传至文件服务器后调用此接口通知银行进行文件处理。</w:t>
      </w:r>
    </w:p>
    <w:p w14:paraId="0E5545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批量结算文件处理进展查询：社保经办机构可通过本接口，根据日期查询该日的批量结算文件的当前处理进展。</w:t>
      </w:r>
    </w:p>
    <w:p w14:paraId="0E4360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批量文件就绪通知：主要用于银行批量发放完毕并生成回盘文件后调用此接口通知社保获取回盘文件，也用于银行上传电子汇总单据后，调用此接口通知社保获取电子汇总单。格式详见附件3《附件3 XXX保险支付汇总凭证》。</w:t>
      </w:r>
    </w:p>
    <w:p w14:paraId="5AD2679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批量文件重发请求：社保经办机构可通过本接口，申请银行端重发某一批量结算文件的回盘文件。</w:t>
      </w:r>
    </w:p>
    <w:p w14:paraId="6535D0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社保机构账户余额查询：社保经办机构可通过本接口，查询其开设的基金账户（预先在银行端登记备案）的余额情况。</w:t>
      </w:r>
    </w:p>
    <w:p w14:paraId="6755C4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经办机构账户按日期区间明细查询：社保经办机构通过本接口，查询其开设的基金账户（预先在银行端登记备案）的当日明细，同时支持按时间段查询交易明细数据，不输入时间段，默认查询当日全部明细，查询日期以银行当前的工作日期为准。</w:t>
      </w:r>
    </w:p>
    <w:p w14:paraId="32E21DA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（2）文件交易</w:t>
      </w:r>
    </w:p>
    <w:p w14:paraId="0E46ACE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日终交易核对流水：银行将每日单笔支付的结果信息生成文件发送给社保进行对账，保证在非正常情况（网络延时、中断）下双方数据的一致性。</w:t>
      </w:r>
    </w:p>
    <w:p w14:paraId="4BFC3EF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文件批量结算：1、用于社保批量发放报盘，社保按照批量结算文件格式生成该文件并上传至文件服务器通知银行获取文件处理；用于银行批量发放回盘，银行批量发放完毕后生成该文件并上传至文件服务器通知社保获取文件处理。</w:t>
      </w:r>
    </w:p>
    <w:p w14:paraId="6F05A3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（3）社保账户收支明细</w:t>
      </w:r>
    </w:p>
    <w:p w14:paraId="4A3BCA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日终银行端系统针对所有社保经办机构开设的基金账户（预先在银行端登记备案）生成当日的账户收支明细文件。</w:t>
      </w:r>
    </w:p>
    <w:p w14:paraId="1DC1D53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（4）批量发放汇总凭证</w:t>
      </w:r>
    </w:p>
    <w:p w14:paraId="5CE3E2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银行批量发放完毕后按照批次生成社保发放汇总凭证文件上传至文件服务器，再通知社保获取文件，社保根据此文件做后续账务处理，取消人工线下传递。格式详见附件3《附件3 XXX保险支付汇总凭证》（模版以人社部门要求为准）。</w:t>
      </w:r>
    </w:p>
    <w:p w14:paraId="76C65F6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2.3社银一体化接口规范</w:t>
      </w:r>
    </w:p>
    <w:p w14:paraId="210191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（1）社保批量支付接口设计</w:t>
      </w:r>
    </w:p>
    <w:p w14:paraId="462AE8B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社保批量支付接口适用于社保机构针对多笔支付需求汇总成支付文件发送给银行处理，银行处理完毕后将支付文件返回社保机构。</w:t>
      </w:r>
    </w:p>
    <w:p w14:paraId="57DBE07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流程设计：</w:t>
      </w:r>
    </w:p>
    <w:p w14:paraId="723DA9D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处理流程包括以下内容方面：</w:t>
      </w:r>
    </w:p>
    <w:p w14:paraId="21F389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①社保生成应付计划和支付文件，并且确保支出账户有足够的资金；</w:t>
      </w:r>
    </w:p>
    <w:p w14:paraId="22F365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②社保将支付文件发送到银行，社保将支付文件通过接口发送到银行，银行校验文件的完整性并确认支付账户资金足够后接收文件，反馈社保机构（文件接口：文件批量结算）；</w:t>
      </w:r>
    </w:p>
    <w:p w14:paraId="1E6A22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②银行进行支付并生成支付结果文件；</w:t>
      </w:r>
    </w:p>
    <w:p w14:paraId="56AE52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④银行将支付结果文件发送社保，银行将支付结果文件通过接口发送到社保机构，社保机构校验文件的完整性后接收文件，反馈银行（文件接口：文件批量结算）；</w:t>
      </w:r>
    </w:p>
    <w:p w14:paraId="306CFE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⑤社保机构根据支付结果文件进行业务支付结果处理。</w:t>
      </w:r>
    </w:p>
    <w:p w14:paraId="669CC08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交互业务规则设计</w:t>
      </w:r>
    </w:p>
    <w:p w14:paraId="2902B72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①该业务由社保机构发起，社保机构和银行间存在文件传输接口和同步实时交易接口（文件就绪通知），银行处理支付文件过程为异步处理。</w:t>
      </w:r>
    </w:p>
    <w:p w14:paraId="232A4D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②同一个批次中必须使用同一种支付类型，将同行发放和跨行发放分开，以避免回盘时效不同造成同行交易结果等跨行交易的情况。</w:t>
      </w:r>
    </w:p>
    <w:p w14:paraId="555722C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银行根据支出总额控制类型控制支出户总额对支付的影响，如果汇总支付，支出账户金额不足时则全部发放失败；如果逐笔支付，择按照社保提交文件的时间和顺序进行支付，金额不足时支付失败，但只影响当前处理的收款记录，不影响前面发放成功的部分。</w:t>
      </w:r>
    </w:p>
    <w:p w14:paraId="248E045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④根据支付类型和支付对象类型的不同，银行的处理方式也不同，社保机构在生成支付文件时必须做好区分。银行在回盘时，对使用贷记卡发放待遇的，须单独生成回盘文件。</w:t>
      </w:r>
    </w:p>
    <w:p w14:paraId="3C97910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⑤银行侧收到以下明细时，收款人账户、户名、证件号码进行一致性的校验，对于两者不一致的直接按支付失败处理。银行反馈的发放结果明细必须与社保发起的支付请求明细一一对应。</w:t>
      </w:r>
    </w:p>
    <w:p w14:paraId="6C8D3A0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⑥对于同一个合作机构发起的批量结算明细（002社保发起零星支付、002 社保发起批量支付），如果在T日的明细中出现收款人相同的多条明细（由各地社保机构制定具体的上限阈值），系统给予按支付失败处理。</w:t>
      </w:r>
    </w:p>
    <w:p w14:paraId="0F348A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（2）社保零星支付接口设计</w:t>
      </w:r>
    </w:p>
    <w:p w14:paraId="34D82CE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社保机构针对单笔零星支付需求实时发送给银行处理，银行处理完毕后将立即将结果返回社保机构。</w:t>
      </w:r>
    </w:p>
    <w:p w14:paraId="479A8D5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流程设计</w:t>
      </w:r>
    </w:p>
    <w:p w14:paraId="391CA74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处理过程包括：</w:t>
      </w:r>
    </w:p>
    <w:p w14:paraId="711D4B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①社保生成零星应付计划，并且确保支出账户有足够的资金。</w:t>
      </w:r>
    </w:p>
    <w:p w14:paraId="70933F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②社保将零星支付指令发送到银行处理：</w:t>
      </w:r>
    </w:p>
    <w:p w14:paraId="2E5AEB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社保将零星支付指令发送到银行，银行处理后反馈社保机构。（实时接口：单笔结算）</w:t>
      </w:r>
    </w:p>
    <w:p w14:paraId="6429EC7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③社保机构根据支付结果文件进行业务支付结果处理。</w:t>
      </w:r>
    </w:p>
    <w:p w14:paraId="4E1CCE6C">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交互业务规则设计</w:t>
      </w:r>
    </w:p>
    <w:p w14:paraId="4830F4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①零星支付允许跨行支付。</w:t>
      </w:r>
    </w:p>
    <w:p w14:paraId="397479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②多笔零星支付汇总后可以通过社保批量支付进行支付。</w:t>
      </w:r>
    </w:p>
    <w:p w14:paraId="3F7940A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③银行侧收到以下明细时，收款人账户、户名、证件号码进行一致性的校验，对于两者不一致的直接按支付失败处理。</w:t>
      </w:r>
    </w:p>
    <w:p w14:paraId="3C9BC1B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（3）银行交易日对账接口设计</w:t>
      </w:r>
    </w:p>
    <w:p w14:paraId="11E81A5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适用于银行和社保每天对前一日的零星支付进行对账。</w:t>
      </w:r>
    </w:p>
    <w:p w14:paraId="15B38D3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流程设计</w:t>
      </w:r>
    </w:p>
    <w:p w14:paraId="2ACF2E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处理流程包括：</w:t>
      </w:r>
    </w:p>
    <w:p w14:paraId="49B0EE6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①银行生成当日对账文件并发送到社保（文件接口：日终交易核对流水）。</w:t>
      </w:r>
    </w:p>
    <w:p w14:paraId="38D79A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②社保根据对账文件进行对账处理。</w:t>
      </w:r>
    </w:p>
    <w:p w14:paraId="0B83B5A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社保根据对账文件对前一日的交易进行处理，如果发现有单边账，以银行的数据为基准修改社保的数据或通过人工通知银行处理，实现账务的一致性。</w:t>
      </w:r>
    </w:p>
    <w:p w14:paraId="48536A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交互业务规则设计</w:t>
      </w:r>
    </w:p>
    <w:p w14:paraId="4951BDD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①日对账的目的在于防止出现单边账，因此只需对实时交易模式的单位和个人零星支付进行日对账，基于文件交换的代扣和批量支付业务无需对账。</w:t>
      </w:r>
    </w:p>
    <w:p w14:paraId="15003C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②对账数据由银行发起，以银行数据为准，社保记账银行未记则社保回退业务记账，社保未记银行记账则社保进行补记账。</w:t>
      </w:r>
    </w:p>
    <w:p w14:paraId="0BA9F5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③按照社保机构和业务类型进行对账，即每个社保机构每种业务类型均需要发起一次日对账交易。</w:t>
      </w:r>
    </w:p>
    <w:p w14:paraId="702EEE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④明细交易起始时间和明细交易终止时间均以交易发起方提供的交易时间为准，以避免双方因时间不同步造成的对账不匹配。代扣类业务由社保发起。</w:t>
      </w:r>
    </w:p>
    <w:p w14:paraId="53B5C5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⑤对账后就不能对完成对账的交易进行撤销。</w:t>
      </w:r>
    </w:p>
    <w:p w14:paraId="3FAF756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3、社税平台</w:t>
      </w:r>
    </w:p>
    <w:p w14:paraId="589F52C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基于社会保险费信息共享平台建设方案（全国标准版V2.0）——业务流程、交互场景及数据标准、社会保险费信息共享平台建设方案（全国标准版V2.0），按照sftp+webservice交互路线对社税平台进行升级改造，建设统一的人社社税共享平台，制定全省统一的社保税务共享交换标准，提供统一的省级通道。</w:t>
      </w:r>
    </w:p>
    <w:p w14:paraId="2E75D39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3.1管理与监控</w:t>
      </w:r>
    </w:p>
    <w:p w14:paraId="5F54285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（1）权限配置</w:t>
      </w:r>
    </w:p>
    <w:p w14:paraId="00B5B1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通过权限配置管理，提供对信息共享平台的安全准入管理，实现对税务机构各类对接服务的访问资格进行访问权限控制，保证整个系统的防问安全性。</w:t>
      </w:r>
    </w:p>
    <w:p w14:paraId="648A92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（2）交易配置</w:t>
      </w:r>
    </w:p>
    <w:p w14:paraId="130E3E9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交易配置实时各交易执行流程的定义工作，能够快速实现交易功能设计，快速实现交易服务设定等功能。</w:t>
      </w:r>
    </w:p>
    <w:p w14:paraId="5558318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（3）交易日志</w:t>
      </w:r>
    </w:p>
    <w:p w14:paraId="48E1ECB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平台交易过程中所产生的各类系统日志进行管理，记录交易的收发状态、处理结果、交易总笔数、交易成功笔数等信息，支持当系统发生异常或业务部门对账不通过而查找原因时，通过对交易日志中业务信息进行查询，比对、分析找出对账差异原因，进行后续业务处理工作。</w:t>
      </w:r>
    </w:p>
    <w:p w14:paraId="653C07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（4）性能配置</w:t>
      </w:r>
    </w:p>
    <w:p w14:paraId="375ACB0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通过前台功能可以实时修改平台转发的并发线程数量，可以根据实际需要增加前置机的发送速度。</w:t>
      </w:r>
    </w:p>
    <w:p w14:paraId="4D8C8D3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3.2交易转发</w:t>
      </w:r>
    </w:p>
    <w:p w14:paraId="6FB279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3.3实时业务协同</w:t>
      </w:r>
    </w:p>
    <w:p w14:paraId="378ACEC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根据平台特点，对于人社部门与税务部门之间实时类性质较强的业务，需要通过实时业务协同将业务交易请求实时转到了被请求的业务系统，保障业务的实时性处理及有效衔接。</w:t>
      </w:r>
    </w:p>
    <w:p w14:paraId="567DCF3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实现方式是通过社税平台接口实时发送业务数据到税务接口，完成业务交互。</w:t>
      </w:r>
    </w:p>
    <w:p w14:paraId="290128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城乡系统中人员新参保、信息修改等业务需要实时性比较强的非批量业务，通过实时业务协同来发送交易给税务系统；城镇职工系统中人员和单位相关新增、变更业务、特殊缴费、单笔征集等业务通过实时业务系统来跟税务系统做交互。如上功能通过业务建设，增加税务信息推送的附加功能。</w:t>
      </w:r>
    </w:p>
    <w:p w14:paraId="755890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3.4定时交易发送</w:t>
      </w:r>
    </w:p>
    <w:p w14:paraId="7782DDD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根据平台特点，对于人社部门与税务部门之间实时类性质业务要求不强的，设置定时交易规则，通过定时交易服务将业务交易请求发送到相关的业务系统中，进行业务的处理。</w:t>
      </w:r>
    </w:p>
    <w:p w14:paraId="59DFCE0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3.5批量数据传输</w:t>
      </w:r>
    </w:p>
    <w:p w14:paraId="43C47C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批量数据传输功能可以多次发送或接收数据，实现人社部门及税务部门之间两定批量数据的一致性。批量数据传输支持异步大批量传输、支持断点续传。</w:t>
      </w:r>
    </w:p>
    <w:p w14:paraId="1D8530A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业务系统涉及的功能如灵活人员批量征集、单位批量征集、工程项目批量征集、缴费明细交互等业务在经办过程中将待发送数据批量生成到税务平台前置库。税务平台服务通过定时任务按照数据批次号按照顺序和发送量定时生成xml文件到FTP服务器，并发送通知到税务系统。接到通知信息后税务系统到FTP服务器上获取对对应的xml文件，并解析后落地到税务库。</w:t>
      </w:r>
    </w:p>
    <w:p w14:paraId="29F1536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3.6税务数据接收</w:t>
      </w:r>
    </w:p>
    <w:p w14:paraId="49D194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务数据接收实现主动获取税务部门的缴费信息、对账信息以及税务登记方面的数据，并存储到人社部门相关系统中。如到账数据接收业务，税务通过批量数据传输方式，批量发送到FTP服务器后，社税前置机定时拉取ftp上的xml文件并解析内容，落地到社税平台前置库，供后续人社系统业务读取使用。</w:t>
      </w:r>
    </w:p>
    <w:p w14:paraId="3031506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（1）数据统计查询</w:t>
      </w:r>
    </w:p>
    <w:p w14:paraId="3535D17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①首页统计</w:t>
      </w:r>
    </w:p>
    <w:p w14:paraId="7FFD118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页面通过时间段可以查询统计各类交互实际发生的笔数（包含成功笔数，失败笔数）。</w:t>
      </w:r>
    </w:p>
    <w:p w14:paraId="13CB445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②日常交易查询</w:t>
      </w:r>
    </w:p>
    <w:p w14:paraId="594BE43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通过相关查询条件查询对应交易的具体信息，查询条件可以包含成功失败标志、业务类型、结算期、发送时间等。点击查询后按照条件获取社税前置机相关交易数据展示到前台。</w:t>
      </w:r>
    </w:p>
    <w:p w14:paraId="4BD7E6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（2）社会保险业务交互</w:t>
      </w:r>
    </w:p>
    <w:p w14:paraId="4BC89C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人社部门需建设业务系统，按照社税平台建设约定内容，通过社税平台实现与税务部门的数据交互。</w:t>
      </w:r>
    </w:p>
    <w:p w14:paraId="118D262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①单位参保登记信息交互</w:t>
      </w:r>
    </w:p>
    <w:p w14:paraId="3A2B343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建设内容包括：单位参保登记，单位信息维护，单位敏感信息维护，单位合并，参保单位变更，企业注销便利化等；</w:t>
      </w:r>
    </w:p>
    <w:p w14:paraId="1CCA6AC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网报端建设内容包括：企业单位参保登记审批、机关事业单位参保登记审批、单位参保登记审批初审等。</w:t>
      </w:r>
    </w:p>
    <w:p w14:paraId="1B2A0C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实现登记信息关联比对结果反馈查询。</w:t>
      </w:r>
    </w:p>
    <w:p w14:paraId="4A4A8EE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②工程项目参保登记信息交互</w:t>
      </w:r>
    </w:p>
    <w:p w14:paraId="6D5D6B0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建设内容包括：工程单位管理，网报端工程项目参保登记审批等</w:t>
      </w:r>
    </w:p>
    <w:p w14:paraId="0B7602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登记信息关联比对结果反馈查询。</w:t>
      </w:r>
    </w:p>
    <w:p w14:paraId="2875BE9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③职工参保登记信息交互</w:t>
      </w:r>
    </w:p>
    <w:p w14:paraId="07FA69E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人员新参保，人员信息维护，人员敏感信息维护，人员停保，人员续保，人员合并，人员退保，人员终止解封，身份证批量升位，跨经办机构人员续保，跨经办机构人员合并，多单位参保人员管理，多单位参保人员账户合并等；</w:t>
      </w:r>
    </w:p>
    <w:p w14:paraId="1A3790A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网报端建设内容包括：单位网报系统职工增员、减员审批，职工敏感信息修改审批等。</w:t>
      </w:r>
    </w:p>
    <w:p w14:paraId="2D990A3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登记信息关联比对结果反馈查询。</w:t>
      </w:r>
    </w:p>
    <w:p w14:paraId="53BDBDA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④灵活就业参保登记信息交互</w:t>
      </w:r>
    </w:p>
    <w:p w14:paraId="21CA4F6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人员新参保，人员信息维护，人员敏感信息维护，人员停保，人员续保，人员合并，人员退保，未缴费灵活就业人员批量停保，人员终止解封，身份证批量升位，跨经办机构人员续保，跨经办机构人员合并，多单位参保人员管理，多单位参保人员账户合并等；</w:t>
      </w:r>
    </w:p>
    <w:p w14:paraId="17D2972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网报端（网厅、一体机）建设内容包括：灵活就业人员新参保审核，续保到灵活就业，灵活就业人员停保等。</w:t>
      </w:r>
    </w:p>
    <w:p w14:paraId="6236B75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登记信息关联比对结果反馈查询。</w:t>
      </w:r>
    </w:p>
    <w:p w14:paraId="4717FA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⑤单位缴费信息交互</w:t>
      </w:r>
    </w:p>
    <w:p w14:paraId="7C545C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建设内容包括：征集处理、批量征集处理、新机关养老征集处理等。</w:t>
      </w:r>
    </w:p>
    <w:p w14:paraId="6659EFF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⑥特殊缴费业务税务征收平台对接</w:t>
      </w:r>
    </w:p>
    <w:p w14:paraId="4AF6479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补收按单位汇总征集、补收按个人汇总征集、补收按单位汇总批量征集、破产企业补收按单位征集、新机关养老补收按单位征集、新机关养老轧差、事转企一次性补贴、企业养老缴费一次性趸补、机关养老缴费一次性趸补等与征收业务平台对接。</w:t>
      </w:r>
    </w:p>
    <w:p w14:paraId="6CF09E0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人社部门确认以上内容的征集计划不再需要时，通过以上内容的征集撤销功能，先生成社税平台特殊缴费托收信息接口所需的撤销信息，待税务反馈是否被申报成功，若申报成功，则不允许作废人社部门的征集计划；若未申报，则继续作废人社部门的征集计划。</w:t>
      </w:r>
    </w:p>
    <w:p w14:paraId="3C74FCE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⑥灵活就业缴费信息交互</w:t>
      </w:r>
    </w:p>
    <w:p w14:paraId="0E36AC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建设内容包括：灵活就业人员缴费核定、灵活就业人员缴费补缴、批量灵活就业人员缴费核定；个人网报系统、一体机建设：续保到灵活就业、灵活就业人员缴费申报。</w:t>
      </w:r>
    </w:p>
    <w:p w14:paraId="2E54B43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⑦工程项目工伤保险征集信息交互</w:t>
      </w:r>
    </w:p>
    <w:p w14:paraId="0028578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建设内容包括：工程单位管理、建筑施工单位一次性缴纳工伤核定。</w:t>
      </w:r>
    </w:p>
    <w:p w14:paraId="7F186A0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⑧征集信息撤销业务交互</w:t>
      </w:r>
    </w:p>
    <w:p w14:paraId="497695D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征集处理-回退、批量征集处理-回退、灵活就业人员缴费核定-回退、灵活就业人员缴费补缴-回退、个人欠费作废、批量灵活就业人员缴费取消、建筑施工单位一次性缴纳工伤核定-回退，灵活就业人员核定单人取消；</w:t>
      </w:r>
    </w:p>
    <w:p w14:paraId="21C2DA2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单位网报建设：企业单位征集数据申请回退、机关事业单位征集数据申请回退；</w:t>
      </w:r>
    </w:p>
    <w:p w14:paraId="79ECEA9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个人网报系统、一体机建设：灵活就业人员欠费撤销。</w:t>
      </w:r>
    </w:p>
    <w:p w14:paraId="6DC675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⑨异常业务信息输出与接收</w:t>
      </w:r>
    </w:p>
    <w:p w14:paraId="6065CD4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建设内容包括：异常业务信息输出与接收涉及的退费申请、退费核验、退费核验信息反馈等。</w:t>
      </w:r>
    </w:p>
    <w:p w14:paraId="38D550B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⑩社保实收到账</w:t>
      </w:r>
    </w:p>
    <w:p w14:paraId="0E318EA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建设内容包含：单位缴费明细信息、特殊缴费业务入库信息（按照缴费主体分为单位和灵活就业）、灵活就业人员缴费明细信息等实收到账。</w:t>
      </w:r>
    </w:p>
    <w:p w14:paraId="4C887B9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⑪系统初始化及数据转换</w:t>
      </w:r>
    </w:p>
    <w:p w14:paraId="16DEB22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（1）基本信息数据整理</w:t>
      </w:r>
    </w:p>
    <w:p w14:paraId="2DBB5F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单位基本信息，职工基本信息，灵活就业人员基本信息，按照税务的标准进行分析，并对不符合规范的问题数据进行清洗，如统一社会信用代码超长、组织机构代码超长、社会保障号码长度溢出等。</w:t>
      </w:r>
    </w:p>
    <w:p w14:paraId="012C25E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整理完成交付给税务入库。</w:t>
      </w:r>
    </w:p>
    <w:p w14:paraId="78BEE8F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（2）参保信息数据整理</w:t>
      </w:r>
    </w:p>
    <w:p w14:paraId="11C6DD0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单位参保信息，职工参保信息，灵活就业人员参保信息，按照税务的标准进行分析，并对不符合规范的问题数据进行清洗，如参保变更类型不正确、有参保信息无基础信息等。整理完成交付给税务入库。</w:t>
      </w:r>
    </w:p>
    <w:p w14:paraId="62A610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（3）历史征集信息</w:t>
      </w:r>
    </w:p>
    <w:p w14:paraId="3BFF63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针对于历史已经发送给税务，但还未缴款的征集批次，按双方业务约定的规则，通过社税平台推送历史应缴数据。包含单位征集信息、灵活就业征集信息、特殊缴费托收信息。</w:t>
      </w:r>
    </w:p>
    <w:p w14:paraId="2FE874E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（4）征集数据清理</w:t>
      </w:r>
    </w:p>
    <w:p w14:paraId="40D3155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历史税务已经收费但社保方做了征集撤销，这类数据无法通过社税平台回传，人工进行分析对能运维恢复征集批次并到账的数据进行处理，不能恢复的走退费流程。</w:t>
      </w:r>
    </w:p>
    <w:p w14:paraId="2B0F7BC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⑫查询功能</w:t>
      </w:r>
    </w:p>
    <w:p w14:paraId="4AE3DEF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社税平台数据收发情况查询，根据缴费主体编号或征集流水号：</w:t>
      </w:r>
    </w:p>
    <w:p w14:paraId="21D91E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【查询类别】选项为社保发送情况时，查询单位征集、灵活就业征集、特殊征集、工程项目征集发送税务情况；</w:t>
      </w:r>
    </w:p>
    <w:p w14:paraId="21BE6BD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【查询类别】选项为税务回传到账时，查询税务回传的缴费信息，以及社保实收到账情况。</w:t>
      </w:r>
    </w:p>
    <w:p w14:paraId="6DC14849">
      <w:pPr>
        <w:widowControl w:val="0"/>
        <w:wordWrap/>
        <w:adjustRightInd/>
        <w:snapToGrid/>
        <w:spacing w:line="360" w:lineRule="auto"/>
        <w:ind w:firstLine="482" w:firstLineChars="200"/>
        <w:textAlignment w:val="auto"/>
        <w:rPr>
          <w:rFonts w:hint="eastAsia" w:ascii="宋体" w:hAnsi="宋体" w:cs="宋体"/>
          <w:color w:val="auto"/>
          <w:sz w:val="24"/>
          <w:szCs w:val="24"/>
          <w:highlight w:val="none"/>
        </w:rPr>
      </w:pPr>
      <w:r>
        <w:rPr>
          <w:rFonts w:hint="eastAsia" w:ascii="宋体" w:hAnsi="宋体" w:cs="宋体"/>
          <w:b/>
          <w:bCs/>
          <w:color w:val="auto"/>
          <w:sz w:val="24"/>
          <w:szCs w:val="24"/>
          <w:highlight w:val="none"/>
        </w:rPr>
        <w:t>（二十一）历史数据迁移</w:t>
      </w:r>
    </w:p>
    <w:p w14:paraId="229DC5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完成社会保险全险种一体化系统现有相关系统历史数据迁移。</w:t>
      </w:r>
    </w:p>
    <w:p w14:paraId="69AAA67B">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49" w:name="_Toc26800"/>
      <w:r>
        <w:rPr>
          <w:rFonts w:hint="eastAsia" w:ascii="宋体" w:hAnsi="宋体" w:eastAsia="宋体" w:cs="宋体"/>
          <w:b/>
          <w:bCs/>
          <w:color w:val="auto"/>
          <w:sz w:val="24"/>
          <w:szCs w:val="24"/>
          <w:highlight w:val="none"/>
          <w:lang w:val="en-US" w:eastAsia="zh-CN"/>
        </w:rPr>
        <w:t>六、系统非功能性要求</w:t>
      </w:r>
      <w:bookmarkEnd w:id="249"/>
    </w:p>
    <w:p w14:paraId="3C63C12B">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1、系统性能要求</w:t>
      </w:r>
    </w:p>
    <w:p w14:paraId="045EA1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（1）页面打开响应时间&lt;500毫秒，单笔业务办理响应时间&lt;1秒；</w:t>
      </w:r>
    </w:p>
    <w:p w14:paraId="65DB2CD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（2）批处理业务（含后台运行业务）要求有进度提示，平均控制在15秒，最大不超过15分钟；</w:t>
      </w:r>
    </w:p>
    <w:p w14:paraId="04F19F1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（3）单记录本地查询的响应时间&lt;500毫秒；</w:t>
      </w:r>
    </w:p>
    <w:p w14:paraId="4254F3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（4）单笔非嵌套分布式查询的响应时间&lt;2秒/次；</w:t>
      </w:r>
    </w:p>
    <w:p w14:paraId="404BF2C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（5）简单报表查询的响应时间&lt;2秒；</w:t>
      </w:r>
    </w:p>
    <w:p w14:paraId="5B609A2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（6）单项统计的响应时间&lt;3秒；</w:t>
      </w:r>
    </w:p>
    <w:p w14:paraId="5C5AE0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（7）生成复杂统计报表的响应时间&lt;100秒。</w:t>
      </w:r>
    </w:p>
    <w:p w14:paraId="4B6C474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（8）并发性要求：业务办理时，最大并发连接数不低于5000；在并发用户数在最高峰值时，系统响应时间不超过5秒，平均响应时间不超过2秒。设计必要的熔断机制。</w:t>
      </w:r>
    </w:p>
    <w:p w14:paraId="6065FA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稳定性要求：整体系统应能支持亿级数据规模的快速存储和查询，支持连续不间断的稳定运行，并保证数据的一致、完整、准确，不发生长时间业务中断、阻塞、死锁等情况。系统应提供迅速的故障恢复能力，确保出现一般性局部故障时不影响整个系统的正常运行。</w:t>
      </w:r>
    </w:p>
    <w:p w14:paraId="20C7B67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（10）可扩展性要求。根据业务需求的变化，做好相关系统的部署和调整、支持后期的扩展需求；应用节点根据业务情况可动态横向扩展，增加并发量和提高在线用户数。</w:t>
      </w:r>
    </w:p>
    <w:p w14:paraId="4688C9A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（11）用户体验性要求从界面展示、页面排版、导航设置、互动内容等方面满足用户的需求，达到友好性、易用性要求，具有良好的用户体验。</w:t>
      </w:r>
    </w:p>
    <w:p w14:paraId="3B53AA2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（12）性能测试要求。项目承担单位须提出切实可行的压力测试和优化方案建议（包括数据库、中间件层面），配合做好本项目相关系统的部署、内部测试和系统优化。</w:t>
      </w:r>
    </w:p>
    <w:p w14:paraId="4E0AA840">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2、系统安全要求</w:t>
      </w:r>
    </w:p>
    <w:p w14:paraId="37C937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根据GB/T22239-2019《信息安全技术 网络安全等级保护基本要求》，本系统平台需满足等级保护三级相关防护要求，从应用安全、数据安全、系统安全、安全管理体系等方面入手，构建安全防护体系，保障系统安全。</w:t>
      </w:r>
    </w:p>
    <w:p w14:paraId="06E36EB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同步建设密码防护体系，根据GB/T39786-2021《信息安全技术 信息系统密码应用基本要求》从物理和环境安全、网络和通信安全、设计和计算安全、应用和数据安全等角度入手，构建符合三级密码应用要求的密码防护体系。</w:t>
      </w:r>
    </w:p>
    <w:p w14:paraId="20DA2B1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系统运行期间因软件系统问题导致的社保基金损失，优先进行基金追回，必要时由中标方兜底赔偿，具体赔偿方案由双方协商。</w:t>
      </w:r>
    </w:p>
    <w:p w14:paraId="32344EF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3、系统运行维护要求</w:t>
      </w:r>
    </w:p>
    <w:p w14:paraId="558265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故障影响程度，按照优先级的高低对客户做出响应。提供日常运维、应急性维护、完整性维护、完善性维护、优化性运维和定期巡查工作，帮助用户在最短时间内，恢复系统正常状态。运维期内，除正常的系统运维外，需响应社会保险系统因政策性变更（含政务服务优化类要求）而引发的系统升级改造工作。运维阶段系统一般bug类问题需24小时处理完成（非需求类）；重大紧急问题（涉及资金问题）需及时响应，迅速解决。中标方在运维期间梳理并提供标准的运维支撑文档，包括但不限于运维手册、部署文档、运维流程规范等，且对同类问题不同的运维人员应采用标准通用的处理方式。</w:t>
      </w:r>
    </w:p>
    <w:p w14:paraId="30E9BF96">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4、软件开发要求</w:t>
      </w:r>
    </w:p>
    <w:p w14:paraId="654686E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所涉及应用系统软件及数据库设计开发，要遵守软件工程的原则和采用软件工程的方法，以确保软件系统预期开发目标的实现，确保工程质量和产品可靠性。完成的应用系统软件应与所确定的应用系统的功能和性能需求相一致；与相关成文的开发标准相一致；并与所有专业开发的软件所期望的隐含特性相一致。</w:t>
      </w:r>
    </w:p>
    <w:p w14:paraId="54A473D5">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5、技术要求</w:t>
      </w:r>
    </w:p>
    <w:p w14:paraId="7721AB2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（1）项目建设应符合湖北省人力资源和社会保障厅关于人社信息化工作的总体规划和要求。</w:t>
      </w:r>
    </w:p>
    <w:p w14:paraId="6E30C66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（2）项目建设应遵循人力资源和社会保障部各项业务规范。</w:t>
      </w:r>
    </w:p>
    <w:p w14:paraId="7F08979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应基于云计算技术、人社行业LEAF7框架云应用支撑平台，采用微服务架构技术，支持分布式数据库访问、支持分布式缓存、分布式消息队列、分布式文件系统、分布式安全服务，满足省集中后的大规模数据存储要求和高并发访问要求，支持资源的按需分配、应用可弹性伸缩、数据可水平扩展。</w:t>
      </w:r>
    </w:p>
    <w:p w14:paraId="59898C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（4）应用软件应采用通用软件开发平台进行开发，有很强的灵活性和扩展性。在保障效率和稳定的前提下，应尽可能使用商业化版本的软件开发平台。</w:t>
      </w:r>
    </w:p>
    <w:p w14:paraId="4EF65E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（5）在软件设计实现过程中采用松耦合设计，在架构设计、数据库表设计、功能设计等方面，采用与整体人社一体化平台松耦合的建设方式，实现各项业务和功能可拆可合，便于后期系统调整和业务拓展。</w:t>
      </w:r>
    </w:p>
    <w:p w14:paraId="385FAC4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应用软件还应采用参数驱动的设计思想，在应用软件中，凡是不能确定的因素，应做到参数化、组件化，以达到通过对参数的设置就可适应不同的情况及不同时期的应用要求，并具备多用户和多任务操作能力，并对用户数不加限制。</w:t>
      </w:r>
    </w:p>
    <w:p w14:paraId="783E3D4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（7）对信息系统的使用不能有并发数许可限制、有效期许可限制。</w:t>
      </w:r>
    </w:p>
    <w:p w14:paraId="7CFB1E83">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6、集成要求</w:t>
      </w:r>
    </w:p>
    <w:p w14:paraId="21424F7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（1）项目建设应遵循省人社一体化平台制定的标准规范体系。</w:t>
      </w:r>
    </w:p>
    <w:p w14:paraId="4909335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（2）完成与省人社一体化平台建设的平台和系统进行对接，与人社各业务和数据深度协同共享，实现人社公共服务事项入驻统一服务平台和经办平台。</w:t>
      </w:r>
    </w:p>
    <w:p w14:paraId="08E354A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（3）与一体化软件总集成工作对接</w:t>
      </w:r>
    </w:p>
    <w:p w14:paraId="54F207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配合执行设计思路，协助完成整体项目的推进工作；配合其他软件开发商进行系统开发、联调测试等工作；服从项目总体工作安排和调度。</w:t>
      </w:r>
    </w:p>
    <w:p w14:paraId="2725191C">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250" w:name="_Toc18760"/>
      <w:bookmarkStart w:id="251" w:name="_Toc1050"/>
      <w:bookmarkStart w:id="252" w:name="_Toc31211"/>
      <w:bookmarkStart w:id="253" w:name="_Toc3267"/>
      <w:bookmarkStart w:id="254" w:name="_Toc18413"/>
      <w:bookmarkStart w:id="255" w:name="_Toc15067"/>
      <w:bookmarkStart w:id="256" w:name="_Toc27626"/>
      <w:bookmarkStart w:id="257" w:name="_Toc8730"/>
      <w:bookmarkStart w:id="258" w:name="_Toc24044"/>
      <w:r>
        <w:rPr>
          <w:rFonts w:hint="eastAsia" w:ascii="宋体" w:hAnsi="宋体" w:eastAsia="宋体" w:cs="宋体"/>
          <w:b/>
          <w:bCs/>
          <w:color w:val="auto"/>
          <w:sz w:val="24"/>
          <w:szCs w:val="24"/>
          <w:highlight w:val="none"/>
          <w:lang w:val="en-US" w:eastAsia="zh-CN"/>
        </w:rPr>
        <w:t>七、建设要求</w:t>
      </w:r>
      <w:bookmarkEnd w:id="250"/>
      <w:bookmarkEnd w:id="251"/>
      <w:bookmarkEnd w:id="252"/>
      <w:bookmarkEnd w:id="253"/>
      <w:bookmarkEnd w:id="254"/>
      <w:bookmarkEnd w:id="255"/>
      <w:bookmarkEnd w:id="256"/>
      <w:bookmarkEnd w:id="257"/>
      <w:bookmarkEnd w:id="258"/>
    </w:p>
    <w:p w14:paraId="38D12F17">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259" w:name="_Toc7449"/>
      <w:bookmarkStart w:id="260" w:name="_Toc16330"/>
      <w:bookmarkStart w:id="261" w:name="_Toc13119"/>
      <w:bookmarkStart w:id="262" w:name="_Toc23167"/>
      <w:bookmarkStart w:id="263" w:name="_Toc2654"/>
      <w:bookmarkStart w:id="264" w:name="_Toc4979"/>
      <w:bookmarkStart w:id="265" w:name="_Toc2199"/>
      <w:bookmarkStart w:id="266" w:name="_Toc6844"/>
      <w:bookmarkStart w:id="267" w:name="_Toc25759"/>
      <w:bookmarkStart w:id="268" w:name="_Toc4216"/>
      <w:bookmarkStart w:id="269" w:name="_Toc6720"/>
      <w:bookmarkStart w:id="270" w:name="_Toc19102"/>
      <w:r>
        <w:rPr>
          <w:rFonts w:hint="eastAsia" w:ascii="宋体" w:hAnsi="宋体" w:eastAsia="宋体" w:cs="宋体"/>
          <w:b/>
          <w:bCs/>
          <w:color w:val="auto"/>
          <w:sz w:val="24"/>
          <w:szCs w:val="24"/>
          <w:highlight w:val="none"/>
          <w:lang w:val="en-US" w:eastAsia="zh-CN"/>
        </w:rPr>
        <w:t>1、工期要求</w:t>
      </w:r>
      <w:bookmarkEnd w:id="259"/>
      <w:bookmarkEnd w:id="260"/>
      <w:bookmarkEnd w:id="261"/>
      <w:bookmarkEnd w:id="262"/>
      <w:bookmarkEnd w:id="263"/>
      <w:bookmarkEnd w:id="264"/>
      <w:bookmarkEnd w:id="265"/>
    </w:p>
    <w:p w14:paraId="7B41D9B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项目工期要求：2026年12月底完成社会保险全险种一体化系统的需求调研、设计、开发、测试及具备上线试运行条件。试运行三个月后启动项目验收。</w:t>
      </w:r>
    </w:p>
    <w:p w14:paraId="09DDF78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软件维保期：自整体项目安装运行验收合格之日起计算，期限为3年。本项服务已包含在项目总价中。</w:t>
      </w:r>
    </w:p>
    <w:p w14:paraId="075AA2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（1）中标人需说明对开发、安装、调测、实施等进度的具体安排和工期保障措施。</w:t>
      </w:r>
    </w:p>
    <w:p w14:paraId="1BCEB1F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（2）系统的安装、调试、测试应有相应的规范文件，应进行现场的详细记录，由中标人签字后交给用户。</w:t>
      </w:r>
    </w:p>
    <w:p w14:paraId="29F3953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（3）项目完成开发测试后进入试运行期，在试运行期间，中标人应对系统运行发生的故障进行详细分析，包括出现故障的次数、故障原因和采取的措施等。</w:t>
      </w:r>
    </w:p>
    <w:p w14:paraId="50E3095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（4）合同验收时，中标人应提供相关的技术资料应符合“交付使用要求”和“验收要求”。</w:t>
      </w:r>
    </w:p>
    <w:p w14:paraId="3F6D107F">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271" w:name="_Toc1079"/>
      <w:bookmarkStart w:id="272" w:name="_Toc528"/>
      <w:bookmarkStart w:id="273" w:name="_Toc30360"/>
      <w:bookmarkStart w:id="274" w:name="_Toc24714"/>
      <w:bookmarkStart w:id="275" w:name="_Toc25703"/>
      <w:bookmarkStart w:id="276" w:name="_Toc918"/>
      <w:bookmarkStart w:id="277" w:name="_Toc21269"/>
      <w:r>
        <w:rPr>
          <w:rFonts w:hint="eastAsia" w:ascii="宋体" w:hAnsi="宋体" w:eastAsia="宋体" w:cs="宋体"/>
          <w:b/>
          <w:bCs/>
          <w:color w:val="auto"/>
          <w:sz w:val="24"/>
          <w:szCs w:val="24"/>
          <w:highlight w:val="none"/>
          <w:lang w:val="en-US" w:eastAsia="zh-CN"/>
        </w:rPr>
        <w:t>2、人员要求</w:t>
      </w:r>
      <w:bookmarkEnd w:id="266"/>
      <w:bookmarkEnd w:id="271"/>
      <w:bookmarkEnd w:id="272"/>
      <w:bookmarkEnd w:id="273"/>
      <w:bookmarkEnd w:id="274"/>
      <w:bookmarkEnd w:id="275"/>
      <w:bookmarkEnd w:id="276"/>
      <w:bookmarkEnd w:id="277"/>
    </w:p>
    <w:p w14:paraId="415375F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中标人应指派固定的团队为本项目提供专业服务。</w:t>
      </w:r>
    </w:p>
    <w:p w14:paraId="18FAB7A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经理（1人）：负责项目全生命周期的统筹管理，包括制定计划、协调资源、把控进度、对接客户及风险防控等工作，应具备丰富的项目管理经验及跨团队沟通协调能力；具有计算机相关专业本科或以上学位证书。须提供招标前6个月中任意3个月的社保证明。</w:t>
      </w:r>
    </w:p>
    <w:p w14:paraId="18039D1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技术负责人（1人）：负责现场实施统筹，包括人员调度、进度跟踪、现场问题协调；需2年以上现场管理经验，熟悉项目现场流程及客户对接规范；需持有计算机相关专业本科或以上学位证书。须提供招标前6个月中任意3个月的社保证明。</w:t>
      </w:r>
    </w:p>
    <w:p w14:paraId="7D32BAA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（3）骨干团队成员（不少于58人）：</w:t>
      </w:r>
    </w:p>
    <w:p w14:paraId="64E51D3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设期需提供不少于58人的驻场项目团队，包括高级工程师、系统架构设计师、软件工程师、软件设计师、数据库系统工程师、软件评测师、系统集成项目管理工程师、信息安全保障人员等，须为本单位员工并提供相关证书、须提供招标前6个月中任意3个月的社保证明。</w:t>
      </w:r>
    </w:p>
    <w:p w14:paraId="4572D21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以上人员不能重复兼任。</w:t>
      </w:r>
    </w:p>
    <w:p w14:paraId="05EAFF1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开发的应用软件在合同验收后，项目包含3年维护服务期，运维期首年需提供不少于30人驻场运维人员，后续不少于20人的驻场运维人员。其中至少10人须为原项目组开发人员或者实施人员，人员由客户指定，中标人不得随意变更，如需变更需客户同意。（须为本单位员工，须提供招标前6个月中任意3个月的社保证明）</w:t>
      </w:r>
    </w:p>
    <w:p w14:paraId="716215F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278" w:name="_Toc27811"/>
      <w:bookmarkStart w:id="279" w:name="_Toc15020"/>
      <w:bookmarkStart w:id="280" w:name="_Toc15691"/>
      <w:bookmarkStart w:id="281" w:name="_Toc29287"/>
      <w:bookmarkStart w:id="282" w:name="_Toc17366"/>
      <w:bookmarkStart w:id="283" w:name="_Toc22007"/>
      <w:bookmarkStart w:id="284" w:name="_Toc7932"/>
      <w:bookmarkStart w:id="285" w:name="_Toc4495"/>
      <w:r>
        <w:rPr>
          <w:rFonts w:hint="eastAsia" w:ascii="宋体" w:hAnsi="宋体" w:eastAsia="宋体" w:cs="宋体"/>
          <w:b/>
          <w:bCs/>
          <w:color w:val="auto"/>
          <w:sz w:val="24"/>
          <w:szCs w:val="24"/>
          <w:highlight w:val="none"/>
          <w:lang w:val="en-US" w:eastAsia="zh-CN"/>
        </w:rPr>
        <w:t>3、范围管理</w:t>
      </w:r>
      <w:bookmarkEnd w:id="267"/>
      <w:bookmarkEnd w:id="268"/>
      <w:bookmarkEnd w:id="269"/>
      <w:bookmarkEnd w:id="270"/>
      <w:bookmarkEnd w:id="278"/>
      <w:bookmarkEnd w:id="279"/>
      <w:bookmarkEnd w:id="280"/>
      <w:bookmarkEnd w:id="281"/>
      <w:bookmarkEnd w:id="282"/>
      <w:bookmarkEnd w:id="283"/>
      <w:bookmarkEnd w:id="284"/>
      <w:bookmarkEnd w:id="285"/>
    </w:p>
    <w:p w14:paraId="4DF2F67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在软件开发项目中，范围管理主要涉及明确项目应该完成的工作内容，包括需求收集与分析、范围定义、工作分解结构、范围变更控制等。</w:t>
      </w:r>
    </w:p>
    <w:p w14:paraId="24AD454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需求收集与分析：与客户和利益相关者沟通，收集并理解他们的需求，确保项目范围明确无误。</w:t>
      </w:r>
    </w:p>
    <w:p w14:paraId="5E86A8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范围定义：通过创建详细的需求规格说明书和范围说明书，明确项目的边界和可交付成果。</w:t>
      </w:r>
    </w:p>
    <w:p w14:paraId="2EBB6B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工作分解结构（WBS）：将项目工作分解为更小、更易于管理的部分，并分配给相应的团队成员。</w:t>
      </w:r>
    </w:p>
    <w:p w14:paraId="1A430B1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范围变更控制：建立变更控制流程，对任何范围变更进行评估、审批和记录，以确保项目按计划进行。</w:t>
      </w:r>
    </w:p>
    <w:p w14:paraId="68065D81">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286" w:name="_Toc13171"/>
      <w:bookmarkStart w:id="287" w:name="_Toc10652"/>
      <w:bookmarkStart w:id="288" w:name="_Toc9116"/>
      <w:bookmarkStart w:id="289" w:name="_Toc4485"/>
      <w:bookmarkStart w:id="290" w:name="_Toc29760"/>
      <w:bookmarkStart w:id="291" w:name="_Toc5580"/>
      <w:bookmarkStart w:id="292" w:name="_Toc18919"/>
      <w:bookmarkStart w:id="293" w:name="_Toc5351"/>
      <w:bookmarkStart w:id="294" w:name="_Toc23838"/>
      <w:bookmarkStart w:id="295" w:name="_Toc19134"/>
      <w:bookmarkStart w:id="296" w:name="_Toc10095"/>
      <w:bookmarkStart w:id="297" w:name="_Toc14579"/>
      <w:r>
        <w:rPr>
          <w:rFonts w:hint="eastAsia" w:ascii="宋体" w:hAnsi="宋体" w:eastAsia="宋体" w:cs="宋体"/>
          <w:b/>
          <w:bCs/>
          <w:color w:val="auto"/>
          <w:sz w:val="24"/>
          <w:szCs w:val="24"/>
          <w:highlight w:val="none"/>
          <w:lang w:val="en-US" w:eastAsia="zh-CN"/>
        </w:rPr>
        <w:t>4、时间管理</w:t>
      </w:r>
      <w:bookmarkEnd w:id="286"/>
      <w:bookmarkEnd w:id="287"/>
      <w:bookmarkEnd w:id="288"/>
      <w:bookmarkEnd w:id="289"/>
      <w:bookmarkEnd w:id="290"/>
      <w:bookmarkEnd w:id="291"/>
      <w:bookmarkEnd w:id="292"/>
      <w:bookmarkEnd w:id="293"/>
      <w:bookmarkEnd w:id="294"/>
      <w:bookmarkEnd w:id="295"/>
      <w:bookmarkEnd w:id="296"/>
      <w:bookmarkEnd w:id="297"/>
    </w:p>
    <w:p w14:paraId="5EB6058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时间管理主要涉及到项目的进度规划和监控，包括进度计划制定、进度监控、优先级排序、风险管理等。</w:t>
      </w:r>
    </w:p>
    <w:p w14:paraId="6F4D19D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进度计划制定：根据项目的范围和资源，制定详细的项目进度计划，包括里程碑、关键路径和任务分配。</w:t>
      </w:r>
    </w:p>
    <w:p w14:paraId="3C9E9E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进度监控：定期跟踪项目进度，与计划进行比较，及时发现偏差并采取纠正措施。</w:t>
      </w:r>
    </w:p>
    <w:p w14:paraId="5373886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优先级排序：根据项目的业务价值和紧急程度，对项目任务进行优先级排序，确保关键任务得到优先处理。</w:t>
      </w:r>
    </w:p>
    <w:p w14:paraId="75E89B1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风险管理：识别可能影响项目进度的风险，并制定相应的风险应对措施，以减少进度延误的可能性。</w:t>
      </w:r>
    </w:p>
    <w:p w14:paraId="2F16577D">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298" w:name="_Toc23910"/>
      <w:bookmarkStart w:id="299" w:name="_Toc16891"/>
      <w:bookmarkStart w:id="300" w:name="_Toc12956"/>
      <w:bookmarkStart w:id="301" w:name="_Toc7105"/>
      <w:bookmarkStart w:id="302" w:name="_Toc22975"/>
      <w:bookmarkStart w:id="303" w:name="_Toc12586"/>
      <w:bookmarkStart w:id="304" w:name="_Toc29848"/>
      <w:bookmarkStart w:id="305" w:name="_Toc19095"/>
      <w:bookmarkStart w:id="306" w:name="_Toc26699"/>
      <w:bookmarkStart w:id="307" w:name="_Toc31841"/>
      <w:bookmarkStart w:id="308" w:name="_Toc1969"/>
      <w:bookmarkStart w:id="309" w:name="_Toc16089"/>
      <w:r>
        <w:rPr>
          <w:rFonts w:hint="eastAsia" w:ascii="宋体" w:hAnsi="宋体" w:eastAsia="宋体" w:cs="宋体"/>
          <w:b/>
          <w:bCs/>
          <w:color w:val="auto"/>
          <w:sz w:val="24"/>
          <w:szCs w:val="24"/>
          <w:highlight w:val="none"/>
          <w:lang w:val="en-US" w:eastAsia="zh-CN"/>
        </w:rPr>
        <w:t>5、费用管理</w:t>
      </w:r>
      <w:bookmarkEnd w:id="298"/>
      <w:bookmarkEnd w:id="299"/>
      <w:bookmarkEnd w:id="300"/>
      <w:bookmarkEnd w:id="301"/>
      <w:bookmarkEnd w:id="302"/>
      <w:bookmarkEnd w:id="303"/>
      <w:bookmarkEnd w:id="304"/>
      <w:bookmarkEnd w:id="305"/>
      <w:bookmarkEnd w:id="306"/>
      <w:bookmarkEnd w:id="307"/>
      <w:bookmarkEnd w:id="308"/>
      <w:bookmarkEnd w:id="309"/>
    </w:p>
    <w:p w14:paraId="288355C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费用管理在项目中关注项目的成本控制和预算管理，包括预算制定、成本控制、资源优化等。</w:t>
      </w:r>
    </w:p>
    <w:p w14:paraId="4BE5A3A7">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预算制定：制定详细的项目预算，包括各项费用的分配和预期支出。</w:t>
      </w:r>
    </w:p>
    <w:p w14:paraId="32FECF1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成本控制：在项目执行过程中，监控实际成本与预算的差异，采取必要的成本控制措施，确保项目在预算范围内完成。</w:t>
      </w:r>
    </w:p>
    <w:p w14:paraId="7DCA9AB5">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资源优化：合理分配项目资源，包括人力、物力和财力，以提高资源利用效率，降低成本。</w:t>
      </w:r>
    </w:p>
    <w:p w14:paraId="41BE9B98">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310" w:name="_Toc32647"/>
      <w:bookmarkStart w:id="311" w:name="_Toc17256"/>
      <w:bookmarkStart w:id="312" w:name="_Toc20218"/>
      <w:bookmarkStart w:id="313" w:name="_Toc26339"/>
      <w:bookmarkStart w:id="314" w:name="_Toc4730"/>
      <w:bookmarkStart w:id="315" w:name="_Toc22694"/>
      <w:bookmarkStart w:id="316" w:name="_Toc24150"/>
      <w:bookmarkStart w:id="317" w:name="_Toc11788"/>
      <w:bookmarkStart w:id="318" w:name="_Toc14980"/>
      <w:bookmarkStart w:id="319" w:name="_Toc19721"/>
      <w:bookmarkStart w:id="320" w:name="_Toc16530"/>
      <w:bookmarkStart w:id="321" w:name="_Toc30489"/>
      <w:r>
        <w:rPr>
          <w:rFonts w:hint="eastAsia" w:ascii="宋体" w:hAnsi="宋体" w:eastAsia="宋体" w:cs="宋体"/>
          <w:b/>
          <w:bCs/>
          <w:color w:val="auto"/>
          <w:sz w:val="24"/>
          <w:szCs w:val="24"/>
          <w:highlight w:val="none"/>
          <w:lang w:val="en-US" w:eastAsia="zh-CN"/>
        </w:rPr>
        <w:t>6、质量管理</w:t>
      </w:r>
      <w:bookmarkEnd w:id="310"/>
      <w:bookmarkEnd w:id="311"/>
      <w:bookmarkEnd w:id="312"/>
      <w:bookmarkEnd w:id="313"/>
      <w:bookmarkEnd w:id="314"/>
      <w:bookmarkEnd w:id="315"/>
      <w:bookmarkEnd w:id="316"/>
      <w:bookmarkEnd w:id="317"/>
      <w:bookmarkEnd w:id="318"/>
      <w:bookmarkEnd w:id="319"/>
      <w:bookmarkEnd w:id="320"/>
      <w:bookmarkEnd w:id="321"/>
    </w:p>
    <w:p w14:paraId="3F91D42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质量管理在项目中确保项目成果满足既定的质量标准和客户需求，包括质量计划制定、质量控制、质量改进、持续集成和测试等，提供良好的项目质量保障措施，按照用户需求，高质量完成全部规定任务。</w:t>
      </w:r>
    </w:p>
    <w:p w14:paraId="4741E3B4">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质量计划制定：制定详细的质量计划，明确项目的质量目标、质量控制活动和质量保证措施。</w:t>
      </w:r>
    </w:p>
    <w:p w14:paraId="5FC66DDC">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质量控制：通过测试、审查和审计等手段，监控项目成果的质量，确保它们符合质量标准和客户需求。</w:t>
      </w:r>
    </w:p>
    <w:p w14:paraId="4EFEE5B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质量改进：定期评估项目质量，识别存在的问题和改进机会，并采取相应的改进措施，以提高项目质量。</w:t>
      </w:r>
    </w:p>
    <w:p w14:paraId="1C81A4C6">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持续集成和测试：采用持续集成和持续测试的方法，确保代码质量，及时发现并修复缺陷。</w:t>
      </w:r>
    </w:p>
    <w:p w14:paraId="68671AD2">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322" w:name="_Toc12949"/>
      <w:bookmarkStart w:id="323" w:name="_Toc9814"/>
      <w:bookmarkStart w:id="324" w:name="_Toc12395"/>
      <w:bookmarkStart w:id="325" w:name="_Toc16636"/>
      <w:bookmarkStart w:id="326" w:name="_Toc15730"/>
      <w:bookmarkStart w:id="327" w:name="_Toc18581"/>
      <w:bookmarkStart w:id="328" w:name="_Toc20204"/>
      <w:bookmarkStart w:id="329" w:name="_Toc27576"/>
      <w:bookmarkStart w:id="330" w:name="_Toc1586"/>
      <w:bookmarkStart w:id="331" w:name="_Toc28654"/>
      <w:bookmarkStart w:id="332" w:name="_Toc26924"/>
      <w:bookmarkStart w:id="333" w:name="_Toc30930"/>
      <w:bookmarkStart w:id="334" w:name="_Toc24000"/>
      <w:bookmarkStart w:id="335" w:name="_Toc1784"/>
      <w:bookmarkStart w:id="336" w:name="_Toc4132"/>
      <w:bookmarkStart w:id="337" w:name="_Toc1118"/>
      <w:bookmarkStart w:id="338" w:name="_Toc21241"/>
      <w:bookmarkStart w:id="339" w:name="_Toc8789"/>
      <w:bookmarkStart w:id="340" w:name="_Toc16056"/>
      <w:bookmarkStart w:id="341" w:name="_Toc23421"/>
      <w:bookmarkStart w:id="342" w:name="_Toc188612280"/>
      <w:r>
        <w:rPr>
          <w:rFonts w:hint="eastAsia" w:ascii="宋体" w:hAnsi="宋体" w:eastAsia="宋体" w:cs="宋体"/>
          <w:b/>
          <w:bCs/>
          <w:color w:val="auto"/>
          <w:sz w:val="24"/>
          <w:szCs w:val="24"/>
          <w:highlight w:val="none"/>
          <w:lang w:val="en-US" w:eastAsia="zh-CN"/>
        </w:rPr>
        <w:t>7、安全保密要求</w:t>
      </w:r>
      <w:bookmarkEnd w:id="322"/>
      <w:bookmarkEnd w:id="323"/>
      <w:bookmarkEnd w:id="324"/>
      <w:bookmarkEnd w:id="325"/>
      <w:bookmarkEnd w:id="326"/>
      <w:bookmarkEnd w:id="327"/>
      <w:bookmarkEnd w:id="328"/>
      <w:bookmarkEnd w:id="329"/>
    </w:p>
    <w:p w14:paraId="08C3D7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项目中涉及的所有源程序、软件文档、软件部署包、项目维护过程文档、业务数据等内容，未经书面同意，不允许向外界泄露，不得私自拷贝数据，该保密义务在合同终止后继续有效。</w:t>
      </w:r>
    </w:p>
    <w:p w14:paraId="448D57C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未经用户方书面同意，不得散播、转让本设计相关成果。涉及业务部分的相关内容必须得到用户方同意才可以使用。在设计过程中所涉及的双方业务和技术秘密要严格保密，不得泄露。</w:t>
      </w:r>
    </w:p>
    <w:p w14:paraId="352893CA">
      <w:pPr>
        <w:widowControl w:val="0"/>
        <w:wordWrap/>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bookmarkStart w:id="343" w:name="_Toc26073"/>
      <w:bookmarkStart w:id="344" w:name="_Toc25890"/>
      <w:bookmarkStart w:id="345" w:name="_Toc32375"/>
      <w:bookmarkStart w:id="346" w:name="_Toc5921"/>
      <w:bookmarkStart w:id="347" w:name="_Toc9224"/>
      <w:bookmarkStart w:id="348" w:name="_Toc27884"/>
      <w:bookmarkStart w:id="349" w:name="_Toc671"/>
      <w:bookmarkStart w:id="350" w:name="_Toc32668"/>
      <w:r>
        <w:rPr>
          <w:rFonts w:hint="eastAsia" w:ascii="宋体" w:hAnsi="宋体" w:eastAsia="宋体" w:cs="宋体"/>
          <w:b/>
          <w:bCs/>
          <w:color w:val="auto"/>
          <w:sz w:val="24"/>
          <w:szCs w:val="24"/>
          <w:highlight w:val="none"/>
          <w:lang w:val="en-US" w:eastAsia="zh-CN"/>
        </w:rPr>
        <w:t>8、项目变更管理</w:t>
      </w:r>
      <w:bookmarkEnd w:id="330"/>
      <w:bookmarkEnd w:id="331"/>
      <w:bookmarkEnd w:id="332"/>
      <w:bookmarkEnd w:id="333"/>
      <w:bookmarkEnd w:id="334"/>
      <w:bookmarkEnd w:id="335"/>
      <w:bookmarkEnd w:id="336"/>
      <w:bookmarkEnd w:id="337"/>
      <w:bookmarkEnd w:id="338"/>
      <w:bookmarkEnd w:id="339"/>
      <w:bookmarkEnd w:id="340"/>
      <w:bookmarkEnd w:id="341"/>
      <w:bookmarkEnd w:id="343"/>
      <w:bookmarkEnd w:id="344"/>
      <w:bookmarkEnd w:id="345"/>
      <w:bookmarkEnd w:id="346"/>
      <w:bookmarkEnd w:id="347"/>
      <w:bookmarkEnd w:id="348"/>
      <w:bookmarkEnd w:id="349"/>
      <w:bookmarkEnd w:id="350"/>
    </w:p>
    <w:p w14:paraId="4F26818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依据《中华人民共和国政府采购法》等法规对实施过程的变更进行管理，充分发挥项目监理机构变更审核的作用，当变更条件发生时，变更申请方提出的变更须经项目三方同意，且符合《中华人民共和国政府采购法》等法规的规定，并形成项目三方签署的变更文件，方可进行项目变更。</w:t>
      </w:r>
      <w:bookmarkEnd w:id="342"/>
    </w:p>
    <w:p w14:paraId="169C4186">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351" w:name="_Toc10836"/>
      <w:bookmarkStart w:id="352" w:name="_Toc4677"/>
      <w:bookmarkStart w:id="353" w:name="_Toc9092"/>
      <w:bookmarkStart w:id="354" w:name="_Toc22746"/>
      <w:bookmarkStart w:id="355" w:name="_Toc26220"/>
      <w:bookmarkStart w:id="356" w:name="_Toc29341"/>
      <w:bookmarkStart w:id="357" w:name="_Toc10670"/>
      <w:bookmarkStart w:id="358" w:name="_Toc19913"/>
      <w:bookmarkStart w:id="359" w:name="_Toc30394"/>
      <w:bookmarkStart w:id="360" w:name="_Toc9187"/>
      <w:bookmarkStart w:id="361" w:name="_Toc11325"/>
      <w:bookmarkStart w:id="362" w:name="_Toc440884400"/>
      <w:bookmarkStart w:id="363" w:name="_Toc6633"/>
      <w:bookmarkStart w:id="364" w:name="_Toc8848"/>
      <w:r>
        <w:rPr>
          <w:rFonts w:hint="eastAsia" w:ascii="宋体" w:hAnsi="宋体" w:eastAsia="宋体" w:cs="宋体"/>
          <w:b/>
          <w:bCs/>
          <w:color w:val="auto"/>
          <w:sz w:val="24"/>
          <w:szCs w:val="24"/>
          <w:highlight w:val="none"/>
          <w:lang w:val="en-US" w:eastAsia="zh-CN"/>
        </w:rPr>
        <w:t>八、知识产权要求</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0366497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需对所有成果、产品的知识产权负有瑕疵担保责任，因使用未被授权使用的技术、组件、系统软件、通用软件等知识产权问题引起的纠纷所产生的所有责任及费用由供应商自行承担；若中标方提供的系统及服务中某项技术不是中标方开发或能提供的，则必须得到技术拥有者针对用户方本次招标出具的使用该项技术的正式授权。该技术的最终用户必须是“湖北省人力资源和社会保障厅”。</w:t>
      </w:r>
    </w:p>
    <w:p w14:paraId="2EB35EB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研究成果及其技术文档等所有权由采购人享有，技术文档资料包括完备的系统设计文档、功能模块说明、程序源代码、执行代码、使用手册等，未经采购人许可，中标人不得将相关采购人资料提供给第三方；</w:t>
      </w:r>
    </w:p>
    <w:p w14:paraId="057A4B7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3、本项目研究成果的所有权、使用权、知识产权归采购人享有，未经采购人许可，中标人不得透露给任何第三方，不得自行使用或者许可任何第三方使用。</w:t>
      </w:r>
    </w:p>
    <w:p w14:paraId="5C9BE358">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365" w:name="_Toc6531"/>
      <w:bookmarkStart w:id="366" w:name="_Toc23898"/>
      <w:bookmarkStart w:id="367" w:name="_Toc12479"/>
      <w:bookmarkStart w:id="368" w:name="_Toc21567"/>
      <w:bookmarkStart w:id="369" w:name="_Toc6910"/>
      <w:bookmarkStart w:id="370" w:name="_Toc9384"/>
      <w:bookmarkStart w:id="371" w:name="_Toc23137"/>
      <w:bookmarkStart w:id="372" w:name="_Toc6925"/>
      <w:bookmarkStart w:id="373" w:name="_Toc23976"/>
      <w:bookmarkStart w:id="374" w:name="_Toc22236"/>
      <w:bookmarkStart w:id="375" w:name="_Toc10782"/>
      <w:bookmarkStart w:id="376" w:name="_Toc20878"/>
      <w:bookmarkStart w:id="377" w:name="_Toc440884401"/>
      <w:bookmarkStart w:id="378" w:name="_Toc3112"/>
      <w:r>
        <w:rPr>
          <w:rFonts w:hint="eastAsia" w:ascii="宋体" w:hAnsi="宋体" w:eastAsia="宋体" w:cs="宋体"/>
          <w:b/>
          <w:bCs/>
          <w:color w:val="auto"/>
          <w:sz w:val="24"/>
          <w:szCs w:val="24"/>
          <w:highlight w:val="none"/>
          <w:lang w:val="en-US" w:eastAsia="zh-CN"/>
        </w:rPr>
        <w:t>九、系统测试要求</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14:paraId="2A859F9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中标人要对系统实际运行情况进行下列测试，其中系统测试、验收测试由采购人、监理公司和中标人三方共同成立项目测试组，测试过程中使用的测试用例需要经过多方评审后引入。</w:t>
      </w:r>
    </w:p>
    <w:p w14:paraId="35FB9C1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（1）单元测试；</w:t>
      </w:r>
    </w:p>
    <w:p w14:paraId="076A220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（2）集成测试；</w:t>
      </w:r>
    </w:p>
    <w:p w14:paraId="77F5746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（3）配置项测试；</w:t>
      </w:r>
    </w:p>
    <w:p w14:paraId="0F9DFA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（4）系统测试；</w:t>
      </w:r>
    </w:p>
    <w:p w14:paraId="59C0F7F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（5）验收测试；</w:t>
      </w:r>
    </w:p>
    <w:p w14:paraId="446542F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（6）回归测试。</w:t>
      </w:r>
    </w:p>
    <w:p w14:paraId="7EFC66B0">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379" w:name="_Toc1304"/>
      <w:bookmarkStart w:id="380" w:name="_Toc440884402"/>
      <w:bookmarkStart w:id="381" w:name="_Toc6863"/>
      <w:bookmarkStart w:id="382" w:name="_Toc219"/>
      <w:bookmarkStart w:id="383" w:name="_Toc24457"/>
      <w:bookmarkStart w:id="384" w:name="_Toc13592"/>
      <w:bookmarkStart w:id="385" w:name="_Toc13578"/>
      <w:bookmarkStart w:id="386" w:name="_Toc27810"/>
      <w:bookmarkStart w:id="387" w:name="_Toc30673"/>
      <w:bookmarkStart w:id="388" w:name="_Toc14390"/>
      <w:bookmarkStart w:id="389" w:name="_Toc30791"/>
      <w:bookmarkStart w:id="390" w:name="_Toc14713"/>
      <w:bookmarkStart w:id="391" w:name="_Toc15634"/>
      <w:bookmarkStart w:id="392" w:name="_Toc12423"/>
      <w:r>
        <w:rPr>
          <w:rFonts w:hint="eastAsia" w:ascii="宋体" w:hAnsi="宋体" w:eastAsia="宋体" w:cs="宋体"/>
          <w:b/>
          <w:bCs/>
          <w:color w:val="auto"/>
          <w:sz w:val="24"/>
          <w:szCs w:val="24"/>
          <w:highlight w:val="none"/>
          <w:lang w:val="en-US" w:eastAsia="zh-CN"/>
        </w:rPr>
        <w:t>十、交付使用要求</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60F5183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393" w:name="_Toc32107"/>
      <w:bookmarkStart w:id="394" w:name="_Toc24352"/>
      <w:bookmarkStart w:id="395" w:name="_Toc27218"/>
      <w:bookmarkStart w:id="396" w:name="_Toc440884403"/>
      <w:bookmarkStart w:id="397" w:name="_Toc1346"/>
      <w:r>
        <w:rPr>
          <w:rFonts w:hint="eastAsia" w:ascii="宋体" w:hAnsi="宋体" w:eastAsia="宋体" w:cs="宋体"/>
          <w:color w:val="auto"/>
          <w:sz w:val="24"/>
          <w:szCs w:val="24"/>
          <w:highlight w:val="none"/>
          <w:lang w:val="en-US" w:eastAsia="zh-CN"/>
        </w:rPr>
        <w:t>（一）交付使用期：2026年12月底前完成社会保险全险种一体化系统的需求调研、设计、开发、历史数据迁移、测试及试运行，具备上线试运行条件；项目启动12个月内通过系统运行验收。其中试运行时间不少于3个月。软件维保期自项目验收合格之日起计算，期限为 3 年。</w:t>
      </w:r>
    </w:p>
    <w:p w14:paraId="6F38FA5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（二）交货地点：采购人根据实际情况进行补充。</w:t>
      </w:r>
    </w:p>
    <w:p w14:paraId="191D587E">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398" w:name="_Toc2306"/>
      <w:bookmarkStart w:id="399" w:name="_Toc30887"/>
      <w:bookmarkStart w:id="400" w:name="_Toc10048"/>
      <w:bookmarkStart w:id="401" w:name="_Toc21594"/>
      <w:bookmarkStart w:id="402" w:name="_Toc1125"/>
      <w:bookmarkStart w:id="403" w:name="_Toc7058"/>
      <w:bookmarkStart w:id="404" w:name="_Toc23858"/>
      <w:bookmarkStart w:id="405" w:name="_Toc1328"/>
      <w:bookmarkStart w:id="406" w:name="_Toc11344"/>
      <w:r>
        <w:rPr>
          <w:rFonts w:hint="eastAsia" w:ascii="宋体" w:hAnsi="宋体" w:eastAsia="宋体" w:cs="宋体"/>
          <w:b/>
          <w:bCs/>
          <w:color w:val="auto"/>
          <w:sz w:val="24"/>
          <w:szCs w:val="24"/>
          <w:highlight w:val="none"/>
          <w:lang w:val="en-US" w:eastAsia="zh-CN"/>
        </w:rPr>
        <w:t>十一、验收要求</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3E33FFC1">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软件系统的验收属于项目的合同验收，需符合湖北省信息化项目相关验收管理办法的要求，同时需符合下列要求： </w:t>
      </w:r>
    </w:p>
    <w:p w14:paraId="1BA717E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1、满足合同和招标文件中列举的全部要求；</w:t>
      </w:r>
    </w:p>
    <w:p w14:paraId="4487EBF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2、实现合同和招标文件中列举的全部功能和非功能要求；</w:t>
      </w:r>
    </w:p>
    <w:p w14:paraId="56BF31D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3、达到合同和招标文件中列举的全部指标；</w:t>
      </w:r>
    </w:p>
    <w:p w14:paraId="6DF9FA4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文档齐全，符合合同和招标文件及相关标准要求，包括但不限于下列文档：需求调研方案及计划、需求总结报告、用户需求说明书、概要设计说明书、详细设计说明书、数据库设计说明书、接口规范说明书、部署方案、内部测试报告、系统测试、用户手册、运维手册、成品软件实施资料、培训方案、培训手册、培训记录、试运行资料、初验报告、第三方测试、验收报告等。</w:t>
      </w:r>
    </w:p>
    <w:p w14:paraId="74A0040B">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5、验收内容包括按照合同和招标文件中所标明的软件系统，及相关的技术维护文档、培训教材、使用说明书等。</w:t>
      </w:r>
    </w:p>
    <w:p w14:paraId="4FDE03E0">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6、本工程提交的所有文档均应符合GB8567《计算机软件产品开发文件编制指南》和GB/TI1457-89《软件工程术语》。</w:t>
      </w:r>
    </w:p>
    <w:p w14:paraId="6268ED7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要求：在软件开发过程中，供应商应按照软件开发要求形成全面详尽的技术资料，包括可运行的程序及技术文档等（包含软件验收后调整和补充的项目成果和资料），确保技术资料的一致性和完整性，并向采购人分阶段按时提交。在本项目软件开发过程中所产生的技术成果（包括计算机软件、技术诀窍、源代码、技术资料和文件等）的知识产权属于采购人。在项目结束时，供应商应向采购人提交软件开发的所有文档（包括文字资料和电子文件）和运行程序。</w:t>
      </w:r>
    </w:p>
    <w:p w14:paraId="13EE4552">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407" w:name="_Toc5184"/>
      <w:bookmarkStart w:id="408" w:name="_Toc29268"/>
      <w:bookmarkStart w:id="409" w:name="_Toc440884404"/>
      <w:bookmarkStart w:id="410" w:name="_Toc454"/>
      <w:bookmarkStart w:id="411" w:name="_Toc20765"/>
      <w:bookmarkStart w:id="412" w:name="_Toc18285"/>
      <w:bookmarkStart w:id="413" w:name="_Toc18152"/>
      <w:bookmarkStart w:id="414" w:name="_Toc16307"/>
      <w:bookmarkStart w:id="415" w:name="_Toc3032"/>
      <w:bookmarkStart w:id="416" w:name="_Toc13688"/>
      <w:bookmarkStart w:id="417" w:name="_Toc13820"/>
      <w:bookmarkStart w:id="418" w:name="_Toc19076"/>
      <w:bookmarkStart w:id="419" w:name="_Toc13732"/>
      <w:bookmarkStart w:id="420" w:name="_Toc1591"/>
      <w:r>
        <w:rPr>
          <w:rFonts w:hint="eastAsia" w:ascii="宋体" w:hAnsi="宋体" w:eastAsia="宋体" w:cs="宋体"/>
          <w:b/>
          <w:bCs/>
          <w:color w:val="auto"/>
          <w:sz w:val="24"/>
          <w:szCs w:val="24"/>
          <w:highlight w:val="none"/>
          <w:lang w:val="en-US" w:eastAsia="zh-CN"/>
        </w:rPr>
        <w:t>十二、培训</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5F90EB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421" w:name="_Toc32654"/>
      <w:bookmarkStart w:id="422" w:name="_Toc31737"/>
      <w:bookmarkStart w:id="423" w:name="_Toc6775"/>
      <w:bookmarkStart w:id="424" w:name="_Toc8410"/>
      <w:r>
        <w:rPr>
          <w:rFonts w:hint="eastAsia" w:ascii="宋体" w:hAnsi="宋体" w:eastAsia="宋体" w:cs="宋体"/>
          <w:color w:val="auto"/>
          <w:sz w:val="24"/>
          <w:szCs w:val="24"/>
          <w:highlight w:val="none"/>
          <w:lang w:val="en-US" w:eastAsia="zh-CN"/>
        </w:rPr>
        <w:t>在项目建设过程中，结合实施进度安排，合理分期、分批对相关单位及人员进行培训，要求中标人负责派出专业技术工程师在系统实施现场对用户进行不少于2次现场培训和1次线上培训（本项服务已包含在项目总价中），培训需有相对标准的培训材料，包括但不限于用户手册、操作指南、实施流程、操作视频等，培训内容包括：</w:t>
      </w:r>
    </w:p>
    <w:p w14:paraId="205C776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1、对承建系统的应用推广，范围包括省本级与下辖市县区及使用系统的所有业务人员，使他们熟练操作软件的各项功能，掌握软件业务的操作技能；</w:t>
      </w:r>
    </w:p>
    <w:p w14:paraId="042D077F">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2、培训技术人员，为用户培训相应的维护人员，便于维护日常系统，包括系统网络、系统软件、系统维护及相关技术。</w:t>
      </w:r>
    </w:p>
    <w:p w14:paraId="3AD21C62">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3、中标人应针对培训对象组织相应规模的培训，并承担培训场地、培训材料、培训食宿等相关费用。</w:t>
      </w:r>
    </w:p>
    <w:p w14:paraId="6624879D">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应根据实际情况对本标包相关系统的业务用户，以及运维人员进行相应的咨询和培训，制定相关的培训课程，确保系统和分析成果使用人员和运维人员可以充分理解系统的操作使用、维护、分析模型的思路结构。</w:t>
      </w:r>
    </w:p>
    <w:p w14:paraId="1D0322B6">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425" w:name="_Toc16478"/>
      <w:bookmarkStart w:id="426" w:name="_Toc13872"/>
      <w:bookmarkStart w:id="427" w:name="_Toc32130"/>
      <w:bookmarkStart w:id="428" w:name="_Toc13382"/>
      <w:bookmarkStart w:id="429" w:name="_Toc1908"/>
      <w:bookmarkStart w:id="430" w:name="_Toc29401"/>
      <w:bookmarkStart w:id="431" w:name="_Toc32356"/>
      <w:bookmarkStart w:id="432" w:name="_Toc23715"/>
      <w:bookmarkStart w:id="433" w:name="_Toc30691"/>
      <w:r>
        <w:rPr>
          <w:rFonts w:hint="eastAsia" w:ascii="宋体" w:hAnsi="宋体" w:eastAsia="宋体" w:cs="宋体"/>
          <w:b/>
          <w:bCs/>
          <w:color w:val="auto"/>
          <w:sz w:val="24"/>
          <w:szCs w:val="24"/>
          <w:highlight w:val="none"/>
          <w:lang w:val="en-US" w:eastAsia="zh-CN"/>
        </w:rPr>
        <w:t>十三、售后服务要求</w:t>
      </w:r>
      <w:bookmarkEnd w:id="421"/>
      <w:bookmarkEnd w:id="422"/>
      <w:bookmarkEnd w:id="423"/>
      <w:bookmarkEnd w:id="424"/>
      <w:bookmarkEnd w:id="425"/>
      <w:bookmarkEnd w:id="426"/>
      <w:bookmarkEnd w:id="427"/>
      <w:bookmarkEnd w:id="428"/>
      <w:bookmarkEnd w:id="429"/>
      <w:bookmarkEnd w:id="430"/>
      <w:bookmarkEnd w:id="431"/>
      <w:bookmarkEnd w:id="432"/>
      <w:bookmarkEnd w:id="433"/>
    </w:p>
    <w:p w14:paraId="1891D0D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434" w:name="_Toc440884405"/>
      <w:r>
        <w:rPr>
          <w:rFonts w:hint="eastAsia" w:ascii="宋体" w:hAnsi="宋体" w:eastAsia="宋体" w:cs="宋体"/>
          <w:color w:val="auto"/>
          <w:sz w:val="24"/>
          <w:szCs w:val="24"/>
          <w:highlight w:val="none"/>
          <w:lang w:val="en-US" w:eastAsia="zh-CN"/>
        </w:rPr>
        <w:t>1、中标人开发的应用软件在安装运行验收后，提供3年维保期（本项服务已包含在项目总价中），首年需提供不少于30人驻场运维人员，后续不少于20人的驻场运维人员。其中至少10人须为原项目组开发人员或者实施人员，人员由客户指定，中标人不得随意变更，如需变更需客户同意。</w:t>
      </w:r>
    </w:p>
    <w:p w14:paraId="525533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2、在维保期内，若系统出现故障，中标人应在0.5小时内做出明确响应和安排，并安排专业人员在2小时内到达现场，8小时内解决问题；如果故障在检修8小时后仍无法排除，中标人应在 24 小时内提供采用备份系统进行修复供采购人使用。中标人同时提供7×24小时服务保障，保证采购人顺利运行系统。</w:t>
      </w:r>
    </w:p>
    <w:p w14:paraId="7FE7CCB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3、对于在短时间内不能解决的问题，中标人需要立即提供应急措施和应急方案。此项工作属于免费维护范围，不得另行收费。</w:t>
      </w:r>
    </w:p>
    <w:p w14:paraId="65F45B03">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4、免费维保期内，所有调试维修服务均为上门服务，由此产生的费用均不再收取。</w:t>
      </w:r>
    </w:p>
    <w:p w14:paraId="6AE19FE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5、需提供系统扩充、升级方面的技术支持服务。支持并提供系统和未来一体化平台迁移改造对接服务，实现与一体化平台数据互通、系统集成。</w:t>
      </w:r>
    </w:p>
    <w:p w14:paraId="25E15719">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6、系统发生故障时，需确保半小时内远程支持、7×24 小时全程响应，且两小时内抵达客户现场处置（战争、地震等不可抗力因素除外）；维保期间软件版本免费升级，客户现场服务不限次数，遇重大活动及重要节假日，额外提供 7×24 小时专项监测与运维保障支持。</w:t>
      </w:r>
    </w:p>
    <w:p w14:paraId="7EF09E3A">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435" w:name="_Toc5630"/>
      <w:bookmarkStart w:id="436" w:name="_Toc32484"/>
      <w:bookmarkStart w:id="437" w:name="_Toc15524"/>
      <w:bookmarkStart w:id="438" w:name="_Toc10289"/>
      <w:bookmarkStart w:id="439" w:name="_Toc270"/>
      <w:bookmarkStart w:id="440" w:name="_Toc23004"/>
      <w:bookmarkStart w:id="441" w:name="_Toc18773"/>
      <w:bookmarkStart w:id="442" w:name="_Toc23356"/>
      <w:bookmarkStart w:id="443" w:name="_Toc19310"/>
      <w:bookmarkStart w:id="444" w:name="_Toc10394"/>
      <w:bookmarkStart w:id="445" w:name="_Toc10423"/>
      <w:bookmarkStart w:id="446" w:name="_Toc3456"/>
      <w:r>
        <w:rPr>
          <w:rFonts w:hint="eastAsia" w:ascii="宋体" w:hAnsi="宋体" w:eastAsia="宋体" w:cs="宋体"/>
          <w:b/>
          <w:bCs/>
          <w:color w:val="auto"/>
          <w:sz w:val="24"/>
          <w:szCs w:val="24"/>
          <w:highlight w:val="none"/>
          <w:lang w:val="en-US" w:eastAsia="zh-CN"/>
        </w:rPr>
        <w:t>十四、信息安全及保密要求</w:t>
      </w:r>
      <w:bookmarkEnd w:id="435"/>
      <w:bookmarkEnd w:id="436"/>
      <w:bookmarkEnd w:id="437"/>
      <w:bookmarkEnd w:id="438"/>
      <w:bookmarkEnd w:id="439"/>
      <w:bookmarkEnd w:id="440"/>
      <w:bookmarkEnd w:id="441"/>
      <w:bookmarkEnd w:id="442"/>
      <w:bookmarkEnd w:id="443"/>
      <w:bookmarkEnd w:id="444"/>
      <w:bookmarkEnd w:id="445"/>
      <w:bookmarkEnd w:id="446"/>
    </w:p>
    <w:p w14:paraId="64D5317A">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应严格遵守信息安全方面的规定，自觉保守信息资源秘密。项目成果以及采购人为方便项目实施所提供给中标人的相关资料文档，实施过程中所产生的资料、文档、数据、相关附属品均属于信息资源，中标人应保证这些信息在项目期间及项目完成后规定时间内的安全。中标人应建立并实际运行项目进展期间的信息安全管理规范，以确保项目启动、实施及完成后的信息安全。</w:t>
      </w:r>
    </w:p>
    <w:p w14:paraId="6303794E">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2、非经采购人书面许可，中标人不得以任何形式泄漏以上材料。因中标人原因导致上述资料、文档、数据安全受到威胁的，采购人有权要求中标人采取措施消除影响，并赔偿全部损失。</w:t>
      </w:r>
    </w:p>
    <w:p w14:paraId="770BD848">
      <w:pPr>
        <w:widowControl w:val="0"/>
        <w:wordWrap/>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要承担合同履行时所要尽的一切保密义务，与湖北省人力资源和社会保障厅签订保密协议。供应商对项目实施过程中的资料、数据进行保密，未经湖北省人力资源和社会保障厅书面同意不得泄露，且保密责任不因合同的终止或解除而失效。</w:t>
      </w:r>
      <w:bookmarkEnd w:id="434"/>
    </w:p>
    <w:p w14:paraId="7F2FD411">
      <w:pPr>
        <w:keepNext/>
        <w:keepLines/>
        <w:pageBreakBefore w:val="0"/>
        <w:widowControl w:val="0"/>
        <w:kinsoku/>
        <w:wordWrap w:val="0"/>
        <w:overflowPunct/>
        <w:topLinePunct w:val="0"/>
        <w:autoSpaceDE/>
        <w:autoSpaceDN/>
        <w:bidi w:val="0"/>
        <w:adjustRightInd/>
        <w:snapToGrid/>
        <w:spacing w:line="360" w:lineRule="auto"/>
        <w:jc w:val="left"/>
        <w:textAlignment w:val="auto"/>
        <w:outlineLvl w:val="1"/>
        <w:rPr>
          <w:rFonts w:hint="eastAsia" w:ascii="宋体" w:hAnsi="宋体" w:eastAsia="宋体" w:cs="宋体"/>
          <w:b/>
          <w:bCs/>
          <w:color w:val="auto"/>
          <w:sz w:val="24"/>
          <w:szCs w:val="24"/>
          <w:highlight w:val="none"/>
          <w:lang w:val="en-US" w:eastAsia="zh-CN"/>
        </w:rPr>
      </w:pPr>
      <w:bookmarkStart w:id="447" w:name="_Toc959"/>
      <w:r>
        <w:rPr>
          <w:rFonts w:hint="eastAsia" w:ascii="宋体" w:hAnsi="宋体" w:eastAsia="宋体" w:cs="宋体"/>
          <w:b/>
          <w:bCs/>
          <w:color w:val="auto"/>
          <w:sz w:val="24"/>
          <w:szCs w:val="24"/>
          <w:highlight w:val="none"/>
          <w:lang w:val="en-US" w:eastAsia="zh-CN"/>
        </w:rPr>
        <w:t>十五、其他要求</w:t>
      </w:r>
      <w:bookmarkEnd w:id="242"/>
      <w:bookmarkEnd w:id="243"/>
      <w:bookmarkEnd w:id="244"/>
      <w:bookmarkEnd w:id="447"/>
    </w:p>
    <w:p w14:paraId="1C99C1CA">
      <w:pPr>
        <w:widowControl w:val="0"/>
        <w:wordWrap/>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1、投标人须提供</w:t>
      </w:r>
      <w:r>
        <w:rPr>
          <w:rFonts w:hint="eastAsia" w:ascii="宋体" w:hAnsi="宋体" w:eastAsia="宋体" w:cs="宋体"/>
          <w:b/>
          <w:bCs/>
          <w:color w:val="auto"/>
          <w:sz w:val="24"/>
          <w:szCs w:val="24"/>
          <w:highlight w:val="none"/>
          <w:lang w:val="en-US" w:eastAsia="zh-CN"/>
        </w:rPr>
        <w:t>《廉洁承诺书》</w:t>
      </w:r>
    </w:p>
    <w:p w14:paraId="6BFAE641">
      <w:pPr>
        <w:widowControl w:val="0"/>
        <w:wordWrap/>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2、投标人须承诺如投标人服务人员存在泄密行为给招标人及本项目使用方造成相应损失的，需按照签订的合同要求进行赔偿。</w:t>
      </w:r>
      <w:r>
        <w:rPr>
          <w:rFonts w:hint="eastAsia" w:ascii="宋体" w:hAnsi="宋体" w:eastAsia="宋体" w:cs="宋体"/>
          <w:b/>
          <w:bCs/>
          <w:color w:val="auto"/>
          <w:sz w:val="24"/>
          <w:szCs w:val="24"/>
          <w:highlight w:val="none"/>
          <w:lang w:val="en-US" w:eastAsia="zh-CN"/>
        </w:rPr>
        <w:t>（需提供承诺书）</w:t>
      </w:r>
    </w:p>
    <w:p w14:paraId="35DDDAE5">
      <w:pPr>
        <w:numPr>
          <w:ilvl w:val="0"/>
          <w:numId w:val="0"/>
        </w:numPr>
        <w:spacing w:line="360" w:lineRule="auto"/>
        <w:ind w:firstLine="480" w:firstLineChars="200"/>
        <w:rPr>
          <w:rFonts w:hint="eastAsia" w:ascii="宋体" w:hAnsi="宋体" w:eastAsia="宋体" w:cs="宋体"/>
          <w:b w:val="0"/>
          <w:bCs/>
          <w:snapToGrid w:val="0"/>
          <w:color w:val="auto"/>
          <w:kern w:val="0"/>
          <w:sz w:val="24"/>
          <w:szCs w:val="24"/>
          <w:highlight w:val="none"/>
          <w:lang w:val="zh-CN"/>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lang w:val="en-US" w:eastAsia="zh-CN"/>
        </w:rPr>
        <w:t>本项目标的交付运行后招标人及本项目使用方对项目进行验收。验收不合格应在7日内完成整改，合同履行期限不顺延；未在规定期限内进行整改的，招标人有权终止合同。</w:t>
      </w:r>
      <w:r>
        <w:rPr>
          <w:rFonts w:hint="eastAsia" w:ascii="宋体" w:hAnsi="宋体" w:eastAsia="宋体" w:cs="宋体"/>
          <w:b w:val="0"/>
          <w:bCs/>
          <w:snapToGrid w:val="0"/>
          <w:color w:val="auto"/>
          <w:kern w:val="0"/>
          <w:sz w:val="24"/>
          <w:szCs w:val="24"/>
          <w:highlight w:val="none"/>
          <w:lang w:val="zh-CN"/>
        </w:rPr>
        <w:br w:type="page"/>
      </w:r>
    </w:p>
    <w:p w14:paraId="0358133F">
      <w:pPr>
        <w:jc w:val="center"/>
        <w:outlineLvl w:val="0"/>
        <w:rPr>
          <w:rFonts w:hint="eastAsia" w:ascii="宋体" w:hAnsi="宋体" w:eastAsia="宋体" w:cs="宋体"/>
          <w:b/>
          <w:bCs/>
          <w:color w:val="auto"/>
          <w:sz w:val="32"/>
          <w:szCs w:val="20"/>
          <w:highlight w:val="none"/>
          <w:lang w:val="zh-CN" w:eastAsia="zh-CN"/>
        </w:rPr>
      </w:pPr>
      <w:bookmarkStart w:id="448" w:name="_Toc30505"/>
      <w:r>
        <w:rPr>
          <w:rFonts w:hint="eastAsia" w:ascii="宋体" w:hAnsi="宋体" w:eastAsia="宋体" w:cs="宋体"/>
          <w:b/>
          <w:bCs/>
          <w:color w:val="auto"/>
          <w:sz w:val="32"/>
          <w:szCs w:val="20"/>
          <w:highlight w:val="none"/>
          <w:lang w:val="en-US" w:eastAsia="zh-CN"/>
        </w:rPr>
        <w:t xml:space="preserve">第四章  </w:t>
      </w:r>
      <w:r>
        <w:rPr>
          <w:rFonts w:hint="eastAsia" w:ascii="宋体" w:hAnsi="宋体" w:eastAsia="宋体" w:cs="宋体"/>
          <w:b/>
          <w:bCs/>
          <w:color w:val="auto"/>
          <w:sz w:val="32"/>
          <w:szCs w:val="20"/>
          <w:highlight w:val="none"/>
          <w:lang w:val="zh-CN" w:eastAsia="zh-CN"/>
        </w:rPr>
        <w:t>评标办法（综合评估法）</w:t>
      </w:r>
      <w:bookmarkEnd w:id="448"/>
    </w:p>
    <w:p w14:paraId="2528B897">
      <w:pPr>
        <w:spacing w:line="600" w:lineRule="exact"/>
        <w:ind w:firstLine="643"/>
        <w:contextualSpacing/>
        <w:jc w:val="center"/>
        <w:outlineLvl w:val="1"/>
        <w:rPr>
          <w:rFonts w:hint="eastAsia" w:ascii="宋体" w:hAnsi="宋体" w:eastAsia="宋体" w:cs="宋体"/>
          <w:b/>
          <w:bCs/>
          <w:color w:val="auto"/>
          <w:sz w:val="28"/>
          <w:szCs w:val="28"/>
          <w:highlight w:val="none"/>
          <w:lang w:val="zh-CN" w:eastAsia="zh-CN"/>
        </w:rPr>
      </w:pPr>
      <w:bookmarkStart w:id="449" w:name="_Toc495388704"/>
      <w:bookmarkStart w:id="450" w:name="_Toc2192"/>
      <w:bookmarkStart w:id="451" w:name="_Toc491075847"/>
      <w:r>
        <w:rPr>
          <w:rFonts w:hint="eastAsia" w:ascii="宋体" w:hAnsi="宋体" w:eastAsia="宋体" w:cs="宋体"/>
          <w:b/>
          <w:bCs/>
          <w:color w:val="auto"/>
          <w:sz w:val="28"/>
          <w:szCs w:val="28"/>
          <w:highlight w:val="none"/>
          <w:lang w:val="zh-CN" w:eastAsia="zh-CN"/>
        </w:rPr>
        <w:t>评标办法前附表</w:t>
      </w:r>
      <w:bookmarkEnd w:id="449"/>
      <w:bookmarkEnd w:id="450"/>
      <w:bookmarkEnd w:id="451"/>
    </w:p>
    <w:tbl>
      <w:tblPr>
        <w:tblStyle w:val="14"/>
        <w:tblW w:w="51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4"/>
        <w:gridCol w:w="661"/>
        <w:gridCol w:w="1814"/>
        <w:gridCol w:w="879"/>
        <w:gridCol w:w="5294"/>
      </w:tblGrid>
      <w:tr w14:paraId="3987A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6" w:hRule="atLeast"/>
        </w:trPr>
        <w:tc>
          <w:tcPr>
            <w:tcW w:w="674" w:type="pct"/>
            <w:gridSpan w:val="2"/>
            <w:vAlign w:val="center"/>
          </w:tcPr>
          <w:p w14:paraId="5060C9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458" w:type="pct"/>
            <w:gridSpan w:val="2"/>
            <w:vAlign w:val="center"/>
          </w:tcPr>
          <w:p w14:paraId="7E5F304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2866" w:type="pct"/>
            <w:vAlign w:val="center"/>
          </w:tcPr>
          <w:p w14:paraId="1DFF791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3404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0" w:hRule="atLeast"/>
        </w:trPr>
        <w:tc>
          <w:tcPr>
            <w:tcW w:w="316" w:type="pct"/>
            <w:vAlign w:val="center"/>
          </w:tcPr>
          <w:p w14:paraId="38B889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8" w:type="pct"/>
            <w:vAlign w:val="center"/>
          </w:tcPr>
          <w:p w14:paraId="324002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1458" w:type="pct"/>
            <w:gridSpan w:val="2"/>
            <w:vAlign w:val="center"/>
          </w:tcPr>
          <w:p w14:paraId="2137099D">
            <w:pPr>
              <w:pStyle w:val="22"/>
              <w:spacing w:before="69" w:line="388" w:lineRule="auto"/>
              <w:ind w:left="920" w:leftChars="0" w:right="164" w:rightChars="0" w:hanging="716"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中标候选人排序方</w:t>
            </w:r>
            <w:r>
              <w:rPr>
                <w:rFonts w:hint="eastAsia" w:ascii="宋体" w:hAnsi="宋体" w:eastAsia="宋体" w:cs="宋体"/>
                <w:color w:val="auto"/>
                <w:sz w:val="21"/>
                <w:szCs w:val="21"/>
                <w:highlight w:val="none"/>
              </w:rPr>
              <w:t>法</w:t>
            </w:r>
          </w:p>
        </w:tc>
        <w:tc>
          <w:tcPr>
            <w:tcW w:w="2866" w:type="pct"/>
            <w:vAlign w:val="center"/>
          </w:tcPr>
          <w:p w14:paraId="3D4BA9E8">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按得分由高到低顺序推荐中标候选人。如投标人最后得分相同时，以报价得分较高的排名优先</w:t>
            </w:r>
          </w:p>
        </w:tc>
      </w:tr>
      <w:tr w14:paraId="1325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restart"/>
            <w:vAlign w:val="center"/>
          </w:tcPr>
          <w:p w14:paraId="40CE75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358" w:type="pct"/>
            <w:vMerge w:val="restart"/>
            <w:vAlign w:val="center"/>
          </w:tcPr>
          <w:p w14:paraId="06C7034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形式评审标准</w:t>
            </w:r>
          </w:p>
        </w:tc>
        <w:tc>
          <w:tcPr>
            <w:tcW w:w="1458" w:type="pct"/>
            <w:gridSpan w:val="2"/>
            <w:vAlign w:val="center"/>
          </w:tcPr>
          <w:p w14:paraId="25FD1DE4">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投标文件</w:t>
            </w:r>
          </w:p>
        </w:tc>
        <w:tc>
          <w:tcPr>
            <w:tcW w:w="2866" w:type="pct"/>
            <w:vAlign w:val="center"/>
          </w:tcPr>
          <w:p w14:paraId="5E4CFA5D">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投标文件能正常打开</w:t>
            </w:r>
          </w:p>
        </w:tc>
      </w:tr>
      <w:tr w14:paraId="0B91B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48E5B86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0637258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6BFF1FAE">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投标人名称</w:t>
            </w:r>
          </w:p>
        </w:tc>
        <w:tc>
          <w:tcPr>
            <w:tcW w:w="2866" w:type="pct"/>
            <w:vAlign w:val="center"/>
          </w:tcPr>
          <w:p w14:paraId="1AC90DD1">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17"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rPr>
              <w:t>与营业执照（事业单位法人证书）、</w:t>
            </w:r>
            <w:r>
              <w:rPr>
                <w:rFonts w:hint="eastAsia" w:ascii="宋体" w:hAnsi="宋体" w:eastAsia="宋体" w:cs="宋体"/>
                <w:color w:val="auto"/>
                <w:spacing w:val="-2"/>
                <w:sz w:val="21"/>
                <w:szCs w:val="21"/>
                <w:highlight w:val="none"/>
              </w:rPr>
              <w:t>资质证书（如有）一致</w:t>
            </w:r>
          </w:p>
        </w:tc>
      </w:tr>
      <w:tr w14:paraId="6FE5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3F41C0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BDC2C6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1C57932B">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31"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投标文件的签署</w:t>
            </w:r>
          </w:p>
        </w:tc>
        <w:tc>
          <w:tcPr>
            <w:tcW w:w="2866" w:type="pct"/>
            <w:vAlign w:val="center"/>
          </w:tcPr>
          <w:p w14:paraId="2BF217AE">
            <w:pPr>
              <w:pStyle w:val="22"/>
              <w:keepNext w:val="0"/>
              <w:keepLines w:val="0"/>
              <w:pageBreakBefore w:val="0"/>
              <w:widowControl w:val="0"/>
              <w:kinsoku/>
              <w:wordWrap/>
              <w:overflowPunct/>
              <w:topLinePunct w:val="0"/>
              <w:autoSpaceDE/>
              <w:autoSpaceDN/>
              <w:bidi w:val="0"/>
              <w:adjustRightInd/>
              <w:snapToGrid/>
              <w:spacing w:line="240" w:lineRule="auto"/>
              <w:ind w:left="0" w:leftChars="0" w:right="54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符合第二章“投标人须知”第</w:t>
            </w:r>
            <w:r>
              <w:rPr>
                <w:rFonts w:hint="eastAsia" w:ascii="宋体" w:hAnsi="宋体" w:eastAsia="宋体" w:cs="宋体"/>
                <w:color w:val="auto"/>
                <w:spacing w:val="-3"/>
                <w:sz w:val="21"/>
                <w:szCs w:val="21"/>
                <w:highlight w:val="none"/>
                <w:lang w:val="en-US" w:eastAsia="zh-CN"/>
              </w:rPr>
              <w:t>10</w:t>
            </w:r>
            <w:r>
              <w:rPr>
                <w:rFonts w:hint="eastAsia" w:ascii="宋体" w:hAnsi="宋体" w:eastAsia="宋体" w:cs="宋体"/>
                <w:color w:val="auto"/>
                <w:spacing w:val="-4"/>
                <w:sz w:val="21"/>
                <w:szCs w:val="21"/>
                <w:highlight w:val="none"/>
              </w:rPr>
              <w:t>.</w:t>
            </w:r>
            <w:r>
              <w:rPr>
                <w:rFonts w:hint="eastAsia" w:ascii="宋体" w:hAnsi="宋体" w:eastAsia="宋体" w:cs="宋体"/>
                <w:color w:val="auto"/>
                <w:spacing w:val="-4"/>
                <w:sz w:val="21"/>
                <w:szCs w:val="21"/>
                <w:highlight w:val="none"/>
                <w:lang w:val="en-US" w:eastAsia="zh-CN"/>
              </w:rPr>
              <w:t>3</w:t>
            </w:r>
            <w:r>
              <w:rPr>
                <w:rFonts w:hint="eastAsia" w:ascii="宋体" w:hAnsi="宋体" w:eastAsia="宋体" w:cs="宋体"/>
                <w:color w:val="auto"/>
                <w:spacing w:val="-4"/>
                <w:sz w:val="21"/>
                <w:szCs w:val="21"/>
                <w:highlight w:val="none"/>
              </w:rPr>
              <w:t>(4)</w:t>
            </w:r>
            <w:r>
              <w:rPr>
                <w:rFonts w:hint="eastAsia" w:ascii="宋体" w:hAnsi="宋体" w:eastAsia="宋体" w:cs="宋体"/>
                <w:color w:val="auto"/>
                <w:spacing w:val="-56"/>
                <w:sz w:val="21"/>
                <w:szCs w:val="21"/>
                <w:highlight w:val="none"/>
              </w:rPr>
              <w:t xml:space="preserve"> </w:t>
            </w:r>
            <w:r>
              <w:rPr>
                <w:rFonts w:hint="eastAsia" w:ascii="宋体" w:hAnsi="宋体" w:eastAsia="宋体" w:cs="宋体"/>
                <w:color w:val="auto"/>
                <w:spacing w:val="-4"/>
                <w:sz w:val="21"/>
                <w:szCs w:val="21"/>
                <w:highlight w:val="none"/>
              </w:rPr>
              <w:t>目规定</w:t>
            </w:r>
          </w:p>
        </w:tc>
      </w:tr>
      <w:tr w14:paraId="63A1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390F060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4F358F7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160CB7D9">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31"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投标文件的格式、内容</w:t>
            </w:r>
          </w:p>
        </w:tc>
        <w:tc>
          <w:tcPr>
            <w:tcW w:w="2866" w:type="pct"/>
            <w:vAlign w:val="center"/>
          </w:tcPr>
          <w:p w14:paraId="090A016C">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18"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符合第六章“投标文件格式”的格</w:t>
            </w:r>
            <w:r>
              <w:rPr>
                <w:rFonts w:hint="eastAsia" w:ascii="宋体" w:hAnsi="宋体" w:eastAsia="宋体" w:cs="宋体"/>
                <w:color w:val="auto"/>
                <w:spacing w:val="-1"/>
                <w:sz w:val="21"/>
                <w:szCs w:val="21"/>
                <w:highlight w:val="none"/>
              </w:rPr>
              <w:t>式规定、实质性内容齐全，关键字迹清晰可辨</w:t>
            </w:r>
          </w:p>
        </w:tc>
      </w:tr>
      <w:tr w14:paraId="3EF9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0CD14E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12A4268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3969EAB9">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报价唯一</w:t>
            </w:r>
          </w:p>
        </w:tc>
        <w:tc>
          <w:tcPr>
            <w:tcW w:w="2866" w:type="pct"/>
            <w:vAlign w:val="center"/>
          </w:tcPr>
          <w:p w14:paraId="157F2157">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15"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只能有一个有效报价（指投标函中</w:t>
            </w:r>
            <w:r>
              <w:rPr>
                <w:rFonts w:hint="eastAsia" w:ascii="宋体" w:hAnsi="宋体" w:eastAsia="宋体" w:cs="宋体"/>
                <w:color w:val="auto"/>
                <w:spacing w:val="-6"/>
                <w:sz w:val="21"/>
                <w:szCs w:val="21"/>
                <w:highlight w:val="none"/>
              </w:rPr>
              <w:t>的大写报价）</w:t>
            </w:r>
          </w:p>
        </w:tc>
      </w:tr>
      <w:tr w14:paraId="7050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135349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77DA55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0181E25E">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31"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备选投标方</w:t>
            </w:r>
            <w:r>
              <w:rPr>
                <w:rFonts w:hint="eastAsia" w:ascii="宋体" w:hAnsi="宋体" w:eastAsia="宋体" w:cs="宋体"/>
                <w:color w:val="auto"/>
                <w:sz w:val="21"/>
                <w:szCs w:val="21"/>
                <w:highlight w:val="none"/>
              </w:rPr>
              <w:t>案</w:t>
            </w:r>
          </w:p>
        </w:tc>
        <w:tc>
          <w:tcPr>
            <w:tcW w:w="2866" w:type="pct"/>
            <w:vAlign w:val="center"/>
          </w:tcPr>
          <w:p w14:paraId="2143A455">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04"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除第二章“投标人须知”第</w:t>
            </w:r>
            <w:r>
              <w:rPr>
                <w:rFonts w:hint="eastAsia" w:ascii="宋体" w:hAnsi="宋体" w:eastAsia="宋体" w:cs="宋体"/>
                <w:color w:val="auto"/>
                <w:spacing w:val="-5"/>
                <w:sz w:val="21"/>
                <w:szCs w:val="21"/>
                <w:highlight w:val="none"/>
                <w:lang w:val="en-US" w:eastAsia="zh-CN"/>
              </w:rPr>
              <w:t>12.1</w:t>
            </w:r>
            <w:r>
              <w:rPr>
                <w:rFonts w:hint="eastAsia" w:ascii="宋体" w:hAnsi="宋体" w:eastAsia="宋体" w:cs="宋体"/>
                <w:color w:val="auto"/>
                <w:spacing w:val="-5"/>
                <w:sz w:val="21"/>
                <w:szCs w:val="21"/>
                <w:highlight w:val="none"/>
              </w:rPr>
              <w:t>款</w:t>
            </w:r>
            <w:r>
              <w:rPr>
                <w:rFonts w:hint="eastAsia" w:ascii="宋体" w:hAnsi="宋体" w:eastAsia="宋体" w:cs="宋体"/>
                <w:color w:val="auto"/>
                <w:spacing w:val="-1"/>
                <w:sz w:val="21"/>
                <w:szCs w:val="21"/>
                <w:highlight w:val="none"/>
              </w:rPr>
              <w:t>明确允许提交备选投标方案外，不得提交备选投标方案</w:t>
            </w:r>
          </w:p>
        </w:tc>
      </w:tr>
      <w:tr w14:paraId="57B9E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restart"/>
            <w:vAlign w:val="center"/>
          </w:tcPr>
          <w:p w14:paraId="054CE7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358" w:type="pct"/>
            <w:vMerge w:val="restart"/>
            <w:vAlign w:val="center"/>
          </w:tcPr>
          <w:p w14:paraId="6514131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资格评审标准</w:t>
            </w:r>
          </w:p>
        </w:tc>
        <w:tc>
          <w:tcPr>
            <w:tcW w:w="1458" w:type="pct"/>
            <w:gridSpan w:val="2"/>
            <w:vAlign w:val="center"/>
          </w:tcPr>
          <w:p w14:paraId="519DCE2D">
            <w:pPr>
              <w:pStyle w:val="22"/>
              <w:keepNext w:val="0"/>
              <w:keepLines w:val="0"/>
              <w:pageBreakBefore w:val="0"/>
              <w:widowControl w:val="0"/>
              <w:kinsoku/>
              <w:wordWrap/>
              <w:overflowPunct/>
              <w:topLinePunct w:val="0"/>
              <w:autoSpaceDE/>
              <w:autoSpaceDN/>
              <w:bidi w:val="0"/>
              <w:adjustRightInd/>
              <w:snapToGrid/>
              <w:spacing w:line="240" w:lineRule="auto"/>
              <w:ind w:left="0" w:right="14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营业执照</w:t>
            </w:r>
            <w:r>
              <w:rPr>
                <w:rFonts w:hint="eastAsia" w:ascii="宋体" w:hAnsi="宋体" w:eastAsia="宋体" w:cs="宋体"/>
                <w:color w:val="auto"/>
                <w:spacing w:val="-5"/>
                <w:sz w:val="21"/>
                <w:szCs w:val="21"/>
                <w:highlight w:val="none"/>
              </w:rPr>
              <w:t>（事业单位</w:t>
            </w:r>
            <w:r>
              <w:rPr>
                <w:rFonts w:hint="eastAsia" w:ascii="宋体" w:hAnsi="宋体" w:eastAsia="宋体" w:cs="宋体"/>
                <w:color w:val="auto"/>
                <w:spacing w:val="-4"/>
                <w:sz w:val="21"/>
                <w:szCs w:val="21"/>
                <w:highlight w:val="none"/>
              </w:rPr>
              <w:t>法人证书）</w:t>
            </w:r>
          </w:p>
        </w:tc>
        <w:tc>
          <w:tcPr>
            <w:tcW w:w="2866" w:type="pct"/>
            <w:vAlign w:val="center"/>
          </w:tcPr>
          <w:p w14:paraId="234EF62A">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15"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具备有效的营业执照（事业单位法</w:t>
            </w:r>
            <w:r>
              <w:rPr>
                <w:rFonts w:hint="eastAsia" w:ascii="宋体" w:hAnsi="宋体" w:eastAsia="宋体" w:cs="宋体"/>
                <w:color w:val="auto"/>
                <w:spacing w:val="-5"/>
                <w:sz w:val="21"/>
                <w:szCs w:val="21"/>
                <w:highlight w:val="none"/>
              </w:rPr>
              <w:t>人证书）</w:t>
            </w:r>
          </w:p>
        </w:tc>
      </w:tr>
      <w:tr w14:paraId="664B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4C42828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3D4CC3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23C07703">
            <w:pPr>
              <w:pStyle w:val="22"/>
              <w:keepNext w:val="0"/>
              <w:keepLines w:val="0"/>
              <w:pageBreakBefore w:val="0"/>
              <w:widowControl w:val="0"/>
              <w:kinsoku/>
              <w:wordWrap/>
              <w:overflowPunct/>
              <w:topLinePunct w:val="0"/>
              <w:autoSpaceDE/>
              <w:autoSpaceDN/>
              <w:bidi w:val="0"/>
              <w:adjustRightInd/>
              <w:snapToGrid/>
              <w:spacing w:line="240" w:lineRule="auto"/>
              <w:ind w:left="0" w:right="140" w:firstLine="0"/>
              <w:jc w:val="center"/>
              <w:textAlignment w:val="auto"/>
              <w:rPr>
                <w:rFonts w:hint="default" w:ascii="宋体" w:hAnsi="宋体" w:eastAsia="宋体" w:cs="宋体"/>
                <w:color w:val="auto"/>
                <w:spacing w:val="-4"/>
                <w:sz w:val="21"/>
                <w:szCs w:val="21"/>
                <w:highlight w:val="none"/>
                <w:lang w:val="en-US" w:eastAsia="zh-CN"/>
              </w:rPr>
            </w:pPr>
            <w:r>
              <w:rPr>
                <w:rFonts w:hint="eastAsia" w:cs="宋体"/>
                <w:color w:val="auto"/>
                <w:spacing w:val="-4"/>
                <w:sz w:val="21"/>
                <w:szCs w:val="21"/>
                <w:highlight w:val="none"/>
                <w:lang w:val="en-US" w:eastAsia="zh-CN"/>
              </w:rPr>
              <w:t>业绩要求</w:t>
            </w:r>
          </w:p>
        </w:tc>
        <w:tc>
          <w:tcPr>
            <w:tcW w:w="2866" w:type="pct"/>
            <w:vAlign w:val="center"/>
          </w:tcPr>
          <w:p w14:paraId="0B89F20A">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15" w:rightChars="0" w:firstLine="0" w:firstLineChars="0"/>
              <w:jc w:val="both"/>
              <w:textAlignment w:val="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自2023年1月1日（以合同签订时间为准）以来，投标人在至少具备一个类似合同金额不少于1000万元（含）的大型软件开发项目业绩。（提供加盖公章的相关合同原件扫描件，需包含合同首页、签署盖章页、合同金额页、关键内容页）</w:t>
            </w:r>
          </w:p>
        </w:tc>
      </w:tr>
      <w:tr w14:paraId="10BA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7DE9828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725B604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106FB882">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财务状况</w:t>
            </w:r>
          </w:p>
        </w:tc>
        <w:tc>
          <w:tcPr>
            <w:tcW w:w="2866" w:type="pct"/>
            <w:vAlign w:val="center"/>
          </w:tcPr>
          <w:p w14:paraId="7DF89A51">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良好的商业信誉和健全的财务会计制度，具有足够的经济实力，提供近三年度(2022、2023、2024年度或2023、2024、2025年度)经审计的财务报告（对于成立不足3年的公司，则提供公司自成立之日起至今的相关资料）；</w:t>
            </w:r>
          </w:p>
          <w:p w14:paraId="4C77B81B">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2.具有依法缴纳税收的良好记录，提供近一年内连续3个月的依法缴纳税收的证明（零申报的必须提供零申报证明）；</w:t>
            </w:r>
          </w:p>
          <w:p w14:paraId="3C2BEB34">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3.具有依法缴纳社会保障资金的良好记录，提供近一年内连续3个月的依法缴纳社会保险的证明。</w:t>
            </w:r>
          </w:p>
        </w:tc>
      </w:tr>
      <w:tr w14:paraId="1845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08D1BD1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61067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2B8F3F7D">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信誉要求</w:t>
            </w:r>
          </w:p>
        </w:tc>
        <w:tc>
          <w:tcPr>
            <w:tcW w:w="2866" w:type="pct"/>
            <w:vAlign w:val="center"/>
          </w:tcPr>
          <w:p w14:paraId="78248812">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近三年内（2023年1月1日至本项目投标截止时间以来，对于成立不足3年的公司则自成立之日起至本项目投标截止时间以来），在经营活动中没有重大违法和不良记录（需提供承诺书）：（1）未被依法暂停或者取消投标资格，且在限制投标期限内的；（2）没有被责令停产停业、暂扣或者吊销许可证、暂扣或者吊销执照，未被列入经营异常；（3）未处于进入清算程序，或被宣告破产，或其他丧失履约能力的情形；（4）投标人及其法定代表人无行贿犯罪行为；（5）企业无其他不良记录和重大负面舆情，无失信记录、无行贿记录，严重违法失信企业黑名单当中。</w:t>
            </w:r>
          </w:p>
          <w:p w14:paraId="6F387EF3">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被“信用中国（www.creditchina.gov.cn）”列入失信被执行人名单、重大税收违法失信主体，在“信用中国（www.creditchina.gov.cn）”行政处罚信息中无违反《中华人民共和国招标投标法》、《中华人民共和国政府采购法》等相关法律法规的行政处罚，未被“中国政府采购网（www.ccgp.gov.cn）”列入政府采购严重违法失信行为记录名单。（提供查询截图）</w:t>
            </w:r>
          </w:p>
          <w:p w14:paraId="0A1D31D4">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最近三年内（2023年01月01日至今）与中国工商银行的项目合作过程中，没有出现重大合同违约、泄露商业秘密或技术秘密、涉“虚列支出、套取费用”等事件，并且未被列入《中国工商银行不良行为投标人禁入名单管理办法》的禁入名单或中国工商银行负面投标人清单（需提供承诺书）。</w:t>
            </w:r>
          </w:p>
        </w:tc>
      </w:tr>
      <w:tr w14:paraId="7382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7D45CA2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8182E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619C77FE">
            <w:pPr>
              <w:pStyle w:val="22"/>
              <w:keepNext w:val="0"/>
              <w:keepLines w:val="0"/>
              <w:pageBreakBefore w:val="0"/>
              <w:widowControl w:val="0"/>
              <w:kinsoku/>
              <w:wordWrap/>
              <w:overflowPunct/>
              <w:topLinePunct w:val="0"/>
              <w:autoSpaceDE/>
              <w:autoSpaceDN/>
              <w:bidi w:val="0"/>
              <w:adjustRightInd/>
              <w:snapToGrid/>
              <w:spacing w:line="240" w:lineRule="auto"/>
              <w:ind w:left="0" w:leftChars="0" w:right="131" w:rightChars="0" w:firstLine="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不存在禁止投标的情形</w:t>
            </w:r>
          </w:p>
        </w:tc>
        <w:tc>
          <w:tcPr>
            <w:tcW w:w="2866" w:type="pct"/>
            <w:vAlign w:val="center"/>
          </w:tcPr>
          <w:p w14:paraId="72F57AEB">
            <w:pPr>
              <w:pStyle w:val="22"/>
              <w:keepNext w:val="0"/>
              <w:keepLines w:val="0"/>
              <w:pageBreakBefore w:val="0"/>
              <w:widowControl w:val="0"/>
              <w:kinsoku/>
              <w:wordWrap/>
              <w:overflowPunct/>
              <w:topLinePunct w:val="0"/>
              <w:autoSpaceDE/>
              <w:autoSpaceDN/>
              <w:bidi w:val="0"/>
              <w:adjustRightInd/>
              <w:snapToGrid/>
              <w:spacing w:line="240" w:lineRule="auto"/>
              <w:ind w:left="0" w:leftChars="0" w:right="329"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不存在第二章“投标人须知</w:t>
            </w:r>
            <w:r>
              <w:rPr>
                <w:rFonts w:hint="eastAsia" w:ascii="宋体" w:hAnsi="宋体" w:eastAsia="宋体" w:cs="宋体"/>
                <w:color w:val="auto"/>
                <w:spacing w:val="-72"/>
                <w:sz w:val="21"/>
                <w:szCs w:val="21"/>
                <w:highlight w:val="none"/>
              </w:rPr>
              <w:t xml:space="preserve"> </w:t>
            </w:r>
            <w:r>
              <w:rPr>
                <w:rFonts w:hint="eastAsia" w:ascii="宋体" w:hAnsi="宋体" w:eastAsia="宋体" w:cs="宋体"/>
                <w:color w:val="auto"/>
                <w:spacing w:val="-3"/>
                <w:sz w:val="21"/>
                <w:szCs w:val="21"/>
                <w:highlight w:val="none"/>
              </w:rPr>
              <w:t>”第14.</w:t>
            </w:r>
            <w:r>
              <w:rPr>
                <w:rFonts w:hint="eastAsia" w:ascii="宋体" w:hAnsi="宋体" w:eastAsia="宋体" w:cs="宋体"/>
                <w:color w:val="auto"/>
                <w:spacing w:val="-3"/>
                <w:sz w:val="21"/>
                <w:szCs w:val="21"/>
                <w:highlight w:val="none"/>
                <w:lang w:val="en-US" w:eastAsia="zh-CN"/>
              </w:rPr>
              <w:t>6</w:t>
            </w:r>
            <w:r>
              <w:rPr>
                <w:rFonts w:hint="eastAsia" w:ascii="宋体" w:hAnsi="宋体" w:eastAsia="宋体" w:cs="宋体"/>
                <w:color w:val="auto"/>
                <w:spacing w:val="-3"/>
                <w:sz w:val="21"/>
                <w:szCs w:val="21"/>
                <w:highlight w:val="none"/>
              </w:rPr>
              <w:t>项任何一种情形</w:t>
            </w:r>
          </w:p>
        </w:tc>
      </w:tr>
      <w:tr w14:paraId="130FD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restart"/>
            <w:vAlign w:val="center"/>
          </w:tcPr>
          <w:p w14:paraId="006A2DD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358" w:type="pct"/>
            <w:vMerge w:val="restart"/>
            <w:vAlign w:val="center"/>
          </w:tcPr>
          <w:p w14:paraId="213C83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响应性评审标准</w:t>
            </w:r>
          </w:p>
        </w:tc>
        <w:tc>
          <w:tcPr>
            <w:tcW w:w="1458" w:type="pct"/>
            <w:gridSpan w:val="2"/>
            <w:vAlign w:val="center"/>
          </w:tcPr>
          <w:p w14:paraId="519DBB66">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投标报价</w:t>
            </w:r>
          </w:p>
        </w:tc>
        <w:tc>
          <w:tcPr>
            <w:tcW w:w="2866" w:type="pct"/>
            <w:vAlign w:val="center"/>
          </w:tcPr>
          <w:p w14:paraId="5C6D7A9C">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符合第二章“投标人须知</w:t>
            </w:r>
            <w:r>
              <w:rPr>
                <w:rFonts w:hint="eastAsia" w:ascii="宋体" w:hAnsi="宋体" w:eastAsia="宋体" w:cs="宋体"/>
                <w:color w:val="auto"/>
                <w:spacing w:val="-78"/>
                <w:sz w:val="21"/>
                <w:szCs w:val="21"/>
                <w:highlight w:val="none"/>
              </w:rPr>
              <w:t xml:space="preserve"> </w:t>
            </w:r>
            <w:r>
              <w:rPr>
                <w:rFonts w:hint="eastAsia" w:ascii="宋体" w:hAnsi="宋体" w:eastAsia="宋体" w:cs="宋体"/>
                <w:color w:val="auto"/>
                <w:spacing w:val="-2"/>
                <w:sz w:val="21"/>
                <w:szCs w:val="21"/>
                <w:highlight w:val="none"/>
              </w:rPr>
              <w:t>”第</w:t>
            </w:r>
            <w:r>
              <w:rPr>
                <w:rFonts w:hint="eastAsia" w:ascii="宋体" w:hAnsi="宋体" w:eastAsia="宋体" w:cs="宋体"/>
                <w:color w:val="auto"/>
                <w:spacing w:val="-2"/>
                <w:sz w:val="21"/>
                <w:szCs w:val="21"/>
                <w:highlight w:val="none"/>
                <w:lang w:val="en-US" w:eastAsia="zh-CN"/>
              </w:rPr>
              <w:t>11</w:t>
            </w:r>
            <w:r>
              <w:rPr>
                <w:rFonts w:hint="eastAsia" w:ascii="宋体" w:hAnsi="宋体" w:eastAsia="宋体" w:cs="宋体"/>
                <w:color w:val="auto"/>
                <w:spacing w:val="-3"/>
                <w:sz w:val="21"/>
                <w:szCs w:val="21"/>
                <w:highlight w:val="none"/>
              </w:rPr>
              <w:t>款和本章第 3.1.3</w:t>
            </w:r>
            <w:r>
              <w:rPr>
                <w:rFonts w:hint="eastAsia" w:ascii="宋体" w:hAnsi="宋体" w:eastAsia="宋体" w:cs="宋体"/>
                <w:color w:val="auto"/>
                <w:spacing w:val="-31"/>
                <w:sz w:val="21"/>
                <w:szCs w:val="21"/>
                <w:highlight w:val="none"/>
              </w:rPr>
              <w:t xml:space="preserve"> </w:t>
            </w:r>
            <w:r>
              <w:rPr>
                <w:rFonts w:hint="eastAsia" w:ascii="宋体" w:hAnsi="宋体" w:eastAsia="宋体" w:cs="宋体"/>
                <w:color w:val="auto"/>
                <w:spacing w:val="-3"/>
                <w:sz w:val="21"/>
                <w:szCs w:val="21"/>
                <w:highlight w:val="none"/>
              </w:rPr>
              <w:t>项、第</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3"/>
                <w:sz w:val="21"/>
                <w:szCs w:val="21"/>
                <w:highlight w:val="none"/>
              </w:rPr>
              <w:t>3.1.4</w:t>
            </w:r>
            <w:r>
              <w:rPr>
                <w:rFonts w:hint="eastAsia" w:ascii="宋体" w:hAnsi="宋体" w:eastAsia="宋体" w:cs="宋体"/>
                <w:color w:val="auto"/>
                <w:spacing w:val="-48"/>
                <w:sz w:val="21"/>
                <w:szCs w:val="21"/>
                <w:highlight w:val="none"/>
              </w:rPr>
              <w:t xml:space="preserve"> </w:t>
            </w:r>
            <w:r>
              <w:rPr>
                <w:rFonts w:hint="eastAsia" w:ascii="宋体" w:hAnsi="宋体" w:eastAsia="宋体" w:cs="宋体"/>
                <w:color w:val="auto"/>
                <w:spacing w:val="-3"/>
                <w:sz w:val="21"/>
                <w:szCs w:val="21"/>
                <w:highlight w:val="none"/>
              </w:rPr>
              <w:t>项规定</w:t>
            </w:r>
          </w:p>
        </w:tc>
      </w:tr>
      <w:tr w14:paraId="530B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50A4104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649D6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359FCECB">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投标内容</w:t>
            </w:r>
          </w:p>
        </w:tc>
        <w:tc>
          <w:tcPr>
            <w:tcW w:w="2866" w:type="pct"/>
            <w:vAlign w:val="center"/>
          </w:tcPr>
          <w:p w14:paraId="04453E06">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hanging="13"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3"/>
                <w:sz w:val="21"/>
                <w:szCs w:val="21"/>
                <w:highlight w:val="none"/>
              </w:rPr>
              <w:t>符合第</w:t>
            </w:r>
            <w:r>
              <w:rPr>
                <w:rFonts w:hint="eastAsia" w:ascii="宋体" w:hAnsi="宋体" w:eastAsia="宋体" w:cs="宋体"/>
                <w:color w:val="auto"/>
                <w:spacing w:val="-3"/>
                <w:sz w:val="21"/>
                <w:szCs w:val="21"/>
                <w:highlight w:val="none"/>
                <w:lang w:val="en-US" w:eastAsia="zh-CN"/>
              </w:rPr>
              <w:t>三</w:t>
            </w:r>
            <w:r>
              <w:rPr>
                <w:rFonts w:hint="eastAsia" w:ascii="宋体" w:hAnsi="宋体" w:eastAsia="宋体" w:cs="宋体"/>
                <w:color w:val="auto"/>
                <w:spacing w:val="-3"/>
                <w:sz w:val="21"/>
                <w:szCs w:val="21"/>
                <w:highlight w:val="none"/>
              </w:rPr>
              <w:t>章“</w:t>
            </w:r>
            <w:r>
              <w:rPr>
                <w:rFonts w:hint="eastAsia" w:ascii="宋体" w:hAnsi="宋体" w:eastAsia="宋体" w:cs="宋体"/>
                <w:color w:val="auto"/>
                <w:spacing w:val="-3"/>
                <w:sz w:val="21"/>
                <w:szCs w:val="21"/>
                <w:highlight w:val="none"/>
                <w:lang w:val="en-US" w:eastAsia="zh-CN"/>
              </w:rPr>
              <w:t>采购需求</w:t>
            </w: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eastAsia="zh-CN"/>
              </w:rPr>
              <w:t>的</w:t>
            </w:r>
            <w:r>
              <w:rPr>
                <w:rFonts w:hint="eastAsia" w:ascii="宋体" w:hAnsi="宋体" w:eastAsia="宋体" w:cs="宋体"/>
                <w:color w:val="auto"/>
                <w:spacing w:val="-3"/>
                <w:sz w:val="21"/>
                <w:szCs w:val="21"/>
                <w:highlight w:val="none"/>
                <w:lang w:val="en-US" w:eastAsia="zh-CN"/>
              </w:rPr>
              <w:t>规定</w:t>
            </w:r>
          </w:p>
        </w:tc>
      </w:tr>
      <w:tr w14:paraId="5669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7C9503A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7D506FC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5B2EAF58">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2"/>
                <w:sz w:val="21"/>
                <w:szCs w:val="21"/>
                <w:highlight w:val="none"/>
                <w:lang w:val="en-US" w:eastAsia="zh-CN"/>
              </w:rPr>
              <w:t>合同履行期限</w:t>
            </w:r>
          </w:p>
        </w:tc>
        <w:tc>
          <w:tcPr>
            <w:tcW w:w="2866" w:type="pct"/>
            <w:vAlign w:val="center"/>
          </w:tcPr>
          <w:p w14:paraId="719AF8CC">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hanging="13"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3"/>
                <w:sz w:val="21"/>
                <w:szCs w:val="21"/>
                <w:highlight w:val="none"/>
              </w:rPr>
              <w:t>符合第</w:t>
            </w:r>
            <w:r>
              <w:rPr>
                <w:rFonts w:hint="eastAsia" w:ascii="宋体" w:hAnsi="宋体" w:eastAsia="宋体" w:cs="宋体"/>
                <w:color w:val="auto"/>
                <w:spacing w:val="-3"/>
                <w:sz w:val="21"/>
                <w:szCs w:val="21"/>
                <w:highlight w:val="none"/>
                <w:lang w:val="en-US" w:eastAsia="zh-CN"/>
              </w:rPr>
              <w:t>三</w:t>
            </w:r>
            <w:r>
              <w:rPr>
                <w:rFonts w:hint="eastAsia" w:ascii="宋体" w:hAnsi="宋体" w:eastAsia="宋体" w:cs="宋体"/>
                <w:color w:val="auto"/>
                <w:spacing w:val="-3"/>
                <w:sz w:val="21"/>
                <w:szCs w:val="21"/>
                <w:highlight w:val="none"/>
              </w:rPr>
              <w:t>章“</w:t>
            </w:r>
            <w:r>
              <w:rPr>
                <w:rFonts w:hint="eastAsia" w:ascii="宋体" w:hAnsi="宋体" w:eastAsia="宋体" w:cs="宋体"/>
                <w:color w:val="auto"/>
                <w:spacing w:val="-3"/>
                <w:sz w:val="21"/>
                <w:szCs w:val="21"/>
                <w:highlight w:val="none"/>
                <w:lang w:val="en-US" w:eastAsia="zh-CN"/>
              </w:rPr>
              <w:t>采购需求</w:t>
            </w: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eastAsia="zh-CN"/>
              </w:rPr>
              <w:t>的</w:t>
            </w:r>
            <w:r>
              <w:rPr>
                <w:rFonts w:hint="eastAsia" w:ascii="宋体" w:hAnsi="宋体" w:eastAsia="宋体" w:cs="宋体"/>
                <w:color w:val="auto"/>
                <w:spacing w:val="-3"/>
                <w:sz w:val="21"/>
                <w:szCs w:val="21"/>
                <w:highlight w:val="none"/>
                <w:lang w:val="en-US" w:eastAsia="zh-CN"/>
              </w:rPr>
              <w:t>规定</w:t>
            </w:r>
          </w:p>
        </w:tc>
      </w:tr>
      <w:tr w14:paraId="7767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03D6CC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745A59F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735E7A23">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质量标准</w:t>
            </w:r>
          </w:p>
        </w:tc>
        <w:tc>
          <w:tcPr>
            <w:tcW w:w="2866" w:type="pct"/>
            <w:vAlign w:val="center"/>
          </w:tcPr>
          <w:p w14:paraId="264AF73F">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hanging="13"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w:t>
            </w:r>
            <w:r>
              <w:rPr>
                <w:rFonts w:hint="eastAsia" w:ascii="宋体" w:hAnsi="宋体" w:eastAsia="宋体" w:cs="宋体"/>
                <w:color w:val="auto"/>
                <w:spacing w:val="-3"/>
                <w:sz w:val="21"/>
                <w:szCs w:val="21"/>
                <w:highlight w:val="none"/>
                <w:lang w:val="en-US" w:eastAsia="zh-CN"/>
              </w:rPr>
              <w:t>三</w:t>
            </w:r>
            <w:r>
              <w:rPr>
                <w:rFonts w:hint="eastAsia" w:ascii="宋体" w:hAnsi="宋体" w:eastAsia="宋体" w:cs="宋体"/>
                <w:color w:val="auto"/>
                <w:spacing w:val="-3"/>
                <w:sz w:val="21"/>
                <w:szCs w:val="21"/>
                <w:highlight w:val="none"/>
              </w:rPr>
              <w:t>章“</w:t>
            </w:r>
            <w:r>
              <w:rPr>
                <w:rFonts w:hint="eastAsia" w:ascii="宋体" w:hAnsi="宋体" w:eastAsia="宋体" w:cs="宋体"/>
                <w:color w:val="auto"/>
                <w:spacing w:val="-3"/>
                <w:sz w:val="21"/>
                <w:szCs w:val="21"/>
                <w:highlight w:val="none"/>
                <w:lang w:val="en-US" w:eastAsia="zh-CN"/>
              </w:rPr>
              <w:t>采购需求</w:t>
            </w:r>
            <w:r>
              <w:rPr>
                <w:rFonts w:hint="eastAsia" w:ascii="宋体" w:hAnsi="宋体" w:eastAsia="宋体" w:cs="宋体"/>
                <w:color w:val="auto"/>
                <w:spacing w:val="-3"/>
                <w:sz w:val="21"/>
                <w:szCs w:val="21"/>
                <w:highlight w:val="none"/>
              </w:rPr>
              <w:t>”</w:t>
            </w:r>
            <w:r>
              <w:rPr>
                <w:rFonts w:hint="eastAsia" w:ascii="宋体" w:hAnsi="宋体" w:eastAsia="宋体" w:cs="宋体"/>
                <w:color w:val="auto"/>
                <w:spacing w:val="-3"/>
                <w:sz w:val="21"/>
                <w:szCs w:val="21"/>
                <w:highlight w:val="none"/>
                <w:lang w:eastAsia="zh-CN"/>
              </w:rPr>
              <w:t>的</w:t>
            </w:r>
            <w:r>
              <w:rPr>
                <w:rFonts w:hint="eastAsia" w:ascii="宋体" w:hAnsi="宋体" w:eastAsia="宋体" w:cs="宋体"/>
                <w:color w:val="auto"/>
                <w:spacing w:val="-3"/>
                <w:sz w:val="21"/>
                <w:szCs w:val="21"/>
                <w:highlight w:val="none"/>
                <w:lang w:val="en-US" w:eastAsia="zh-CN"/>
              </w:rPr>
              <w:t>规定</w:t>
            </w:r>
          </w:p>
        </w:tc>
      </w:tr>
      <w:tr w14:paraId="756C7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5251E2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13B9612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31067B96">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投标有效期</w:t>
            </w:r>
          </w:p>
        </w:tc>
        <w:tc>
          <w:tcPr>
            <w:tcW w:w="2866" w:type="pct"/>
            <w:vAlign w:val="center"/>
          </w:tcPr>
          <w:p w14:paraId="7E17ACAD">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hanging="2"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符合第二章“投标人须知”第</w:t>
            </w:r>
            <w:r>
              <w:rPr>
                <w:rFonts w:hint="eastAsia" w:ascii="宋体" w:hAnsi="宋体" w:eastAsia="宋体" w:cs="宋体"/>
                <w:color w:val="auto"/>
                <w:spacing w:val="-3"/>
                <w:sz w:val="21"/>
                <w:szCs w:val="21"/>
                <w:highlight w:val="none"/>
                <w:lang w:val="en-US" w:eastAsia="zh-CN"/>
              </w:rPr>
              <w:t>17</w:t>
            </w:r>
            <w:r>
              <w:rPr>
                <w:rFonts w:hint="eastAsia" w:ascii="宋体" w:hAnsi="宋体" w:eastAsia="宋体" w:cs="宋体"/>
                <w:color w:val="auto"/>
                <w:spacing w:val="-3"/>
                <w:sz w:val="21"/>
                <w:szCs w:val="21"/>
                <w:highlight w:val="none"/>
              </w:rPr>
              <w:t>.1项规定</w:t>
            </w:r>
          </w:p>
        </w:tc>
      </w:tr>
      <w:tr w14:paraId="6BDCC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287A10B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54B15F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7F3322B4">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投标保证金</w:t>
            </w:r>
          </w:p>
        </w:tc>
        <w:tc>
          <w:tcPr>
            <w:tcW w:w="2866" w:type="pct"/>
            <w:vAlign w:val="center"/>
          </w:tcPr>
          <w:p w14:paraId="5F153E8A">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hanging="2"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符合第二章“投标人须知</w:t>
            </w:r>
            <w:r>
              <w:rPr>
                <w:rFonts w:hint="eastAsia" w:ascii="宋体" w:hAnsi="宋体" w:eastAsia="宋体" w:cs="宋体"/>
                <w:color w:val="auto"/>
                <w:spacing w:val="-74"/>
                <w:sz w:val="21"/>
                <w:szCs w:val="21"/>
                <w:highlight w:val="none"/>
              </w:rPr>
              <w:t xml:space="preserve"> </w:t>
            </w:r>
            <w:r>
              <w:rPr>
                <w:rFonts w:hint="eastAsia" w:ascii="宋体" w:hAnsi="宋体" w:eastAsia="宋体" w:cs="宋体"/>
                <w:color w:val="auto"/>
                <w:spacing w:val="-3"/>
                <w:sz w:val="21"/>
                <w:szCs w:val="21"/>
                <w:highlight w:val="none"/>
              </w:rPr>
              <w:t>”第</w:t>
            </w:r>
            <w:r>
              <w:rPr>
                <w:rFonts w:hint="eastAsia" w:ascii="宋体" w:hAnsi="宋体" w:eastAsia="宋体" w:cs="宋体"/>
                <w:color w:val="auto"/>
                <w:spacing w:val="-3"/>
                <w:sz w:val="21"/>
                <w:szCs w:val="21"/>
                <w:highlight w:val="none"/>
                <w:lang w:val="en-US" w:eastAsia="zh-CN"/>
              </w:rPr>
              <w:t>16</w:t>
            </w:r>
            <w:r>
              <w:rPr>
                <w:rFonts w:hint="eastAsia" w:ascii="宋体" w:hAnsi="宋体" w:eastAsia="宋体" w:cs="宋体"/>
                <w:color w:val="auto"/>
                <w:spacing w:val="-3"/>
                <w:sz w:val="21"/>
                <w:szCs w:val="21"/>
                <w:highlight w:val="none"/>
              </w:rPr>
              <w:t>.1项规定</w:t>
            </w:r>
          </w:p>
        </w:tc>
      </w:tr>
      <w:tr w14:paraId="5904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29F3B9F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3C45505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404EFA76">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技术建议书</w:t>
            </w:r>
          </w:p>
        </w:tc>
        <w:tc>
          <w:tcPr>
            <w:tcW w:w="2866" w:type="pct"/>
            <w:vAlign w:val="center"/>
          </w:tcPr>
          <w:p w14:paraId="76EFD537">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符合第</w:t>
            </w:r>
            <w:r>
              <w:rPr>
                <w:rFonts w:hint="eastAsia" w:ascii="宋体" w:hAnsi="宋体" w:eastAsia="宋体" w:cs="宋体"/>
                <w:color w:val="auto"/>
                <w:spacing w:val="-3"/>
                <w:sz w:val="21"/>
                <w:szCs w:val="21"/>
                <w:highlight w:val="none"/>
                <w:lang w:val="en-US" w:eastAsia="zh-CN"/>
              </w:rPr>
              <w:t>三</w:t>
            </w:r>
            <w:r>
              <w:rPr>
                <w:rFonts w:hint="eastAsia" w:ascii="宋体" w:hAnsi="宋体" w:eastAsia="宋体" w:cs="宋体"/>
                <w:color w:val="auto"/>
                <w:spacing w:val="-3"/>
                <w:sz w:val="21"/>
                <w:szCs w:val="21"/>
                <w:highlight w:val="none"/>
              </w:rPr>
              <w:t>章“</w:t>
            </w:r>
            <w:r>
              <w:rPr>
                <w:rFonts w:hint="eastAsia" w:ascii="宋体" w:hAnsi="宋体" w:eastAsia="宋体" w:cs="宋体"/>
                <w:color w:val="auto"/>
                <w:spacing w:val="-3"/>
                <w:sz w:val="21"/>
                <w:szCs w:val="21"/>
                <w:highlight w:val="none"/>
                <w:lang w:val="en-US" w:eastAsia="zh-CN"/>
              </w:rPr>
              <w:t>采购需求</w:t>
            </w:r>
            <w:r>
              <w:rPr>
                <w:rFonts w:hint="eastAsia" w:ascii="宋体" w:hAnsi="宋体" w:eastAsia="宋体" w:cs="宋体"/>
                <w:color w:val="auto"/>
                <w:spacing w:val="-3"/>
                <w:sz w:val="21"/>
                <w:szCs w:val="21"/>
                <w:highlight w:val="none"/>
              </w:rPr>
              <w:t>”中的实</w:t>
            </w:r>
            <w:r>
              <w:rPr>
                <w:rFonts w:hint="eastAsia" w:ascii="宋体" w:hAnsi="宋体" w:eastAsia="宋体" w:cs="宋体"/>
                <w:color w:val="auto"/>
                <w:spacing w:val="-1"/>
                <w:sz w:val="21"/>
                <w:szCs w:val="21"/>
                <w:highlight w:val="none"/>
              </w:rPr>
              <w:t>质性要求和条件</w:t>
            </w:r>
          </w:p>
        </w:tc>
      </w:tr>
      <w:tr w14:paraId="69836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Merge w:val="continue"/>
            <w:vAlign w:val="center"/>
          </w:tcPr>
          <w:p w14:paraId="6EBA22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780F917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1458" w:type="pct"/>
            <w:gridSpan w:val="2"/>
            <w:vAlign w:val="center"/>
          </w:tcPr>
          <w:p w14:paraId="0DAC8EFF">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1"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招标人不能接受的条件</w:t>
            </w:r>
          </w:p>
        </w:tc>
        <w:tc>
          <w:tcPr>
            <w:tcW w:w="2866" w:type="pct"/>
            <w:vAlign w:val="center"/>
          </w:tcPr>
          <w:p w14:paraId="19E76A56">
            <w:pPr>
              <w:pStyle w:val="22"/>
              <w:keepNext w:val="0"/>
              <w:keepLines w:val="0"/>
              <w:pageBreakBefore w:val="0"/>
              <w:widowControl w:val="0"/>
              <w:kinsoku/>
              <w:wordWrap/>
              <w:overflowPunct/>
              <w:topLinePunct w:val="0"/>
              <w:autoSpaceDE/>
              <w:autoSpaceDN/>
              <w:bidi w:val="0"/>
              <w:adjustRightInd/>
              <w:snapToGrid/>
              <w:spacing w:line="240" w:lineRule="auto"/>
              <w:ind w:left="0" w:leftChars="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未附有招标人不能接受的条件</w:t>
            </w:r>
          </w:p>
        </w:tc>
      </w:tr>
      <w:tr w14:paraId="474D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trPr>
        <w:tc>
          <w:tcPr>
            <w:tcW w:w="316" w:type="pct"/>
            <w:vAlign w:val="center"/>
          </w:tcPr>
          <w:p w14:paraId="01D3433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358" w:type="pct"/>
            <w:vAlign w:val="center"/>
          </w:tcPr>
          <w:p w14:paraId="040A9C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其他否决条款</w:t>
            </w:r>
          </w:p>
        </w:tc>
        <w:tc>
          <w:tcPr>
            <w:tcW w:w="1458" w:type="pct"/>
            <w:gridSpan w:val="2"/>
            <w:vAlign w:val="center"/>
          </w:tcPr>
          <w:p w14:paraId="1A6A86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投标人不得存在的其他情形</w:t>
            </w:r>
          </w:p>
        </w:tc>
        <w:tc>
          <w:tcPr>
            <w:tcW w:w="2866" w:type="pct"/>
            <w:vAlign w:val="center"/>
          </w:tcPr>
          <w:p w14:paraId="47F40D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(1)“投标人须知”相关条款规定的应当否决投标情形的；</w:t>
            </w:r>
          </w:p>
          <w:p w14:paraId="23C299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(2)串通投标、弄虚作假、行贿或有其他违法行为的；</w:t>
            </w:r>
          </w:p>
          <w:p w14:paraId="731530E8">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(3)不按评标委员会要求澄清、说明或补正的。</w:t>
            </w:r>
          </w:p>
        </w:tc>
      </w:tr>
      <w:tr w14:paraId="037DC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8" w:hRule="atLeast"/>
        </w:trPr>
        <w:tc>
          <w:tcPr>
            <w:tcW w:w="674" w:type="pct"/>
            <w:gridSpan w:val="2"/>
            <w:vAlign w:val="center"/>
          </w:tcPr>
          <w:p w14:paraId="600388E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458" w:type="pct"/>
            <w:gridSpan w:val="2"/>
            <w:vAlign w:val="center"/>
          </w:tcPr>
          <w:p w14:paraId="17E42BD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w:t>
            </w:r>
          </w:p>
        </w:tc>
        <w:tc>
          <w:tcPr>
            <w:tcW w:w="2866" w:type="pct"/>
            <w:vAlign w:val="center"/>
          </w:tcPr>
          <w:p w14:paraId="48E6E2B9">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33CA7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74" w:type="pct"/>
            <w:gridSpan w:val="2"/>
            <w:vAlign w:val="center"/>
          </w:tcPr>
          <w:p w14:paraId="4EB536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458" w:type="pct"/>
            <w:gridSpan w:val="2"/>
            <w:vAlign w:val="center"/>
          </w:tcPr>
          <w:p w14:paraId="3B50AB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分值构成（总分</w:t>
            </w:r>
            <w:r>
              <w:rPr>
                <w:rFonts w:hint="eastAsia" w:ascii="宋体" w:hAnsi="宋体" w:eastAsia="宋体" w:cs="宋体"/>
                <w:color w:val="auto"/>
                <w:sz w:val="21"/>
                <w:szCs w:val="21"/>
                <w:highlight w:val="none"/>
                <w:lang w:val="en-US" w:eastAsia="zh-CN"/>
              </w:rPr>
              <w:t>100</w:t>
            </w:r>
            <w:r>
              <w:rPr>
                <w:rFonts w:hint="eastAsia" w:ascii="宋体" w:hAnsi="宋体" w:eastAsia="宋体" w:cs="宋体"/>
                <w:color w:val="auto"/>
                <w:sz w:val="21"/>
                <w:szCs w:val="21"/>
                <w:highlight w:val="none"/>
              </w:rPr>
              <w:t>分）</w:t>
            </w:r>
          </w:p>
        </w:tc>
        <w:tc>
          <w:tcPr>
            <w:tcW w:w="2866" w:type="pct"/>
            <w:vAlign w:val="center"/>
          </w:tcPr>
          <w:p w14:paraId="6951858B">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p w14:paraId="3F2769F9">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商务评审：</w:t>
            </w:r>
            <w:r>
              <w:rPr>
                <w:rFonts w:hint="eastAsia" w:ascii="宋体" w:hAnsi="宋体" w:cs="宋体"/>
                <w:color w:val="auto"/>
                <w:sz w:val="21"/>
                <w:szCs w:val="21"/>
                <w:highlight w:val="none"/>
                <w:lang w:val="en-US" w:eastAsia="zh-CN"/>
              </w:rPr>
              <w:t>37</w:t>
            </w:r>
            <w:r>
              <w:rPr>
                <w:rFonts w:hint="eastAsia" w:ascii="宋体" w:hAnsi="宋体" w:eastAsia="宋体" w:cs="宋体"/>
                <w:color w:val="auto"/>
                <w:sz w:val="21"/>
                <w:szCs w:val="21"/>
                <w:highlight w:val="none"/>
              </w:rPr>
              <w:t>分</w:t>
            </w:r>
          </w:p>
          <w:p w14:paraId="53AC8B43">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技术评审：</w:t>
            </w:r>
            <w:r>
              <w:rPr>
                <w:rFonts w:hint="eastAsia" w:ascii="宋体" w:hAnsi="宋体" w:cs="宋体"/>
                <w:color w:val="auto"/>
                <w:sz w:val="21"/>
                <w:szCs w:val="21"/>
                <w:highlight w:val="none"/>
                <w:lang w:val="en-US" w:eastAsia="zh-CN"/>
              </w:rPr>
              <w:t>33</w:t>
            </w:r>
            <w:r>
              <w:rPr>
                <w:rFonts w:hint="eastAsia" w:ascii="宋体" w:hAnsi="宋体" w:eastAsia="宋体" w:cs="宋体"/>
                <w:color w:val="auto"/>
                <w:sz w:val="21"/>
                <w:szCs w:val="21"/>
                <w:highlight w:val="none"/>
              </w:rPr>
              <w:t>分</w:t>
            </w:r>
          </w:p>
          <w:p w14:paraId="033AD669">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其他评审：</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分</w:t>
            </w:r>
          </w:p>
          <w:p w14:paraId="6A1F340C">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（没分时打“/”）</w:t>
            </w:r>
          </w:p>
        </w:tc>
      </w:tr>
      <w:tr w14:paraId="2CF54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316" w:type="pct"/>
            <w:vAlign w:val="center"/>
          </w:tcPr>
          <w:p w14:paraId="4BAC111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358" w:type="pct"/>
            <w:vAlign w:val="center"/>
          </w:tcPr>
          <w:p w14:paraId="69CF69A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982" w:type="pct"/>
            <w:vAlign w:val="center"/>
          </w:tcPr>
          <w:p w14:paraId="1341AC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各评分因素细分项</w:t>
            </w:r>
          </w:p>
        </w:tc>
        <w:tc>
          <w:tcPr>
            <w:tcW w:w="475" w:type="pct"/>
            <w:vAlign w:val="center"/>
          </w:tcPr>
          <w:p w14:paraId="5565EB3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2866" w:type="pct"/>
            <w:vAlign w:val="center"/>
          </w:tcPr>
          <w:p w14:paraId="2E981D6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r>
      <w:tr w14:paraId="6F1A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316" w:type="pct"/>
            <w:vAlign w:val="center"/>
          </w:tcPr>
          <w:p w14:paraId="5827305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2.2.2（1）</w:t>
            </w:r>
          </w:p>
        </w:tc>
        <w:tc>
          <w:tcPr>
            <w:tcW w:w="358" w:type="pct"/>
            <w:shd w:val="clear" w:color="auto" w:fill="auto"/>
            <w:vAlign w:val="center"/>
          </w:tcPr>
          <w:p w14:paraId="6ABB83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982" w:type="pct"/>
            <w:vAlign w:val="center"/>
          </w:tcPr>
          <w:p w14:paraId="18FD1159">
            <w:pPr>
              <w:pStyle w:val="19"/>
              <w:wordWrap/>
              <w:adjustRightInd/>
              <w:snapToGrid/>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投标报价</w:t>
            </w:r>
          </w:p>
        </w:tc>
        <w:tc>
          <w:tcPr>
            <w:tcW w:w="475" w:type="pct"/>
            <w:vAlign w:val="center"/>
          </w:tcPr>
          <w:p w14:paraId="5FC4B2E7">
            <w:pPr>
              <w:pStyle w:val="19"/>
              <w:wordWrap/>
              <w:adjustRightInd/>
              <w:snapToGrid/>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p>
        </w:tc>
        <w:tc>
          <w:tcPr>
            <w:tcW w:w="2866" w:type="pct"/>
            <w:vAlign w:val="center"/>
          </w:tcPr>
          <w:p w14:paraId="19DF4B13">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1.评标基准价为通过初步审查合格各投标人所有有效投标报价的算术平均值。</w:t>
            </w:r>
          </w:p>
          <w:p w14:paraId="29F8AAB0">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2.其中，有效投标报价算术平均值仅对经评标委员会评审为有效投标的报价中，报价不低于本分包采购预算65%的部分进行计算，报价低于本分包采购预算65%的有效投标报价，不纳入该算术平均值的计算范围。</w:t>
            </w:r>
          </w:p>
          <w:p w14:paraId="15B8C75B">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有效投标人是指通过初步审查合格未被评标委员会否决的投标人。</w:t>
            </w:r>
          </w:p>
          <w:p w14:paraId="7DC22221">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.按无效标处理的投标人的投标报价和评标委员会认为不合理的投标报价均不参与评标基准价的计算。</w:t>
            </w:r>
          </w:p>
          <w:p w14:paraId="683A02C8">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.投标报价的偏差率计算公式：偏差率=100%×（投标人评标价－评标基准价）÷评标基准价。</w:t>
            </w:r>
          </w:p>
          <w:p w14:paraId="45FCB0FB">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.评标报价计算方式：投标人评标得分按以下规则计算：</w:t>
            </w:r>
          </w:p>
          <w:p w14:paraId="6F333B6B">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评标报价低于评标基准价的，每低于1.0%扣0.</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分，该项记分公式为：</w:t>
            </w:r>
          </w:p>
          <w:p w14:paraId="26164226">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K=30-[（Q-q）/Q]×100×0.</w:t>
            </w:r>
            <w:r>
              <w:rPr>
                <w:rFonts w:hint="eastAsia" w:ascii="宋体" w:hAnsi="宋体" w:cs="宋体"/>
                <w:color w:val="auto"/>
                <w:sz w:val="21"/>
                <w:szCs w:val="21"/>
                <w:highlight w:val="none"/>
                <w:lang w:val="en-US" w:eastAsia="zh-CN"/>
              </w:rPr>
              <w:t>1</w:t>
            </w:r>
          </w:p>
          <w:p w14:paraId="49DD965B">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评标报价高于评标基准价的，每高于1.0%扣</w:t>
            </w:r>
            <w:r>
              <w:rPr>
                <w:rFonts w:hint="eastAsia" w:ascii="宋体" w:hAnsi="宋体" w:cs="宋体"/>
                <w:color w:val="auto"/>
                <w:sz w:val="21"/>
                <w:szCs w:val="21"/>
                <w:highlight w:val="none"/>
                <w:lang w:val="en-US" w:eastAsia="zh-CN"/>
              </w:rPr>
              <w:t>0.2</w:t>
            </w:r>
            <w:r>
              <w:rPr>
                <w:rFonts w:hint="eastAsia" w:ascii="宋体" w:hAnsi="宋体" w:eastAsia="宋体" w:cs="宋体"/>
                <w:color w:val="auto"/>
                <w:sz w:val="21"/>
                <w:szCs w:val="21"/>
                <w:highlight w:val="none"/>
                <w:lang w:val="en-US" w:eastAsia="zh-CN"/>
              </w:rPr>
              <w:t>分，该项记分公式为：</w:t>
            </w:r>
          </w:p>
          <w:p w14:paraId="0C7A7C4C">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K=30-[（q-Q）/Q]×100×</w:t>
            </w:r>
            <w:r>
              <w:rPr>
                <w:rFonts w:hint="eastAsia" w:ascii="宋体" w:hAnsi="宋体" w:cs="宋体"/>
                <w:color w:val="auto"/>
                <w:sz w:val="21"/>
                <w:szCs w:val="21"/>
                <w:highlight w:val="none"/>
                <w:lang w:val="en-US" w:eastAsia="zh-CN"/>
              </w:rPr>
              <w:t>0.2</w:t>
            </w:r>
          </w:p>
          <w:p w14:paraId="671ADAFC">
            <w:pPr>
              <w:pStyle w:val="19"/>
              <w:wordWrap/>
              <w:adjustRightInd/>
              <w:snapToGrid/>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K--评标报价得分，q--评标报价，Q--评标基准价</w:t>
            </w:r>
          </w:p>
          <w:p w14:paraId="6599185A">
            <w:pPr>
              <w:pStyle w:val="19"/>
              <w:wordWrap/>
              <w:adjustRightInd/>
              <w:snapToGrid/>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注：报价得分最低为0分。</w:t>
            </w:r>
          </w:p>
        </w:tc>
      </w:tr>
      <w:tr w14:paraId="7F31B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trPr>
        <w:tc>
          <w:tcPr>
            <w:tcW w:w="316" w:type="pct"/>
            <w:vMerge w:val="restart"/>
            <w:vAlign w:val="center"/>
          </w:tcPr>
          <w:p w14:paraId="39F1800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(2)</w:t>
            </w:r>
          </w:p>
        </w:tc>
        <w:tc>
          <w:tcPr>
            <w:tcW w:w="358" w:type="pct"/>
            <w:vMerge w:val="restart"/>
            <w:vAlign w:val="center"/>
          </w:tcPr>
          <w:p w14:paraId="54CBF4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商务评审</w:t>
            </w:r>
          </w:p>
        </w:tc>
        <w:tc>
          <w:tcPr>
            <w:tcW w:w="982" w:type="pct"/>
            <w:vAlign w:val="center"/>
          </w:tcPr>
          <w:p w14:paraId="31B06A0A">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475" w:type="pct"/>
            <w:vAlign w:val="center"/>
          </w:tcPr>
          <w:p w14:paraId="44EF125C">
            <w:pPr>
              <w:pStyle w:val="19"/>
              <w:jc w:val="center"/>
              <w:rPr>
                <w:rFonts w:hint="eastAsia" w:ascii="宋体" w:hAnsi="宋体" w:eastAsia="宋体" w:cs="宋体"/>
                <w:color w:val="auto"/>
                <w:sz w:val="21"/>
                <w:szCs w:val="21"/>
                <w:highlight w:val="none"/>
              </w:rPr>
            </w:pPr>
            <w:r>
              <w:rPr>
                <w:rFonts w:hint="eastAsia" w:ascii="宋体" w:hAnsi="宋体" w:cs="宋体"/>
                <w:strike w:val="0"/>
                <w:dstrike w:val="0"/>
                <w:color w:val="auto"/>
                <w:sz w:val="21"/>
                <w:szCs w:val="21"/>
                <w:highlight w:val="none"/>
                <w:lang w:val="en-US" w:eastAsia="zh-CN"/>
              </w:rPr>
              <w:t>4</w:t>
            </w:r>
          </w:p>
        </w:tc>
        <w:tc>
          <w:tcPr>
            <w:tcW w:w="2866" w:type="pct"/>
            <w:vAlign w:val="center"/>
          </w:tcPr>
          <w:p w14:paraId="0E0B8511">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投标人自202</w:t>
            </w:r>
            <w:r>
              <w:rPr>
                <w:rFonts w:hint="eastAsia" w:ascii="宋体" w:hAnsi="宋体" w:eastAsia="宋体" w:cs="宋体"/>
                <w:color w:val="auto"/>
                <w:spacing w:val="-1"/>
                <w:sz w:val="21"/>
                <w:szCs w:val="21"/>
                <w:highlight w:val="none"/>
                <w:lang w:val="en-US" w:eastAsia="zh-CN"/>
              </w:rPr>
              <w:t>1</w:t>
            </w:r>
            <w:r>
              <w:rPr>
                <w:rFonts w:hint="eastAsia" w:ascii="宋体" w:hAnsi="宋体" w:eastAsia="宋体" w:cs="宋体"/>
                <w:color w:val="auto"/>
                <w:spacing w:val="-1"/>
                <w:sz w:val="21"/>
                <w:szCs w:val="21"/>
                <w:highlight w:val="none"/>
                <w:lang w:val="zh-CN"/>
              </w:rPr>
              <w:t>年</w:t>
            </w:r>
            <w:r>
              <w:rPr>
                <w:rFonts w:hint="eastAsia" w:ascii="宋体" w:hAnsi="宋体" w:eastAsia="宋体" w:cs="宋体"/>
                <w:color w:val="auto"/>
                <w:spacing w:val="-1"/>
                <w:sz w:val="21"/>
                <w:szCs w:val="21"/>
                <w:highlight w:val="none"/>
                <w:lang w:val="en-US" w:eastAsia="zh-CN"/>
              </w:rPr>
              <w:t>1</w:t>
            </w:r>
            <w:r>
              <w:rPr>
                <w:rFonts w:hint="eastAsia" w:ascii="宋体" w:hAnsi="宋体" w:eastAsia="宋体" w:cs="宋体"/>
                <w:color w:val="auto"/>
                <w:spacing w:val="-1"/>
                <w:sz w:val="21"/>
                <w:szCs w:val="21"/>
                <w:highlight w:val="none"/>
                <w:lang w:val="zh-CN"/>
              </w:rPr>
              <w:t>月1日以来</w:t>
            </w:r>
            <w:r>
              <w:rPr>
                <w:rFonts w:hint="eastAsia" w:ascii="宋体" w:hAnsi="宋体" w:cs="宋体"/>
                <w:color w:val="auto"/>
                <w:spacing w:val="-1"/>
                <w:sz w:val="21"/>
                <w:szCs w:val="21"/>
                <w:highlight w:val="none"/>
                <w:lang w:val="en-US" w:eastAsia="zh-CN"/>
              </w:rPr>
              <w:t>至投标截止日前</w:t>
            </w:r>
            <w:r>
              <w:rPr>
                <w:rFonts w:hint="eastAsia" w:ascii="宋体" w:hAnsi="宋体" w:eastAsia="宋体" w:cs="宋体"/>
                <w:color w:val="auto"/>
                <w:spacing w:val="-1"/>
                <w:sz w:val="21"/>
                <w:szCs w:val="21"/>
                <w:highlight w:val="none"/>
                <w:lang w:val="zh-CN"/>
              </w:rPr>
              <w:t>（以合同签订时间为准）：</w:t>
            </w:r>
          </w:p>
          <w:p w14:paraId="21150CBD">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en-US" w:eastAsia="zh-CN"/>
              </w:rPr>
              <w:t>①</w:t>
            </w:r>
            <w:r>
              <w:rPr>
                <w:rFonts w:hint="eastAsia" w:ascii="宋体" w:hAnsi="宋体" w:eastAsia="宋体" w:cs="宋体"/>
                <w:color w:val="auto"/>
                <w:spacing w:val="-1"/>
                <w:sz w:val="21"/>
                <w:szCs w:val="21"/>
                <w:highlight w:val="none"/>
                <w:lang w:val="zh-CN"/>
              </w:rPr>
              <w:t>具有</w:t>
            </w:r>
            <w:r>
              <w:rPr>
                <w:rFonts w:hint="eastAsia" w:ascii="宋体" w:hAnsi="宋体" w:eastAsia="宋体" w:cs="宋体"/>
                <w:color w:val="auto"/>
                <w:spacing w:val="-1"/>
                <w:sz w:val="21"/>
                <w:szCs w:val="21"/>
                <w:highlight w:val="none"/>
                <w:lang w:val="en-US" w:eastAsia="zh-CN"/>
              </w:rPr>
              <w:t>类似</w:t>
            </w:r>
            <w:r>
              <w:rPr>
                <w:rFonts w:hint="eastAsia" w:ascii="宋体" w:hAnsi="宋体" w:eastAsia="宋体" w:cs="宋体"/>
                <w:color w:val="auto"/>
                <w:spacing w:val="-1"/>
                <w:sz w:val="21"/>
                <w:szCs w:val="21"/>
                <w:highlight w:val="none"/>
                <w:lang w:val="zh-CN"/>
              </w:rPr>
              <w:t>养老保险全国统筹项目案例且项目业绩的合同金额1000万元以上的，</w:t>
            </w:r>
            <w:r>
              <w:rPr>
                <w:rFonts w:hint="eastAsia" w:ascii="宋体" w:hAnsi="宋体" w:cs="宋体"/>
                <w:color w:val="auto"/>
                <w:spacing w:val="-1"/>
                <w:sz w:val="21"/>
                <w:szCs w:val="21"/>
                <w:highlight w:val="none"/>
                <w:lang w:val="en-US" w:eastAsia="zh-CN"/>
              </w:rPr>
              <w:t>具备一个类似案例</w:t>
            </w:r>
            <w:r>
              <w:rPr>
                <w:rFonts w:hint="eastAsia" w:ascii="宋体" w:hAnsi="宋体" w:eastAsia="宋体" w:cs="宋体"/>
                <w:color w:val="auto"/>
                <w:spacing w:val="-1"/>
                <w:sz w:val="21"/>
                <w:szCs w:val="21"/>
                <w:highlight w:val="none"/>
                <w:lang w:val="zh-CN"/>
              </w:rPr>
              <w:t>得</w:t>
            </w:r>
            <w:r>
              <w:rPr>
                <w:rFonts w:hint="eastAsia" w:ascii="宋体" w:hAnsi="宋体" w:cs="宋体"/>
                <w:color w:val="auto"/>
                <w:spacing w:val="-1"/>
                <w:sz w:val="21"/>
                <w:szCs w:val="21"/>
                <w:highlight w:val="none"/>
                <w:lang w:val="en-US" w:eastAsia="zh-CN"/>
              </w:rPr>
              <w:t>1分，最多得2分</w:t>
            </w:r>
            <w:r>
              <w:rPr>
                <w:rFonts w:hint="eastAsia" w:ascii="宋体" w:hAnsi="宋体" w:eastAsia="宋体" w:cs="宋体"/>
                <w:color w:val="auto"/>
                <w:spacing w:val="-1"/>
                <w:sz w:val="21"/>
                <w:szCs w:val="21"/>
                <w:highlight w:val="none"/>
                <w:lang w:val="zh-CN"/>
              </w:rPr>
              <w:t>；</w:t>
            </w:r>
          </w:p>
          <w:p w14:paraId="60E40150">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en-US" w:eastAsia="zh-CN"/>
              </w:rPr>
              <w:t>②</w:t>
            </w:r>
            <w:r>
              <w:rPr>
                <w:rFonts w:hint="eastAsia" w:ascii="宋体" w:hAnsi="宋体" w:eastAsia="宋体" w:cs="宋体"/>
                <w:strike w:val="0"/>
                <w:color w:val="auto"/>
                <w:spacing w:val="-1"/>
                <w:sz w:val="21"/>
                <w:szCs w:val="21"/>
                <w:highlight w:val="none"/>
                <w:lang w:val="zh-CN"/>
              </w:rPr>
              <w:t>具有</w:t>
            </w:r>
            <w:r>
              <w:rPr>
                <w:rFonts w:hint="eastAsia" w:ascii="宋体" w:hAnsi="宋体" w:eastAsia="宋体" w:cs="宋体"/>
                <w:color w:val="auto"/>
                <w:spacing w:val="-1"/>
                <w:sz w:val="21"/>
                <w:szCs w:val="21"/>
                <w:highlight w:val="none"/>
                <w:lang w:val="zh-CN"/>
              </w:rPr>
              <w:t>一个</w:t>
            </w:r>
            <w:r>
              <w:rPr>
                <w:rFonts w:hint="eastAsia" w:ascii="宋体" w:hAnsi="宋体" w:cs="宋体"/>
                <w:strike w:val="0"/>
                <w:color w:val="auto"/>
                <w:spacing w:val="-1"/>
                <w:sz w:val="21"/>
                <w:szCs w:val="21"/>
                <w:highlight w:val="none"/>
                <w:u w:val="none"/>
                <w:lang w:val="en-US" w:eastAsia="zh-CN"/>
              </w:rPr>
              <w:t>类似</w:t>
            </w:r>
            <w:r>
              <w:rPr>
                <w:rFonts w:hint="eastAsia" w:ascii="宋体" w:hAnsi="宋体" w:eastAsia="宋体" w:cs="宋体"/>
                <w:color w:val="auto"/>
                <w:spacing w:val="-1"/>
                <w:sz w:val="21"/>
                <w:szCs w:val="21"/>
                <w:highlight w:val="none"/>
                <w:lang w:val="zh-CN"/>
              </w:rPr>
              <w:t>全险种业务进部级业务中台项目案例的，得1分；</w:t>
            </w:r>
          </w:p>
          <w:p w14:paraId="2528A3AD">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en-US" w:eastAsia="zh-CN"/>
              </w:rPr>
              <w:t>③</w:t>
            </w:r>
            <w:r>
              <w:rPr>
                <w:rFonts w:hint="eastAsia" w:ascii="宋体" w:hAnsi="宋体" w:eastAsia="宋体" w:cs="宋体"/>
                <w:color w:val="auto"/>
                <w:spacing w:val="-1"/>
                <w:sz w:val="21"/>
                <w:szCs w:val="21"/>
                <w:highlight w:val="none"/>
                <w:lang w:val="zh-CN"/>
              </w:rPr>
              <w:t>具有类似智慧决策分析风控项目案例的，得1分；</w:t>
            </w:r>
          </w:p>
          <w:p w14:paraId="04BE83B2">
            <w:pPr>
              <w:pStyle w:val="1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注：须提供合同</w:t>
            </w:r>
            <w:r>
              <w:rPr>
                <w:rFonts w:hint="eastAsia" w:ascii="宋体" w:hAnsi="宋体" w:eastAsia="宋体" w:cs="宋体"/>
                <w:b/>
                <w:bCs/>
                <w:color w:val="auto"/>
                <w:sz w:val="21"/>
                <w:szCs w:val="21"/>
                <w:highlight w:val="none"/>
                <w:lang w:val="en-US" w:eastAsia="zh-CN"/>
              </w:rPr>
              <w:t>或</w:t>
            </w:r>
            <w:r>
              <w:rPr>
                <w:rFonts w:hint="eastAsia" w:ascii="宋体" w:hAnsi="宋体" w:eastAsia="宋体" w:cs="宋体"/>
                <w:b/>
                <w:bCs/>
                <w:color w:val="auto"/>
                <w:sz w:val="21"/>
                <w:szCs w:val="21"/>
                <w:highlight w:val="none"/>
              </w:rPr>
              <w:t>协议复印件（时间以合同或协议签订时间为准）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同一项目案例</w:t>
            </w:r>
            <w:r>
              <w:rPr>
                <w:rFonts w:hint="eastAsia" w:ascii="宋体" w:hAnsi="宋体" w:cs="宋体"/>
                <w:b/>
                <w:bCs/>
                <w:color w:val="auto"/>
                <w:sz w:val="21"/>
                <w:szCs w:val="21"/>
                <w:highlight w:val="none"/>
                <w:lang w:val="en-US" w:eastAsia="zh-CN"/>
              </w:rPr>
              <w:t>、同一法人业绩</w:t>
            </w:r>
            <w:r>
              <w:rPr>
                <w:rFonts w:hint="eastAsia" w:ascii="宋体" w:hAnsi="宋体" w:eastAsia="宋体" w:cs="宋体"/>
                <w:b/>
                <w:bCs/>
                <w:color w:val="auto"/>
                <w:sz w:val="21"/>
                <w:szCs w:val="21"/>
                <w:highlight w:val="none"/>
                <w:lang w:val="en-US" w:eastAsia="zh-CN"/>
              </w:rPr>
              <w:t>不重复计算，提供项目合同关键页复印件并加盖投标人公章，业绩证明材料需包含合同名称、签订双方名称、签订时间、双方盖章页、第①项主要合同名称及技术内容应包含“养老保险全国统筹</w:t>
            </w:r>
            <w:r>
              <w:rPr>
                <w:rFonts w:hint="eastAsia" w:ascii="宋体" w:hAnsi="宋体" w:cs="宋体"/>
                <w:b/>
                <w:bCs/>
                <w:color w:val="auto"/>
                <w:sz w:val="21"/>
                <w:szCs w:val="21"/>
                <w:highlight w:val="none"/>
                <w:lang w:val="en-US" w:eastAsia="zh-CN"/>
              </w:rPr>
              <w:t>/全险种业务进部中台</w:t>
            </w:r>
            <w:r>
              <w:rPr>
                <w:rFonts w:hint="eastAsia" w:ascii="宋体" w:hAnsi="宋体" w:eastAsia="宋体" w:cs="宋体"/>
                <w:b/>
                <w:bCs/>
                <w:color w:val="auto"/>
                <w:sz w:val="21"/>
                <w:szCs w:val="21"/>
                <w:highlight w:val="none"/>
                <w:lang w:val="en-US" w:eastAsia="zh-CN"/>
              </w:rPr>
              <w:t>”相关</w:t>
            </w:r>
            <w:r>
              <w:rPr>
                <w:rFonts w:hint="eastAsia" w:ascii="宋体" w:hAnsi="宋体" w:cs="宋体"/>
                <w:b/>
                <w:bCs/>
                <w:color w:val="auto"/>
                <w:sz w:val="21"/>
                <w:szCs w:val="21"/>
                <w:highlight w:val="none"/>
                <w:lang w:val="en-US" w:eastAsia="zh-CN"/>
              </w:rPr>
              <w:t>类似</w:t>
            </w:r>
            <w:r>
              <w:rPr>
                <w:rFonts w:hint="eastAsia" w:ascii="宋体" w:hAnsi="宋体" w:eastAsia="宋体" w:cs="宋体"/>
                <w:b/>
                <w:bCs/>
                <w:color w:val="auto"/>
                <w:sz w:val="21"/>
                <w:szCs w:val="21"/>
                <w:highlight w:val="none"/>
                <w:lang w:val="en-US" w:eastAsia="zh-CN"/>
              </w:rPr>
              <w:t>内容/第②</w:t>
            </w:r>
            <w:r>
              <w:rPr>
                <w:rFonts w:hint="eastAsia" w:ascii="宋体" w:hAnsi="宋体" w:eastAsia="宋体" w:cs="宋体"/>
                <w:color w:val="auto"/>
                <w:spacing w:val="-1"/>
                <w:sz w:val="21"/>
                <w:szCs w:val="21"/>
                <w:highlight w:val="none"/>
                <w:lang w:val="zh-CN"/>
              </w:rPr>
              <w:t>项主</w:t>
            </w:r>
            <w:r>
              <w:rPr>
                <w:rFonts w:hint="eastAsia" w:ascii="宋体" w:hAnsi="宋体" w:eastAsia="宋体" w:cs="宋体"/>
                <w:strike w:val="0"/>
                <w:dstrike w:val="0"/>
                <w:color w:val="auto"/>
                <w:spacing w:val="-1"/>
                <w:sz w:val="21"/>
                <w:szCs w:val="21"/>
                <w:highlight w:val="none"/>
                <w:lang w:val="zh-CN"/>
              </w:rPr>
              <w:t>要合同名称及技术内容应包含“全险种业务进部中台”相关类似内容</w:t>
            </w:r>
            <w:r>
              <w:rPr>
                <w:rFonts w:hint="eastAsia" w:ascii="宋体" w:hAnsi="宋体" w:eastAsia="宋体" w:cs="宋体"/>
                <w:b/>
                <w:bCs/>
                <w:color w:val="auto"/>
                <w:sz w:val="21"/>
                <w:szCs w:val="21"/>
                <w:highlight w:val="none"/>
                <w:lang w:val="en-US" w:eastAsia="zh-CN"/>
              </w:rPr>
              <w:t>/第③项主要合同名称及技术内容应包含“智慧决策分析</w:t>
            </w:r>
            <w:r>
              <w:rPr>
                <w:rFonts w:hint="eastAsia" w:ascii="宋体" w:hAnsi="宋体" w:cs="宋体"/>
                <w:b/>
                <w:bCs/>
                <w:color w:val="auto"/>
                <w:sz w:val="21"/>
                <w:szCs w:val="21"/>
                <w:highlight w:val="none"/>
                <w:lang w:val="en-US" w:eastAsia="zh-CN"/>
              </w:rPr>
              <w:t>或</w:t>
            </w:r>
            <w:r>
              <w:rPr>
                <w:rFonts w:hint="eastAsia" w:ascii="宋体" w:hAnsi="宋体" w:eastAsia="宋体" w:cs="宋体"/>
                <w:b/>
                <w:bCs/>
                <w:color w:val="auto"/>
                <w:sz w:val="21"/>
                <w:szCs w:val="21"/>
                <w:highlight w:val="none"/>
                <w:lang w:val="en-US" w:eastAsia="zh-CN"/>
              </w:rPr>
              <w:t>风控”相关</w:t>
            </w:r>
            <w:r>
              <w:rPr>
                <w:rFonts w:hint="eastAsia" w:ascii="宋体" w:hAnsi="宋体" w:cs="宋体"/>
                <w:b/>
                <w:bCs/>
                <w:color w:val="auto"/>
                <w:sz w:val="21"/>
                <w:szCs w:val="21"/>
                <w:highlight w:val="none"/>
                <w:lang w:val="en-US" w:eastAsia="zh-CN"/>
              </w:rPr>
              <w:t>类似</w:t>
            </w:r>
            <w:r>
              <w:rPr>
                <w:rFonts w:hint="eastAsia" w:ascii="宋体" w:hAnsi="宋体" w:eastAsia="宋体" w:cs="宋体"/>
                <w:b/>
                <w:bCs/>
                <w:color w:val="auto"/>
                <w:sz w:val="21"/>
                <w:szCs w:val="21"/>
                <w:highlight w:val="none"/>
                <w:lang w:val="en-US" w:eastAsia="zh-CN"/>
              </w:rPr>
              <w:t>内容/</w:t>
            </w:r>
            <w:r>
              <w:rPr>
                <w:rFonts w:hint="eastAsia" w:ascii="宋体" w:hAnsi="宋体" w:eastAsia="宋体" w:cs="宋体"/>
                <w:b/>
                <w:bCs/>
                <w:color w:val="auto"/>
                <w:sz w:val="21"/>
                <w:szCs w:val="21"/>
                <w:highlight w:val="none"/>
              </w:rPr>
              <w:t>。</w:t>
            </w:r>
          </w:p>
        </w:tc>
      </w:tr>
      <w:tr w14:paraId="7F7AB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continue"/>
            <w:vAlign w:val="center"/>
          </w:tcPr>
          <w:p w14:paraId="2D4E309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01D45C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6ACE7811">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企业资质</w:t>
            </w:r>
          </w:p>
        </w:tc>
        <w:tc>
          <w:tcPr>
            <w:tcW w:w="475" w:type="pct"/>
            <w:vAlign w:val="center"/>
          </w:tcPr>
          <w:p w14:paraId="0C53D006">
            <w:pPr>
              <w:pStyle w:val="19"/>
              <w:jc w:val="center"/>
              <w:rPr>
                <w:rFonts w:hint="eastAsia" w:ascii="宋体" w:hAnsi="宋体" w:eastAsia="宋体" w:cs="宋体"/>
                <w:color w:val="auto"/>
                <w:sz w:val="21"/>
                <w:szCs w:val="21"/>
                <w:highlight w:val="none"/>
              </w:rPr>
            </w:pPr>
            <w:r>
              <w:rPr>
                <w:rFonts w:hint="eastAsia" w:ascii="宋体" w:hAnsi="宋体" w:cs="宋体"/>
                <w:strike w:val="0"/>
                <w:dstrike w:val="0"/>
                <w:color w:val="auto"/>
                <w:sz w:val="21"/>
                <w:szCs w:val="21"/>
                <w:highlight w:val="none"/>
                <w:lang w:val="en-US" w:eastAsia="zh-CN"/>
              </w:rPr>
              <w:t>8</w:t>
            </w:r>
          </w:p>
        </w:tc>
        <w:tc>
          <w:tcPr>
            <w:tcW w:w="2866" w:type="pct"/>
            <w:vAlign w:val="center"/>
          </w:tcPr>
          <w:p w14:paraId="2FC50BF2">
            <w:pPr>
              <w:pStyle w:val="19"/>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1.投标人具有有效的中国网络安全审查认证和市场监管大数据中心颁发的信息系统安全集成服务资质证书，</w:t>
            </w:r>
            <w:r>
              <w:rPr>
                <w:rFonts w:hint="eastAsia"/>
                <w:color w:val="auto"/>
                <w:highlight w:val="none"/>
              </w:rPr>
              <w:t>壹级的得2分，贰级的得1分，叁级及以下得0.5分</w:t>
            </w:r>
            <w:r>
              <w:rPr>
                <w:rFonts w:hint="eastAsia"/>
                <w:color w:val="auto"/>
                <w:highlight w:val="none"/>
                <w:lang w:eastAsia="zh-CN"/>
              </w:rPr>
              <w:t>，</w:t>
            </w:r>
            <w:r>
              <w:rPr>
                <w:rFonts w:hint="eastAsia"/>
                <w:color w:val="auto"/>
                <w:highlight w:val="none"/>
                <w:lang w:val="en-US" w:eastAsia="zh-CN"/>
              </w:rPr>
              <w:t>未提供不得分。</w:t>
            </w:r>
          </w:p>
          <w:p w14:paraId="7DD44566">
            <w:pPr>
              <w:pStyle w:val="19"/>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2.投标人具有有效的ITSS信息技术服务运行维护标准符合性证书，成熟度等级壹级的得</w:t>
            </w:r>
            <w:r>
              <w:rPr>
                <w:rFonts w:hint="eastAsia" w:ascii="宋体" w:hAnsi="宋体" w:cs="宋体"/>
                <w:color w:val="auto"/>
                <w:spacing w:val="-1"/>
                <w:sz w:val="21"/>
                <w:szCs w:val="21"/>
                <w:highlight w:val="none"/>
                <w:lang w:val="en-US" w:eastAsia="zh-CN"/>
              </w:rPr>
              <w:t>1</w:t>
            </w:r>
            <w:r>
              <w:rPr>
                <w:rFonts w:hint="eastAsia" w:ascii="宋体" w:hAnsi="宋体" w:eastAsia="宋体" w:cs="宋体"/>
                <w:color w:val="auto"/>
                <w:spacing w:val="-1"/>
                <w:sz w:val="21"/>
                <w:szCs w:val="21"/>
                <w:highlight w:val="none"/>
                <w:lang w:val="en-US" w:eastAsia="zh-CN"/>
              </w:rPr>
              <w:t>分，成熟度等级贰级的得</w:t>
            </w:r>
            <w:r>
              <w:rPr>
                <w:rFonts w:hint="eastAsia" w:ascii="宋体" w:hAnsi="宋体" w:cs="宋体"/>
                <w:color w:val="auto"/>
                <w:spacing w:val="-1"/>
                <w:sz w:val="21"/>
                <w:szCs w:val="21"/>
                <w:highlight w:val="none"/>
                <w:lang w:val="en-US" w:eastAsia="zh-CN"/>
              </w:rPr>
              <w:t>0.5</w:t>
            </w:r>
            <w:r>
              <w:rPr>
                <w:rFonts w:hint="eastAsia" w:ascii="宋体" w:hAnsi="宋体" w:eastAsia="宋体" w:cs="宋体"/>
                <w:color w:val="auto"/>
                <w:spacing w:val="-1"/>
                <w:sz w:val="21"/>
                <w:szCs w:val="21"/>
                <w:highlight w:val="none"/>
                <w:lang w:val="en-US" w:eastAsia="zh-CN"/>
              </w:rPr>
              <w:t>分，成熟度等级叁级及以下</w:t>
            </w:r>
            <w:r>
              <w:rPr>
                <w:rFonts w:hint="eastAsia" w:ascii="宋体" w:hAnsi="宋体" w:cs="宋体"/>
                <w:color w:val="auto"/>
                <w:spacing w:val="-1"/>
                <w:sz w:val="21"/>
                <w:szCs w:val="21"/>
                <w:highlight w:val="none"/>
                <w:lang w:val="en-US" w:eastAsia="zh-CN"/>
              </w:rPr>
              <w:t>或</w:t>
            </w:r>
            <w:r>
              <w:rPr>
                <w:rFonts w:hint="eastAsia" w:ascii="宋体" w:hAnsi="宋体" w:eastAsia="宋体" w:cs="宋体"/>
                <w:color w:val="auto"/>
                <w:spacing w:val="-1"/>
                <w:sz w:val="21"/>
                <w:szCs w:val="21"/>
                <w:highlight w:val="none"/>
                <w:lang w:val="en-US" w:eastAsia="zh-CN"/>
              </w:rPr>
              <w:t>未提供不得分。</w:t>
            </w:r>
          </w:p>
          <w:p w14:paraId="7F1417DC">
            <w:pPr>
              <w:pStyle w:val="19"/>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3.投标人具有国产化信息系统集成和服务能力等级证书（如LS证书或其他权威机构颁发的同类国产化能力证明）达到LS4级或同等最高等级的，得1分，达到LS3级或同等良好等级的，得0.5分</w:t>
            </w:r>
            <w:r>
              <w:rPr>
                <w:rFonts w:hint="eastAsia" w:ascii="宋体" w:hAnsi="宋体" w:cs="宋体"/>
                <w:color w:val="auto"/>
                <w:spacing w:val="-1"/>
                <w:sz w:val="21"/>
                <w:szCs w:val="21"/>
                <w:highlight w:val="none"/>
                <w:lang w:val="en-US" w:eastAsia="zh-CN"/>
              </w:rPr>
              <w:t>，未提供不得分</w:t>
            </w:r>
            <w:r>
              <w:rPr>
                <w:rFonts w:hint="eastAsia" w:ascii="宋体" w:hAnsi="宋体" w:eastAsia="宋体" w:cs="宋体"/>
                <w:color w:val="auto"/>
                <w:spacing w:val="-1"/>
                <w:sz w:val="21"/>
                <w:szCs w:val="21"/>
                <w:highlight w:val="none"/>
                <w:lang w:val="en-US" w:eastAsia="zh-CN"/>
              </w:rPr>
              <w:t>。</w:t>
            </w:r>
          </w:p>
          <w:p w14:paraId="585A8AF6">
            <w:pPr>
              <w:pStyle w:val="19"/>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4.投标人具备信创数智技术服务能力评估</w:t>
            </w:r>
            <w:r>
              <w:rPr>
                <w:rFonts w:hint="eastAsia" w:ascii="宋体" w:hAnsi="宋体" w:cs="宋体"/>
                <w:color w:val="auto"/>
                <w:spacing w:val="-1"/>
                <w:sz w:val="21"/>
                <w:szCs w:val="21"/>
                <w:highlight w:val="none"/>
                <w:lang w:val="en-US" w:eastAsia="zh-CN"/>
              </w:rPr>
              <w:t>（</w:t>
            </w:r>
            <w:r>
              <w:rPr>
                <w:rFonts w:hint="eastAsia" w:ascii="宋体" w:hAnsi="宋体" w:eastAsia="宋体" w:cs="宋体"/>
                <w:color w:val="auto"/>
                <w:spacing w:val="-1"/>
                <w:sz w:val="21"/>
                <w:szCs w:val="21"/>
                <w:highlight w:val="none"/>
                <w:lang w:val="en-US" w:eastAsia="zh-CN"/>
              </w:rPr>
              <w:t>数字化转型服务能力、数据服务能力、智能化应用服务能力</w:t>
            </w:r>
            <w:r>
              <w:rPr>
                <w:rFonts w:hint="eastAsia" w:ascii="宋体" w:hAnsi="宋体" w:cs="宋体"/>
                <w:color w:val="auto"/>
                <w:spacing w:val="-1"/>
                <w:sz w:val="21"/>
                <w:szCs w:val="21"/>
                <w:highlight w:val="none"/>
                <w:lang w:val="en-US" w:eastAsia="zh-CN"/>
              </w:rPr>
              <w:t>）</w:t>
            </w:r>
            <w:r>
              <w:rPr>
                <w:rFonts w:hint="eastAsia" w:ascii="宋体" w:hAnsi="宋体" w:eastAsia="宋体" w:cs="宋体"/>
                <w:color w:val="auto"/>
                <w:spacing w:val="-1"/>
                <w:sz w:val="21"/>
                <w:szCs w:val="21"/>
                <w:highlight w:val="none"/>
                <w:lang w:val="en-US" w:eastAsia="zh-CN"/>
              </w:rPr>
              <w:t>证书</w:t>
            </w:r>
            <w:r>
              <w:rPr>
                <w:rFonts w:hint="eastAsia" w:ascii="宋体" w:hAnsi="宋体" w:cs="宋体"/>
                <w:color w:val="auto"/>
                <w:spacing w:val="-1"/>
                <w:sz w:val="21"/>
                <w:szCs w:val="21"/>
                <w:highlight w:val="none"/>
                <w:lang w:val="en-US" w:eastAsia="zh-CN"/>
              </w:rPr>
              <w:t>（证书获取时间需在本项目招标公告发布时间之前）</w:t>
            </w:r>
            <w:r>
              <w:rPr>
                <w:rFonts w:hint="eastAsia" w:ascii="宋体" w:hAnsi="宋体" w:eastAsia="宋体" w:cs="宋体"/>
                <w:color w:val="auto"/>
                <w:spacing w:val="-1"/>
                <w:sz w:val="21"/>
                <w:szCs w:val="21"/>
                <w:highlight w:val="none"/>
                <w:lang w:val="en-US" w:eastAsia="zh-CN"/>
              </w:rPr>
              <w:t>，每提供1个能力的证书得1分，最多得</w:t>
            </w:r>
            <w:r>
              <w:rPr>
                <w:rFonts w:hint="eastAsia" w:ascii="宋体" w:hAnsi="宋体" w:cs="宋体"/>
                <w:color w:val="auto"/>
                <w:spacing w:val="-1"/>
                <w:sz w:val="21"/>
                <w:szCs w:val="21"/>
                <w:highlight w:val="none"/>
                <w:lang w:val="en-US" w:eastAsia="zh-CN"/>
              </w:rPr>
              <w:t>2</w:t>
            </w:r>
            <w:r>
              <w:rPr>
                <w:rFonts w:hint="eastAsia" w:ascii="宋体" w:hAnsi="宋体" w:eastAsia="宋体" w:cs="宋体"/>
                <w:color w:val="auto"/>
                <w:spacing w:val="-1"/>
                <w:sz w:val="21"/>
                <w:szCs w:val="21"/>
                <w:highlight w:val="none"/>
                <w:lang w:val="en-US" w:eastAsia="zh-CN"/>
              </w:rPr>
              <w:t>分。</w:t>
            </w:r>
          </w:p>
          <w:p w14:paraId="18842887">
            <w:pPr>
              <w:pStyle w:val="19"/>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lang w:val="en-US" w:eastAsia="zh-CN"/>
              </w:rPr>
              <w:t>5.投标人具有有效的CSMM软件能力成熟度证书或DCMM数据管理能力成熟度证书或CS信息系统建设和服务能力等级证书，四级及以上的得2分，三级的得1.5分，二级及以下的得1分，未提供不得分。</w:t>
            </w:r>
          </w:p>
          <w:p w14:paraId="2648FA95">
            <w:pPr>
              <w:pStyle w:val="19"/>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lang w:val="en-US" w:eastAsia="zh-CN"/>
              </w:rPr>
              <w:t>注：须提供有效期内的证书复印件并加盖投标人公章。</w:t>
            </w:r>
          </w:p>
        </w:tc>
      </w:tr>
      <w:tr w14:paraId="4F1B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continue"/>
            <w:vAlign w:val="center"/>
          </w:tcPr>
          <w:p w14:paraId="5A74BB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5C086B7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72D3ADF3">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项目管理团队人员</w:t>
            </w:r>
          </w:p>
        </w:tc>
        <w:tc>
          <w:tcPr>
            <w:tcW w:w="475" w:type="pct"/>
            <w:vAlign w:val="center"/>
          </w:tcPr>
          <w:p w14:paraId="43A0EA96">
            <w:pPr>
              <w:keepNext w:val="0"/>
              <w:keepLines w:val="0"/>
              <w:pageBreakBefore w:val="0"/>
              <w:kinsoku/>
              <w:wordWrap/>
              <w:overflowPunct/>
              <w:topLinePunct w:val="0"/>
              <w:autoSpaceDE/>
              <w:autoSpaceDN/>
              <w:bidi w:val="0"/>
              <w:spacing w:line="288"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p>
        </w:tc>
        <w:tc>
          <w:tcPr>
            <w:tcW w:w="2866" w:type="pct"/>
            <w:vAlign w:val="center"/>
          </w:tcPr>
          <w:p w14:paraId="22AFBB19">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投入本项目管理团队应包括1名项目经理，1名技术负责人：</w:t>
            </w:r>
          </w:p>
          <w:p w14:paraId="174135AC">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1、项目经理1名：</w:t>
            </w:r>
          </w:p>
          <w:p w14:paraId="36707BE5">
            <w:pPr>
              <w:pStyle w:val="19"/>
              <w:rPr>
                <w:rFonts w:hint="eastAsia" w:ascii="宋体" w:hAnsi="宋体" w:eastAsia="宋体" w:cs="宋体"/>
                <w:color w:val="auto"/>
                <w:spacing w:val="-1"/>
                <w:sz w:val="21"/>
                <w:szCs w:val="21"/>
                <w:highlight w:val="none"/>
                <w:lang w:val="zh-CN"/>
              </w:rPr>
            </w:pPr>
            <w:r>
              <w:rPr>
                <w:rFonts w:hint="eastAsia" w:ascii="宋体" w:hAnsi="宋体" w:cs="宋体"/>
                <w:color w:val="auto"/>
                <w:spacing w:val="-1"/>
                <w:sz w:val="21"/>
                <w:szCs w:val="21"/>
                <w:highlight w:val="none"/>
                <w:lang w:val="en-US" w:eastAsia="zh-CN"/>
              </w:rPr>
              <w:t>必须</w:t>
            </w:r>
            <w:r>
              <w:rPr>
                <w:rFonts w:hint="eastAsia" w:ascii="宋体" w:hAnsi="宋体" w:eastAsia="宋体" w:cs="宋体"/>
                <w:color w:val="auto"/>
                <w:spacing w:val="-1"/>
                <w:sz w:val="21"/>
                <w:szCs w:val="21"/>
                <w:highlight w:val="none"/>
                <w:lang w:val="zh-CN"/>
              </w:rPr>
              <w:t>具备信息系统项目管理师证书</w:t>
            </w:r>
            <w:r>
              <w:rPr>
                <w:rFonts w:hint="eastAsia" w:ascii="宋体" w:hAnsi="宋体" w:cs="宋体"/>
                <w:color w:val="auto"/>
                <w:spacing w:val="-1"/>
                <w:sz w:val="21"/>
                <w:szCs w:val="21"/>
                <w:highlight w:val="none"/>
                <w:lang w:val="zh-CN"/>
              </w:rPr>
              <w:t>（</w:t>
            </w:r>
            <w:r>
              <w:rPr>
                <w:rFonts w:hint="eastAsia" w:ascii="宋体" w:hAnsi="宋体" w:cs="宋体"/>
                <w:color w:val="auto"/>
                <w:spacing w:val="-1"/>
                <w:sz w:val="21"/>
                <w:szCs w:val="21"/>
                <w:highlight w:val="none"/>
                <w:lang w:val="en-US" w:eastAsia="zh-CN"/>
              </w:rPr>
              <w:t>高级</w:t>
            </w:r>
            <w:r>
              <w:rPr>
                <w:rFonts w:hint="eastAsia" w:ascii="宋体" w:hAnsi="宋体" w:cs="宋体"/>
                <w:color w:val="auto"/>
                <w:spacing w:val="-1"/>
                <w:sz w:val="21"/>
                <w:szCs w:val="21"/>
                <w:highlight w:val="none"/>
                <w:lang w:val="zh-CN"/>
              </w:rPr>
              <w:t>）</w:t>
            </w:r>
            <w:r>
              <w:rPr>
                <w:rFonts w:hint="eastAsia"/>
                <w:color w:val="auto"/>
                <w:highlight w:val="none"/>
                <w:lang w:eastAsia="zh-CN"/>
              </w:rPr>
              <w:t>，</w:t>
            </w:r>
            <w:r>
              <w:rPr>
                <w:rFonts w:hint="eastAsia"/>
                <w:color w:val="auto"/>
                <w:highlight w:val="none"/>
                <w:lang w:val="en-US" w:eastAsia="zh-CN"/>
              </w:rPr>
              <w:t>不具备此项不得分。</w:t>
            </w:r>
          </w:p>
          <w:p w14:paraId="720BCEEF">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w:t>
            </w:r>
            <w:r>
              <w:rPr>
                <w:rFonts w:hint="eastAsia" w:ascii="宋体" w:hAnsi="宋体" w:eastAsia="宋体" w:cs="宋体"/>
                <w:color w:val="auto"/>
                <w:spacing w:val="-1"/>
                <w:sz w:val="21"/>
                <w:szCs w:val="21"/>
                <w:highlight w:val="none"/>
                <w:lang w:val="en-US" w:eastAsia="zh-CN"/>
              </w:rPr>
              <w:t>1</w:t>
            </w:r>
            <w:r>
              <w:rPr>
                <w:rFonts w:hint="eastAsia" w:ascii="宋体" w:hAnsi="宋体" w:eastAsia="宋体" w:cs="宋体"/>
                <w:color w:val="auto"/>
                <w:spacing w:val="-1"/>
                <w:sz w:val="21"/>
                <w:szCs w:val="21"/>
                <w:highlight w:val="none"/>
                <w:lang w:val="zh-CN"/>
              </w:rPr>
              <w:t>）具备①</w:t>
            </w:r>
            <w:r>
              <w:rPr>
                <w:rFonts w:hint="eastAsia" w:ascii="宋体" w:hAnsi="宋体" w:cs="宋体"/>
                <w:color w:val="auto"/>
                <w:spacing w:val="-1"/>
                <w:sz w:val="21"/>
                <w:szCs w:val="21"/>
                <w:highlight w:val="none"/>
                <w:lang w:val="en-US" w:eastAsia="zh-CN"/>
              </w:rPr>
              <w:t>具有系统架构设计师</w:t>
            </w:r>
            <w:r>
              <w:rPr>
                <w:rFonts w:hint="eastAsia" w:ascii="宋体" w:hAnsi="宋体" w:eastAsia="宋体" w:cs="宋体"/>
                <w:color w:val="auto"/>
                <w:spacing w:val="-1"/>
                <w:sz w:val="21"/>
                <w:szCs w:val="21"/>
                <w:highlight w:val="none"/>
                <w:lang w:val="zh-CN"/>
              </w:rPr>
              <w:t>（高级）</w:t>
            </w:r>
            <w:r>
              <w:rPr>
                <w:rFonts w:hint="eastAsia" w:ascii="宋体" w:hAnsi="宋体" w:cs="宋体"/>
                <w:color w:val="auto"/>
                <w:spacing w:val="-1"/>
                <w:sz w:val="21"/>
                <w:szCs w:val="21"/>
                <w:highlight w:val="none"/>
                <w:lang w:val="en-US" w:eastAsia="zh-CN"/>
              </w:rPr>
              <w:t>证书、②</w:t>
            </w:r>
            <w:r>
              <w:rPr>
                <w:rFonts w:hint="eastAsia" w:ascii="宋体" w:hAnsi="宋体" w:eastAsia="宋体" w:cs="宋体"/>
                <w:color w:val="auto"/>
                <w:spacing w:val="-1"/>
                <w:sz w:val="21"/>
                <w:szCs w:val="21"/>
                <w:highlight w:val="none"/>
                <w:lang w:val="zh-CN"/>
              </w:rPr>
              <w:t>系统分析师（高级）</w:t>
            </w:r>
            <w:r>
              <w:rPr>
                <w:rFonts w:hint="eastAsia" w:ascii="宋体" w:hAnsi="宋体" w:eastAsia="宋体" w:cs="宋体"/>
                <w:color w:val="auto"/>
                <w:spacing w:val="-1"/>
                <w:sz w:val="21"/>
                <w:szCs w:val="21"/>
                <w:highlight w:val="none"/>
                <w:lang w:val="en-US" w:eastAsia="zh-CN"/>
              </w:rPr>
              <w:t>证书</w:t>
            </w:r>
            <w:r>
              <w:rPr>
                <w:rFonts w:hint="eastAsia" w:ascii="宋体" w:hAnsi="宋体" w:cs="宋体"/>
                <w:color w:val="auto"/>
                <w:spacing w:val="-1"/>
                <w:sz w:val="21"/>
                <w:szCs w:val="21"/>
                <w:highlight w:val="none"/>
                <w:lang w:val="en-US" w:eastAsia="zh-CN"/>
              </w:rPr>
              <w:t>，</w:t>
            </w:r>
            <w:r>
              <w:rPr>
                <w:rFonts w:hint="eastAsia" w:ascii="宋体" w:hAnsi="宋体" w:eastAsia="宋体" w:cs="宋体"/>
                <w:color w:val="auto"/>
                <w:spacing w:val="-1"/>
                <w:sz w:val="21"/>
                <w:szCs w:val="21"/>
                <w:highlight w:val="none"/>
                <w:lang w:val="zh-CN"/>
              </w:rPr>
              <w:t>以上证书</w:t>
            </w:r>
            <w:r>
              <w:rPr>
                <w:rFonts w:hint="eastAsia" w:ascii="宋体" w:hAnsi="宋体" w:cs="宋体"/>
                <w:color w:val="auto"/>
                <w:spacing w:val="-1"/>
                <w:sz w:val="21"/>
                <w:szCs w:val="21"/>
                <w:highlight w:val="none"/>
                <w:lang w:val="en-US" w:eastAsia="zh-CN"/>
              </w:rPr>
              <w:t>满足1项</w:t>
            </w:r>
            <w:r>
              <w:rPr>
                <w:rFonts w:hint="eastAsia" w:ascii="宋体" w:hAnsi="宋体" w:eastAsia="宋体" w:cs="宋体"/>
                <w:color w:val="auto"/>
                <w:spacing w:val="-1"/>
                <w:sz w:val="21"/>
                <w:szCs w:val="21"/>
                <w:highlight w:val="none"/>
                <w:lang w:val="en-US" w:eastAsia="zh-CN"/>
              </w:rPr>
              <w:t>得</w:t>
            </w:r>
            <w:r>
              <w:rPr>
                <w:rFonts w:hint="eastAsia" w:ascii="宋体" w:hAnsi="宋体" w:cs="宋体"/>
                <w:color w:val="auto"/>
                <w:spacing w:val="-1"/>
                <w:sz w:val="21"/>
                <w:szCs w:val="21"/>
                <w:highlight w:val="none"/>
                <w:lang w:val="en-US" w:eastAsia="zh-CN"/>
              </w:rPr>
              <w:t>1.5</w:t>
            </w:r>
            <w:r>
              <w:rPr>
                <w:rFonts w:hint="eastAsia" w:ascii="宋体" w:hAnsi="宋体" w:eastAsia="宋体" w:cs="宋体"/>
                <w:color w:val="auto"/>
                <w:spacing w:val="-1"/>
                <w:sz w:val="21"/>
                <w:szCs w:val="21"/>
                <w:highlight w:val="none"/>
                <w:lang w:val="en-US" w:eastAsia="zh-CN"/>
              </w:rPr>
              <w:t>分，</w:t>
            </w:r>
            <w:r>
              <w:rPr>
                <w:rFonts w:hint="eastAsia" w:ascii="宋体" w:hAnsi="宋体" w:cs="宋体"/>
                <w:color w:val="auto"/>
                <w:spacing w:val="-1"/>
                <w:sz w:val="21"/>
                <w:szCs w:val="21"/>
                <w:highlight w:val="none"/>
                <w:lang w:val="en-US" w:eastAsia="zh-CN"/>
              </w:rPr>
              <w:t>最多得3分，不提供不得分</w:t>
            </w:r>
            <w:r>
              <w:rPr>
                <w:rFonts w:hint="eastAsia" w:ascii="宋体" w:hAnsi="宋体" w:eastAsia="宋体" w:cs="宋体"/>
                <w:color w:val="auto"/>
                <w:spacing w:val="-1"/>
                <w:sz w:val="21"/>
                <w:szCs w:val="21"/>
                <w:highlight w:val="none"/>
                <w:lang w:val="zh-CN"/>
              </w:rPr>
              <w:t>。</w:t>
            </w:r>
          </w:p>
          <w:p w14:paraId="729C7F53">
            <w:pPr>
              <w:pStyle w:val="19"/>
              <w:rPr>
                <w:rFonts w:hint="eastAsia" w:ascii="宋体" w:hAnsi="宋体" w:eastAsia="宋体" w:cs="宋体"/>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2、技术负责人1名：</w:t>
            </w:r>
          </w:p>
          <w:p w14:paraId="050A255E">
            <w:pPr>
              <w:pStyle w:val="19"/>
              <w:rPr>
                <w:rFonts w:hint="eastAsia" w:ascii="宋体" w:hAnsi="宋体" w:eastAsia="宋体" w:cs="宋体"/>
                <w:strike/>
                <w:dstrike w:val="0"/>
                <w:color w:val="auto"/>
                <w:spacing w:val="-1"/>
                <w:sz w:val="21"/>
                <w:szCs w:val="21"/>
                <w:highlight w:val="none"/>
                <w:lang w:val="zh-CN"/>
              </w:rPr>
            </w:pPr>
            <w:r>
              <w:rPr>
                <w:rFonts w:hint="eastAsia" w:ascii="宋体" w:hAnsi="宋体" w:eastAsia="宋体" w:cs="宋体"/>
                <w:color w:val="auto"/>
                <w:spacing w:val="-1"/>
                <w:sz w:val="21"/>
                <w:szCs w:val="21"/>
                <w:highlight w:val="none"/>
                <w:lang w:val="zh-CN"/>
              </w:rPr>
              <w:t>（</w:t>
            </w:r>
            <w:r>
              <w:rPr>
                <w:rFonts w:hint="eastAsia" w:ascii="宋体" w:hAnsi="宋体" w:eastAsia="宋体" w:cs="宋体"/>
                <w:color w:val="auto"/>
                <w:spacing w:val="-1"/>
                <w:sz w:val="21"/>
                <w:szCs w:val="21"/>
                <w:highlight w:val="none"/>
                <w:lang w:val="en-US" w:eastAsia="zh-CN"/>
              </w:rPr>
              <w:t>1</w:t>
            </w:r>
            <w:r>
              <w:rPr>
                <w:rFonts w:hint="eastAsia" w:ascii="宋体" w:hAnsi="宋体" w:eastAsia="宋体" w:cs="宋体"/>
                <w:color w:val="auto"/>
                <w:spacing w:val="-1"/>
                <w:sz w:val="21"/>
                <w:szCs w:val="21"/>
                <w:highlight w:val="none"/>
                <w:lang w:val="zh-CN"/>
              </w:rPr>
              <w:t>）具备由人社部、工信部认证的全国计算机技术与软件专业技术资格（水平）证书①</w:t>
            </w:r>
            <w:r>
              <w:rPr>
                <w:rFonts w:hint="eastAsia" w:ascii="宋体" w:hAnsi="宋体" w:cs="宋体"/>
                <w:color w:val="auto"/>
                <w:spacing w:val="-1"/>
                <w:sz w:val="21"/>
                <w:szCs w:val="21"/>
                <w:highlight w:val="none"/>
                <w:lang w:val="en-US" w:eastAsia="zh-CN"/>
              </w:rPr>
              <w:t>具有</w:t>
            </w:r>
            <w:r>
              <w:rPr>
                <w:rFonts w:hint="eastAsia" w:ascii="宋体" w:hAnsi="宋体" w:eastAsia="宋体" w:cs="宋体"/>
                <w:color w:val="auto"/>
                <w:spacing w:val="-1"/>
                <w:sz w:val="21"/>
                <w:szCs w:val="21"/>
                <w:highlight w:val="none"/>
                <w:lang w:val="zh-CN"/>
              </w:rPr>
              <w:t>系统分析师（高级）</w:t>
            </w:r>
            <w:r>
              <w:rPr>
                <w:rFonts w:hint="eastAsia" w:ascii="宋体" w:hAnsi="宋体" w:cs="宋体"/>
                <w:color w:val="auto"/>
                <w:spacing w:val="-1"/>
                <w:sz w:val="21"/>
                <w:szCs w:val="21"/>
                <w:highlight w:val="none"/>
                <w:lang w:val="en-US" w:eastAsia="zh-CN"/>
              </w:rPr>
              <w:t>证书</w:t>
            </w:r>
            <w:r>
              <w:rPr>
                <w:rFonts w:hint="eastAsia" w:ascii="宋体" w:hAnsi="宋体" w:eastAsia="宋体" w:cs="宋体"/>
                <w:color w:val="auto"/>
                <w:spacing w:val="-1"/>
                <w:sz w:val="21"/>
                <w:szCs w:val="21"/>
                <w:highlight w:val="none"/>
                <w:lang w:val="zh-CN"/>
              </w:rPr>
              <w:t>、②</w:t>
            </w:r>
            <w:r>
              <w:rPr>
                <w:rFonts w:hint="eastAsia" w:ascii="宋体" w:hAnsi="宋体" w:cs="宋体"/>
                <w:color w:val="auto"/>
                <w:spacing w:val="-1"/>
                <w:sz w:val="21"/>
                <w:szCs w:val="21"/>
                <w:highlight w:val="none"/>
                <w:lang w:val="en-US" w:eastAsia="zh-CN"/>
              </w:rPr>
              <w:t>具有</w:t>
            </w:r>
            <w:r>
              <w:rPr>
                <w:rFonts w:hint="eastAsia" w:ascii="宋体" w:hAnsi="宋体" w:eastAsia="宋体" w:cs="宋体"/>
                <w:color w:val="auto"/>
                <w:spacing w:val="-1"/>
                <w:sz w:val="21"/>
                <w:szCs w:val="21"/>
                <w:highlight w:val="none"/>
                <w:lang w:val="zh-CN"/>
              </w:rPr>
              <w:t>系统架构设计师（高级）认证证书。以上证书</w:t>
            </w:r>
            <w:r>
              <w:rPr>
                <w:rFonts w:hint="eastAsia" w:ascii="宋体" w:hAnsi="宋体" w:cs="宋体"/>
                <w:color w:val="auto"/>
                <w:spacing w:val="-1"/>
                <w:sz w:val="21"/>
                <w:szCs w:val="21"/>
                <w:highlight w:val="none"/>
                <w:lang w:val="en-US" w:eastAsia="zh-CN"/>
              </w:rPr>
              <w:t>满足1项</w:t>
            </w:r>
            <w:r>
              <w:rPr>
                <w:rFonts w:hint="eastAsia" w:ascii="宋体" w:hAnsi="宋体" w:eastAsia="宋体" w:cs="宋体"/>
                <w:color w:val="auto"/>
                <w:spacing w:val="-1"/>
                <w:sz w:val="21"/>
                <w:szCs w:val="21"/>
                <w:highlight w:val="none"/>
                <w:lang w:val="en-US" w:eastAsia="zh-CN"/>
              </w:rPr>
              <w:t>得</w:t>
            </w:r>
            <w:r>
              <w:rPr>
                <w:rFonts w:hint="eastAsia" w:ascii="宋体" w:hAnsi="宋体" w:cs="宋体"/>
                <w:color w:val="auto"/>
                <w:spacing w:val="-1"/>
                <w:sz w:val="21"/>
                <w:szCs w:val="21"/>
                <w:highlight w:val="none"/>
                <w:lang w:val="en-US" w:eastAsia="zh-CN"/>
              </w:rPr>
              <w:t>1.5</w:t>
            </w:r>
            <w:r>
              <w:rPr>
                <w:rFonts w:hint="eastAsia" w:ascii="宋体" w:hAnsi="宋体" w:eastAsia="宋体" w:cs="宋体"/>
                <w:color w:val="auto"/>
                <w:spacing w:val="-1"/>
                <w:sz w:val="21"/>
                <w:szCs w:val="21"/>
                <w:highlight w:val="none"/>
                <w:lang w:val="en-US" w:eastAsia="zh-CN"/>
              </w:rPr>
              <w:t>分，</w:t>
            </w:r>
            <w:r>
              <w:rPr>
                <w:rFonts w:hint="eastAsia" w:ascii="宋体" w:hAnsi="宋体" w:cs="宋体"/>
                <w:color w:val="auto"/>
                <w:spacing w:val="-1"/>
                <w:sz w:val="21"/>
                <w:szCs w:val="21"/>
                <w:highlight w:val="none"/>
                <w:lang w:val="en-US" w:eastAsia="zh-CN"/>
              </w:rPr>
              <w:t>最多得3分，不提供不得分</w:t>
            </w:r>
            <w:r>
              <w:rPr>
                <w:rFonts w:hint="eastAsia" w:ascii="宋体" w:hAnsi="宋体" w:eastAsia="宋体" w:cs="宋体"/>
                <w:color w:val="auto"/>
                <w:spacing w:val="-1"/>
                <w:sz w:val="21"/>
                <w:szCs w:val="21"/>
                <w:highlight w:val="none"/>
                <w:lang w:val="zh-CN"/>
              </w:rPr>
              <w:t>。</w:t>
            </w:r>
          </w:p>
          <w:p w14:paraId="4495B417">
            <w:pPr>
              <w:pStyle w:val="19"/>
              <w:rPr>
                <w:rFonts w:hint="eastAsia" w:ascii="宋体" w:hAnsi="宋体" w:eastAsia="宋体" w:cs="宋体"/>
                <w:color w:val="auto"/>
                <w:sz w:val="21"/>
                <w:szCs w:val="21"/>
                <w:highlight w:val="none"/>
              </w:rPr>
            </w:pPr>
            <w:r>
              <w:rPr>
                <w:rFonts w:hint="eastAsia" w:ascii="宋体" w:hAnsi="宋体" w:eastAsia="宋体" w:cs="宋体"/>
                <w:b/>
                <w:bCs/>
                <w:color w:val="auto"/>
                <w:spacing w:val="-1"/>
                <w:sz w:val="21"/>
                <w:szCs w:val="21"/>
                <w:highlight w:val="none"/>
                <w:lang w:val="zh-CN" w:eastAsia="zh-CN"/>
              </w:rPr>
              <w:t>注：</w:t>
            </w:r>
            <w:r>
              <w:rPr>
                <w:rFonts w:hint="eastAsia" w:ascii="宋体" w:hAnsi="宋体" w:eastAsia="宋体" w:cs="宋体"/>
                <w:b/>
                <w:bCs/>
                <w:color w:val="auto"/>
                <w:spacing w:val="-1"/>
                <w:sz w:val="21"/>
                <w:szCs w:val="21"/>
                <w:highlight w:val="none"/>
                <w:lang w:val="zh-CN"/>
              </w:rPr>
              <w:t>须提供相关个人简历、项目合同关键页复印件、</w:t>
            </w:r>
            <w:r>
              <w:rPr>
                <w:rFonts w:hint="eastAsia" w:ascii="宋体" w:hAnsi="宋体" w:eastAsia="宋体" w:cs="宋体"/>
                <w:b/>
                <w:bCs/>
                <w:color w:val="auto"/>
                <w:spacing w:val="-1"/>
                <w:sz w:val="21"/>
                <w:szCs w:val="21"/>
                <w:highlight w:val="none"/>
                <w:lang w:val="en-US" w:eastAsia="zh-CN"/>
              </w:rPr>
              <w:t>相关</w:t>
            </w:r>
            <w:r>
              <w:rPr>
                <w:rFonts w:hint="eastAsia" w:ascii="宋体" w:hAnsi="宋体" w:eastAsia="宋体" w:cs="宋体"/>
                <w:b/>
                <w:bCs/>
                <w:color w:val="auto"/>
                <w:spacing w:val="-1"/>
                <w:sz w:val="21"/>
                <w:szCs w:val="21"/>
                <w:highlight w:val="none"/>
                <w:lang w:val="zh-CN"/>
              </w:rPr>
              <w:t>证书或证明扫描件</w:t>
            </w:r>
            <w:r>
              <w:rPr>
                <w:rFonts w:hint="eastAsia" w:ascii="宋体" w:hAnsi="宋体" w:eastAsia="宋体" w:cs="宋体"/>
                <w:b/>
                <w:bCs/>
                <w:color w:val="auto"/>
                <w:spacing w:val="-1"/>
                <w:sz w:val="21"/>
                <w:szCs w:val="21"/>
                <w:highlight w:val="none"/>
                <w:lang w:val="en-US" w:eastAsia="zh-CN"/>
              </w:rPr>
              <w:t>并加盖公章，自投标文件递交截止时间前推6个月中的任意3个月投标人为其缴纳社保的证明材料复印件或扫描件并加盖公章。</w:t>
            </w:r>
          </w:p>
        </w:tc>
      </w:tr>
      <w:tr w14:paraId="61A0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continue"/>
            <w:vAlign w:val="center"/>
          </w:tcPr>
          <w:p w14:paraId="60AC7DA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4F9AC13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41799744">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项目实施团队人员</w:t>
            </w:r>
          </w:p>
        </w:tc>
        <w:tc>
          <w:tcPr>
            <w:tcW w:w="475" w:type="pct"/>
            <w:vAlign w:val="center"/>
          </w:tcPr>
          <w:p w14:paraId="70AF9F6F">
            <w:pPr>
              <w:keepNext w:val="0"/>
              <w:keepLines w:val="0"/>
              <w:pageBreakBefore w:val="0"/>
              <w:kinsoku/>
              <w:wordWrap/>
              <w:overflowPunct/>
              <w:topLinePunct w:val="0"/>
              <w:autoSpaceDE/>
              <w:autoSpaceDN/>
              <w:bidi w:val="0"/>
              <w:spacing w:line="288"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p>
        </w:tc>
        <w:tc>
          <w:tcPr>
            <w:tcW w:w="2866" w:type="pct"/>
            <w:vAlign w:val="center"/>
          </w:tcPr>
          <w:p w14:paraId="1FF2F2CF">
            <w:pPr>
              <w:pStyle w:val="19"/>
              <w:rPr>
                <w:rFonts w:hint="eastAsia" w:ascii="宋体" w:hAnsi="宋体" w:eastAsia="宋体" w:cs="宋体"/>
                <w:color w:val="auto"/>
                <w:spacing w:val="-1"/>
                <w:sz w:val="21"/>
                <w:szCs w:val="21"/>
                <w:highlight w:val="none"/>
                <w:lang w:val="zh-CN" w:eastAsia="zh-CN"/>
              </w:rPr>
            </w:pPr>
            <w:r>
              <w:rPr>
                <w:rFonts w:hint="eastAsia" w:ascii="宋体" w:hAnsi="宋体" w:eastAsia="宋体" w:cs="宋体"/>
                <w:color w:val="auto"/>
                <w:spacing w:val="-1"/>
                <w:sz w:val="21"/>
                <w:szCs w:val="21"/>
                <w:highlight w:val="none"/>
                <w:lang w:val="zh-CN" w:eastAsia="zh-CN"/>
              </w:rPr>
              <w:t>拟投入本项目其他人员（除项目经理，技术负责人外），承诺派驻现场开发实施的人员不少于58人，其中项目开发实施人员不少于48人、数据整理及迁移人员不少于10人。在此基础上：</w:t>
            </w:r>
          </w:p>
          <w:p w14:paraId="3FC765C8">
            <w:pPr>
              <w:pStyle w:val="19"/>
              <w:rPr>
                <w:rFonts w:hint="eastAsia" w:ascii="宋体" w:hAnsi="宋体" w:eastAsia="宋体" w:cs="宋体"/>
                <w:color w:val="auto"/>
                <w:spacing w:val="-1"/>
                <w:sz w:val="21"/>
                <w:szCs w:val="21"/>
                <w:highlight w:val="none"/>
                <w:lang w:val="zh-CN" w:eastAsia="zh-CN"/>
              </w:rPr>
            </w:pPr>
            <w:r>
              <w:rPr>
                <w:rFonts w:hint="eastAsia" w:ascii="宋体" w:hAnsi="宋体" w:eastAsia="宋体" w:cs="宋体"/>
                <w:color w:val="auto"/>
                <w:spacing w:val="-1"/>
                <w:sz w:val="21"/>
                <w:szCs w:val="21"/>
                <w:highlight w:val="none"/>
                <w:lang w:val="zh-CN" w:eastAsia="zh-CN"/>
              </w:rPr>
              <w:t>（1）具备计算机技术与软件专业技术资格（水平）的①信息系统项目管理师（高级）、②系统规划与管理师（高级）、③系统架构设计师（高级）、④系统分析师（高级），每提供1类证书得0.5分，最多得</w:t>
            </w:r>
            <w:r>
              <w:rPr>
                <w:rFonts w:hint="eastAsia" w:ascii="宋体" w:hAnsi="宋体" w:cs="宋体"/>
                <w:color w:val="auto"/>
                <w:spacing w:val="-1"/>
                <w:sz w:val="21"/>
                <w:szCs w:val="21"/>
                <w:highlight w:val="none"/>
                <w:lang w:val="en-US" w:eastAsia="zh-CN"/>
              </w:rPr>
              <w:t>6</w:t>
            </w:r>
            <w:r>
              <w:rPr>
                <w:rFonts w:hint="eastAsia" w:ascii="宋体" w:hAnsi="宋体" w:eastAsia="宋体" w:cs="宋体"/>
                <w:color w:val="auto"/>
                <w:spacing w:val="-1"/>
                <w:sz w:val="21"/>
                <w:szCs w:val="21"/>
                <w:highlight w:val="none"/>
                <w:lang w:val="zh-CN" w:eastAsia="zh-CN"/>
              </w:rPr>
              <w:t>分，不提供不得分。</w:t>
            </w:r>
          </w:p>
          <w:p w14:paraId="4DF67E29">
            <w:pPr>
              <w:pStyle w:val="19"/>
              <w:rPr>
                <w:rFonts w:hint="eastAsia" w:ascii="宋体" w:hAnsi="宋体" w:eastAsia="宋体" w:cs="宋体"/>
                <w:color w:val="auto"/>
                <w:spacing w:val="-1"/>
                <w:sz w:val="21"/>
                <w:szCs w:val="21"/>
                <w:highlight w:val="none"/>
                <w:lang w:val="zh-CN" w:eastAsia="zh-CN"/>
              </w:rPr>
            </w:pPr>
            <w:r>
              <w:rPr>
                <w:rFonts w:hint="eastAsia" w:ascii="宋体" w:hAnsi="宋体" w:eastAsia="宋体" w:cs="宋体"/>
                <w:color w:val="auto"/>
                <w:spacing w:val="-1"/>
                <w:sz w:val="21"/>
                <w:szCs w:val="21"/>
                <w:highlight w:val="none"/>
                <w:lang w:val="zh-CN" w:eastAsia="zh-CN"/>
              </w:rPr>
              <w:t>（2）具备计算机技术与软件专业技术资格（水平）的①软件设计师（中级）、②数据库系统工程师（中级）、③系统集成项目管理工程师（中级）、④软件评测师（中级）、⑤信息安全工程师（中级）、⑥网络工程师证书；每提供1类证书得0.3分，最多得6分，不提供不得分。</w:t>
            </w:r>
          </w:p>
          <w:p w14:paraId="4A2E0981">
            <w:pPr>
              <w:pStyle w:val="19"/>
              <w:rPr>
                <w:rFonts w:hint="default" w:ascii="宋体" w:hAnsi="宋体" w:eastAsia="宋体" w:cs="宋体"/>
                <w:color w:val="auto"/>
                <w:sz w:val="21"/>
                <w:szCs w:val="21"/>
                <w:highlight w:val="none"/>
                <w:lang w:val="en-US"/>
              </w:rPr>
            </w:pPr>
            <w:r>
              <w:rPr>
                <w:rFonts w:hint="eastAsia" w:ascii="宋体" w:hAnsi="宋体" w:eastAsia="宋体" w:cs="宋体"/>
                <w:b/>
                <w:bCs/>
                <w:color w:val="auto"/>
                <w:spacing w:val="-1"/>
                <w:sz w:val="21"/>
                <w:szCs w:val="21"/>
                <w:highlight w:val="none"/>
                <w:lang w:val="en-US" w:eastAsia="zh-CN"/>
              </w:rPr>
              <w:t>注：</w:t>
            </w:r>
            <w:r>
              <w:rPr>
                <w:rFonts w:hint="eastAsia" w:ascii="宋体" w:hAnsi="宋体" w:eastAsia="宋体" w:cs="宋体"/>
                <w:b/>
                <w:bCs/>
                <w:color w:val="auto"/>
                <w:spacing w:val="-1"/>
                <w:sz w:val="21"/>
                <w:szCs w:val="21"/>
                <w:highlight w:val="none"/>
                <w:lang w:val="zh-CN" w:eastAsia="zh-CN"/>
              </w:rPr>
              <w:t>同一人员只算一类证书，提供相关资质证书复印件及</w:t>
            </w:r>
            <w:r>
              <w:rPr>
                <w:rFonts w:hint="eastAsia" w:ascii="宋体" w:hAnsi="宋体" w:eastAsia="宋体" w:cs="宋体"/>
                <w:b/>
                <w:bCs/>
                <w:color w:val="auto"/>
                <w:kern w:val="2"/>
                <w:sz w:val="21"/>
                <w:szCs w:val="21"/>
                <w:highlight w:val="none"/>
                <w:lang w:val="en-US" w:eastAsia="zh-CN" w:bidi="ar-SA"/>
              </w:rPr>
              <w:t>自投标文件递交截止时间前推6个月中的任意3个月投标人为其缴纳社保的证明材料复印件或扫描件并加盖公章</w:t>
            </w:r>
            <w:r>
              <w:rPr>
                <w:rFonts w:hint="eastAsia" w:ascii="宋体" w:hAnsi="宋体" w:eastAsia="宋体" w:cs="宋体"/>
                <w:b/>
                <w:bCs/>
                <w:color w:val="auto"/>
                <w:spacing w:val="-1"/>
                <w:sz w:val="21"/>
                <w:szCs w:val="21"/>
                <w:highlight w:val="none"/>
                <w:lang w:val="zh-CN" w:eastAsia="zh-CN"/>
              </w:rPr>
              <w:t>，未提供不得分</w:t>
            </w:r>
            <w:r>
              <w:rPr>
                <w:rFonts w:hint="eastAsia" w:ascii="宋体" w:hAnsi="宋体" w:cs="宋体"/>
                <w:b/>
                <w:bCs/>
                <w:color w:val="auto"/>
                <w:spacing w:val="-1"/>
                <w:sz w:val="21"/>
                <w:szCs w:val="21"/>
                <w:highlight w:val="none"/>
                <w:lang w:val="zh-CN" w:eastAsia="zh-CN"/>
              </w:rPr>
              <w:t>。</w:t>
            </w:r>
          </w:p>
        </w:tc>
      </w:tr>
      <w:tr w14:paraId="4626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continue"/>
            <w:vAlign w:val="center"/>
          </w:tcPr>
          <w:p w14:paraId="5AF4291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28CEB5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0A87D88B">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项目驻场运维团队</w:t>
            </w:r>
          </w:p>
        </w:tc>
        <w:tc>
          <w:tcPr>
            <w:tcW w:w="475" w:type="pct"/>
            <w:vAlign w:val="center"/>
          </w:tcPr>
          <w:p w14:paraId="0F4BFF84">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p>
        </w:tc>
        <w:tc>
          <w:tcPr>
            <w:tcW w:w="2866" w:type="pct"/>
            <w:vAlign w:val="center"/>
          </w:tcPr>
          <w:p w14:paraId="77603E2A">
            <w:pPr>
              <w:pStyle w:val="1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项目首年服务不少于30人，后续服务不少于20人。其中至少10人须为原项目组开发人员或者实施人员，人员由客户指定，中标人不得随意变更，如需变更需客户同意，在此基础上：</w:t>
            </w:r>
          </w:p>
          <w:p w14:paraId="4B869B69">
            <w:pPr>
              <w:pStyle w:val="1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（1）选</w:t>
            </w:r>
            <w:r>
              <w:rPr>
                <w:rFonts w:hint="eastAsia" w:ascii="宋体" w:hAnsi="宋体" w:eastAsia="宋体" w:cs="宋体"/>
                <w:color w:val="auto"/>
                <w:kern w:val="2"/>
                <w:sz w:val="21"/>
                <w:szCs w:val="21"/>
                <w:highlight w:val="none"/>
                <w:lang w:val="en-US" w:eastAsia="zh-CN" w:bidi="ar-SA"/>
              </w:rPr>
              <w:t>派本项目的运维组组长①具有由人社部、工信部认证的全国计算机技术与软件专业技术资格（水平）证书信息系统项目管理师(高级)证书、</w:t>
            </w:r>
            <w:r>
              <w:rPr>
                <w:rFonts w:hint="eastAsia" w:ascii="宋体" w:hAnsi="宋体" w:cs="宋体"/>
                <w:color w:val="auto"/>
                <w:kern w:val="2"/>
                <w:sz w:val="21"/>
                <w:szCs w:val="21"/>
                <w:highlight w:val="none"/>
                <w:lang w:val="en-US" w:eastAsia="zh-CN" w:bidi="ar-SA"/>
              </w:rPr>
              <w:t>②系统分析师（高级）证书。</w:t>
            </w:r>
            <w:r>
              <w:rPr>
                <w:rFonts w:hint="eastAsia" w:ascii="宋体" w:hAnsi="宋体" w:eastAsia="宋体" w:cs="宋体"/>
                <w:color w:val="auto"/>
                <w:kern w:val="2"/>
                <w:sz w:val="21"/>
                <w:szCs w:val="21"/>
                <w:highlight w:val="none"/>
                <w:lang w:val="en-US" w:eastAsia="zh-CN" w:bidi="ar-SA"/>
              </w:rPr>
              <w:t>以</w:t>
            </w:r>
            <w:r>
              <w:rPr>
                <w:rFonts w:hint="eastAsia" w:ascii="宋体" w:hAnsi="宋体" w:cs="宋体"/>
                <w:color w:val="auto"/>
                <w:kern w:val="2"/>
                <w:sz w:val="21"/>
                <w:szCs w:val="21"/>
                <w:highlight w:val="none"/>
                <w:lang w:val="en-US" w:eastAsia="zh-CN" w:bidi="ar-SA"/>
              </w:rPr>
              <w:t>上各</w:t>
            </w:r>
            <w:r>
              <w:rPr>
                <w:rFonts w:hint="eastAsia" w:ascii="宋体" w:hAnsi="宋体" w:eastAsia="宋体" w:cs="宋体"/>
                <w:color w:val="auto"/>
                <w:kern w:val="2"/>
                <w:sz w:val="21"/>
                <w:szCs w:val="21"/>
                <w:highlight w:val="none"/>
                <w:lang w:val="en-US" w:eastAsia="zh-CN" w:bidi="ar-SA"/>
              </w:rPr>
              <w:t>项证书有一项得</w:t>
            </w:r>
            <w:r>
              <w:rPr>
                <w:rFonts w:hint="eastAsia" w:ascii="宋体" w:hAnsi="宋体" w:cs="宋体"/>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分，最多</w:t>
            </w:r>
            <w:r>
              <w:rPr>
                <w:rFonts w:hint="eastAsia" w:ascii="宋体" w:hAnsi="宋体" w:cs="宋体"/>
                <w:color w:val="auto"/>
                <w:kern w:val="2"/>
                <w:sz w:val="21"/>
                <w:szCs w:val="21"/>
                <w:highlight w:val="none"/>
                <w:lang w:val="en-US" w:eastAsia="zh-CN" w:bidi="ar-SA"/>
              </w:rPr>
              <w:t>得1</w:t>
            </w:r>
            <w:r>
              <w:rPr>
                <w:rFonts w:hint="eastAsia" w:ascii="宋体" w:hAnsi="宋体" w:eastAsia="宋体" w:cs="宋体"/>
                <w:color w:val="auto"/>
                <w:kern w:val="2"/>
                <w:sz w:val="21"/>
                <w:szCs w:val="21"/>
                <w:highlight w:val="none"/>
                <w:lang w:val="en-US" w:eastAsia="zh-CN" w:bidi="ar-SA"/>
              </w:rPr>
              <w:t>分。</w:t>
            </w:r>
          </w:p>
          <w:p w14:paraId="6B1DBF9C">
            <w:pPr>
              <w:pStyle w:val="1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（2）选</w:t>
            </w:r>
            <w:r>
              <w:rPr>
                <w:rFonts w:hint="eastAsia" w:ascii="宋体" w:hAnsi="宋体" w:eastAsia="宋体" w:cs="宋体"/>
                <w:color w:val="auto"/>
                <w:kern w:val="2"/>
                <w:sz w:val="21"/>
                <w:szCs w:val="21"/>
                <w:highlight w:val="none"/>
                <w:lang w:val="en-US" w:eastAsia="zh-CN" w:bidi="ar-SA"/>
              </w:rPr>
              <w:t>派本项目的运维</w:t>
            </w:r>
            <w:r>
              <w:rPr>
                <w:rFonts w:hint="eastAsia" w:ascii="宋体" w:hAnsi="宋体" w:cs="宋体"/>
                <w:color w:val="auto"/>
                <w:kern w:val="2"/>
                <w:sz w:val="21"/>
                <w:szCs w:val="21"/>
                <w:highlight w:val="none"/>
                <w:lang w:val="en-US" w:eastAsia="zh-CN" w:bidi="ar-SA"/>
              </w:rPr>
              <w:t>其他成员（运维组组长除外），</w:t>
            </w:r>
            <w:r>
              <w:rPr>
                <w:rFonts w:hint="eastAsia" w:ascii="宋体" w:hAnsi="宋体" w:eastAsia="宋体" w:cs="宋体"/>
                <w:color w:val="auto"/>
                <w:kern w:val="2"/>
                <w:sz w:val="21"/>
                <w:szCs w:val="21"/>
                <w:highlight w:val="none"/>
                <w:lang w:val="en-US" w:eastAsia="zh-CN" w:bidi="ar-SA"/>
              </w:rPr>
              <w:t>具有由人社部、工信部认证的全国计算机技术与软件专业技术资格（水平）证书</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①</w:t>
            </w:r>
            <w:r>
              <w:rPr>
                <w:rFonts w:hint="eastAsia" w:ascii="宋体" w:hAnsi="宋体" w:cs="宋体"/>
                <w:color w:val="auto"/>
                <w:kern w:val="2"/>
                <w:sz w:val="21"/>
                <w:szCs w:val="21"/>
                <w:highlight w:val="none"/>
                <w:lang w:val="en-US" w:eastAsia="zh-CN" w:bidi="ar-SA"/>
              </w:rPr>
              <w:t>软件设计师（中级）、②数据库系统工程师（中级）、③信息安全工程师（中级）、</w:t>
            </w:r>
            <w:r>
              <w:rPr>
                <w:rFonts w:hint="eastAsia" w:ascii="宋体" w:hAnsi="宋体" w:eastAsia="宋体" w:cs="宋体"/>
                <w:color w:val="auto"/>
                <w:spacing w:val="-1"/>
                <w:sz w:val="21"/>
                <w:szCs w:val="21"/>
                <w:highlight w:val="none"/>
                <w:lang w:val="zh-CN" w:eastAsia="zh-CN"/>
              </w:rPr>
              <w:t>④</w:t>
            </w:r>
            <w:r>
              <w:rPr>
                <w:rFonts w:hint="eastAsia" w:ascii="宋体" w:hAnsi="宋体" w:cs="宋体"/>
                <w:color w:val="auto"/>
                <w:kern w:val="2"/>
                <w:sz w:val="21"/>
                <w:szCs w:val="21"/>
                <w:highlight w:val="none"/>
                <w:lang w:val="en-US" w:eastAsia="zh-CN" w:bidi="ar-SA"/>
              </w:rPr>
              <w:t>软件评测师（中级），</w:t>
            </w:r>
            <w:r>
              <w:rPr>
                <w:rFonts w:hint="eastAsia" w:ascii="宋体" w:hAnsi="宋体" w:eastAsia="宋体" w:cs="宋体"/>
                <w:color w:val="auto"/>
                <w:kern w:val="2"/>
                <w:sz w:val="21"/>
                <w:szCs w:val="21"/>
                <w:highlight w:val="none"/>
                <w:lang w:val="en-US" w:eastAsia="zh-CN" w:bidi="ar-SA"/>
              </w:rPr>
              <w:t>以</w:t>
            </w:r>
            <w:r>
              <w:rPr>
                <w:rFonts w:hint="eastAsia" w:ascii="宋体" w:hAnsi="宋体" w:cs="宋体"/>
                <w:color w:val="auto"/>
                <w:kern w:val="2"/>
                <w:sz w:val="21"/>
                <w:szCs w:val="21"/>
                <w:highlight w:val="none"/>
                <w:lang w:val="en-US" w:eastAsia="zh-CN" w:bidi="ar-SA"/>
              </w:rPr>
              <w:t>上各</w:t>
            </w:r>
            <w:r>
              <w:rPr>
                <w:rFonts w:hint="eastAsia" w:ascii="宋体" w:hAnsi="宋体" w:eastAsia="宋体" w:cs="宋体"/>
                <w:color w:val="auto"/>
                <w:kern w:val="2"/>
                <w:sz w:val="21"/>
                <w:szCs w:val="21"/>
                <w:highlight w:val="none"/>
                <w:lang w:val="en-US" w:eastAsia="zh-CN" w:bidi="ar-SA"/>
              </w:rPr>
              <w:t>项证书有一项得</w:t>
            </w:r>
            <w:r>
              <w:rPr>
                <w:rFonts w:hint="eastAsia" w:ascii="宋体" w:hAnsi="宋体" w:cs="宋体"/>
                <w:color w:val="auto"/>
                <w:kern w:val="2"/>
                <w:sz w:val="21"/>
                <w:szCs w:val="21"/>
                <w:highlight w:val="none"/>
                <w:lang w:val="en-US" w:eastAsia="zh-CN" w:bidi="ar-SA"/>
              </w:rPr>
              <w:t>0.5</w:t>
            </w:r>
            <w:r>
              <w:rPr>
                <w:rFonts w:hint="eastAsia" w:ascii="宋体" w:hAnsi="宋体" w:eastAsia="宋体" w:cs="宋体"/>
                <w:color w:val="auto"/>
                <w:kern w:val="2"/>
                <w:sz w:val="21"/>
                <w:szCs w:val="21"/>
                <w:highlight w:val="none"/>
                <w:lang w:val="en-US" w:eastAsia="zh-CN" w:bidi="ar-SA"/>
              </w:rPr>
              <w:t>分，最多</w:t>
            </w:r>
            <w:r>
              <w:rPr>
                <w:rFonts w:hint="eastAsia" w:ascii="宋体" w:hAnsi="宋体" w:cs="宋体"/>
                <w:color w:val="auto"/>
                <w:kern w:val="2"/>
                <w:sz w:val="21"/>
                <w:szCs w:val="21"/>
                <w:highlight w:val="none"/>
                <w:lang w:val="en-US" w:eastAsia="zh-CN" w:bidi="ar-SA"/>
              </w:rPr>
              <w:t>得2</w:t>
            </w:r>
            <w:r>
              <w:rPr>
                <w:rFonts w:hint="eastAsia" w:ascii="宋体" w:hAnsi="宋体" w:eastAsia="宋体" w:cs="宋体"/>
                <w:color w:val="auto"/>
                <w:kern w:val="2"/>
                <w:sz w:val="21"/>
                <w:szCs w:val="21"/>
                <w:highlight w:val="none"/>
                <w:lang w:val="en-US" w:eastAsia="zh-CN" w:bidi="ar-SA"/>
              </w:rPr>
              <w:t>分</w:t>
            </w:r>
            <w:r>
              <w:rPr>
                <w:rFonts w:hint="eastAsia" w:ascii="宋体" w:hAnsi="宋体" w:eastAsia="宋体" w:cs="宋体"/>
                <w:color w:val="auto"/>
                <w:spacing w:val="-1"/>
                <w:sz w:val="21"/>
                <w:szCs w:val="21"/>
                <w:highlight w:val="none"/>
                <w:lang w:val="zh-CN" w:eastAsia="zh-CN"/>
              </w:rPr>
              <w:t>。</w:t>
            </w:r>
          </w:p>
          <w:p w14:paraId="586D24CF">
            <w:pPr>
              <w:pStyle w:val="19"/>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lang w:val="en-US" w:eastAsia="zh-CN" w:bidi="ar-SA"/>
              </w:rPr>
              <w:t>注：须提供相关证书复印件及自投标文件递交截止时间前推6个月中的任意3个月投标人为其缴纳社保的证明材料复印件或扫描件并加盖公章，未提供不得分</w:t>
            </w:r>
            <w:r>
              <w:rPr>
                <w:rFonts w:hint="eastAsia" w:ascii="宋体" w:hAnsi="宋体" w:eastAsia="宋体" w:cs="宋体"/>
                <w:color w:val="auto"/>
                <w:kern w:val="2"/>
                <w:sz w:val="21"/>
                <w:szCs w:val="21"/>
                <w:highlight w:val="none"/>
                <w:lang w:val="en-US" w:eastAsia="zh-CN" w:bidi="ar-SA"/>
              </w:rPr>
              <w:t>。</w:t>
            </w:r>
          </w:p>
        </w:tc>
      </w:tr>
      <w:tr w14:paraId="72E2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continue"/>
            <w:vAlign w:val="center"/>
          </w:tcPr>
          <w:p w14:paraId="5361A8C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vAlign w:val="center"/>
          </w:tcPr>
          <w:p w14:paraId="6FC7C0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20CBBD6D">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企业实力</w:t>
            </w:r>
          </w:p>
        </w:tc>
        <w:tc>
          <w:tcPr>
            <w:tcW w:w="475" w:type="pct"/>
            <w:vAlign w:val="center"/>
          </w:tcPr>
          <w:p w14:paraId="09295CBB">
            <w:pPr>
              <w:pStyle w:val="1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2866" w:type="pct"/>
            <w:vAlign w:val="center"/>
          </w:tcPr>
          <w:p w14:paraId="190F15F7">
            <w:pPr>
              <w:pStyle w:val="1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1、投标人具有基于云计算架构或低代码开发平台的集成开发平台，能够支撑本项目开发和集成：自有该类平台软著的，得1分</w:t>
            </w:r>
            <w:r>
              <w:rPr>
                <w:rFonts w:hint="eastAsia" w:ascii="宋体" w:hAnsi="宋体" w:cs="宋体"/>
                <w:strike w:val="0"/>
                <w:dstrike w:val="0"/>
                <w:color w:val="auto"/>
                <w:kern w:val="2"/>
                <w:sz w:val="21"/>
                <w:szCs w:val="21"/>
                <w:highlight w:val="none"/>
                <w:lang w:val="en-US" w:eastAsia="zh-CN" w:bidi="ar-SA"/>
              </w:rPr>
              <w:t>否则不得分</w:t>
            </w:r>
            <w:r>
              <w:rPr>
                <w:rFonts w:hint="eastAsia" w:ascii="宋体" w:hAnsi="宋体" w:eastAsia="宋体" w:cs="宋体"/>
                <w:color w:val="auto"/>
                <w:kern w:val="2"/>
                <w:sz w:val="21"/>
                <w:szCs w:val="21"/>
                <w:highlight w:val="none"/>
                <w:lang w:val="en-US" w:eastAsia="zh-CN" w:bidi="ar-SA"/>
              </w:rPr>
              <w:t>。</w:t>
            </w:r>
          </w:p>
          <w:p w14:paraId="3B69065C">
            <w:pPr>
              <w:pStyle w:val="1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注：提供相关证书复印件并加盖投标人公章。</w:t>
            </w:r>
          </w:p>
          <w:p w14:paraId="29BAC7C5">
            <w:pPr>
              <w:pStyle w:val="1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2、投标人具有与本次采购项目相关的社保业务系统软件技术积累，具有社保业务相关软件著作权证书，有一项得</w:t>
            </w:r>
            <w:r>
              <w:rPr>
                <w:rFonts w:hint="eastAsia" w:ascii="宋体" w:hAnsi="宋体" w:cs="宋体"/>
                <w:color w:val="auto"/>
                <w:kern w:val="2"/>
                <w:sz w:val="21"/>
                <w:szCs w:val="21"/>
                <w:highlight w:val="none"/>
                <w:lang w:val="en-US" w:eastAsia="zh-CN" w:bidi="ar-SA"/>
              </w:rPr>
              <w:t>0.3</w:t>
            </w:r>
            <w:r>
              <w:rPr>
                <w:rFonts w:hint="eastAsia" w:ascii="宋体" w:hAnsi="宋体" w:eastAsia="宋体" w:cs="宋体"/>
                <w:color w:val="auto"/>
                <w:kern w:val="2"/>
                <w:sz w:val="21"/>
                <w:szCs w:val="21"/>
                <w:highlight w:val="none"/>
                <w:lang w:val="en-US" w:eastAsia="zh-CN" w:bidi="ar-SA"/>
              </w:rPr>
              <w:t>分，最多得</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分，</w:t>
            </w:r>
            <w:r>
              <w:rPr>
                <w:rFonts w:hint="eastAsia" w:ascii="宋体" w:hAnsi="宋体" w:cs="宋体"/>
                <w:color w:val="auto"/>
                <w:kern w:val="2"/>
                <w:sz w:val="21"/>
                <w:szCs w:val="21"/>
                <w:highlight w:val="none"/>
                <w:lang w:val="en-US" w:eastAsia="zh-CN" w:bidi="ar-SA"/>
              </w:rPr>
              <w:t>未提供不得分。</w:t>
            </w:r>
            <w:r>
              <w:rPr>
                <w:rFonts w:hint="eastAsia" w:ascii="宋体" w:hAnsi="宋体" w:eastAsia="宋体" w:cs="宋体"/>
                <w:color w:val="auto"/>
                <w:kern w:val="2"/>
                <w:sz w:val="21"/>
                <w:szCs w:val="21"/>
                <w:highlight w:val="none"/>
                <w:lang w:val="en-US" w:eastAsia="zh-CN" w:bidi="ar-SA"/>
              </w:rPr>
              <w:t>注：著作权人可为投标人自身</w:t>
            </w:r>
            <w:r>
              <w:rPr>
                <w:rFonts w:hint="eastAsia" w:ascii="宋体" w:hAnsi="宋体" w:cs="宋体"/>
                <w:color w:val="auto"/>
                <w:kern w:val="2"/>
                <w:sz w:val="21"/>
                <w:szCs w:val="21"/>
                <w:highlight w:val="none"/>
                <w:lang w:val="en-US" w:eastAsia="zh-CN" w:bidi="ar-SA"/>
              </w:rPr>
              <w:t>拥有</w:t>
            </w:r>
            <w:r>
              <w:rPr>
                <w:rFonts w:hint="eastAsia" w:ascii="宋体" w:hAnsi="宋体" w:eastAsia="宋体" w:cs="宋体"/>
                <w:color w:val="auto"/>
                <w:kern w:val="2"/>
                <w:sz w:val="21"/>
                <w:szCs w:val="21"/>
                <w:highlight w:val="none"/>
                <w:lang w:val="en-US" w:eastAsia="zh-CN" w:bidi="ar-SA"/>
              </w:rPr>
              <w:t>。登记日期需为招标公告发布日之前。</w:t>
            </w:r>
          </w:p>
          <w:p w14:paraId="0D81AF03">
            <w:pPr>
              <w:pStyle w:val="1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注：提供相关证书复印件并加盖投标人公章</w:t>
            </w:r>
          </w:p>
        </w:tc>
      </w:tr>
      <w:tr w14:paraId="5FC0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16" w:type="pct"/>
            <w:vMerge w:val="restart"/>
            <w:vAlign w:val="center"/>
          </w:tcPr>
          <w:p w14:paraId="4193A89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(3)</w:t>
            </w:r>
          </w:p>
        </w:tc>
        <w:tc>
          <w:tcPr>
            <w:tcW w:w="358" w:type="pct"/>
            <w:vMerge w:val="restart"/>
            <w:vAlign w:val="center"/>
          </w:tcPr>
          <w:p w14:paraId="328B1D2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技术评审</w:t>
            </w:r>
          </w:p>
        </w:tc>
        <w:tc>
          <w:tcPr>
            <w:tcW w:w="982" w:type="pct"/>
            <w:vAlign w:val="center"/>
          </w:tcPr>
          <w:p w14:paraId="62CCE108">
            <w:pPr>
              <w:keepNext w:val="0"/>
              <w:keepLines w:val="0"/>
              <w:widowControl/>
              <w:suppressLineNumbers w:val="0"/>
              <w:jc w:val="center"/>
              <w:textAlignment w:val="center"/>
              <w:rPr>
                <w:rFonts w:hint="eastAsia" w:asciiTheme="minorEastAsia" w:hAnsiTheme="minorEastAsia" w:eastAsiaTheme="minorEastAsia" w:cstheme="minorEastAsia"/>
                <w:strike/>
                <w:dstrike w:val="0"/>
                <w:color w:val="auto"/>
                <w:kern w:val="2"/>
                <w:sz w:val="21"/>
                <w:szCs w:val="21"/>
                <w:highlight w:val="none"/>
                <w:lang w:val="en-US" w:eastAsia="zh-CN" w:bidi="ar-SA"/>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系统演示要求</w:t>
            </w:r>
          </w:p>
        </w:tc>
        <w:tc>
          <w:tcPr>
            <w:tcW w:w="475" w:type="pct"/>
            <w:vAlign w:val="center"/>
          </w:tcPr>
          <w:p w14:paraId="298EDF02">
            <w:pPr>
              <w:keepNext w:val="0"/>
              <w:keepLines w:val="0"/>
              <w:widowControl/>
              <w:suppressLineNumbers w:val="0"/>
              <w:jc w:val="center"/>
              <w:textAlignment w:val="center"/>
              <w:rPr>
                <w:rFonts w:hint="eastAsia" w:asciiTheme="minorEastAsia" w:hAnsiTheme="minorEastAsia" w:eastAsiaTheme="minorEastAsia" w:cstheme="minorEastAsia"/>
                <w:strike/>
                <w:dstrike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15</w:t>
            </w:r>
          </w:p>
        </w:tc>
        <w:tc>
          <w:tcPr>
            <w:tcW w:w="2866" w:type="pct"/>
            <w:vAlign w:val="center"/>
          </w:tcPr>
          <w:p w14:paraId="618C0C3D">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投标人须基于行业业务产品进行现场操作演示，并对相关功能进行</w:t>
            </w:r>
            <w:r>
              <w:rPr>
                <w:rFonts w:hint="eastAsia" w:asciiTheme="minorEastAsia" w:hAnsiTheme="minorEastAsia" w:eastAsiaTheme="minorEastAsia" w:cstheme="minorEastAsia"/>
                <w:color w:val="auto"/>
                <w:sz w:val="21"/>
                <w:szCs w:val="21"/>
                <w:highlight w:val="none"/>
                <w:lang w:val="en-US" w:eastAsia="zh-CN"/>
              </w:rPr>
              <w:t>现场系统演示</w:t>
            </w:r>
            <w:r>
              <w:rPr>
                <w:rFonts w:hint="eastAsia" w:asciiTheme="minorEastAsia" w:hAnsiTheme="minorEastAsia" w:eastAsiaTheme="minorEastAsia" w:cstheme="minorEastAsia"/>
                <w:color w:val="auto"/>
                <w:sz w:val="21"/>
                <w:szCs w:val="21"/>
                <w:highlight w:val="none"/>
              </w:rPr>
              <w:t>（注：如采用PPT，录屏等方式演示的，</w:t>
            </w:r>
            <w:r>
              <w:rPr>
                <w:rFonts w:hint="eastAsia" w:asciiTheme="minorEastAsia" w:hAnsiTheme="minorEastAsia" w:eastAsiaTheme="minorEastAsia" w:cstheme="minorEastAsia"/>
                <w:color w:val="auto"/>
                <w:sz w:val="21"/>
                <w:szCs w:val="21"/>
                <w:highlight w:val="none"/>
                <w:lang w:val="en-US" w:eastAsia="zh-CN"/>
              </w:rPr>
              <w:t>不得分</w:t>
            </w:r>
            <w:r>
              <w:rPr>
                <w:rFonts w:hint="eastAsia" w:asciiTheme="minorEastAsia" w:hAnsiTheme="minorEastAsia" w:eastAsiaTheme="minorEastAsia" w:cstheme="minorEastAsia"/>
                <w:color w:val="auto"/>
                <w:sz w:val="21"/>
                <w:szCs w:val="21"/>
                <w:highlight w:val="none"/>
              </w:rPr>
              <w:t>）。系统演示共三项业务场景，</w:t>
            </w:r>
            <w:r>
              <w:rPr>
                <w:rFonts w:hint="eastAsia" w:asciiTheme="minorEastAsia" w:hAnsiTheme="minorEastAsia" w:eastAsiaTheme="minorEastAsia" w:cstheme="minorEastAsia"/>
                <w:color w:val="auto"/>
                <w:sz w:val="21"/>
                <w:szCs w:val="21"/>
                <w:highlight w:val="none"/>
                <w:lang w:val="en-US" w:eastAsia="zh-CN"/>
              </w:rPr>
              <w:t>30个业务点，</w:t>
            </w:r>
            <w:r>
              <w:rPr>
                <w:rFonts w:hint="eastAsia" w:asciiTheme="minorEastAsia" w:hAnsiTheme="minorEastAsia" w:eastAsiaTheme="minorEastAsia" w:cstheme="minorEastAsia"/>
                <w:color w:val="auto"/>
                <w:sz w:val="21"/>
                <w:szCs w:val="21"/>
                <w:highlight w:val="none"/>
              </w:rPr>
              <w:t>现场演示总时长不超过30分钟。演示内容及要点评分要求如下：</w:t>
            </w:r>
          </w:p>
          <w:p w14:paraId="62BC76FC">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（一）</w:t>
            </w:r>
            <w:r>
              <w:rPr>
                <w:rFonts w:hint="eastAsia" w:asciiTheme="minorEastAsia" w:hAnsiTheme="minorEastAsia" w:eastAsiaTheme="minorEastAsia" w:cstheme="minorEastAsia"/>
                <w:b/>
                <w:bCs/>
                <w:color w:val="auto"/>
                <w:sz w:val="21"/>
                <w:szCs w:val="21"/>
                <w:highlight w:val="none"/>
              </w:rPr>
              <w:t>参保登记业务</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4.5分</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color w:val="auto"/>
                <w:sz w:val="21"/>
                <w:szCs w:val="21"/>
                <w:highlight w:val="none"/>
              </w:rPr>
              <w:t>展示单位所有险种的参保管理，单位下所有人员的参保登记，展示系统功能包括单位社会保险登记、单位在编职工参保登记、单位职工停保登记、人员信息推送税务共4个功能，</w:t>
            </w:r>
            <w:r>
              <w:rPr>
                <w:rFonts w:hint="eastAsia" w:asciiTheme="minorEastAsia" w:hAnsiTheme="minorEastAsia" w:eastAsiaTheme="minorEastAsia" w:cstheme="minorEastAsia"/>
                <w:color w:val="auto"/>
                <w:sz w:val="21"/>
                <w:szCs w:val="21"/>
                <w:highlight w:val="none"/>
                <w:lang w:val="en-US" w:eastAsia="zh-CN"/>
              </w:rPr>
              <w:t>9个业务点，</w:t>
            </w:r>
            <w:r>
              <w:rPr>
                <w:rFonts w:hint="eastAsia" w:asciiTheme="minorEastAsia" w:hAnsiTheme="minorEastAsia" w:eastAsiaTheme="minorEastAsia" w:cstheme="minorEastAsia"/>
                <w:color w:val="auto"/>
                <w:sz w:val="21"/>
                <w:szCs w:val="21"/>
                <w:highlight w:val="none"/>
              </w:rPr>
              <w:t>实现单位参保、人员参保、自动推送税务。</w:t>
            </w:r>
          </w:p>
          <w:p w14:paraId="5ED25D5B">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功能演示要点：</w:t>
            </w:r>
          </w:p>
          <w:p w14:paraId="28F25601">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1、单位社会保险登记。</w:t>
            </w:r>
          </w:p>
          <w:p w14:paraId="1D4B60EA">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①系统应支持使用A市经办人员账号，办理B市的机关事业单位参保登记，系统支持B市的查询结果，并进行办理业务，系统支持全省通办能力要求。完整演示跨统筹去办理的，得</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20B69294">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②系统支持数据共享，能与市监数据打通，获取市监数据登记数据进行数据填报，系统满足数据跨部门协同，实现系统免填、少录需求。完整演示通过数据共享免录、少录的，得</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52706F36">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③系统将应参全部险种（包含机关、企业全部人群的险种与职业年金）展示在页面，经办人员通过多选需参保的险种完成参保登记，展示系统参保登记多险合一能力。完整演示满足多险合一参保登记的，得</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484AAE27">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2、单位职工参保登记。</w:t>
            </w:r>
          </w:p>
          <w:p w14:paraId="119D8BCF">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④</w:t>
            </w:r>
            <w:r>
              <w:rPr>
                <w:rFonts w:hint="eastAsia" w:asciiTheme="minorEastAsia" w:hAnsiTheme="minorEastAsia" w:eastAsiaTheme="minorEastAsia" w:cstheme="minorEastAsia"/>
                <w:color w:val="auto"/>
                <w:sz w:val="21"/>
                <w:szCs w:val="21"/>
                <w:highlight w:val="none"/>
              </w:rPr>
              <w:t>系统支持经办人通过受理事项导入花名册完成职工参保登记，登记完成后，可在已办功能查看业务办理完成状态；系统支持智能校验每条业务数据的合规性，自动完成规则校验。完整演示相关流程，能支持展示完整智能校验规则明细的，得0.5分，未演示或不满足不得分；</w:t>
            </w:r>
          </w:p>
          <w:p w14:paraId="0D90AD12">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⑤</w:t>
            </w:r>
            <w:r>
              <w:rPr>
                <w:rFonts w:hint="eastAsia" w:asciiTheme="minorEastAsia" w:hAnsiTheme="minorEastAsia" w:eastAsiaTheme="minorEastAsia" w:cstheme="minorEastAsia"/>
                <w:color w:val="auto"/>
                <w:sz w:val="21"/>
                <w:szCs w:val="21"/>
                <w:highlight w:val="none"/>
              </w:rPr>
              <w:t>系统支持通过所有规则校验的业务，智能审核通过，办结业务。完整演示系统智能审核功能的，得0.5分，未演示或不满足不得分。</w:t>
            </w:r>
          </w:p>
          <w:p w14:paraId="33F62ED0">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3、单位职工停保登记。</w:t>
            </w:r>
          </w:p>
          <w:p w14:paraId="62F7A7AF">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⑥</w:t>
            </w:r>
            <w:r>
              <w:rPr>
                <w:rFonts w:hint="eastAsia" w:asciiTheme="minorEastAsia" w:hAnsiTheme="minorEastAsia" w:eastAsiaTheme="minorEastAsia" w:cstheme="minorEastAsia"/>
                <w:color w:val="auto"/>
                <w:sz w:val="21"/>
                <w:szCs w:val="21"/>
                <w:highlight w:val="none"/>
              </w:rPr>
              <w:t>系统支持对特殊单位的职工停保登记业务进行提级审核。完整演示业务规则管理的，得 0.5分，未演示或不满足不得分；</w:t>
            </w:r>
          </w:p>
          <w:p w14:paraId="181729B8">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⑦</w:t>
            </w:r>
            <w:r>
              <w:rPr>
                <w:rFonts w:hint="eastAsia" w:asciiTheme="minorEastAsia" w:hAnsiTheme="minorEastAsia" w:eastAsiaTheme="minorEastAsia" w:cstheme="minorEastAsia"/>
                <w:color w:val="auto"/>
                <w:sz w:val="21"/>
                <w:szCs w:val="21"/>
                <w:highlight w:val="none"/>
              </w:rPr>
              <w:t>系统办理单位职工停保登记，支持批量上传业务材料并提交办理。完整演示规则实时校验和可视化展示校验结果的，得 0.5分，未演示或不满足不得分；</w:t>
            </w:r>
          </w:p>
          <w:p w14:paraId="01720100">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⑧</w:t>
            </w:r>
            <w:r>
              <w:rPr>
                <w:rFonts w:hint="eastAsia" w:asciiTheme="minorEastAsia" w:hAnsiTheme="minorEastAsia" w:eastAsiaTheme="minorEastAsia" w:cstheme="minorEastAsia"/>
                <w:color w:val="auto"/>
                <w:sz w:val="21"/>
                <w:szCs w:val="21"/>
                <w:highlight w:val="none"/>
              </w:rPr>
              <w:t>系统支持在业务办理过程中，查看业务办理全流程，业务办理完成后，可在已办功能中展示业务经办时页面信息、办理要件、办理流程等记录，满足系统办理记录可追溯、可查询要求。完整演示业务办理记录查看的，得 0.5分，未演示或不满足不得分。</w:t>
            </w:r>
          </w:p>
          <w:p w14:paraId="38E02EBF">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4、参保信息推送至税务。</w:t>
            </w:r>
          </w:p>
          <w:p w14:paraId="5B5F8CE9">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⑨</w:t>
            </w:r>
            <w:r>
              <w:rPr>
                <w:rFonts w:hint="eastAsia" w:asciiTheme="minorEastAsia" w:hAnsiTheme="minorEastAsia" w:eastAsiaTheme="minorEastAsia" w:cstheme="minorEastAsia"/>
                <w:color w:val="auto"/>
                <w:sz w:val="21"/>
                <w:szCs w:val="21"/>
                <w:highlight w:val="none"/>
              </w:rPr>
              <w:t>系统支持社保系统与税务系统协同联动，支持查询参保人员信息推送税务状态，经办人员可查看人员推送成功、失败状态，针对推送失败人员支持重新推送。完整演示查询税务推送状态的，得 0.5分，未演示或不满足不得分。</w:t>
            </w:r>
          </w:p>
          <w:p w14:paraId="59AF97CE">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rPr>
              <w:t>养老待遇业务</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5.5分</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养老待遇（退休人员新增及待遇计算过程展示）。通过前台查询获取人员参保信息，视同缴费，缴费信息，个人账户信息用于计算人员待遇。展示系统功能包括职工正常退休申请、退休申请资料审核、在职转退休、退休待遇核定、工伤养老补差共 5个功能，</w:t>
            </w:r>
            <w:r>
              <w:rPr>
                <w:rFonts w:hint="eastAsia" w:asciiTheme="minorEastAsia" w:hAnsiTheme="minorEastAsia" w:eastAsiaTheme="minorEastAsia" w:cstheme="minorEastAsia"/>
                <w:color w:val="auto"/>
                <w:sz w:val="21"/>
                <w:szCs w:val="21"/>
                <w:highlight w:val="none"/>
                <w:lang w:val="en-US" w:eastAsia="zh-CN"/>
              </w:rPr>
              <w:t>11个业务点，</w:t>
            </w:r>
            <w:r>
              <w:rPr>
                <w:rFonts w:hint="eastAsia" w:asciiTheme="minorEastAsia" w:hAnsiTheme="minorEastAsia" w:eastAsiaTheme="minorEastAsia" w:cstheme="minorEastAsia"/>
                <w:color w:val="auto"/>
                <w:sz w:val="21"/>
                <w:szCs w:val="21"/>
                <w:highlight w:val="none"/>
              </w:rPr>
              <w:t>实现退休人员新增、待遇计算、待遇自动补退、待遇自动调整。</w:t>
            </w:r>
          </w:p>
          <w:p w14:paraId="48921A69">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功能演示要点：</w:t>
            </w:r>
          </w:p>
          <w:p w14:paraId="0E561648">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1、职工正常退休申请。</w:t>
            </w:r>
          </w:p>
          <w:p w14:paraId="38F159C2">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①系统支持统一退休申请入口，支持根据不同退休类型自动提示所需办理资料，实现各类退休业务统一经办。完整演示满足不同退休类型收取不同材料的，得</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4A59FCDA">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②系统支持基于外部共享数据自动校验退休申请人员业务办理的合规性，如存在司法部门服刑数据的人员自动提示业务受办。业务办结后推入风险预警库，支持进行内控检查。完整演示出四性检测的，得</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16741DBC">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③系统支持自动触发风控规则，对在办业务历史办理未通过记录进行主动提醒，并展示不通过原因，实现疑似问题业务风险预警。完整演示出疑似问题业务风险预警的，得 </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43E895E6">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④系统支持规则校验未通过的事项，经办人员可根据系统规则处置提示，选择终止事项办理或继续办理，实现业务规则管控。完整演示出规则未通过经办人自主确认的，得 </w:t>
            </w:r>
            <w:r>
              <w:rPr>
                <w:rFonts w:hint="eastAsia" w:asciiTheme="minorEastAsia" w:hAnsiTheme="minorEastAsia" w:eastAsiaTheme="minorEastAsia" w:cstheme="minorEastAsia"/>
                <w:color w:val="auto"/>
                <w:sz w:val="21"/>
                <w:szCs w:val="21"/>
                <w:highlight w:val="none"/>
                <w:lang w:val="en-US" w:eastAsia="zh-CN"/>
              </w:rPr>
              <w:t>0.5</w:t>
            </w:r>
            <w:r>
              <w:rPr>
                <w:rFonts w:hint="eastAsia" w:asciiTheme="minorEastAsia" w:hAnsiTheme="minorEastAsia" w:eastAsiaTheme="minorEastAsia" w:cstheme="minorEastAsia"/>
                <w:color w:val="auto"/>
                <w:sz w:val="21"/>
                <w:szCs w:val="21"/>
                <w:highlight w:val="none"/>
              </w:rPr>
              <w:t>分，未演示或不满足不得分；</w:t>
            </w:r>
          </w:p>
          <w:p w14:paraId="65BFD0C7">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⑤系统支持因特殊原因导致业务无法正常办理，支持经办人员挂起当前业务，待前置关联业务办结后，恢复并继续办理，系统具备业务挂起功能。完整演示系统挂起操作的，得 0.5分，未演示或不满足不得分；</w:t>
            </w:r>
          </w:p>
          <w:p w14:paraId="6D192386">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2、退休申请资料审核。</w:t>
            </w:r>
          </w:p>
          <w:p w14:paraId="7B321920">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⑥系统应支持对已提交的退休申请附件材料进行在线查看与审核，支持通过缩略导图进行附件材料的定位查看，材料审核不通过可直接进行业务退回。完整演示出关键指标验证的，得 0.5分，未演示或不满足不得分。</w:t>
            </w:r>
          </w:p>
          <w:p w14:paraId="603DF2DB">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3、在职转退休</w:t>
            </w:r>
          </w:p>
          <w:p w14:paraId="37AFE947">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⑦</w:t>
            </w:r>
            <w:r>
              <w:rPr>
                <w:rFonts w:hint="eastAsia" w:asciiTheme="minorEastAsia" w:hAnsiTheme="minorEastAsia" w:eastAsiaTheme="minorEastAsia" w:cstheme="minorEastAsia"/>
                <w:color w:val="auto"/>
                <w:sz w:val="21"/>
                <w:szCs w:val="21"/>
                <w:highlight w:val="none"/>
              </w:rPr>
              <w:t>系统应支持参保人员从在职状态转为退休状态。完整演示在职转退休业务的，得 0.5分，未演示或不满足不得分。</w:t>
            </w:r>
          </w:p>
          <w:p w14:paraId="683092CA">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4、退休待遇核定。</w:t>
            </w:r>
          </w:p>
          <w:p w14:paraId="2872DC60">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⑧系统支持自动核算因晚办产生的待遇补退信息。完整演示自动产生待遇补退信息得 0.5分，未演示或不满足不得分；</w:t>
            </w:r>
          </w:p>
          <w:p w14:paraId="2DDCF60E">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⑨系统支持自动核算历年待遇调整信息以及调整产生的补退信息。完整演示自动产生待遇调整信息的，得 0.5分，未演示或不满足不得分；</w:t>
            </w:r>
          </w:p>
          <w:p w14:paraId="7850ED43">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⑩支持在办理过程中触发业务风控规则，对业务触发的风险规则进行事中风控提示，经办人员可根据风险提示的原因选择继续办理或者终止办理，实现全业务风控一体化管控。完整演示出事中风控预警经办人自主确认的，得 0.5分，未演示或不满足不得分。</w:t>
            </w:r>
          </w:p>
          <w:p w14:paraId="2642D5CE">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5、工伤养老补差。</w:t>
            </w:r>
          </w:p>
          <w:p w14:paraId="345CFF13">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⑪系统应支持工伤人员办理退休业务，在退休待遇核定时，系统可自动识别人员伤残津贴享受状态，智能核算工伤退休人员养老待遇与工伤津贴差额，并自动将该业务推送至待办任务列表，实现关联业务自动推送、自动发起。完整演示系统自动推送的，得 0.5分，未演示或不满足不得分。</w:t>
            </w:r>
          </w:p>
          <w:p w14:paraId="530D498C">
            <w:pPr>
              <w:pStyle w:val="2"/>
              <w:spacing w:after="0" w:line="240" w:lineRule="auto"/>
              <w:ind w:left="0" w:leftChars="0" w:firstLine="0" w:firstLineChars="0"/>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（三）创新场景演示（5分）。</w:t>
            </w:r>
            <w:r>
              <w:rPr>
                <w:rFonts w:hint="eastAsia" w:asciiTheme="minorEastAsia" w:hAnsiTheme="minorEastAsia" w:eastAsiaTheme="minorEastAsia" w:cstheme="minorEastAsia"/>
                <w:color w:val="auto"/>
                <w:kern w:val="2"/>
                <w:sz w:val="21"/>
                <w:szCs w:val="21"/>
                <w:highlight w:val="none"/>
                <w:lang w:val="en-US" w:eastAsia="zh-CN" w:bidi="ar-SA"/>
              </w:rPr>
              <w:t>结合项目建设社保一体化系统，实现社保“四全十统一”的目标（“四全”为全险合一、全库集中、全域通办和全局管控；“十统一”为统一基金财务、统一权限管理、统一运维管理、统一电子档案、统一监控分析、统一智能应用、统一移动办公、统一信息推送、统一数据共享、统一外部对接），在社保业务综合受理、业务财务一体化、移动审核办理、智能风控、基于社保数据业务分析、社保智能场景中任意选择三项创新场景进行展示。演示内容从创新性、前瞻性、业务贴合性等维度进行评价。</w:t>
            </w:r>
          </w:p>
          <w:p w14:paraId="70F305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（1）演示场景创新性突出，理念新颖、思路独特，前瞻性强，精准契合湖北省人社数字化转型发展趋势，与实际业务高度贴合，能有效解决核心业务痛点，演示流畅，整体完成度高、价值突出，得4-5分。</w:t>
            </w:r>
          </w:p>
          <w:p w14:paraId="7312E6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（2）演示场景具备一定创新性，思路常规但无明显短板，与业务基本匹配，可支撑部分业务场景落地，能解决一般性业务问题，演示流畅，满足基础要求，得2-3分。</w:t>
            </w:r>
          </w:p>
          <w:p w14:paraId="2F7717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（3）演示场景缺乏创新性，思路陈旧，前瞻性不足，与业务贴合度较低，仅少量内容与业务相关，基本满足需求，演示流畅，得0.1—2 分。</w:t>
            </w:r>
          </w:p>
          <w:p w14:paraId="6B65C4C4">
            <w:pPr>
              <w:pStyle w:val="2"/>
              <w:spacing w:after="0" w:line="240" w:lineRule="auto"/>
              <w:ind w:left="0" w:leftChars="0"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2"/>
                <w:sz w:val="21"/>
                <w:szCs w:val="21"/>
                <w:highlight w:val="none"/>
                <w:lang w:val="en-US" w:eastAsia="zh-CN" w:bidi="ar-SA"/>
              </w:rPr>
              <w:t>（4）演示场景不满足3项，无创新性、无前瞻性，与业务完全脱节，内容空洞无实际价值，或未按要求完成演示内容，不予计分。</w:t>
            </w:r>
          </w:p>
        </w:tc>
      </w:tr>
      <w:tr w14:paraId="5FDCB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 w:hRule="atLeast"/>
        </w:trPr>
        <w:tc>
          <w:tcPr>
            <w:tcW w:w="316" w:type="pct"/>
            <w:vMerge w:val="continue"/>
            <w:vAlign w:val="center"/>
          </w:tcPr>
          <w:p w14:paraId="4372EEF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4EC6EEC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23944273">
            <w:pPr>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项目需求概述</w:t>
            </w:r>
          </w:p>
        </w:tc>
        <w:tc>
          <w:tcPr>
            <w:tcW w:w="475" w:type="pct"/>
            <w:vAlign w:val="center"/>
          </w:tcPr>
          <w:p w14:paraId="5BAA454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2866" w:type="pct"/>
            <w:vAlign w:val="center"/>
          </w:tcPr>
          <w:p w14:paraId="0A726EE4">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对使用方的建设需求的了解，针对①社保业务系统现状及岗位设置情况、②社保业务运行情况及公共服务事项清单运行情况、③数据库设计和数据指标情况、④项目建设重难点情况阐述是否清晰是否完整符合实际的要求进行评分。</w:t>
            </w:r>
          </w:p>
          <w:p w14:paraId="6A41A00A">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（1）完全契合本项目实际需求，具体详细、合理可行，得1-2分；</w:t>
            </w:r>
          </w:p>
          <w:p w14:paraId="3A809515">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（2）部分满足本项目实际需求，有缺项、可行性不高，得0.1-1分。</w:t>
            </w:r>
          </w:p>
          <w:p w14:paraId="625454F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未提供不得分。</w:t>
            </w:r>
          </w:p>
        </w:tc>
      </w:tr>
      <w:tr w14:paraId="50221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5" w:hRule="atLeast"/>
        </w:trPr>
        <w:tc>
          <w:tcPr>
            <w:tcW w:w="316" w:type="pct"/>
            <w:vMerge w:val="continue"/>
            <w:vAlign w:val="center"/>
          </w:tcPr>
          <w:p w14:paraId="291320B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415553C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0F3FAF0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总体设计方案</w:t>
            </w:r>
          </w:p>
        </w:tc>
        <w:tc>
          <w:tcPr>
            <w:tcW w:w="475" w:type="pct"/>
            <w:vAlign w:val="center"/>
          </w:tcPr>
          <w:p w14:paraId="520D4B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2866" w:type="pct"/>
            <w:vAlign w:val="center"/>
          </w:tcPr>
          <w:p w14:paraId="3C996C14">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根据投标人提供的总体设计方案，包含①系统总体规划、②系统应用架构、③系统技术架构、④系统部署架构等</w:t>
            </w:r>
            <w:r>
              <w:rPr>
                <w:rFonts w:hint="eastAsia" w:ascii="宋体" w:hAnsi="宋体" w:eastAsia="宋体" w:cs="宋体"/>
                <w:color w:val="auto"/>
                <w:sz w:val="21"/>
                <w:szCs w:val="21"/>
                <w:highlight w:val="none"/>
              </w:rPr>
              <w:t>进行综合评议</w:t>
            </w:r>
            <w:r>
              <w:rPr>
                <w:rFonts w:hint="eastAsia" w:ascii="宋体" w:hAnsi="宋体" w:eastAsia="宋体" w:cs="宋体"/>
                <w:color w:val="auto"/>
                <w:sz w:val="21"/>
                <w:szCs w:val="21"/>
                <w:highlight w:val="none"/>
                <w:lang w:eastAsia="zh-CN"/>
              </w:rPr>
              <w:t>。</w:t>
            </w:r>
          </w:p>
          <w:p w14:paraId="55AAAED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（1）设计方案完整且合理可行的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得1-2分</w:t>
            </w:r>
            <w:r>
              <w:rPr>
                <w:rFonts w:hint="eastAsia" w:ascii="宋体" w:hAnsi="宋体" w:eastAsia="宋体" w:cs="宋体"/>
                <w:color w:val="auto"/>
                <w:sz w:val="21"/>
                <w:szCs w:val="21"/>
                <w:highlight w:val="none"/>
              </w:rPr>
              <w:t>。</w:t>
            </w:r>
          </w:p>
          <w:p w14:paraId="234AC9CB">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（2）设计方案</w:t>
            </w:r>
            <w:r>
              <w:rPr>
                <w:rFonts w:hint="eastAsia" w:ascii="宋体" w:hAnsi="宋体" w:eastAsia="宋体" w:cs="宋体"/>
                <w:color w:val="auto"/>
                <w:sz w:val="21"/>
                <w:szCs w:val="21"/>
                <w:highlight w:val="none"/>
                <w:lang w:val="en-US" w:eastAsia="zh-CN"/>
              </w:rPr>
              <w:t>较为欠缺，仅部分满足采购需求</w:t>
            </w:r>
            <w:r>
              <w:rPr>
                <w:rFonts w:hint="eastAsia" w:ascii="宋体" w:hAnsi="宋体" w:eastAsia="宋体" w:cs="宋体"/>
                <w:color w:val="auto"/>
                <w:sz w:val="21"/>
                <w:szCs w:val="21"/>
                <w:highlight w:val="none"/>
              </w:rPr>
              <w:t>得0.1-1分。</w:t>
            </w:r>
          </w:p>
          <w:p w14:paraId="7214F68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20833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541CF3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5DB198A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Merge w:val="restart"/>
            <w:vAlign w:val="center"/>
          </w:tcPr>
          <w:p w14:paraId="32CB753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系统详细设计方案要求</w:t>
            </w:r>
          </w:p>
        </w:tc>
        <w:tc>
          <w:tcPr>
            <w:tcW w:w="475" w:type="pct"/>
            <w:vAlign w:val="center"/>
          </w:tcPr>
          <w:p w14:paraId="52F6E86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p>
        </w:tc>
        <w:tc>
          <w:tcPr>
            <w:tcW w:w="2866" w:type="pct"/>
            <w:vAlign w:val="center"/>
          </w:tcPr>
          <w:p w14:paraId="400F12F5">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应提供</w:t>
            </w:r>
            <w:r>
              <w:rPr>
                <w:rFonts w:hint="eastAsia" w:ascii="宋体" w:hAnsi="宋体" w:eastAsia="宋体" w:cs="宋体"/>
                <w:color w:val="auto"/>
                <w:sz w:val="21"/>
                <w:szCs w:val="21"/>
                <w:highlight w:val="none"/>
                <w:lang w:val="en-US" w:eastAsia="zh-CN"/>
              </w:rPr>
              <w:t>对</w:t>
            </w:r>
            <w:r>
              <w:rPr>
                <w:rFonts w:hint="eastAsia" w:ascii="宋体" w:hAnsi="宋体" w:eastAsia="宋体" w:cs="宋体"/>
                <w:color w:val="auto"/>
                <w:sz w:val="21"/>
                <w:szCs w:val="21"/>
                <w:highlight w:val="none"/>
                <w:lang w:eastAsia="zh-CN"/>
              </w:rPr>
              <w:t>项目要求的业务融合设计，社保全险种的统一管理的系统功能设计，</w:t>
            </w:r>
            <w:r>
              <w:rPr>
                <w:rFonts w:hint="eastAsia" w:ascii="宋体" w:hAnsi="宋体" w:eastAsia="宋体" w:cs="宋体"/>
                <w:color w:val="auto"/>
                <w:sz w:val="21"/>
                <w:szCs w:val="21"/>
                <w:highlight w:val="none"/>
                <w:lang w:val="en-US" w:eastAsia="zh-CN"/>
              </w:rPr>
              <w:t>包</w:t>
            </w:r>
            <w:r>
              <w:rPr>
                <w:rFonts w:hint="eastAsia" w:ascii="宋体" w:hAnsi="宋体" w:eastAsia="宋体" w:cs="宋体"/>
                <w:color w:val="auto"/>
                <w:sz w:val="21"/>
                <w:szCs w:val="21"/>
                <w:highlight w:val="none"/>
                <w:lang w:eastAsia="zh-CN"/>
              </w:rPr>
              <w:t>括：</w:t>
            </w:r>
          </w:p>
          <w:p w14:paraId="3F9A0A78">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①详细功能设计方案，包括参保登记、缴费认定、信息维护、养老待遇、工伤(职业伤害)待遇、失业待遇、职业年金、代发待遇、关系转移、基金财务、部级报表、查询打印、稽核内控、劳动能力鉴定、工伤认定(职业伤害确认)、参数维护、管理支撑、社会保险本省自建业务中台、部下发全险种业务中台部署及对接、配套子系统对接改造共20项内容、②融合工伤认定(职业伤害确认)、劳动能力鉴定、工伤预防设计方案、③社会保险综合受理经办及任务智能调度管理功能设计方案，包括业务受理管理、办件管理、资料管理及出件管理、审批流程管理、业务流程管理、流程规则配置管理、待办任务管理等功能设计方案。</w:t>
            </w:r>
            <w:r>
              <w:rPr>
                <w:rFonts w:hint="eastAsia" w:ascii="宋体" w:hAnsi="宋体" w:eastAsia="宋体" w:cs="宋体"/>
                <w:color w:val="auto"/>
                <w:sz w:val="21"/>
                <w:szCs w:val="21"/>
                <w:highlight w:val="none"/>
              </w:rPr>
              <w:t>根据其</w:t>
            </w:r>
            <w:r>
              <w:rPr>
                <w:rFonts w:hint="eastAsia" w:ascii="宋体" w:hAnsi="宋体" w:eastAsia="宋体" w:cs="宋体"/>
                <w:color w:val="auto"/>
                <w:sz w:val="21"/>
                <w:szCs w:val="21"/>
                <w:highlight w:val="none"/>
                <w:lang w:val="en-US" w:eastAsia="zh-CN"/>
              </w:rPr>
              <w:t>设计</w:t>
            </w:r>
            <w:r>
              <w:rPr>
                <w:rFonts w:hint="eastAsia" w:ascii="宋体" w:hAnsi="宋体" w:eastAsia="宋体" w:cs="宋体"/>
                <w:color w:val="auto"/>
                <w:sz w:val="21"/>
                <w:szCs w:val="21"/>
                <w:highlight w:val="none"/>
              </w:rPr>
              <w:t>方案进行综合评议。</w:t>
            </w:r>
          </w:p>
          <w:p w14:paraId="75C95B7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（1）方案内容合理、完整、可行、具有科学性得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5BE9C0D1">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（2）方案内容较合理、较完整、较可行、较有科学性得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62AC432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（3）方案内容不合理、不完整、不可行、不具科学性得0</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2075E54">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79FF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6CF995C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102F487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Merge w:val="continue"/>
            <w:vAlign w:val="center"/>
          </w:tcPr>
          <w:p w14:paraId="31DA1655">
            <w:pPr>
              <w:jc w:val="center"/>
              <w:rPr>
                <w:rFonts w:hint="eastAsia" w:ascii="宋体" w:hAnsi="宋体" w:eastAsia="宋体" w:cs="宋体"/>
                <w:color w:val="auto"/>
                <w:sz w:val="21"/>
                <w:szCs w:val="21"/>
                <w:highlight w:val="none"/>
              </w:rPr>
            </w:pPr>
          </w:p>
        </w:tc>
        <w:tc>
          <w:tcPr>
            <w:tcW w:w="475" w:type="pct"/>
            <w:vAlign w:val="center"/>
          </w:tcPr>
          <w:p w14:paraId="395587A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2866" w:type="pct"/>
            <w:vAlign w:val="center"/>
          </w:tcPr>
          <w:p w14:paraId="570E891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对项目要求的社会保险综合受理经办模式以及全省通受（通办）进行充分分析，有详细明确的解决方案，包括：①综合柜员制一窗式服务经办设计及综合受理服务业务模式；②基于智能调度的业务审核审批或智能流程驱动功能实现；③基于政务网、鄂汇办、支付宝和微信小程序的对外服务事项的设计方案；④基于全省通受（通办）业务流程设计重难点解决思路。根据其方案进行综合评议。</w:t>
            </w:r>
          </w:p>
          <w:p w14:paraId="0213A61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（1）设计方案完整且合理可行的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得1-2分</w:t>
            </w:r>
            <w:r>
              <w:rPr>
                <w:rFonts w:hint="eastAsia" w:ascii="宋体" w:hAnsi="宋体" w:eastAsia="宋体" w:cs="宋体"/>
                <w:color w:val="auto"/>
                <w:sz w:val="21"/>
                <w:szCs w:val="21"/>
                <w:highlight w:val="none"/>
              </w:rPr>
              <w:t>。</w:t>
            </w:r>
          </w:p>
          <w:p w14:paraId="404B3607">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（2）设计方案</w:t>
            </w:r>
            <w:r>
              <w:rPr>
                <w:rFonts w:hint="eastAsia" w:ascii="宋体" w:hAnsi="宋体" w:eastAsia="宋体" w:cs="宋体"/>
                <w:color w:val="auto"/>
                <w:sz w:val="21"/>
                <w:szCs w:val="21"/>
                <w:highlight w:val="none"/>
                <w:lang w:val="en-US" w:eastAsia="zh-CN"/>
              </w:rPr>
              <w:t>较为欠缺，仅部分满足采购需求</w:t>
            </w:r>
            <w:r>
              <w:rPr>
                <w:rFonts w:hint="eastAsia" w:ascii="宋体" w:hAnsi="宋体" w:eastAsia="宋体" w:cs="宋体"/>
                <w:color w:val="auto"/>
                <w:sz w:val="21"/>
                <w:szCs w:val="21"/>
                <w:highlight w:val="none"/>
              </w:rPr>
              <w:t>得0.1-1分。</w:t>
            </w:r>
          </w:p>
          <w:p w14:paraId="248F5759">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4A113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67C2817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08DB1BD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Merge w:val="continue"/>
            <w:vAlign w:val="center"/>
          </w:tcPr>
          <w:p w14:paraId="158C9501">
            <w:pPr>
              <w:jc w:val="center"/>
              <w:rPr>
                <w:rFonts w:hint="eastAsia" w:ascii="宋体" w:hAnsi="宋体" w:eastAsia="宋体" w:cs="宋体"/>
                <w:color w:val="auto"/>
                <w:sz w:val="21"/>
                <w:szCs w:val="21"/>
                <w:highlight w:val="none"/>
              </w:rPr>
            </w:pPr>
          </w:p>
        </w:tc>
        <w:tc>
          <w:tcPr>
            <w:tcW w:w="475" w:type="pct"/>
            <w:vAlign w:val="center"/>
          </w:tcPr>
          <w:p w14:paraId="39F371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2866" w:type="pct"/>
            <w:vAlign w:val="center"/>
          </w:tcPr>
          <w:p w14:paraId="736C912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投标人应对业务需求进行详细分析设计，包括①对现有社保省级统一集中系统业务功能进行分析，并提出业务功能与人社部原子业务对照关系；②提供完善的全险种进中台业务大管控设计方案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根据其</w:t>
            </w:r>
            <w:r>
              <w:rPr>
                <w:rFonts w:hint="eastAsia" w:ascii="宋体" w:hAnsi="宋体" w:eastAsia="宋体" w:cs="宋体"/>
                <w:color w:val="auto"/>
                <w:sz w:val="21"/>
                <w:szCs w:val="21"/>
                <w:highlight w:val="none"/>
                <w:lang w:val="en-US" w:eastAsia="zh-CN"/>
              </w:rPr>
              <w:t>设计</w:t>
            </w:r>
            <w:r>
              <w:rPr>
                <w:rFonts w:hint="eastAsia" w:ascii="宋体" w:hAnsi="宋体" w:eastAsia="宋体" w:cs="宋体"/>
                <w:color w:val="auto"/>
                <w:sz w:val="21"/>
                <w:szCs w:val="21"/>
                <w:highlight w:val="none"/>
              </w:rPr>
              <w:t>方案进行综合评议。</w:t>
            </w:r>
          </w:p>
          <w:p w14:paraId="72C3AC5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（1）设计方案完整且合理可行的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得1-2分</w:t>
            </w:r>
            <w:r>
              <w:rPr>
                <w:rFonts w:hint="eastAsia" w:ascii="宋体" w:hAnsi="宋体" w:eastAsia="宋体" w:cs="宋体"/>
                <w:color w:val="auto"/>
                <w:sz w:val="21"/>
                <w:szCs w:val="21"/>
                <w:highlight w:val="none"/>
              </w:rPr>
              <w:t>。</w:t>
            </w:r>
          </w:p>
          <w:p w14:paraId="4D6DD77A">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（2）设计方案</w:t>
            </w:r>
            <w:r>
              <w:rPr>
                <w:rFonts w:hint="eastAsia" w:ascii="宋体" w:hAnsi="宋体" w:eastAsia="宋体" w:cs="宋体"/>
                <w:color w:val="auto"/>
                <w:sz w:val="21"/>
                <w:szCs w:val="21"/>
                <w:highlight w:val="none"/>
                <w:lang w:val="en-US" w:eastAsia="zh-CN"/>
              </w:rPr>
              <w:t>较为欠缺，仅部分满足采购需求</w:t>
            </w:r>
            <w:r>
              <w:rPr>
                <w:rFonts w:hint="eastAsia" w:ascii="宋体" w:hAnsi="宋体" w:eastAsia="宋体" w:cs="宋体"/>
                <w:color w:val="auto"/>
                <w:sz w:val="21"/>
                <w:szCs w:val="21"/>
                <w:highlight w:val="none"/>
              </w:rPr>
              <w:t>得0.1-1分。</w:t>
            </w:r>
          </w:p>
          <w:p w14:paraId="04BE396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3295B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756FD93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6575A69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Merge w:val="continue"/>
            <w:vAlign w:val="center"/>
          </w:tcPr>
          <w:p w14:paraId="4969509F">
            <w:pPr>
              <w:jc w:val="center"/>
              <w:rPr>
                <w:rFonts w:hint="eastAsia" w:ascii="宋体" w:hAnsi="宋体" w:eastAsia="宋体" w:cs="宋体"/>
                <w:color w:val="auto"/>
                <w:sz w:val="21"/>
                <w:szCs w:val="21"/>
                <w:highlight w:val="none"/>
              </w:rPr>
            </w:pPr>
          </w:p>
        </w:tc>
        <w:tc>
          <w:tcPr>
            <w:tcW w:w="475" w:type="pct"/>
            <w:vAlign w:val="center"/>
          </w:tcPr>
          <w:p w14:paraId="10489D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2866" w:type="pct"/>
            <w:vAlign w:val="center"/>
          </w:tcPr>
          <w:p w14:paraId="3CEB02F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投标人应对关键业务进行详细分析设计，包括①业务档案一体化、②业务财务一体化、③社税一体化、④社银一体化相关设计方案，设计方案应包括业务逻辑设计、接口规范设计、业务系统对接方案</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根据其</w:t>
            </w:r>
            <w:r>
              <w:rPr>
                <w:rFonts w:hint="eastAsia" w:ascii="宋体" w:hAnsi="宋体" w:eastAsia="宋体" w:cs="宋体"/>
                <w:color w:val="auto"/>
                <w:sz w:val="21"/>
                <w:szCs w:val="21"/>
                <w:highlight w:val="none"/>
                <w:lang w:val="en-US" w:eastAsia="zh-CN"/>
              </w:rPr>
              <w:t>设计</w:t>
            </w:r>
            <w:r>
              <w:rPr>
                <w:rFonts w:hint="eastAsia" w:ascii="宋体" w:hAnsi="宋体" w:eastAsia="宋体" w:cs="宋体"/>
                <w:color w:val="auto"/>
                <w:sz w:val="21"/>
                <w:szCs w:val="21"/>
                <w:highlight w:val="none"/>
              </w:rPr>
              <w:t>方案进行综合评议。</w:t>
            </w:r>
          </w:p>
          <w:p w14:paraId="5FFB3BA5">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（1）设计方案完整且合理可行的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得1-2分</w:t>
            </w:r>
            <w:r>
              <w:rPr>
                <w:rFonts w:hint="eastAsia" w:ascii="宋体" w:hAnsi="宋体" w:eastAsia="宋体" w:cs="宋体"/>
                <w:color w:val="auto"/>
                <w:sz w:val="21"/>
                <w:szCs w:val="21"/>
                <w:highlight w:val="none"/>
              </w:rPr>
              <w:t>。</w:t>
            </w:r>
          </w:p>
          <w:p w14:paraId="3DD8DF5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（2）设计方案</w:t>
            </w:r>
            <w:r>
              <w:rPr>
                <w:rFonts w:hint="eastAsia" w:ascii="宋体" w:hAnsi="宋体" w:eastAsia="宋体" w:cs="宋体"/>
                <w:color w:val="auto"/>
                <w:sz w:val="21"/>
                <w:szCs w:val="21"/>
                <w:highlight w:val="none"/>
                <w:lang w:val="en-US" w:eastAsia="zh-CN"/>
              </w:rPr>
              <w:t>较为欠缺，仅部分满足采购需求</w:t>
            </w:r>
            <w:r>
              <w:rPr>
                <w:rFonts w:hint="eastAsia" w:ascii="宋体" w:hAnsi="宋体" w:eastAsia="宋体" w:cs="宋体"/>
                <w:color w:val="auto"/>
                <w:sz w:val="21"/>
                <w:szCs w:val="21"/>
                <w:highlight w:val="none"/>
              </w:rPr>
              <w:t>得0.1-1分。</w:t>
            </w:r>
          </w:p>
          <w:p w14:paraId="3BD33821">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223F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321A0FE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75ED1AC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4CB2D31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475" w:type="pct"/>
            <w:vAlign w:val="center"/>
          </w:tcPr>
          <w:p w14:paraId="786B34B6">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2866" w:type="pct"/>
            <w:vAlign w:val="center"/>
          </w:tcPr>
          <w:p w14:paraId="2D88874D">
            <w:pPr>
              <w:jc w:val="lef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根据投标人提供的项目实施方案，包括①项目质量保障方案；②项目实施进度计划保障方案；③风险控制方案；④项目测试及培训方案；⑤安全和应急方案</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lang w:eastAsia="zh-Hans"/>
              </w:rPr>
              <w:t>是否科学、内容是否全面、是否针对本项目列明详细的确保进度措施、是否有针对性及是否满足采购需求等进行综合评定。</w:t>
            </w:r>
          </w:p>
          <w:p w14:paraId="1E836A6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（1）完全契合本项目实际需求，具体详细、合理可行</w:t>
            </w:r>
            <w:r>
              <w:rPr>
                <w:rFonts w:hint="eastAsia" w:ascii="宋体" w:hAnsi="宋体" w:eastAsia="宋体" w:cs="宋体"/>
                <w:color w:val="auto"/>
                <w:sz w:val="21"/>
                <w:szCs w:val="21"/>
                <w:highlight w:val="none"/>
                <w:lang w:val="en-US" w:eastAsia="zh-CN"/>
              </w:rPr>
              <w:t>有保障</w:t>
            </w:r>
            <w:r>
              <w:rPr>
                <w:rFonts w:hint="eastAsia" w:ascii="宋体" w:hAnsi="宋体" w:eastAsia="宋体" w:cs="宋体"/>
                <w:color w:val="auto"/>
                <w:sz w:val="21"/>
                <w:szCs w:val="21"/>
                <w:highlight w:val="none"/>
              </w:rPr>
              <w:t>，得</w:t>
            </w:r>
            <w:r>
              <w:rPr>
                <w:rFonts w:hint="eastAsia" w:ascii="宋体" w:hAnsi="宋体" w:cs="宋体"/>
                <w:i w:val="0"/>
                <w:iCs w:val="0"/>
                <w:color w:val="auto"/>
                <w:kern w:val="0"/>
                <w:sz w:val="21"/>
                <w:szCs w:val="21"/>
                <w:highlight w:val="none"/>
                <w:u w:val="none"/>
                <w:lang w:val="en-US" w:eastAsia="zh-CN" w:bidi="ar"/>
              </w:rPr>
              <w:t>0.5-1</w:t>
            </w:r>
            <w:r>
              <w:rPr>
                <w:rFonts w:hint="eastAsia" w:ascii="宋体" w:hAnsi="宋体" w:eastAsia="宋体" w:cs="宋体"/>
                <w:color w:val="auto"/>
                <w:sz w:val="21"/>
                <w:szCs w:val="21"/>
                <w:highlight w:val="none"/>
              </w:rPr>
              <w:t>分；</w:t>
            </w:r>
          </w:p>
          <w:p w14:paraId="3EA8AF6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（2）部分满足本项目实际需求，有缺项、可行性不高，得</w:t>
            </w:r>
            <w:r>
              <w:rPr>
                <w:rFonts w:hint="eastAsia" w:ascii="宋体" w:hAnsi="宋体" w:cs="宋体"/>
                <w:i w:val="0"/>
                <w:iCs w:val="0"/>
                <w:color w:val="auto"/>
                <w:kern w:val="0"/>
                <w:sz w:val="21"/>
                <w:szCs w:val="21"/>
                <w:highlight w:val="none"/>
                <w:u w:val="none"/>
                <w:lang w:val="en-US" w:eastAsia="zh-CN" w:bidi="ar"/>
              </w:rPr>
              <w:t>0.1-0.5</w:t>
            </w:r>
            <w:r>
              <w:rPr>
                <w:rFonts w:hint="eastAsia" w:ascii="宋体" w:hAnsi="宋体" w:eastAsia="宋体" w:cs="宋体"/>
                <w:color w:val="auto"/>
                <w:sz w:val="21"/>
                <w:szCs w:val="21"/>
                <w:highlight w:val="none"/>
              </w:rPr>
              <w:t>分。</w:t>
            </w:r>
          </w:p>
          <w:p w14:paraId="3C502BED">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r w14:paraId="1426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42AF91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046CEE0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0C041E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售后服务及承诺方案</w:t>
            </w:r>
          </w:p>
        </w:tc>
        <w:tc>
          <w:tcPr>
            <w:tcW w:w="475" w:type="pct"/>
            <w:vAlign w:val="center"/>
          </w:tcPr>
          <w:p w14:paraId="4084B4D5">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2866" w:type="pct"/>
            <w:vAlign w:val="center"/>
          </w:tcPr>
          <w:p w14:paraId="255DB948">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Hans"/>
              </w:rPr>
              <w:t>根据投标人提供的售后服务方案，包括售后服务承诺、售后服务流程、售后服务内容、响应时间、驻点场地</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，根据其方案进行综合</w:t>
            </w:r>
            <w:r>
              <w:rPr>
                <w:rFonts w:hint="eastAsia" w:ascii="宋体" w:hAnsi="宋体" w:eastAsia="宋体" w:cs="宋体"/>
                <w:color w:val="auto"/>
                <w:sz w:val="21"/>
                <w:szCs w:val="21"/>
                <w:highlight w:val="none"/>
                <w:lang w:val="en-US" w:eastAsia="zh-CN"/>
              </w:rPr>
              <w:t>评分。</w:t>
            </w:r>
          </w:p>
          <w:p w14:paraId="62540D9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（1）完全契合本项目实际需求，具体详细、合理可行，得</w:t>
            </w:r>
            <w:r>
              <w:rPr>
                <w:rFonts w:hint="eastAsia" w:ascii="宋体" w:hAnsi="宋体" w:cs="宋体"/>
                <w:color w:val="auto"/>
                <w:sz w:val="21"/>
                <w:szCs w:val="21"/>
                <w:highlight w:val="none"/>
                <w:lang w:val="en-US" w:eastAsia="zh-CN"/>
              </w:rPr>
              <w:t>0.5-1分</w:t>
            </w:r>
            <w:r>
              <w:rPr>
                <w:rFonts w:hint="eastAsia" w:ascii="宋体" w:hAnsi="宋体" w:eastAsia="宋体" w:cs="宋体"/>
                <w:color w:val="auto"/>
                <w:sz w:val="21"/>
                <w:szCs w:val="21"/>
                <w:highlight w:val="none"/>
                <w:lang w:val="en-US" w:eastAsia="zh-CN"/>
              </w:rPr>
              <w:t>；</w:t>
            </w:r>
          </w:p>
          <w:p w14:paraId="0B4A09D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（2）部分满足本项目实际需求，有缺项、可行性不高，得</w:t>
            </w:r>
            <w:r>
              <w:rPr>
                <w:rFonts w:hint="eastAsia" w:ascii="宋体" w:hAnsi="宋体" w:cs="宋体"/>
                <w:i w:val="0"/>
                <w:iCs w:val="0"/>
                <w:color w:val="auto"/>
                <w:kern w:val="0"/>
                <w:sz w:val="21"/>
                <w:szCs w:val="21"/>
                <w:highlight w:val="none"/>
                <w:u w:val="none"/>
                <w:lang w:val="en-US" w:eastAsia="zh-CN" w:bidi="ar"/>
              </w:rPr>
              <w:t>0.1-0.5</w:t>
            </w:r>
            <w:r>
              <w:rPr>
                <w:rFonts w:hint="eastAsia" w:ascii="宋体" w:hAnsi="宋体" w:eastAsia="宋体" w:cs="宋体"/>
                <w:color w:val="auto"/>
                <w:sz w:val="21"/>
                <w:szCs w:val="21"/>
                <w:highlight w:val="none"/>
                <w:lang w:val="en-US" w:eastAsia="zh-CN"/>
              </w:rPr>
              <w:t>分。</w:t>
            </w:r>
          </w:p>
          <w:p w14:paraId="444CBB6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未提供不得分。</w:t>
            </w:r>
          </w:p>
        </w:tc>
      </w:tr>
      <w:tr w14:paraId="20FD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 w:hRule="atLeast"/>
        </w:trPr>
        <w:tc>
          <w:tcPr>
            <w:tcW w:w="316" w:type="pct"/>
            <w:vMerge w:val="continue"/>
            <w:vAlign w:val="center"/>
          </w:tcPr>
          <w:p w14:paraId="1B91D20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358" w:type="pct"/>
            <w:vMerge w:val="continue"/>
            <w:shd w:val="clear" w:color="auto" w:fill="auto"/>
            <w:vAlign w:val="center"/>
          </w:tcPr>
          <w:p w14:paraId="71BF81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auto"/>
                <w:sz w:val="21"/>
                <w:szCs w:val="21"/>
                <w:highlight w:val="none"/>
              </w:rPr>
            </w:pPr>
          </w:p>
        </w:tc>
        <w:tc>
          <w:tcPr>
            <w:tcW w:w="982" w:type="pct"/>
            <w:vAlign w:val="center"/>
          </w:tcPr>
          <w:p w14:paraId="29E4012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培训方案及培训计划</w:t>
            </w:r>
          </w:p>
        </w:tc>
        <w:tc>
          <w:tcPr>
            <w:tcW w:w="475" w:type="pct"/>
            <w:vAlign w:val="center"/>
          </w:tcPr>
          <w:p w14:paraId="395EB81D">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p>
        </w:tc>
        <w:tc>
          <w:tcPr>
            <w:tcW w:w="2866" w:type="pct"/>
            <w:vAlign w:val="center"/>
          </w:tcPr>
          <w:p w14:paraId="211A8A5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提供科学合理的人员培训方案，方案内容包含但不限于：①培训对象、②培训方式、③培训内容、④培训计划等，根据完整性、合理性等进行综合评分。</w:t>
            </w:r>
          </w:p>
          <w:p w14:paraId="5010124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（1）完全契合本项目实际需求，具体详细、合理可行，得</w:t>
            </w:r>
            <w:r>
              <w:rPr>
                <w:rFonts w:hint="eastAsia" w:ascii="宋体" w:hAnsi="宋体" w:cs="宋体"/>
                <w:i w:val="0"/>
                <w:iCs w:val="0"/>
                <w:color w:val="auto"/>
                <w:kern w:val="0"/>
                <w:sz w:val="21"/>
                <w:szCs w:val="21"/>
                <w:highlight w:val="none"/>
                <w:u w:val="none"/>
                <w:lang w:val="en-US" w:eastAsia="zh-CN" w:bidi="ar"/>
              </w:rPr>
              <w:t>0.5-1</w:t>
            </w:r>
            <w:r>
              <w:rPr>
                <w:rFonts w:hint="eastAsia" w:ascii="宋体" w:hAnsi="宋体" w:eastAsia="宋体" w:cs="宋体"/>
                <w:color w:val="auto"/>
                <w:sz w:val="21"/>
                <w:szCs w:val="21"/>
                <w:highlight w:val="none"/>
              </w:rPr>
              <w:t>分；</w:t>
            </w:r>
          </w:p>
          <w:p w14:paraId="3E1645F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（2）部分满足本项目实际需求，有缺项、可行性不高，得</w:t>
            </w:r>
            <w:r>
              <w:rPr>
                <w:rFonts w:hint="eastAsia" w:ascii="宋体" w:hAnsi="宋体" w:cs="宋体"/>
                <w:i w:val="0"/>
                <w:iCs w:val="0"/>
                <w:color w:val="auto"/>
                <w:kern w:val="0"/>
                <w:sz w:val="21"/>
                <w:szCs w:val="21"/>
                <w:highlight w:val="none"/>
                <w:u w:val="none"/>
                <w:lang w:val="en-US" w:eastAsia="zh-CN" w:bidi="ar"/>
              </w:rPr>
              <w:t>0.1-0.5</w:t>
            </w:r>
            <w:r>
              <w:rPr>
                <w:rFonts w:hint="eastAsia" w:ascii="宋体" w:hAnsi="宋体" w:eastAsia="宋体" w:cs="宋体"/>
                <w:color w:val="auto"/>
                <w:sz w:val="21"/>
                <w:szCs w:val="21"/>
                <w:highlight w:val="none"/>
              </w:rPr>
              <w:t>分。</w:t>
            </w:r>
          </w:p>
          <w:p w14:paraId="56333595">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未提供不得分。</w:t>
            </w:r>
          </w:p>
        </w:tc>
      </w:tr>
    </w:tbl>
    <w:p w14:paraId="4052C26E">
      <w:pPr>
        <w:spacing w:line="600" w:lineRule="exact"/>
        <w:contextualSpacing/>
        <w:outlineLvl w:val="1"/>
        <w:rPr>
          <w:rFonts w:hint="eastAsia" w:ascii="宋体" w:hAnsi="宋体" w:eastAsia="宋体" w:cs="宋体"/>
          <w:b/>
          <w:bCs/>
          <w:color w:val="auto"/>
          <w:sz w:val="28"/>
          <w:szCs w:val="28"/>
          <w:highlight w:val="none"/>
          <w:lang w:val="zh-CN"/>
        </w:rPr>
      </w:pPr>
      <w:bookmarkStart w:id="452" w:name="_Toc25305"/>
      <w:bookmarkStart w:id="453" w:name="_Toc495388705"/>
      <w:bookmarkStart w:id="454" w:name="_Toc491075848"/>
      <w:r>
        <w:rPr>
          <w:rFonts w:hint="eastAsia" w:ascii="宋体" w:hAnsi="宋体" w:eastAsia="宋体" w:cs="宋体"/>
          <w:b/>
          <w:bCs/>
          <w:color w:val="auto"/>
          <w:sz w:val="28"/>
          <w:szCs w:val="28"/>
          <w:highlight w:val="none"/>
          <w:lang w:val="zh-CN"/>
        </w:rPr>
        <w:t>评标办法正文</w:t>
      </w:r>
      <w:bookmarkEnd w:id="452"/>
    </w:p>
    <w:p w14:paraId="603F54FD">
      <w:pPr>
        <w:spacing w:line="600" w:lineRule="exact"/>
        <w:ind w:firstLine="241" w:firstLineChars="100"/>
        <w:contextualSpacing/>
        <w:outlineLvl w:val="1"/>
        <w:rPr>
          <w:rFonts w:hint="eastAsia" w:ascii="宋体" w:hAnsi="宋体" w:eastAsia="宋体" w:cs="宋体"/>
          <w:b/>
          <w:bCs/>
          <w:color w:val="auto"/>
          <w:sz w:val="24"/>
          <w:szCs w:val="24"/>
          <w:highlight w:val="none"/>
          <w:lang w:val="zh-CN"/>
        </w:rPr>
      </w:pPr>
      <w:bookmarkStart w:id="455" w:name="_Toc29744"/>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eastAsia="zh-CN"/>
        </w:rPr>
        <w:t>评标方</w:t>
      </w:r>
      <w:bookmarkEnd w:id="453"/>
      <w:bookmarkEnd w:id="454"/>
      <w:r>
        <w:rPr>
          <w:rFonts w:hint="eastAsia" w:ascii="宋体" w:hAnsi="宋体" w:eastAsia="宋体" w:cs="宋体"/>
          <w:b/>
          <w:bCs/>
          <w:color w:val="auto"/>
          <w:sz w:val="24"/>
          <w:szCs w:val="24"/>
          <w:highlight w:val="none"/>
          <w:lang w:val="zh-CN"/>
        </w:rPr>
        <w:t>法</w:t>
      </w:r>
      <w:bookmarkEnd w:id="455"/>
    </w:p>
    <w:p w14:paraId="15247CA3">
      <w:pPr>
        <w:spacing w:line="400" w:lineRule="exact"/>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次评标采用综合评估法。评标委员会对满足招标文件实质性要求的投标文件，按照本章第2.2款规定的评分标准进行打分，并按得分由高到低顺序推荐中标候选人，或根据招标人授权直接确定中标人，但投标报价低于其成本的除外。综合评分相等时，以投标报价低的优先；投标报价也相等的，以技术建议书得分高的优先；如果技术建议书得分也相等，按照评标办法前附表的规定确定中标候选人顺序。</w:t>
      </w:r>
    </w:p>
    <w:p w14:paraId="0DFB2A58">
      <w:pPr>
        <w:spacing w:line="600" w:lineRule="exact"/>
        <w:ind w:firstLine="241" w:firstLineChars="100"/>
        <w:contextualSpacing/>
        <w:outlineLvl w:val="1"/>
        <w:rPr>
          <w:rFonts w:hint="eastAsia" w:ascii="宋体" w:hAnsi="宋体" w:eastAsia="宋体" w:cs="宋体"/>
          <w:b/>
          <w:bCs/>
          <w:color w:val="auto"/>
          <w:sz w:val="24"/>
          <w:szCs w:val="24"/>
          <w:highlight w:val="none"/>
          <w:lang w:val="zh-CN" w:eastAsia="zh-CN"/>
        </w:rPr>
      </w:pPr>
      <w:bookmarkStart w:id="456" w:name="_Toc491075849"/>
      <w:bookmarkStart w:id="457" w:name="_Toc495388706"/>
      <w:bookmarkStart w:id="458" w:name="_Toc15491"/>
      <w:r>
        <w:rPr>
          <w:rFonts w:hint="eastAsia" w:ascii="宋体" w:hAnsi="宋体" w:eastAsia="宋体" w:cs="宋体"/>
          <w:b/>
          <w:bCs/>
          <w:color w:val="auto"/>
          <w:sz w:val="24"/>
          <w:szCs w:val="24"/>
          <w:highlight w:val="none"/>
          <w:lang w:val="zh-CN" w:eastAsia="zh-CN"/>
        </w:rPr>
        <w:t>2.评审标准</w:t>
      </w:r>
      <w:bookmarkEnd w:id="456"/>
      <w:bookmarkEnd w:id="457"/>
      <w:bookmarkEnd w:id="458"/>
    </w:p>
    <w:p w14:paraId="156DFD1B">
      <w:pPr>
        <w:keepNext/>
        <w:keepLines/>
        <w:spacing w:after="120" w:line="500" w:lineRule="exact"/>
        <w:ind w:firstLine="241" w:firstLineChars="100"/>
        <w:jc w:val="left"/>
        <w:outlineLvl w:val="2"/>
        <w:rPr>
          <w:rFonts w:hint="eastAsia" w:ascii="宋体" w:hAnsi="宋体" w:eastAsia="宋体" w:cs="宋体"/>
          <w:b/>
          <w:bCs/>
          <w:color w:val="auto"/>
          <w:sz w:val="24"/>
          <w:szCs w:val="24"/>
          <w:highlight w:val="none"/>
          <w:lang w:val="zh-CN" w:eastAsia="zh-CN"/>
        </w:rPr>
      </w:pPr>
      <w:bookmarkStart w:id="459" w:name="_Toc6065"/>
      <w:r>
        <w:rPr>
          <w:rFonts w:hint="eastAsia" w:ascii="宋体" w:hAnsi="宋体" w:eastAsia="宋体" w:cs="宋体"/>
          <w:b/>
          <w:bCs/>
          <w:color w:val="auto"/>
          <w:sz w:val="24"/>
          <w:szCs w:val="24"/>
          <w:highlight w:val="none"/>
          <w:lang w:val="zh-CN" w:eastAsia="zh-CN"/>
        </w:rPr>
        <w:t>2.1初步评审标准</w:t>
      </w:r>
      <w:bookmarkEnd w:id="459"/>
    </w:p>
    <w:p w14:paraId="34BCA72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2.1.1形式评审标准：见评标办法前附表。</w:t>
      </w:r>
    </w:p>
    <w:p w14:paraId="3C3924AA">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2.1.2资格评审标准：见评标办法前附表。</w:t>
      </w:r>
    </w:p>
    <w:p w14:paraId="5D34D83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2.1.3响应性评审标准：见评标办法前附表。</w:t>
      </w:r>
    </w:p>
    <w:p w14:paraId="62AD14E4">
      <w:pPr>
        <w:keepNext/>
        <w:keepLines/>
        <w:spacing w:after="120" w:line="500" w:lineRule="exact"/>
        <w:ind w:firstLine="241" w:firstLineChars="100"/>
        <w:jc w:val="left"/>
        <w:outlineLvl w:val="2"/>
        <w:rPr>
          <w:rFonts w:hint="eastAsia" w:ascii="宋体" w:hAnsi="宋体" w:eastAsia="宋体" w:cs="宋体"/>
          <w:b/>
          <w:bCs/>
          <w:color w:val="auto"/>
          <w:sz w:val="24"/>
          <w:szCs w:val="24"/>
          <w:highlight w:val="none"/>
          <w:lang w:val="zh-CN" w:eastAsia="zh-CN"/>
        </w:rPr>
      </w:pPr>
      <w:bookmarkStart w:id="460" w:name="_Toc11812"/>
      <w:r>
        <w:rPr>
          <w:rFonts w:hint="eastAsia" w:ascii="宋体" w:hAnsi="宋体" w:eastAsia="宋体" w:cs="宋体"/>
          <w:b/>
          <w:bCs/>
          <w:color w:val="auto"/>
          <w:sz w:val="24"/>
          <w:szCs w:val="24"/>
          <w:highlight w:val="none"/>
          <w:lang w:val="zh-CN" w:eastAsia="zh-CN"/>
        </w:rPr>
        <w:t>2.2分值构成与评分标准</w:t>
      </w:r>
      <w:bookmarkEnd w:id="460"/>
    </w:p>
    <w:p w14:paraId="3DBB609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2.2.1分值构成</w:t>
      </w:r>
    </w:p>
    <w:p w14:paraId="1F97746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（1）投标报价：见评标办法前附表；</w:t>
      </w:r>
    </w:p>
    <w:p w14:paraId="08B4336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（2）商务评审：见评标办法前附表；</w:t>
      </w:r>
    </w:p>
    <w:p w14:paraId="0ECAAD06">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（3）技术评审：见评标办法前附表；</w:t>
      </w:r>
    </w:p>
    <w:p w14:paraId="24F126CF">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（4）其他评审：见评标办法前附表。</w:t>
      </w:r>
    </w:p>
    <w:p w14:paraId="4DA54A1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2.2.2评分标准</w:t>
      </w:r>
    </w:p>
    <w:p w14:paraId="40DC9A0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（1）投标报价评分标准：见评标办法前附表；</w:t>
      </w:r>
    </w:p>
    <w:p w14:paraId="5EB17C3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（2）商务评审评分标准：见评标办法前附表；</w:t>
      </w:r>
    </w:p>
    <w:p w14:paraId="720CC823">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（3）技术评审评分标准：见评标办法前附表；</w:t>
      </w:r>
    </w:p>
    <w:p w14:paraId="758D72C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（4）其他评审评分标准：见评标办法前附表。</w:t>
      </w:r>
    </w:p>
    <w:p w14:paraId="058AAA1B">
      <w:pPr>
        <w:spacing w:line="600" w:lineRule="exact"/>
        <w:ind w:firstLine="361" w:firstLineChars="150"/>
        <w:contextualSpacing/>
        <w:outlineLvl w:val="1"/>
        <w:rPr>
          <w:rFonts w:hint="eastAsia" w:ascii="宋体" w:hAnsi="宋体" w:eastAsia="宋体" w:cs="宋体"/>
          <w:b/>
          <w:bCs/>
          <w:color w:val="auto"/>
          <w:sz w:val="24"/>
          <w:szCs w:val="24"/>
          <w:highlight w:val="none"/>
          <w:lang w:val="zh-CN" w:eastAsia="zh-CN"/>
        </w:rPr>
      </w:pPr>
      <w:bookmarkStart w:id="461" w:name="_Toc25989"/>
      <w:bookmarkStart w:id="462" w:name="_Toc495388707"/>
      <w:bookmarkStart w:id="463" w:name="_Toc491075850"/>
      <w:r>
        <w:rPr>
          <w:rFonts w:hint="eastAsia" w:ascii="宋体" w:hAnsi="宋体" w:eastAsia="宋体" w:cs="宋体"/>
          <w:b/>
          <w:bCs/>
          <w:color w:val="auto"/>
          <w:sz w:val="24"/>
          <w:szCs w:val="24"/>
          <w:highlight w:val="none"/>
          <w:lang w:val="zh-CN" w:eastAsia="zh-CN"/>
        </w:rPr>
        <w:t>3.评标程序</w:t>
      </w:r>
      <w:bookmarkEnd w:id="461"/>
      <w:bookmarkEnd w:id="462"/>
      <w:bookmarkEnd w:id="463"/>
    </w:p>
    <w:p w14:paraId="2CBF0454">
      <w:pPr>
        <w:keepNext/>
        <w:keepLines/>
        <w:spacing w:after="120" w:line="500" w:lineRule="exact"/>
        <w:ind w:firstLine="361" w:firstLineChars="150"/>
        <w:jc w:val="left"/>
        <w:outlineLvl w:val="2"/>
        <w:rPr>
          <w:rFonts w:hint="eastAsia" w:ascii="宋体" w:hAnsi="宋体" w:eastAsia="宋体" w:cs="宋体"/>
          <w:b/>
          <w:bCs/>
          <w:color w:val="auto"/>
          <w:sz w:val="24"/>
          <w:szCs w:val="24"/>
          <w:highlight w:val="none"/>
          <w:lang w:val="zh-CN" w:eastAsia="zh-CN"/>
        </w:rPr>
      </w:pPr>
      <w:bookmarkStart w:id="464" w:name="_Toc14117"/>
      <w:r>
        <w:rPr>
          <w:rFonts w:hint="eastAsia" w:ascii="宋体" w:hAnsi="宋体" w:eastAsia="宋体" w:cs="宋体"/>
          <w:b/>
          <w:bCs/>
          <w:color w:val="auto"/>
          <w:sz w:val="24"/>
          <w:szCs w:val="24"/>
          <w:highlight w:val="none"/>
          <w:lang w:val="zh-CN" w:eastAsia="zh-CN"/>
        </w:rPr>
        <w:t>3.1评标准备</w:t>
      </w:r>
      <w:bookmarkEnd w:id="464"/>
    </w:p>
    <w:p w14:paraId="3C29D1C4">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3.1.1评标委员会成员签到</w:t>
      </w:r>
    </w:p>
    <w:p w14:paraId="52DDA40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评标委员会成员到达评标现场时应在签到表上签到以证明其出席。</w:t>
      </w:r>
    </w:p>
    <w:p w14:paraId="10180231">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3.1.2评标委员会的分工</w:t>
      </w:r>
    </w:p>
    <w:p w14:paraId="5AE40520">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由评标委员会首先推选一名评标委员会负责人，评标委员会负责人负责评标活动的组织领导工作，评标委员会负责人在与其他评标委员会成员具有同等表决权。</w:t>
      </w:r>
    </w:p>
    <w:p w14:paraId="4AF7F9B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3.1.3熟悉文件资料</w:t>
      </w:r>
    </w:p>
    <w:p w14:paraId="01DFC63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3.1.3.1评标委员会负责人应组织评标委员会成员认真研究招标文件，了解和熟悉招标目的、招标范围、主要合同条件、技术标准和要求、质量目标和履约期限要求，掌握评标标准和方法，熟悉评标流程。未在招标文件中规定的标准和方法不得作为评标的依据。</w:t>
      </w:r>
    </w:p>
    <w:p w14:paraId="7D32B0E7">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3.1.3.2评标委员会成员在评标前应当了解招标工程概况及招标文件内容。招标人或其委托的招标代理机构应当向评标委员会提供评标所需的重要信息和相关数据资料，主要包括：</w:t>
      </w:r>
    </w:p>
    <w:p w14:paraId="0EA24843">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（一）招标文件；</w:t>
      </w:r>
    </w:p>
    <w:p w14:paraId="57BDC5F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（二）未在开标会上当场拒绝的投标文件；</w:t>
      </w:r>
    </w:p>
    <w:p w14:paraId="15C2AE41">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（三）开标记录；</w:t>
      </w:r>
    </w:p>
    <w:p w14:paraId="549836F7">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（四）标底（如有）、最高投标限价（如有）。</w:t>
      </w:r>
    </w:p>
    <w:p w14:paraId="2255CF2C">
      <w:pPr>
        <w:keepNext/>
        <w:keepLines/>
        <w:spacing w:after="120" w:line="500" w:lineRule="exact"/>
        <w:ind w:firstLine="361" w:firstLineChars="150"/>
        <w:jc w:val="left"/>
        <w:outlineLvl w:val="2"/>
        <w:rPr>
          <w:rFonts w:hint="eastAsia" w:ascii="宋体" w:hAnsi="宋体" w:eastAsia="宋体" w:cs="宋体"/>
          <w:b/>
          <w:bCs/>
          <w:color w:val="auto"/>
          <w:sz w:val="24"/>
          <w:szCs w:val="24"/>
          <w:highlight w:val="none"/>
          <w:lang w:val="zh-CN" w:eastAsia="zh-CN"/>
        </w:rPr>
      </w:pPr>
      <w:bookmarkStart w:id="465" w:name="_Toc25386"/>
      <w:r>
        <w:rPr>
          <w:rFonts w:hint="eastAsia" w:ascii="宋体" w:hAnsi="宋体" w:eastAsia="宋体" w:cs="宋体"/>
          <w:b/>
          <w:bCs/>
          <w:color w:val="auto"/>
          <w:sz w:val="24"/>
          <w:szCs w:val="24"/>
          <w:highlight w:val="none"/>
          <w:lang w:val="zh-CN" w:eastAsia="zh-CN"/>
        </w:rPr>
        <w:t>3.2初步评审</w:t>
      </w:r>
      <w:bookmarkEnd w:id="465"/>
    </w:p>
    <w:p w14:paraId="546FDAD2">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3.2.1评标委员会依据本章第2.1款规定的标准对投标文件进行初步评审。有一项不符合评审标准的，应当否决其投标。</w:t>
      </w:r>
    </w:p>
    <w:p w14:paraId="536BCDC0">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3.2.2投标人有以下情形之一的，评标委员会应当否决其投标：</w:t>
      </w:r>
    </w:p>
    <w:p w14:paraId="41C9FAE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（1）第二章“投标人须知”相关条款规定的应当否决投标情形的；</w:t>
      </w:r>
    </w:p>
    <w:p w14:paraId="6CDD180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（2）串通投标或弄虚作假或有其他违法行为的；</w:t>
      </w:r>
    </w:p>
    <w:p w14:paraId="3F74F73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1）有下列情形之一的，视为投标人相互串通投标：</w:t>
      </w:r>
    </w:p>
    <w:p w14:paraId="6E13B684">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①不同投标人的投标文件由同一单位或者个人编制；</w:t>
      </w:r>
    </w:p>
    <w:p w14:paraId="0BD4C1C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②不同投标人委托同一单位或者个人办理投标事宜；</w:t>
      </w:r>
    </w:p>
    <w:p w14:paraId="0019A28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③不同投标人的投标文件载明的项目管理成员为同一人；</w:t>
      </w:r>
    </w:p>
    <w:p w14:paraId="078CB964">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④不同投标人的投标文件异常一致或者投标报价呈规律性差异；</w:t>
      </w:r>
    </w:p>
    <w:p w14:paraId="5FDF7152">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⑤不同投标人的投标文件相互混装；</w:t>
      </w:r>
    </w:p>
    <w:p w14:paraId="5ADADBFA">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⑥不同投标人的投标保证金从同一单位或者个人的账户转出。</w:t>
      </w:r>
    </w:p>
    <w:p w14:paraId="0F94A80C">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2）有下列情形之一的，属于弄虚作假行为：</w:t>
      </w:r>
    </w:p>
    <w:p w14:paraId="1E678597">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①使用通过受让或者租借等方式获取的资格、资质证书投标的，即以他人名义投标的。</w:t>
      </w:r>
    </w:p>
    <w:p w14:paraId="169493CF">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②使用伪造、变造的许可证件；</w:t>
      </w:r>
    </w:p>
    <w:p w14:paraId="0E233A7F">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③提供虚假的财务状况或者业绩；</w:t>
      </w:r>
    </w:p>
    <w:p w14:paraId="188A8C0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④提供虚假的项目负责人或者主要技术人员简历、劳动关系证明；</w:t>
      </w:r>
    </w:p>
    <w:p w14:paraId="0843E4A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⑤提供虚假的信用状况；</w:t>
      </w:r>
    </w:p>
    <w:p w14:paraId="3F18EF17">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⑥其他弄虚作假的行为。</w:t>
      </w:r>
    </w:p>
    <w:p w14:paraId="37BDAFB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（3）不按评标委员会要求澄清、说明或补正的。</w:t>
      </w:r>
    </w:p>
    <w:p w14:paraId="4DF9EC1F">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3.2.3投标报价有算术错误的，评标委员会按以下原则对投标报价进行修正，修正的价格经投标人书面确认后具有约束力。</w:t>
      </w:r>
    </w:p>
    <w:p w14:paraId="7644B336">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（1）投标文件中的大写金额与小写金额不一致的，以大写金额为准；</w:t>
      </w:r>
    </w:p>
    <w:p w14:paraId="44C583F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（2）总价金额与依据单价计算出的结果不一致的，以单价金额为准修正总价，但单价金额小数点有明显错误的除外。</w:t>
      </w:r>
    </w:p>
    <w:p w14:paraId="070BCDD3">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投标人不接受修正价格的，或者修正后的投标报价超过最高投标限价的（如有），评标委员会应当否决其投标。</w:t>
      </w:r>
    </w:p>
    <w:p w14:paraId="635C9F7C">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评标委员会发现投标人的报价明显低于其他投标报价，或者在设有最高投标限价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007E7139">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3.2.5评标委员会否决不合格投标后，因有效投标不足三个使得投标明显缺乏竞争的，评标委员会可以否决全部投标。</w:t>
      </w:r>
    </w:p>
    <w:p w14:paraId="644939B1">
      <w:pPr>
        <w:keepNext/>
        <w:keepLines/>
        <w:spacing w:after="120" w:line="500" w:lineRule="exact"/>
        <w:ind w:firstLine="361" w:firstLineChars="150"/>
        <w:jc w:val="left"/>
        <w:outlineLvl w:val="2"/>
        <w:rPr>
          <w:rFonts w:hint="eastAsia" w:ascii="宋体" w:hAnsi="宋体" w:eastAsia="宋体" w:cs="宋体"/>
          <w:b/>
          <w:bCs/>
          <w:color w:val="auto"/>
          <w:sz w:val="24"/>
          <w:szCs w:val="24"/>
          <w:highlight w:val="none"/>
          <w:lang w:val="zh-CN" w:eastAsia="zh-CN"/>
        </w:rPr>
      </w:pPr>
      <w:bookmarkStart w:id="466" w:name="_Toc9185"/>
      <w:r>
        <w:rPr>
          <w:rFonts w:hint="eastAsia" w:ascii="宋体" w:hAnsi="宋体" w:eastAsia="宋体" w:cs="宋体"/>
          <w:b/>
          <w:bCs/>
          <w:color w:val="auto"/>
          <w:sz w:val="24"/>
          <w:szCs w:val="24"/>
          <w:highlight w:val="none"/>
          <w:lang w:val="zh-CN" w:eastAsia="zh-CN"/>
        </w:rPr>
        <w:t>3.3详细评审</w:t>
      </w:r>
      <w:bookmarkEnd w:id="466"/>
    </w:p>
    <w:p w14:paraId="595C3BBA">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3.3.1评标委员会对通过了初步评审的投标文件进行详细评审。</w:t>
      </w:r>
    </w:p>
    <w:p w14:paraId="61B8A2E2">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3.3.2评标委员会按本章第2.2款规定的量化因素和分值进行打分，并计算出综合评估得分。</w:t>
      </w:r>
    </w:p>
    <w:p w14:paraId="476A4931">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（1）按本章第2.2.4（1）目规定的评审因素和分值对投标报价计算出得分A；</w:t>
      </w:r>
    </w:p>
    <w:p w14:paraId="2B7F9A74">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（2）按本章第2.2.4（2）目规定的评审因素和分值对商务评审计算出得分B；</w:t>
      </w:r>
    </w:p>
    <w:p w14:paraId="2DBB923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（3）按本章第2.2.4（3）目规定的评审因素和分值对技术评审计算出得分C；</w:t>
      </w:r>
    </w:p>
    <w:p w14:paraId="11C48AF3">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（4）按本章第2.2.4（4）目规定的评审因素和分值对其他评审计算出得分D。</w:t>
      </w:r>
    </w:p>
    <w:p w14:paraId="487B89D4">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3.3.3评分分值计算保留小数点后两位，小数点后第三位“四舍五入”。</w:t>
      </w:r>
    </w:p>
    <w:p w14:paraId="16D0E57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3.3.4评标委员会成员对各投标人的综合评分为其各分项得分之和，即投标人得分=A+B+C+D。</w:t>
      </w:r>
    </w:p>
    <w:p w14:paraId="2AB0E135">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3.3.5投标人的最终得分为所有评标委员会成员的综合评分中去掉一个最高分和一个最低分之后的算术平均值。</w:t>
      </w:r>
    </w:p>
    <w:p w14:paraId="5F6B06C8">
      <w:pPr>
        <w:keepNext/>
        <w:keepLines/>
        <w:spacing w:after="120" w:line="500" w:lineRule="exact"/>
        <w:ind w:firstLine="241" w:firstLineChars="100"/>
        <w:jc w:val="left"/>
        <w:outlineLvl w:val="2"/>
        <w:rPr>
          <w:rFonts w:hint="eastAsia" w:ascii="宋体" w:hAnsi="宋体" w:eastAsia="宋体" w:cs="宋体"/>
          <w:b/>
          <w:bCs/>
          <w:color w:val="auto"/>
          <w:sz w:val="24"/>
          <w:szCs w:val="24"/>
          <w:highlight w:val="none"/>
          <w:lang w:val="zh-CN" w:eastAsia="zh-CN"/>
        </w:rPr>
      </w:pPr>
      <w:bookmarkStart w:id="467" w:name="_Toc23832"/>
      <w:r>
        <w:rPr>
          <w:rFonts w:hint="eastAsia" w:ascii="宋体" w:hAnsi="宋体" w:eastAsia="宋体" w:cs="宋体"/>
          <w:b/>
          <w:bCs/>
          <w:color w:val="auto"/>
          <w:sz w:val="24"/>
          <w:szCs w:val="24"/>
          <w:highlight w:val="none"/>
          <w:lang w:val="zh-CN" w:eastAsia="zh-CN"/>
        </w:rPr>
        <w:t>3.4投标文件的澄清和补正</w:t>
      </w:r>
      <w:bookmarkEnd w:id="467"/>
    </w:p>
    <w:p w14:paraId="49A46D62">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在评标过程中，评标委员会可以要求投标人在评标委员会规定的时间内对所提交投标文件中含义不明确、对同类问题表述不一致或者有明显文字和计算错误的内容作必要的澄清、说明或补正。评标委员会不接受投标人主动提出的澄清、说明或补正。</w:t>
      </w:r>
    </w:p>
    <w:p w14:paraId="77AC5186">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3.4.2澄清、说明或补正不得超出投标文件的范围且不得改变投标文件的实质性内容（算术性错误修正的除外）。并构成投标文件的组成部分。</w:t>
      </w:r>
    </w:p>
    <w:p w14:paraId="1203D62A">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3.4.3评标委员会对投标人提交的澄清、说明或补正有疑问的，可以要求投标人进一步澄清、说明或补正，直至满足评标委员会的要求。</w:t>
      </w:r>
    </w:p>
    <w:p w14:paraId="340CC335">
      <w:pPr>
        <w:keepNext/>
        <w:keepLines/>
        <w:spacing w:after="120" w:line="500" w:lineRule="exact"/>
        <w:ind w:firstLine="361" w:firstLineChars="150"/>
        <w:jc w:val="left"/>
        <w:outlineLvl w:val="2"/>
        <w:rPr>
          <w:rFonts w:hint="eastAsia" w:ascii="宋体" w:hAnsi="宋体" w:eastAsia="宋体" w:cs="宋体"/>
          <w:b/>
          <w:bCs/>
          <w:color w:val="auto"/>
          <w:sz w:val="24"/>
          <w:szCs w:val="24"/>
          <w:highlight w:val="none"/>
          <w:lang w:val="zh-CN" w:eastAsia="zh-CN"/>
        </w:rPr>
      </w:pPr>
      <w:bookmarkStart w:id="468" w:name="_Toc8782"/>
      <w:r>
        <w:rPr>
          <w:rFonts w:hint="eastAsia" w:ascii="宋体" w:hAnsi="宋体" w:eastAsia="宋体" w:cs="宋体"/>
          <w:b/>
          <w:bCs/>
          <w:color w:val="auto"/>
          <w:sz w:val="24"/>
          <w:szCs w:val="24"/>
          <w:highlight w:val="none"/>
          <w:lang w:val="zh-CN" w:eastAsia="zh-CN"/>
        </w:rPr>
        <w:t>3.5评标结果</w:t>
      </w:r>
      <w:bookmarkEnd w:id="468"/>
    </w:p>
    <w:p w14:paraId="64E9E48B">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3.5.1除第二章“投标人须知”前附表授权直接确定中标人外，评标委员会按照得分由高到低的顺序推荐中标候选人。</w:t>
      </w:r>
    </w:p>
    <w:p w14:paraId="7A8CD52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3.5.2评标委员会完成评标后，应当向招标人提交书面评标报告。</w:t>
      </w:r>
    </w:p>
    <w:p w14:paraId="343AAA45">
      <w:pPr>
        <w:spacing w:line="600" w:lineRule="exact"/>
        <w:ind w:firstLine="241" w:firstLineChars="100"/>
        <w:contextualSpacing/>
        <w:outlineLvl w:val="1"/>
        <w:rPr>
          <w:rFonts w:hint="eastAsia" w:ascii="宋体" w:hAnsi="宋体" w:eastAsia="宋体" w:cs="宋体"/>
          <w:b/>
          <w:bCs/>
          <w:color w:val="auto"/>
          <w:sz w:val="24"/>
          <w:szCs w:val="24"/>
          <w:highlight w:val="none"/>
          <w:lang w:val="zh-CN" w:eastAsia="zh-CN"/>
        </w:rPr>
      </w:pPr>
      <w:bookmarkStart w:id="469" w:name="_Toc491075851"/>
      <w:bookmarkStart w:id="470" w:name="_Toc495388708"/>
      <w:bookmarkStart w:id="471" w:name="_Toc5962"/>
      <w:r>
        <w:rPr>
          <w:rFonts w:hint="eastAsia" w:ascii="宋体" w:hAnsi="宋体" w:eastAsia="宋体" w:cs="宋体"/>
          <w:b/>
          <w:bCs/>
          <w:color w:val="auto"/>
          <w:sz w:val="24"/>
          <w:szCs w:val="24"/>
          <w:highlight w:val="none"/>
          <w:lang w:val="zh-CN" w:eastAsia="zh-CN"/>
        </w:rPr>
        <w:t>4.特殊情况的处置程序</w:t>
      </w:r>
      <w:bookmarkEnd w:id="469"/>
      <w:bookmarkEnd w:id="470"/>
      <w:bookmarkEnd w:id="471"/>
    </w:p>
    <w:p w14:paraId="6752D940">
      <w:pPr>
        <w:keepNext/>
        <w:keepLines/>
        <w:spacing w:after="120" w:line="500" w:lineRule="exact"/>
        <w:ind w:firstLine="241" w:firstLineChars="100"/>
        <w:jc w:val="left"/>
        <w:outlineLvl w:val="2"/>
        <w:rPr>
          <w:rFonts w:hint="eastAsia" w:ascii="宋体" w:hAnsi="宋体" w:eastAsia="宋体" w:cs="宋体"/>
          <w:b/>
          <w:bCs/>
          <w:color w:val="auto"/>
          <w:sz w:val="24"/>
          <w:szCs w:val="24"/>
          <w:highlight w:val="none"/>
          <w:lang w:val="zh-CN" w:eastAsia="zh-CN"/>
        </w:rPr>
      </w:pPr>
      <w:bookmarkStart w:id="472" w:name="_Toc25843"/>
      <w:r>
        <w:rPr>
          <w:rFonts w:hint="eastAsia" w:ascii="宋体" w:hAnsi="宋体" w:eastAsia="宋体" w:cs="宋体"/>
          <w:b/>
          <w:bCs/>
          <w:color w:val="auto"/>
          <w:sz w:val="24"/>
          <w:szCs w:val="24"/>
          <w:highlight w:val="none"/>
          <w:lang w:val="zh-CN" w:eastAsia="zh-CN"/>
        </w:rPr>
        <w:t>4.1关于评标活动暂停</w:t>
      </w:r>
      <w:bookmarkEnd w:id="472"/>
    </w:p>
    <w:p w14:paraId="43C4C8B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4.1.1评标委员会应当执行连续评标的原则，按评标办法中规定的程序、内容、方法、标准完成全部评标工作。只有发生不可抗力导致评标工作无法继续时，评标活动方可暂停。</w:t>
      </w:r>
    </w:p>
    <w:p w14:paraId="6B0B1A8A">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4.1.2发生评标暂停情况时，评标委员会应当封存全部投标文件和评标记录，待不可抗力的影响结束且具备继续评标的条件时，由原评标委员会继续评标。</w:t>
      </w:r>
    </w:p>
    <w:p w14:paraId="121A3C19">
      <w:pPr>
        <w:keepNext/>
        <w:keepLines/>
        <w:spacing w:after="120" w:line="500" w:lineRule="exact"/>
        <w:ind w:firstLine="241" w:firstLineChars="100"/>
        <w:jc w:val="left"/>
        <w:outlineLvl w:val="2"/>
        <w:rPr>
          <w:rFonts w:hint="eastAsia" w:ascii="宋体" w:hAnsi="宋体" w:eastAsia="宋体" w:cs="宋体"/>
          <w:b/>
          <w:bCs/>
          <w:color w:val="auto"/>
          <w:sz w:val="24"/>
          <w:szCs w:val="24"/>
          <w:highlight w:val="none"/>
          <w:lang w:val="zh-CN" w:eastAsia="zh-CN"/>
        </w:rPr>
      </w:pPr>
      <w:bookmarkStart w:id="473" w:name="_Toc18130"/>
      <w:r>
        <w:rPr>
          <w:rFonts w:hint="eastAsia" w:ascii="宋体" w:hAnsi="宋体" w:eastAsia="宋体" w:cs="宋体"/>
          <w:b/>
          <w:bCs/>
          <w:color w:val="auto"/>
          <w:sz w:val="24"/>
          <w:szCs w:val="24"/>
          <w:highlight w:val="none"/>
          <w:lang w:val="zh-CN" w:eastAsia="zh-CN"/>
        </w:rPr>
        <w:t>4.2 关于评标中途更换评标委员会成员</w:t>
      </w:r>
      <w:bookmarkEnd w:id="473"/>
    </w:p>
    <w:p w14:paraId="64C3E4B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4.2.1除非发生下列情况之一，评标委员会成员不得在评标中途更换：</w:t>
      </w:r>
    </w:p>
    <w:p w14:paraId="0A44E408">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(1)因不可抗拒的客观原因，不能到场或需在评标中途退出评标活动。</w:t>
      </w:r>
    </w:p>
    <w:p w14:paraId="08290CE7">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(2)根据法律法规规定，某个或某几个评标委员会成员需要回避。</w:t>
      </w:r>
    </w:p>
    <w:p w14:paraId="4926B140">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4.2.2退出评标的评标委员会成员，其已完成的评标行为无效。由招标人根据本招标文件规定的评标委员会成员产生方式另行确定替代者进行评标。</w:t>
      </w:r>
    </w:p>
    <w:p w14:paraId="1667DE42">
      <w:pPr>
        <w:keepNext/>
        <w:keepLines/>
        <w:spacing w:after="120" w:line="500" w:lineRule="exact"/>
        <w:ind w:firstLine="361" w:firstLineChars="150"/>
        <w:jc w:val="left"/>
        <w:outlineLvl w:val="2"/>
        <w:rPr>
          <w:rFonts w:hint="eastAsia" w:ascii="宋体" w:hAnsi="宋体" w:eastAsia="宋体" w:cs="宋体"/>
          <w:b/>
          <w:bCs/>
          <w:color w:val="auto"/>
          <w:sz w:val="24"/>
          <w:szCs w:val="24"/>
          <w:highlight w:val="none"/>
          <w:lang w:val="zh-CN" w:eastAsia="zh-CN"/>
        </w:rPr>
      </w:pPr>
      <w:bookmarkStart w:id="474" w:name="_Toc3732"/>
      <w:r>
        <w:rPr>
          <w:rFonts w:hint="eastAsia" w:ascii="宋体" w:hAnsi="宋体" w:eastAsia="宋体" w:cs="宋体"/>
          <w:b/>
          <w:bCs/>
          <w:color w:val="auto"/>
          <w:sz w:val="24"/>
          <w:szCs w:val="24"/>
          <w:highlight w:val="none"/>
          <w:lang w:val="zh-CN" w:eastAsia="zh-CN"/>
        </w:rPr>
        <w:t>4.3评标争议处理</w:t>
      </w:r>
      <w:bookmarkEnd w:id="474"/>
    </w:p>
    <w:p w14:paraId="2095210E">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4.3.1评标委员会全体成员应独立评审，对所提出的评审意见承担个人责任。</w:t>
      </w:r>
    </w:p>
    <w:p w14:paraId="60F34BCF">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4.3.2在任何评标环节中，需评标委员会就某项定性的评审结论做出表决的，由评标委员会全体成员按照少数服从多数的原则，以记名投票方式表决。表决不得违背法律、法规、规章和招标文件的规定。</w:t>
      </w:r>
    </w:p>
    <w:p w14:paraId="1D3D5BBC">
      <w:pPr>
        <w:spacing w:line="400" w:lineRule="exact"/>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评标委员会成员对集体决议或评审结论持有异议的，可以书面阐述其不同意见和理由。拒绝在集体决议或评标报告上签名，且不陈述其不同意见和理由的，视为同意集体决议或评标结论，评标委员会应当对此在评标报告中做出说明。</w:t>
      </w:r>
    </w:p>
    <w:p w14:paraId="380CAB7C">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299F6A2F">
      <w:pPr>
        <w:jc w:val="center"/>
        <w:outlineLvl w:val="0"/>
        <w:rPr>
          <w:rFonts w:hint="eastAsia" w:ascii="宋体" w:hAnsi="宋体" w:eastAsia="宋体" w:cs="宋体"/>
          <w:b/>
          <w:bCs/>
          <w:color w:val="auto"/>
          <w:sz w:val="32"/>
          <w:szCs w:val="20"/>
          <w:highlight w:val="none"/>
          <w:lang w:val="en-US" w:eastAsia="zh-CN"/>
        </w:rPr>
      </w:pPr>
      <w:bookmarkStart w:id="475" w:name="_Toc17759"/>
      <w:bookmarkStart w:id="476" w:name="_Toc21030"/>
      <w:bookmarkStart w:id="477" w:name="_Toc13750"/>
      <w:bookmarkStart w:id="478" w:name="_Toc22362"/>
      <w:r>
        <w:rPr>
          <w:rFonts w:hint="eastAsia" w:ascii="宋体" w:hAnsi="宋体" w:eastAsia="宋体" w:cs="宋体"/>
          <w:b/>
          <w:bCs/>
          <w:color w:val="auto"/>
          <w:sz w:val="32"/>
          <w:szCs w:val="20"/>
          <w:highlight w:val="none"/>
          <w:lang w:val="en-US" w:eastAsia="zh-CN"/>
        </w:rPr>
        <w:t>第五章  合同（以实际签订为准）</w:t>
      </w:r>
      <w:bookmarkEnd w:id="475"/>
      <w:bookmarkEnd w:id="476"/>
      <w:bookmarkEnd w:id="477"/>
      <w:bookmarkEnd w:id="478"/>
    </w:p>
    <w:p w14:paraId="2EB927CF">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56EB40FE">
      <w:pPr>
        <w:jc w:val="center"/>
        <w:outlineLvl w:val="0"/>
        <w:rPr>
          <w:rFonts w:hint="eastAsia" w:ascii="宋体" w:hAnsi="宋体" w:eastAsia="宋体" w:cs="宋体"/>
          <w:b/>
          <w:bCs/>
          <w:color w:val="auto"/>
          <w:sz w:val="32"/>
          <w:szCs w:val="20"/>
          <w:highlight w:val="none"/>
          <w:lang w:val="zh-CN" w:eastAsia="zh-CN"/>
        </w:rPr>
      </w:pPr>
      <w:bookmarkStart w:id="479" w:name="_Toc13371"/>
      <w:r>
        <w:rPr>
          <w:rFonts w:hint="eastAsia" w:ascii="宋体" w:hAnsi="宋体" w:eastAsia="宋体" w:cs="宋体"/>
          <w:b/>
          <w:bCs/>
          <w:color w:val="auto"/>
          <w:sz w:val="32"/>
          <w:szCs w:val="20"/>
          <w:highlight w:val="none"/>
          <w:lang w:val="zh-CN" w:eastAsia="zh-CN"/>
        </w:rPr>
        <w:t>第六章 投标文件格式</w:t>
      </w:r>
      <w:bookmarkEnd w:id="479"/>
    </w:p>
    <w:p w14:paraId="26275FD8">
      <w:pPr>
        <w:rPr>
          <w:rFonts w:hint="eastAsia" w:ascii="宋体" w:hAnsi="宋体" w:eastAsia="宋体" w:cs="宋体"/>
          <w:color w:val="auto"/>
          <w:kern w:val="0"/>
          <w:szCs w:val="21"/>
          <w:highlight w:val="none"/>
          <w:u w:val="single"/>
        </w:rPr>
      </w:pPr>
    </w:p>
    <w:p w14:paraId="3910DD18">
      <w:pPr>
        <w:rPr>
          <w:rFonts w:hint="eastAsia" w:ascii="宋体" w:hAnsi="宋体" w:eastAsia="宋体" w:cs="宋体"/>
          <w:color w:val="auto"/>
          <w:kern w:val="0"/>
          <w:szCs w:val="21"/>
          <w:highlight w:val="none"/>
          <w:u w:val="single"/>
        </w:rPr>
      </w:pPr>
    </w:p>
    <w:p w14:paraId="0830B810">
      <w:pPr>
        <w:rPr>
          <w:rFonts w:hint="eastAsia" w:ascii="宋体" w:hAnsi="宋体" w:eastAsia="宋体" w:cs="宋体"/>
          <w:color w:val="auto"/>
          <w:kern w:val="0"/>
          <w:szCs w:val="21"/>
          <w:highlight w:val="none"/>
          <w:u w:val="single"/>
        </w:rPr>
      </w:pPr>
    </w:p>
    <w:p w14:paraId="3CDF9039">
      <w:pPr>
        <w:rPr>
          <w:rFonts w:hint="eastAsia" w:ascii="宋体" w:hAnsi="宋体" w:eastAsia="宋体" w:cs="宋体"/>
          <w:color w:val="auto"/>
          <w:kern w:val="0"/>
          <w:szCs w:val="21"/>
          <w:highlight w:val="none"/>
          <w:u w:val="single"/>
        </w:rPr>
      </w:pPr>
    </w:p>
    <w:p w14:paraId="073137AB">
      <w:pPr>
        <w:rPr>
          <w:rFonts w:hint="eastAsia" w:ascii="宋体" w:hAnsi="宋体" w:eastAsia="宋体" w:cs="宋体"/>
          <w:color w:val="auto"/>
          <w:kern w:val="0"/>
          <w:szCs w:val="21"/>
          <w:highlight w:val="none"/>
          <w:u w:val="single"/>
        </w:rPr>
      </w:pPr>
    </w:p>
    <w:p w14:paraId="590F87C1">
      <w:pPr>
        <w:rPr>
          <w:rFonts w:hint="eastAsia" w:ascii="宋体" w:hAnsi="宋体" w:eastAsia="宋体" w:cs="宋体"/>
          <w:color w:val="auto"/>
          <w:kern w:val="0"/>
          <w:szCs w:val="21"/>
          <w:highlight w:val="none"/>
          <w:u w:val="single"/>
        </w:rPr>
      </w:pPr>
    </w:p>
    <w:p w14:paraId="16684F15">
      <w:pPr>
        <w:rPr>
          <w:rFonts w:hint="eastAsia" w:ascii="宋体" w:hAnsi="宋体" w:eastAsia="宋体" w:cs="宋体"/>
          <w:color w:val="auto"/>
          <w:sz w:val="32"/>
          <w:szCs w:val="32"/>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 w:val="28"/>
          <w:highlight w:val="none"/>
        </w:rPr>
        <w:t>（项目名称）</w:t>
      </w:r>
      <w:r>
        <w:rPr>
          <w:rFonts w:hint="eastAsia" w:ascii="宋体" w:hAnsi="宋体" w:eastAsia="宋体" w:cs="宋体"/>
          <w:color w:val="auto"/>
          <w:sz w:val="32"/>
          <w:szCs w:val="32"/>
          <w:highlight w:val="none"/>
        </w:rPr>
        <w:t>____________________（标段/包名称）</w:t>
      </w:r>
    </w:p>
    <w:p w14:paraId="06AD023C">
      <w:pPr>
        <w:rPr>
          <w:rFonts w:hint="eastAsia" w:ascii="宋体" w:hAnsi="宋体" w:eastAsia="宋体" w:cs="宋体"/>
          <w:color w:val="auto"/>
          <w:highlight w:val="none"/>
        </w:rPr>
      </w:pPr>
    </w:p>
    <w:p w14:paraId="041E16C6">
      <w:pPr>
        <w:rPr>
          <w:rFonts w:hint="eastAsia" w:ascii="宋体" w:hAnsi="宋体" w:eastAsia="宋体" w:cs="宋体"/>
          <w:color w:val="auto"/>
          <w:highlight w:val="none"/>
        </w:rPr>
      </w:pPr>
    </w:p>
    <w:p w14:paraId="0B7D9020">
      <w:pPr>
        <w:jc w:val="center"/>
        <w:rPr>
          <w:rFonts w:hint="eastAsia" w:ascii="宋体" w:hAnsi="宋体" w:eastAsia="宋体" w:cs="宋体"/>
          <w:color w:val="auto"/>
          <w:sz w:val="72"/>
          <w:szCs w:val="72"/>
          <w:highlight w:val="none"/>
        </w:rPr>
      </w:pPr>
    </w:p>
    <w:p w14:paraId="01603A82">
      <w:pPr>
        <w:jc w:val="center"/>
        <w:rPr>
          <w:rFonts w:hint="eastAsia" w:ascii="宋体" w:hAnsi="宋体" w:eastAsia="宋体" w:cs="宋体"/>
          <w:color w:val="auto"/>
          <w:sz w:val="72"/>
          <w:szCs w:val="72"/>
          <w:highlight w:val="none"/>
        </w:rPr>
      </w:pPr>
    </w:p>
    <w:p w14:paraId="1593A073">
      <w:pPr>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投   标  文  件</w:t>
      </w:r>
    </w:p>
    <w:p w14:paraId="3B9920D6">
      <w:pPr>
        <w:rPr>
          <w:rFonts w:hint="eastAsia" w:ascii="宋体" w:hAnsi="宋体" w:eastAsia="宋体" w:cs="宋体"/>
          <w:color w:val="auto"/>
          <w:highlight w:val="none"/>
        </w:rPr>
      </w:pPr>
    </w:p>
    <w:p w14:paraId="76113125">
      <w:pPr>
        <w:rPr>
          <w:rFonts w:hint="eastAsia" w:ascii="宋体" w:hAnsi="宋体" w:eastAsia="宋体" w:cs="宋体"/>
          <w:color w:val="auto"/>
          <w:highlight w:val="none"/>
        </w:rPr>
      </w:pPr>
    </w:p>
    <w:p w14:paraId="0C7DC9E6">
      <w:pPr>
        <w:rPr>
          <w:rFonts w:hint="eastAsia" w:ascii="宋体" w:hAnsi="宋体" w:eastAsia="宋体" w:cs="宋体"/>
          <w:color w:val="auto"/>
          <w:highlight w:val="none"/>
        </w:rPr>
      </w:pPr>
    </w:p>
    <w:p w14:paraId="0F3E0C1F">
      <w:pPr>
        <w:rPr>
          <w:rFonts w:hint="eastAsia" w:ascii="宋体" w:hAnsi="宋体" w:eastAsia="宋体" w:cs="宋体"/>
          <w:color w:val="auto"/>
          <w:highlight w:val="none"/>
        </w:rPr>
      </w:pPr>
    </w:p>
    <w:p w14:paraId="365B32EC">
      <w:pPr>
        <w:rPr>
          <w:rFonts w:hint="eastAsia" w:ascii="宋体" w:hAnsi="宋体" w:eastAsia="宋体" w:cs="宋体"/>
          <w:color w:val="auto"/>
          <w:highlight w:val="none"/>
        </w:rPr>
      </w:pPr>
    </w:p>
    <w:p w14:paraId="6AE8DBFB">
      <w:pPr>
        <w:rPr>
          <w:rFonts w:hint="eastAsia" w:ascii="宋体" w:hAnsi="宋体" w:eastAsia="宋体" w:cs="宋体"/>
          <w:color w:val="auto"/>
          <w:highlight w:val="none"/>
        </w:rPr>
      </w:pPr>
    </w:p>
    <w:p w14:paraId="04621ABD">
      <w:pPr>
        <w:rPr>
          <w:rFonts w:hint="eastAsia" w:ascii="宋体" w:hAnsi="宋体" w:eastAsia="宋体" w:cs="宋体"/>
          <w:color w:val="auto"/>
          <w:highlight w:val="none"/>
        </w:rPr>
      </w:pPr>
    </w:p>
    <w:p w14:paraId="4280AF15">
      <w:pPr>
        <w:rPr>
          <w:rFonts w:hint="eastAsia" w:ascii="宋体" w:hAnsi="宋体" w:eastAsia="宋体" w:cs="宋体"/>
          <w:color w:val="auto"/>
          <w:highlight w:val="none"/>
        </w:rPr>
      </w:pPr>
    </w:p>
    <w:p w14:paraId="7BB8E8AC">
      <w:pPr>
        <w:rPr>
          <w:rFonts w:hint="eastAsia" w:ascii="宋体" w:hAnsi="宋体" w:eastAsia="宋体" w:cs="宋体"/>
          <w:color w:val="auto"/>
          <w:highlight w:val="none"/>
        </w:rPr>
      </w:pPr>
    </w:p>
    <w:p w14:paraId="4DA7CB75">
      <w:pPr>
        <w:rPr>
          <w:rFonts w:hint="eastAsia" w:ascii="宋体" w:hAnsi="宋体" w:eastAsia="宋体" w:cs="宋体"/>
          <w:color w:val="auto"/>
          <w:highlight w:val="none"/>
        </w:rPr>
      </w:pPr>
    </w:p>
    <w:p w14:paraId="11031B61">
      <w:pPr>
        <w:rPr>
          <w:rFonts w:hint="eastAsia" w:ascii="宋体" w:hAnsi="宋体" w:eastAsia="宋体" w:cs="宋体"/>
          <w:color w:val="auto"/>
          <w:highlight w:val="none"/>
        </w:rPr>
      </w:pPr>
    </w:p>
    <w:p w14:paraId="4C8CBEE9">
      <w:pPr>
        <w:rPr>
          <w:rFonts w:hint="eastAsia" w:ascii="宋体" w:hAnsi="宋体" w:eastAsia="宋体" w:cs="宋体"/>
          <w:color w:val="auto"/>
          <w:highlight w:val="none"/>
        </w:rPr>
      </w:pPr>
    </w:p>
    <w:p w14:paraId="5256E702">
      <w:pPr>
        <w:rPr>
          <w:rFonts w:hint="eastAsia" w:ascii="宋体" w:hAnsi="宋体" w:eastAsia="宋体" w:cs="宋体"/>
          <w:color w:val="auto"/>
          <w:highlight w:val="none"/>
        </w:rPr>
      </w:pPr>
    </w:p>
    <w:p w14:paraId="243DE511">
      <w:pPr>
        <w:rPr>
          <w:rFonts w:hint="eastAsia" w:ascii="宋体" w:hAnsi="宋体" w:eastAsia="宋体" w:cs="宋体"/>
          <w:color w:val="auto"/>
          <w:highlight w:val="none"/>
        </w:rPr>
      </w:pPr>
    </w:p>
    <w:p w14:paraId="6C774D27">
      <w:pPr>
        <w:rPr>
          <w:rFonts w:hint="eastAsia" w:ascii="宋体" w:hAnsi="宋体" w:eastAsia="宋体" w:cs="宋体"/>
          <w:color w:val="auto"/>
          <w:highlight w:val="none"/>
        </w:rPr>
      </w:pPr>
    </w:p>
    <w:p w14:paraId="56C5DA2E">
      <w:pPr>
        <w:rPr>
          <w:rFonts w:hint="eastAsia" w:ascii="宋体" w:hAnsi="宋体" w:eastAsia="宋体" w:cs="宋体"/>
          <w:color w:val="auto"/>
          <w:highlight w:val="none"/>
        </w:rPr>
      </w:pPr>
    </w:p>
    <w:p w14:paraId="05559E2C">
      <w:pPr>
        <w:rPr>
          <w:rFonts w:hint="eastAsia" w:ascii="宋体" w:hAnsi="宋体" w:eastAsia="宋体" w:cs="宋体"/>
          <w:color w:val="auto"/>
          <w:highlight w:val="none"/>
        </w:rPr>
      </w:pPr>
    </w:p>
    <w:p w14:paraId="2DE31613">
      <w:pPr>
        <w:rPr>
          <w:rFonts w:hint="eastAsia" w:ascii="宋体" w:hAnsi="宋体" w:eastAsia="宋体" w:cs="宋体"/>
          <w:color w:val="auto"/>
          <w:highlight w:val="none"/>
        </w:rPr>
      </w:pPr>
    </w:p>
    <w:p w14:paraId="4F5D6A1D">
      <w:pPr>
        <w:rPr>
          <w:rFonts w:hint="eastAsia" w:ascii="宋体" w:hAnsi="宋体" w:eastAsia="宋体" w:cs="宋体"/>
          <w:color w:val="auto"/>
          <w:highlight w:val="none"/>
        </w:rPr>
      </w:pPr>
    </w:p>
    <w:p w14:paraId="5772BEB9">
      <w:pPr>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  标  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（盖单位章）</w:t>
      </w:r>
    </w:p>
    <w:p w14:paraId="5D0B7B56">
      <w:pPr>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法定代表人：</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（签章）</w:t>
      </w:r>
    </w:p>
    <w:p w14:paraId="3D6FAA90">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日      期：</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月</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rPr>
        <w:t>日</w:t>
      </w:r>
    </w:p>
    <w:p w14:paraId="78285232">
      <w:pPr>
        <w:rPr>
          <w:rFonts w:hint="eastAsia" w:ascii="宋体" w:hAnsi="宋体" w:eastAsia="宋体" w:cs="宋体"/>
          <w:color w:val="auto"/>
          <w:highlight w:val="none"/>
        </w:rPr>
      </w:pPr>
    </w:p>
    <w:p w14:paraId="0119CB04">
      <w:pPr>
        <w:rPr>
          <w:rFonts w:hint="eastAsia" w:ascii="宋体" w:hAnsi="宋体" w:eastAsia="宋体" w:cs="宋体"/>
          <w:color w:val="auto"/>
          <w:highlight w:val="none"/>
        </w:rPr>
      </w:pPr>
    </w:p>
    <w:p w14:paraId="4D98C224">
      <w:pPr>
        <w:spacing w:line="600" w:lineRule="exact"/>
        <w:contextualSpacing/>
        <w:jc w:val="center"/>
        <w:outlineLvl w:val="1"/>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zh-CN" w:eastAsia="zh-CN"/>
        </w:rPr>
        <w:br w:type="page"/>
      </w:r>
      <w:bookmarkStart w:id="480" w:name="_Toc495388719"/>
      <w:bookmarkStart w:id="481" w:name="_Toc13725"/>
      <w:bookmarkStart w:id="482" w:name="_Toc467789353"/>
      <w:bookmarkStart w:id="483" w:name="_Toc491075862"/>
      <w:bookmarkStart w:id="484" w:name="_Toc475715884"/>
      <w:r>
        <w:rPr>
          <w:rFonts w:hint="eastAsia" w:ascii="宋体" w:hAnsi="宋体" w:eastAsia="宋体" w:cs="宋体"/>
          <w:b/>
          <w:bCs/>
          <w:color w:val="auto"/>
          <w:sz w:val="28"/>
          <w:szCs w:val="28"/>
          <w:highlight w:val="none"/>
          <w:lang w:val="zh-CN" w:eastAsia="zh-CN"/>
        </w:rPr>
        <w:t>目    录</w:t>
      </w:r>
      <w:bookmarkEnd w:id="480"/>
      <w:bookmarkEnd w:id="481"/>
      <w:bookmarkEnd w:id="482"/>
      <w:bookmarkEnd w:id="483"/>
      <w:bookmarkEnd w:id="484"/>
    </w:p>
    <w:p w14:paraId="4E78AD26">
      <w:pPr>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一、商务文件</w:t>
      </w:r>
    </w:p>
    <w:p w14:paraId="0D520F70">
      <w:pPr>
        <w:ind w:firstLine="850" w:firstLineChars="405"/>
        <w:rPr>
          <w:rFonts w:hint="eastAsia" w:ascii="宋体" w:hAnsi="宋体" w:eastAsia="宋体" w:cs="宋体"/>
          <w:color w:val="auto"/>
          <w:szCs w:val="21"/>
          <w:highlight w:val="none"/>
        </w:rPr>
      </w:pPr>
      <w:r>
        <w:rPr>
          <w:rFonts w:hint="eastAsia" w:ascii="宋体" w:hAnsi="宋体" w:eastAsia="宋体" w:cs="宋体"/>
          <w:color w:val="auto"/>
          <w:highlight w:val="none"/>
        </w:rPr>
        <w:t>（一）投标</w:t>
      </w:r>
      <w:r>
        <w:rPr>
          <w:rFonts w:hint="eastAsia" w:ascii="宋体" w:hAnsi="宋体" w:eastAsia="宋体" w:cs="宋体"/>
          <w:color w:val="auto"/>
          <w:szCs w:val="21"/>
          <w:highlight w:val="none"/>
        </w:rPr>
        <w:t>一览表</w:t>
      </w:r>
    </w:p>
    <w:p w14:paraId="3963D90C">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（二）投标函</w:t>
      </w:r>
    </w:p>
    <w:p w14:paraId="04EBCCD6">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（三）投标函附录</w:t>
      </w:r>
    </w:p>
    <w:p w14:paraId="75EE2F34">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（四）法定代表人身份证明</w:t>
      </w:r>
    </w:p>
    <w:p w14:paraId="397A233E">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（五）联合体协议书（如有）</w:t>
      </w:r>
    </w:p>
    <w:p w14:paraId="7DA28F78">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（六）投标保证金</w:t>
      </w:r>
    </w:p>
    <w:p w14:paraId="162F6E68">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（七）资格审查资料</w:t>
      </w:r>
    </w:p>
    <w:p w14:paraId="6A37270F">
      <w:pPr>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t>1.投标人基本情况</w:t>
      </w:r>
    </w:p>
    <w:p w14:paraId="4647ADDB">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1-1投标人基本情况表</w:t>
      </w:r>
    </w:p>
    <w:p w14:paraId="1DE1FCAF">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1-2关联单位情况说明</w:t>
      </w:r>
    </w:p>
    <w:p w14:paraId="5C71A852">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1-3投标人基本情况其它材料</w:t>
      </w:r>
    </w:p>
    <w:p w14:paraId="15D50AF4">
      <w:pPr>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t>2.近</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3</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年财务状况</w:t>
      </w:r>
    </w:p>
    <w:p w14:paraId="4732A287">
      <w:pPr>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t>3.近</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年完成类似业绩情况</w:t>
      </w:r>
    </w:p>
    <w:p w14:paraId="3CF0E661">
      <w:pPr>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t>4.企业信誉情况</w:t>
      </w:r>
    </w:p>
    <w:p w14:paraId="7032F685">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4-1投标人信誉声明</w:t>
      </w:r>
    </w:p>
    <w:p w14:paraId="3C465543">
      <w:pPr>
        <w:ind w:firstLine="1262" w:firstLineChars="601"/>
        <w:rPr>
          <w:rFonts w:hint="eastAsia" w:ascii="宋体" w:hAnsi="宋体" w:eastAsia="宋体" w:cs="宋体"/>
          <w:color w:val="auto"/>
          <w:szCs w:val="24"/>
          <w:highlight w:val="none"/>
        </w:rPr>
      </w:pPr>
      <w:r>
        <w:rPr>
          <w:rFonts w:hint="eastAsia" w:ascii="宋体" w:hAnsi="宋体" w:eastAsia="宋体" w:cs="宋体"/>
          <w:color w:val="auto"/>
          <w:highlight w:val="none"/>
        </w:rPr>
        <w:t>4-2</w:t>
      </w:r>
      <w:r>
        <w:rPr>
          <w:rFonts w:hint="eastAsia" w:ascii="宋体" w:hAnsi="宋体" w:eastAsia="宋体" w:cs="宋体"/>
          <w:color w:val="auto"/>
          <w:szCs w:val="24"/>
          <w:highlight w:val="none"/>
        </w:rPr>
        <w:t>失信被执行人查询结果</w:t>
      </w:r>
    </w:p>
    <w:p w14:paraId="6380EADB">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4-3近</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3</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年发生的诉讼和仲裁情况</w:t>
      </w:r>
    </w:p>
    <w:p w14:paraId="2F296E72">
      <w:pPr>
        <w:ind w:firstLine="1262" w:firstLineChars="601"/>
        <w:rPr>
          <w:rFonts w:hint="eastAsia" w:ascii="宋体" w:hAnsi="宋体" w:eastAsia="宋体" w:cs="宋体"/>
          <w:color w:val="auto"/>
          <w:highlight w:val="none"/>
        </w:rPr>
      </w:pPr>
      <w:r>
        <w:rPr>
          <w:rFonts w:hint="eastAsia" w:ascii="宋体" w:hAnsi="宋体" w:eastAsia="宋体" w:cs="宋体"/>
          <w:color w:val="auto"/>
          <w:highlight w:val="none"/>
        </w:rPr>
        <w:t>4-4近</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3</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年投标人获得奖项情况</w:t>
      </w:r>
    </w:p>
    <w:p w14:paraId="30313C8F">
      <w:pPr>
        <w:ind w:firstLine="1050" w:firstLineChars="500"/>
        <w:rPr>
          <w:rFonts w:hint="eastAsia" w:ascii="宋体" w:hAnsi="宋体" w:eastAsia="宋体" w:cs="宋体"/>
          <w:color w:val="auto"/>
          <w:highlight w:val="none"/>
        </w:rPr>
      </w:pPr>
      <w:r>
        <w:rPr>
          <w:rFonts w:hint="eastAsia" w:ascii="宋体" w:hAnsi="宋体" w:eastAsia="宋体" w:cs="宋体"/>
          <w:color w:val="auto"/>
          <w:highlight w:val="none"/>
        </w:rPr>
        <w:t>5.其它资格审查材料</w:t>
      </w:r>
    </w:p>
    <w:p w14:paraId="0630B5D8">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（八）其他材料</w:t>
      </w:r>
    </w:p>
    <w:p w14:paraId="2A3DD56D">
      <w:pPr>
        <w:ind w:firstLine="850" w:firstLineChars="405"/>
        <w:rPr>
          <w:rFonts w:hint="eastAsia" w:ascii="宋体" w:hAnsi="宋体" w:eastAsia="宋体" w:cs="宋体"/>
          <w:color w:val="auto"/>
          <w:highlight w:val="none"/>
        </w:rPr>
      </w:pPr>
      <w:r>
        <w:rPr>
          <w:rFonts w:hint="eastAsia" w:ascii="宋体" w:hAnsi="宋体" w:eastAsia="宋体" w:cs="宋体"/>
          <w:color w:val="auto"/>
          <w:highlight w:val="none"/>
        </w:rPr>
        <w:t>（九）财务会计报表</w:t>
      </w:r>
    </w:p>
    <w:p w14:paraId="5D5BD37C">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二、投标报价表</w:t>
      </w:r>
    </w:p>
    <w:p w14:paraId="591383B0">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三、技术文件</w:t>
      </w:r>
    </w:p>
    <w:p w14:paraId="466A3179">
      <w:pPr>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四、其他材料</w:t>
      </w:r>
    </w:p>
    <w:p w14:paraId="03173843">
      <w:pPr>
        <w:rPr>
          <w:rFonts w:hint="eastAsia" w:ascii="宋体" w:hAnsi="宋体" w:eastAsia="宋体" w:cs="宋体"/>
          <w:color w:val="auto"/>
          <w:highlight w:val="none"/>
        </w:rPr>
      </w:pPr>
    </w:p>
    <w:p w14:paraId="193284DE">
      <w:pPr>
        <w:rPr>
          <w:rFonts w:hint="eastAsia" w:ascii="宋体" w:hAnsi="宋体" w:eastAsia="宋体" w:cs="宋体"/>
          <w:color w:val="auto"/>
          <w:highlight w:val="none"/>
        </w:rPr>
      </w:pPr>
    </w:p>
    <w:p w14:paraId="4B6B32BF">
      <w:pPr>
        <w:rPr>
          <w:rFonts w:hint="eastAsia" w:ascii="宋体" w:hAnsi="宋体" w:eastAsia="宋体" w:cs="宋体"/>
          <w:color w:val="auto"/>
          <w:highlight w:val="none"/>
        </w:rPr>
      </w:pPr>
      <w:bookmarkStart w:id="485" w:name="_Toc467789354"/>
    </w:p>
    <w:p w14:paraId="46108751">
      <w:pPr>
        <w:rPr>
          <w:rFonts w:hint="eastAsia" w:ascii="宋体" w:hAnsi="宋体" w:eastAsia="宋体" w:cs="宋体"/>
          <w:color w:val="auto"/>
          <w:highlight w:val="none"/>
        </w:rPr>
      </w:pPr>
    </w:p>
    <w:p w14:paraId="7913A9B4">
      <w:pPr>
        <w:rPr>
          <w:rFonts w:hint="eastAsia" w:ascii="宋体" w:hAnsi="宋体" w:eastAsia="宋体" w:cs="宋体"/>
          <w:color w:val="auto"/>
          <w:highlight w:val="none"/>
        </w:rPr>
      </w:pPr>
    </w:p>
    <w:p w14:paraId="197EE327">
      <w:pPr>
        <w:rPr>
          <w:rFonts w:hint="eastAsia" w:ascii="宋体" w:hAnsi="宋体" w:eastAsia="宋体" w:cs="宋体"/>
          <w:color w:val="auto"/>
          <w:highlight w:val="none"/>
        </w:rPr>
      </w:pPr>
    </w:p>
    <w:p w14:paraId="749760D7">
      <w:pPr>
        <w:rPr>
          <w:rFonts w:hint="eastAsia" w:ascii="宋体" w:hAnsi="宋体" w:eastAsia="宋体" w:cs="宋体"/>
          <w:color w:val="auto"/>
          <w:highlight w:val="none"/>
        </w:rPr>
      </w:pPr>
    </w:p>
    <w:p w14:paraId="29321811">
      <w:pPr>
        <w:rPr>
          <w:rFonts w:hint="eastAsia" w:ascii="宋体" w:hAnsi="宋体" w:eastAsia="宋体" w:cs="宋体"/>
          <w:color w:val="auto"/>
          <w:highlight w:val="none"/>
        </w:rPr>
      </w:pPr>
    </w:p>
    <w:p w14:paraId="1A3DD6A5">
      <w:pPr>
        <w:rPr>
          <w:rFonts w:hint="eastAsia" w:ascii="宋体" w:hAnsi="宋体" w:eastAsia="宋体" w:cs="宋体"/>
          <w:color w:val="auto"/>
          <w:highlight w:val="none"/>
        </w:rPr>
      </w:pPr>
    </w:p>
    <w:p w14:paraId="028430F1">
      <w:pPr>
        <w:rPr>
          <w:rFonts w:hint="eastAsia" w:ascii="宋体" w:hAnsi="宋体" w:eastAsia="宋体" w:cs="宋体"/>
          <w:color w:val="auto"/>
          <w:highlight w:val="none"/>
        </w:rPr>
      </w:pPr>
    </w:p>
    <w:p w14:paraId="46FA1E5C">
      <w:pPr>
        <w:rPr>
          <w:rFonts w:hint="eastAsia" w:ascii="宋体" w:hAnsi="宋体" w:eastAsia="宋体" w:cs="宋体"/>
          <w:color w:val="auto"/>
          <w:highlight w:val="none"/>
        </w:rPr>
      </w:pPr>
    </w:p>
    <w:p w14:paraId="11AE90C8">
      <w:pPr>
        <w:rPr>
          <w:rFonts w:hint="eastAsia" w:ascii="宋体" w:hAnsi="宋体" w:eastAsia="宋体" w:cs="宋体"/>
          <w:color w:val="auto"/>
          <w:highlight w:val="none"/>
        </w:rPr>
      </w:pPr>
    </w:p>
    <w:p w14:paraId="56CFE980">
      <w:pPr>
        <w:rPr>
          <w:rFonts w:hint="eastAsia" w:ascii="宋体" w:hAnsi="宋体" w:eastAsia="宋体" w:cs="宋体"/>
          <w:color w:val="auto"/>
          <w:highlight w:val="none"/>
        </w:rPr>
      </w:pPr>
    </w:p>
    <w:p w14:paraId="33C48302">
      <w:pPr>
        <w:rPr>
          <w:rFonts w:hint="eastAsia" w:ascii="宋体" w:hAnsi="宋体" w:eastAsia="宋体" w:cs="宋体"/>
          <w:color w:val="auto"/>
          <w:highlight w:val="none"/>
        </w:rPr>
      </w:pPr>
    </w:p>
    <w:p w14:paraId="66AADC87">
      <w:pPr>
        <w:rPr>
          <w:rFonts w:hint="eastAsia" w:ascii="宋体" w:hAnsi="宋体" w:eastAsia="宋体" w:cs="宋体"/>
          <w:color w:val="auto"/>
          <w:highlight w:val="none"/>
        </w:rPr>
      </w:pPr>
    </w:p>
    <w:p w14:paraId="37C712F2">
      <w:pPr>
        <w:rPr>
          <w:rFonts w:hint="eastAsia" w:ascii="宋体" w:hAnsi="宋体" w:eastAsia="宋体" w:cs="宋体"/>
          <w:color w:val="auto"/>
          <w:highlight w:val="none"/>
        </w:rPr>
      </w:pPr>
    </w:p>
    <w:p w14:paraId="430BB6BD">
      <w:pPr>
        <w:rPr>
          <w:rFonts w:hint="eastAsia" w:ascii="宋体" w:hAnsi="宋体" w:eastAsia="宋体" w:cs="宋体"/>
          <w:color w:val="auto"/>
          <w:highlight w:val="none"/>
        </w:rPr>
      </w:pPr>
    </w:p>
    <w:p w14:paraId="665D6033">
      <w:pPr>
        <w:rPr>
          <w:rFonts w:hint="eastAsia" w:ascii="宋体" w:hAnsi="宋体" w:eastAsia="宋体" w:cs="宋体"/>
          <w:b/>
          <w:bCs/>
          <w:color w:val="auto"/>
          <w:sz w:val="32"/>
          <w:szCs w:val="32"/>
          <w:highlight w:val="none"/>
          <w:lang w:val="zh-CN"/>
        </w:rPr>
      </w:pPr>
      <w:bookmarkStart w:id="486" w:name="_Toc495388720"/>
      <w:bookmarkStart w:id="487" w:name="_Toc491075863"/>
      <w:r>
        <w:rPr>
          <w:rFonts w:hint="eastAsia" w:ascii="宋体" w:hAnsi="宋体" w:eastAsia="宋体" w:cs="宋体"/>
          <w:b/>
          <w:bCs/>
          <w:color w:val="auto"/>
          <w:sz w:val="32"/>
          <w:szCs w:val="32"/>
          <w:highlight w:val="none"/>
          <w:lang w:val="zh-CN"/>
        </w:rPr>
        <w:br w:type="page"/>
      </w:r>
    </w:p>
    <w:p w14:paraId="6EE58937">
      <w:pPr>
        <w:spacing w:line="600" w:lineRule="exact"/>
        <w:contextualSpacing/>
        <w:jc w:val="center"/>
        <w:outlineLvl w:val="1"/>
        <w:rPr>
          <w:rFonts w:hint="eastAsia" w:ascii="宋体" w:hAnsi="宋体" w:eastAsia="宋体" w:cs="宋体"/>
          <w:b/>
          <w:bCs/>
          <w:color w:val="auto"/>
          <w:sz w:val="32"/>
          <w:szCs w:val="32"/>
          <w:highlight w:val="none"/>
          <w:lang w:val="zh-CN"/>
        </w:rPr>
      </w:pPr>
      <w:bookmarkStart w:id="488" w:name="_Toc28805"/>
      <w:r>
        <w:rPr>
          <w:rFonts w:hint="eastAsia" w:ascii="宋体" w:hAnsi="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CN"/>
        </w:rPr>
        <w:t>、商务文件</w:t>
      </w:r>
      <w:bookmarkEnd w:id="486"/>
      <w:bookmarkEnd w:id="487"/>
      <w:bookmarkEnd w:id="488"/>
    </w:p>
    <w:p w14:paraId="57BEEFF8">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489" w:name="_Toc18383"/>
      <w:r>
        <w:rPr>
          <w:rFonts w:hint="eastAsia" w:ascii="宋体" w:hAnsi="宋体" w:eastAsia="宋体" w:cs="宋体"/>
          <w:b/>
          <w:bCs/>
          <w:color w:val="auto"/>
          <w:sz w:val="24"/>
          <w:szCs w:val="24"/>
          <w:highlight w:val="none"/>
          <w:lang w:val="zh-CN" w:eastAsia="zh-CN"/>
        </w:rPr>
        <w:t>（一）投标一览表</w:t>
      </w:r>
      <w:bookmarkEnd w:id="489"/>
    </w:p>
    <w:p w14:paraId="4AD6EC5F">
      <w:pPr>
        <w:rPr>
          <w:rFonts w:hint="eastAsia" w:ascii="宋体" w:hAnsi="宋体" w:eastAsia="宋体" w:cs="宋体"/>
          <w:b/>
          <w:color w:val="auto"/>
          <w:szCs w:val="21"/>
          <w:highlight w:val="none"/>
          <w:lang w:val="zh-CN"/>
        </w:rPr>
      </w:pPr>
    </w:p>
    <w:p w14:paraId="271EBE06">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标段（包）编号：</w:t>
      </w:r>
      <w:r>
        <w:rPr>
          <w:rFonts w:hint="eastAsia" w:ascii="宋体" w:hAnsi="宋体" w:eastAsia="宋体" w:cs="宋体"/>
          <w:color w:val="auto"/>
          <w:szCs w:val="21"/>
          <w:highlight w:val="none"/>
          <w:u w:val="single"/>
        </w:rPr>
        <w:t xml:space="preserve">                              </w:t>
      </w:r>
    </w:p>
    <w:p w14:paraId="4B0DA3A7">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标段（包）名称：</w:t>
      </w:r>
      <w:r>
        <w:rPr>
          <w:rFonts w:hint="eastAsia" w:ascii="宋体" w:hAnsi="宋体" w:eastAsia="宋体" w:cs="宋体"/>
          <w:color w:val="auto"/>
          <w:szCs w:val="21"/>
          <w:highlight w:val="none"/>
          <w:u w:val="single"/>
        </w:rPr>
        <w:t xml:space="preserve">                              </w:t>
      </w:r>
    </w:p>
    <w:p w14:paraId="7A0DFE21">
      <w:pPr>
        <w:widowControl/>
        <w:jc w:val="left"/>
        <w:rPr>
          <w:rFonts w:hint="eastAsia" w:ascii="宋体" w:hAnsi="宋体" w:eastAsia="宋体" w:cs="宋体"/>
          <w:color w:val="auto"/>
          <w:szCs w:val="21"/>
          <w:highlight w:val="none"/>
        </w:rPr>
      </w:pPr>
    </w:p>
    <w:tbl>
      <w:tblPr>
        <w:tblStyle w:val="14"/>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3165"/>
        <w:gridCol w:w="5936"/>
      </w:tblGrid>
      <w:tr w14:paraId="15E1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454" w:hRule="atLeast"/>
          <w:jc w:val="center"/>
        </w:trPr>
        <w:tc>
          <w:tcPr>
            <w:tcW w:w="3165" w:type="dxa"/>
            <w:noWrap w:val="0"/>
            <w:vAlign w:val="center"/>
          </w:tcPr>
          <w:p w14:paraId="1C12F536">
            <w:pPr>
              <w:keepNext w:val="0"/>
              <w:keepLines w:val="0"/>
              <w:suppressLineNumbers w:val="0"/>
              <w:tabs>
                <w:tab w:val="left" w:pos="690"/>
              </w:tabs>
              <w:spacing w:before="0" w:beforeAutospacing="0" w:after="0" w:afterAutospacing="0" w:line="240" w:lineRule="auto"/>
              <w:ind w:left="0" w:leftChars="0" w:right="-50" w:rightChars="-2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p>
        </w:tc>
        <w:tc>
          <w:tcPr>
            <w:tcW w:w="5936" w:type="dxa"/>
            <w:noWrap w:val="0"/>
            <w:vAlign w:val="center"/>
          </w:tcPr>
          <w:p w14:paraId="31DFCFFD">
            <w:pPr>
              <w:keepNext w:val="0"/>
              <w:keepLines w:val="0"/>
              <w:widowControl/>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highlight w:val="none"/>
              </w:rPr>
            </w:pPr>
          </w:p>
        </w:tc>
      </w:tr>
      <w:tr w14:paraId="6BB7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458" w:hRule="atLeast"/>
          <w:jc w:val="center"/>
        </w:trPr>
        <w:tc>
          <w:tcPr>
            <w:tcW w:w="3165" w:type="dxa"/>
            <w:noWrap w:val="0"/>
            <w:vAlign w:val="center"/>
          </w:tcPr>
          <w:p w14:paraId="7402B65D">
            <w:pPr>
              <w:keepNext w:val="0"/>
              <w:keepLines w:val="0"/>
              <w:suppressLineNumbers w:val="0"/>
              <w:tabs>
                <w:tab w:val="left" w:pos="690"/>
              </w:tabs>
              <w:spacing w:before="0" w:beforeAutospacing="0" w:after="0" w:afterAutospacing="0" w:line="240" w:lineRule="auto"/>
              <w:ind w:left="0" w:leftChars="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投标报价合计</w:t>
            </w:r>
          </w:p>
        </w:tc>
        <w:tc>
          <w:tcPr>
            <w:tcW w:w="5936" w:type="dxa"/>
            <w:noWrap w:val="0"/>
            <w:vAlign w:val="center"/>
          </w:tcPr>
          <w:p w14:paraId="543B4C61">
            <w:pPr>
              <w:pStyle w:val="19"/>
              <w:keepNext w:val="0"/>
              <w:keepLines w:val="0"/>
              <w:suppressLineNumbers w:val="0"/>
              <w:tabs>
                <w:tab w:val="center" w:pos="2911"/>
              </w:tabs>
              <w:spacing w:before="0" w:beforeAutospacing="0" w:after="0" w:afterAutospacing="0" w:line="360" w:lineRule="auto"/>
              <w:ind w:left="0" w:leftChars="0" w:right="0" w:rightChars="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p w14:paraId="3A5A0F5D">
            <w:pPr>
              <w:pStyle w:val="19"/>
              <w:keepNext w:val="0"/>
              <w:keepLines w:val="0"/>
              <w:suppressLineNumbers w:val="0"/>
              <w:tabs>
                <w:tab w:val="center" w:pos="2911"/>
              </w:tabs>
              <w:spacing w:before="0" w:beforeAutospacing="0" w:after="0" w:afterAutospacing="0" w:line="360" w:lineRule="auto"/>
              <w:ind w:left="0" w:leftChars="0" w:right="0" w:rightChars="0"/>
              <w:jc w:val="both"/>
              <w:rPr>
                <w:rFonts w:hint="eastAsia" w:ascii="宋体" w:hAnsi="宋体" w:eastAsia="宋体" w:cs="宋体"/>
                <w:color w:val="auto"/>
                <w:sz w:val="24"/>
                <w:highlight w:val="none"/>
                <w:lang w:val="en-US"/>
              </w:rPr>
            </w:pPr>
            <w:r>
              <w:rPr>
                <w:rFonts w:hint="eastAsia" w:ascii="宋体" w:hAnsi="宋体" w:eastAsia="宋体" w:cs="宋体"/>
                <w:color w:val="auto"/>
                <w:highlight w:val="none"/>
                <w:lang w:val="en-US" w:eastAsia="zh-CN"/>
              </w:rPr>
              <w:t>小写：</w:t>
            </w:r>
          </w:p>
        </w:tc>
      </w:tr>
      <w:tr w14:paraId="6F03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804" w:hRule="atLeast"/>
          <w:jc w:val="center"/>
        </w:trPr>
        <w:tc>
          <w:tcPr>
            <w:tcW w:w="3165" w:type="dxa"/>
            <w:noWrap w:val="0"/>
            <w:vAlign w:val="center"/>
          </w:tcPr>
          <w:p w14:paraId="107E24F1">
            <w:pPr>
              <w:keepNext w:val="0"/>
              <w:keepLines w:val="0"/>
              <w:suppressLineNumbers w:val="0"/>
              <w:tabs>
                <w:tab w:val="left" w:pos="690"/>
              </w:tabs>
              <w:spacing w:before="0" w:beforeAutospacing="0" w:after="0" w:afterAutospacing="0" w:line="240" w:lineRule="auto"/>
              <w:ind w:left="0" w:leftChars="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合同履行期限</w:t>
            </w:r>
          </w:p>
        </w:tc>
        <w:tc>
          <w:tcPr>
            <w:tcW w:w="5936" w:type="dxa"/>
            <w:noWrap w:val="0"/>
            <w:vAlign w:val="center"/>
          </w:tcPr>
          <w:p w14:paraId="15EB9F5B">
            <w:pPr>
              <w:keepNext w:val="0"/>
              <w:keepLines w:val="0"/>
              <w:widowControl/>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highlight w:val="none"/>
                <w:lang w:val="en-US" w:eastAsia="zh-CN"/>
              </w:rPr>
            </w:pPr>
          </w:p>
        </w:tc>
      </w:tr>
      <w:tr w14:paraId="3719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804" w:hRule="atLeast"/>
          <w:jc w:val="center"/>
        </w:trPr>
        <w:tc>
          <w:tcPr>
            <w:tcW w:w="3165" w:type="dxa"/>
            <w:noWrap w:val="0"/>
            <w:vAlign w:val="center"/>
          </w:tcPr>
          <w:p w14:paraId="5506D583">
            <w:pPr>
              <w:keepNext w:val="0"/>
              <w:keepLines w:val="0"/>
              <w:suppressLineNumbers w:val="0"/>
              <w:tabs>
                <w:tab w:val="left" w:pos="690"/>
              </w:tabs>
              <w:spacing w:before="0" w:beforeAutospacing="0" w:after="0" w:afterAutospacing="0" w:line="240" w:lineRule="auto"/>
              <w:ind w:left="0" w:leftChars="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w:t>
            </w:r>
          </w:p>
        </w:tc>
        <w:tc>
          <w:tcPr>
            <w:tcW w:w="5936" w:type="dxa"/>
            <w:noWrap w:val="0"/>
            <w:vAlign w:val="center"/>
          </w:tcPr>
          <w:p w14:paraId="4A390577">
            <w:pPr>
              <w:keepNext w:val="0"/>
              <w:keepLines w:val="0"/>
              <w:widowControl/>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highlight w:val="none"/>
                <w:lang w:val="en-US" w:eastAsia="zh-CN"/>
              </w:rPr>
            </w:pPr>
          </w:p>
        </w:tc>
      </w:tr>
      <w:tr w14:paraId="7840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454" w:hRule="atLeast"/>
          <w:jc w:val="center"/>
        </w:trPr>
        <w:tc>
          <w:tcPr>
            <w:tcW w:w="3165" w:type="dxa"/>
            <w:noWrap w:val="0"/>
            <w:vAlign w:val="center"/>
          </w:tcPr>
          <w:p w14:paraId="53FEBF4E">
            <w:pPr>
              <w:keepNext w:val="0"/>
              <w:keepLines w:val="0"/>
              <w:suppressLineNumbers w:val="0"/>
              <w:tabs>
                <w:tab w:val="left" w:pos="690"/>
              </w:tabs>
              <w:spacing w:before="0" w:beforeAutospacing="0" w:after="0" w:afterAutospacing="0" w:line="240" w:lineRule="auto"/>
              <w:ind w:left="0" w:leftChars="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优惠条款（如有）</w:t>
            </w:r>
          </w:p>
        </w:tc>
        <w:tc>
          <w:tcPr>
            <w:tcW w:w="5936" w:type="dxa"/>
            <w:noWrap w:val="0"/>
            <w:vAlign w:val="center"/>
          </w:tcPr>
          <w:p w14:paraId="157F05E2">
            <w:pPr>
              <w:keepNext w:val="0"/>
              <w:keepLines w:val="0"/>
              <w:widowControl/>
              <w:suppressLineNumbers w:val="0"/>
              <w:spacing w:before="0" w:beforeAutospacing="0" w:after="0" w:afterAutospacing="0" w:line="360" w:lineRule="atLeast"/>
              <w:ind w:left="0" w:leftChars="0" w:right="0" w:rightChars="0"/>
              <w:jc w:val="center"/>
              <w:rPr>
                <w:rFonts w:hint="eastAsia" w:ascii="宋体" w:hAnsi="宋体" w:eastAsia="宋体" w:cs="宋体"/>
                <w:color w:val="auto"/>
                <w:sz w:val="24"/>
                <w:highlight w:val="none"/>
                <w:lang w:val="en-US" w:eastAsia="zh-CN"/>
              </w:rPr>
            </w:pPr>
          </w:p>
        </w:tc>
      </w:tr>
      <w:tr w14:paraId="7433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454" w:hRule="atLeast"/>
          <w:jc w:val="center"/>
        </w:trPr>
        <w:tc>
          <w:tcPr>
            <w:tcW w:w="3165" w:type="dxa"/>
            <w:noWrap w:val="0"/>
            <w:vAlign w:val="center"/>
          </w:tcPr>
          <w:p w14:paraId="1525E824">
            <w:pPr>
              <w:keepNext w:val="0"/>
              <w:keepLines w:val="0"/>
              <w:suppressLineNumbers w:val="0"/>
              <w:spacing w:before="0" w:beforeAutospacing="0" w:after="0" w:afterAutospacing="0" w:line="240" w:lineRule="auto"/>
              <w:ind w:left="0" w:leftChars="0" w:right="0" w:right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备注</w:t>
            </w:r>
          </w:p>
        </w:tc>
        <w:tc>
          <w:tcPr>
            <w:tcW w:w="5936" w:type="dxa"/>
            <w:noWrap w:val="0"/>
            <w:vAlign w:val="center"/>
          </w:tcPr>
          <w:p w14:paraId="5B74A35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sz w:val="24"/>
                <w:highlight w:val="none"/>
                <w:u w:val="single"/>
              </w:rPr>
            </w:pPr>
          </w:p>
        </w:tc>
      </w:tr>
    </w:tbl>
    <w:p w14:paraId="41A5831B">
      <w:pPr>
        <w:widowControl/>
        <w:jc w:val="left"/>
        <w:rPr>
          <w:rFonts w:hint="eastAsia" w:ascii="宋体" w:hAnsi="宋体" w:eastAsia="宋体" w:cs="宋体"/>
          <w:color w:val="auto"/>
          <w:szCs w:val="21"/>
          <w:highlight w:val="none"/>
        </w:rPr>
      </w:pPr>
    </w:p>
    <w:p w14:paraId="3ED42703">
      <w:pPr>
        <w:widowControl/>
        <w:jc w:val="left"/>
        <w:rPr>
          <w:rFonts w:hint="eastAsia" w:ascii="宋体" w:hAnsi="宋体" w:eastAsia="宋体" w:cs="宋体"/>
          <w:color w:val="auto"/>
          <w:szCs w:val="21"/>
          <w:highlight w:val="none"/>
        </w:rPr>
      </w:pPr>
    </w:p>
    <w:p w14:paraId="3CC425F7">
      <w:pPr>
        <w:widowControl/>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（盖单位章） </w:t>
      </w:r>
    </w:p>
    <w:p w14:paraId="10F491D0">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302E8CA4">
      <w:pPr>
        <w:widowControl/>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9049B50">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备注：1.项目由招标人根据项目标段（包）实际情况进行填写、编辑，最多只能填写、编辑五项内容，否则开标时开标一览表无法正常打开；</w:t>
      </w:r>
    </w:p>
    <w:p w14:paraId="26412B6D">
      <w:pPr>
        <w:widowControl/>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2.内容由各投标人按投标文件制作工具中“投标一览表”中要求的项进行填写。</w:t>
      </w:r>
    </w:p>
    <w:p w14:paraId="4EDB05C8">
      <w:pPr>
        <w:jc w:val="both"/>
        <w:rPr>
          <w:rFonts w:hint="eastAsia" w:ascii="宋体" w:hAnsi="宋体" w:eastAsia="宋体" w:cs="宋体"/>
          <w:color w:val="auto"/>
          <w:szCs w:val="21"/>
          <w:highlight w:val="none"/>
        </w:rPr>
      </w:pPr>
    </w:p>
    <w:p w14:paraId="1E32E747">
      <w:pPr>
        <w:spacing w:line="600" w:lineRule="exact"/>
        <w:contextualSpacing/>
        <w:jc w:val="center"/>
        <w:outlineLvl w:val="1"/>
        <w:rPr>
          <w:rFonts w:hint="eastAsia" w:ascii="宋体" w:hAnsi="宋体" w:eastAsia="宋体" w:cs="宋体"/>
          <w:b/>
          <w:bCs/>
          <w:color w:val="auto"/>
          <w:sz w:val="28"/>
          <w:szCs w:val="28"/>
          <w:highlight w:val="none"/>
          <w:lang w:val="zh-CN" w:eastAsia="zh-CN"/>
        </w:rPr>
        <w:sectPr>
          <w:footerReference r:id="rId3" w:type="default"/>
          <w:pgSz w:w="11907" w:h="16840"/>
          <w:pgMar w:top="1080" w:right="1440" w:bottom="1080" w:left="1440" w:header="851" w:footer="992" w:gutter="0"/>
          <w:pgNumType w:fmt="decimal" w:start="1"/>
          <w:cols w:space="425" w:num="1"/>
          <w:docGrid w:linePitch="312" w:charSpace="0"/>
        </w:sectPr>
      </w:pPr>
    </w:p>
    <w:p w14:paraId="2120A5D9">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490" w:name="_Toc6750"/>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二</w:t>
      </w:r>
      <w:r>
        <w:rPr>
          <w:rFonts w:hint="eastAsia" w:ascii="宋体" w:hAnsi="宋体" w:eastAsia="宋体" w:cs="宋体"/>
          <w:b/>
          <w:bCs/>
          <w:color w:val="auto"/>
          <w:sz w:val="24"/>
          <w:szCs w:val="24"/>
          <w:highlight w:val="none"/>
          <w:lang w:val="zh-CN" w:eastAsia="zh-CN"/>
        </w:rPr>
        <w:t>）投标函</w:t>
      </w:r>
      <w:bookmarkEnd w:id="485"/>
      <w:bookmarkEnd w:id="490"/>
    </w:p>
    <w:p w14:paraId="704D76E7">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（招标人名称）：</w:t>
      </w:r>
    </w:p>
    <w:p w14:paraId="142E4198">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1．我方已仔细研究了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（标段/包名称）招标文件的全部内容，并对此无异议，愿意以本投标文件所附《投标一览表》及投标函附录申明的的投标报价、履约期限等承诺，按合同约定实施和完成承包项目。</w:t>
      </w:r>
    </w:p>
    <w:p w14:paraId="26C1941B">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 我方同意所提交的投标文件在招标文件的投标须知中规定的投标有效期内有效，在此期间内如果中标，我方将受此约束。</w:t>
      </w:r>
    </w:p>
    <w:p w14:paraId="6B7B55F5">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3．我方已按招标文件的要求递交投标保证金。</w:t>
      </w:r>
    </w:p>
    <w:p w14:paraId="207E180B">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4．如我方中标：</w:t>
      </w:r>
    </w:p>
    <w:p w14:paraId="624CAED9">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（1）我方承诺在收到中标通知书后，按照招标文件要求在中标通知书规定的期限内与你方签订合同。</w:t>
      </w:r>
    </w:p>
    <w:p w14:paraId="23B529EB">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（2）随同本投标函递交的投标函附录属于合同文件的组成部分。</w:t>
      </w:r>
    </w:p>
    <w:p w14:paraId="5440AB44">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（3）我方承诺按照招标文件规定向你方递交履约保证金，并接受招标文件中关于没收投标保证金的约定。 </w:t>
      </w:r>
    </w:p>
    <w:p w14:paraId="032CE4FC">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（4）我方承诺在合同约定的期限内完成并移交全部合同项目。</w:t>
      </w:r>
    </w:p>
    <w:p w14:paraId="299402BE">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（5）同意提供按照你方可能要求的与其投标有关一切数据或资料。 </w:t>
      </w:r>
    </w:p>
    <w:p w14:paraId="6523AAD4">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5．我方在此声明，所递交的投标文件及有关资料内容完整、真实和准确。</w:t>
      </w:r>
    </w:p>
    <w:p w14:paraId="624E405F">
      <w:pPr>
        <w:spacing w:line="3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    6．其他补充说明：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5EFFBBD">
      <w:pPr>
        <w:spacing w:line="320" w:lineRule="exact"/>
        <w:rPr>
          <w:rFonts w:hint="eastAsia" w:ascii="宋体" w:hAnsi="宋体" w:eastAsia="宋体" w:cs="宋体"/>
          <w:color w:val="auto"/>
          <w:highlight w:val="none"/>
        </w:rPr>
      </w:pPr>
    </w:p>
    <w:p w14:paraId="6F9B9A3A">
      <w:pPr>
        <w:spacing w:line="320" w:lineRule="exact"/>
        <w:ind w:firstLine="4395"/>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7E05BEA0">
      <w:pPr>
        <w:spacing w:line="320" w:lineRule="exact"/>
        <w:ind w:firstLine="4410" w:firstLineChars="2100"/>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（签章）</w:t>
      </w:r>
    </w:p>
    <w:p w14:paraId="48977DE5">
      <w:pPr>
        <w:spacing w:line="320" w:lineRule="exact"/>
        <w:ind w:firstLine="4395"/>
        <w:rPr>
          <w:rFonts w:hint="eastAsia" w:ascii="宋体" w:hAnsi="宋体" w:eastAsia="宋体" w:cs="宋体"/>
          <w:color w:val="auto"/>
          <w:highlight w:val="non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p>
    <w:p w14:paraId="6E7C52C5">
      <w:pPr>
        <w:spacing w:line="320" w:lineRule="exact"/>
        <w:ind w:firstLine="4395"/>
        <w:rPr>
          <w:rFonts w:hint="eastAsia" w:ascii="宋体" w:hAnsi="宋体" w:eastAsia="宋体" w:cs="宋体"/>
          <w:color w:val="auto"/>
          <w:highlight w:val="none"/>
        </w:rPr>
      </w:pPr>
      <w:r>
        <w:rPr>
          <w:rFonts w:hint="eastAsia" w:ascii="宋体" w:hAnsi="宋体" w:eastAsia="宋体" w:cs="宋体"/>
          <w:color w:val="auto"/>
          <w:highlight w:val="none"/>
        </w:rPr>
        <w:t>电话：</w:t>
      </w:r>
      <w:r>
        <w:rPr>
          <w:rFonts w:hint="eastAsia" w:ascii="宋体" w:hAnsi="宋体" w:eastAsia="宋体" w:cs="宋体"/>
          <w:color w:val="auto"/>
          <w:highlight w:val="none"/>
          <w:u w:val="single"/>
        </w:rPr>
        <w:t xml:space="preserve">                                     </w:t>
      </w:r>
    </w:p>
    <w:p w14:paraId="6EC6E42F">
      <w:pPr>
        <w:spacing w:line="320" w:lineRule="exact"/>
        <w:ind w:firstLine="4395"/>
        <w:rPr>
          <w:rFonts w:hint="eastAsia" w:ascii="宋体" w:hAnsi="宋体" w:eastAsia="宋体" w:cs="宋体"/>
          <w:color w:val="auto"/>
          <w:highlight w:val="none"/>
        </w:rPr>
      </w:pPr>
      <w:r>
        <w:rPr>
          <w:rFonts w:hint="eastAsia" w:ascii="宋体" w:hAnsi="宋体" w:eastAsia="宋体" w:cs="宋体"/>
          <w:color w:val="auto"/>
          <w:highlight w:val="none"/>
        </w:rPr>
        <w:t>传真：</w:t>
      </w:r>
      <w:r>
        <w:rPr>
          <w:rFonts w:hint="eastAsia" w:ascii="宋体" w:hAnsi="宋体" w:eastAsia="宋体" w:cs="宋体"/>
          <w:color w:val="auto"/>
          <w:highlight w:val="none"/>
          <w:u w:val="single"/>
        </w:rPr>
        <w:t xml:space="preserve">                                     </w:t>
      </w:r>
    </w:p>
    <w:p w14:paraId="5121251D">
      <w:pPr>
        <w:spacing w:line="320" w:lineRule="exact"/>
        <w:ind w:firstLine="4395"/>
        <w:rPr>
          <w:rFonts w:hint="eastAsia" w:ascii="宋体" w:hAnsi="宋体" w:eastAsia="宋体" w:cs="宋体"/>
          <w:color w:val="auto"/>
          <w:highlight w:val="non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p>
    <w:p w14:paraId="0A55BE55">
      <w:pPr>
        <w:spacing w:line="320" w:lineRule="exact"/>
        <w:ind w:firstLine="4395"/>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56F7958">
      <w:pPr>
        <w:rPr>
          <w:rFonts w:hint="eastAsia" w:ascii="宋体" w:hAnsi="宋体" w:eastAsia="宋体" w:cs="宋体"/>
          <w:color w:val="auto"/>
          <w:highlight w:val="none"/>
        </w:rPr>
      </w:pPr>
    </w:p>
    <w:p w14:paraId="40FDA6D0">
      <w:pPr>
        <w:rPr>
          <w:rFonts w:hint="eastAsia" w:ascii="宋体" w:hAnsi="宋体" w:eastAsia="宋体" w:cs="宋体"/>
          <w:color w:val="auto"/>
          <w:highlight w:val="none"/>
        </w:rPr>
      </w:pPr>
    </w:p>
    <w:p w14:paraId="3A947908">
      <w:pPr>
        <w:rPr>
          <w:rFonts w:hint="eastAsia" w:ascii="宋体" w:hAnsi="宋体" w:eastAsia="宋体" w:cs="宋体"/>
          <w:color w:val="auto"/>
          <w:highlight w:val="none"/>
        </w:rPr>
      </w:pPr>
    </w:p>
    <w:p w14:paraId="628000EB">
      <w:pPr>
        <w:rPr>
          <w:rFonts w:hint="eastAsia" w:ascii="宋体" w:hAnsi="宋体" w:eastAsia="宋体" w:cs="宋体"/>
          <w:color w:val="auto"/>
          <w:highlight w:val="none"/>
        </w:rPr>
      </w:pPr>
    </w:p>
    <w:p w14:paraId="74D60C79">
      <w:pPr>
        <w:rPr>
          <w:rFonts w:hint="eastAsia" w:ascii="宋体" w:hAnsi="宋体" w:eastAsia="宋体" w:cs="宋体"/>
          <w:color w:val="auto"/>
          <w:highlight w:val="none"/>
        </w:rPr>
      </w:pPr>
    </w:p>
    <w:p w14:paraId="749208DA">
      <w:pPr>
        <w:rPr>
          <w:rFonts w:hint="eastAsia" w:ascii="宋体" w:hAnsi="宋体" w:eastAsia="宋体" w:cs="宋体"/>
          <w:color w:val="auto"/>
          <w:highlight w:val="none"/>
        </w:rPr>
      </w:pPr>
    </w:p>
    <w:p w14:paraId="070F06A6">
      <w:pPr>
        <w:rPr>
          <w:rFonts w:hint="eastAsia" w:ascii="宋体" w:hAnsi="宋体" w:eastAsia="宋体" w:cs="宋体"/>
          <w:color w:val="auto"/>
          <w:highlight w:val="none"/>
        </w:rPr>
      </w:pPr>
    </w:p>
    <w:p w14:paraId="5C2A13CB">
      <w:pPr>
        <w:rPr>
          <w:rFonts w:hint="eastAsia" w:ascii="宋体" w:hAnsi="宋体" w:eastAsia="宋体" w:cs="宋体"/>
          <w:color w:val="auto"/>
          <w:highlight w:val="none"/>
        </w:rPr>
      </w:pPr>
    </w:p>
    <w:p w14:paraId="572B29B6">
      <w:pPr>
        <w:rPr>
          <w:rFonts w:hint="eastAsia" w:ascii="宋体" w:hAnsi="宋体" w:eastAsia="宋体" w:cs="宋体"/>
          <w:color w:val="auto"/>
          <w:highlight w:val="none"/>
        </w:rPr>
      </w:pPr>
    </w:p>
    <w:p w14:paraId="2A2223BB">
      <w:pPr>
        <w:rPr>
          <w:rFonts w:hint="eastAsia" w:ascii="宋体" w:hAnsi="宋体" w:eastAsia="宋体" w:cs="宋体"/>
          <w:color w:val="auto"/>
          <w:highlight w:val="none"/>
        </w:rPr>
      </w:pPr>
    </w:p>
    <w:p w14:paraId="74D04C66">
      <w:pPr>
        <w:rPr>
          <w:rFonts w:hint="eastAsia" w:ascii="宋体" w:hAnsi="宋体" w:eastAsia="宋体" w:cs="宋体"/>
          <w:color w:val="auto"/>
          <w:highlight w:val="none"/>
        </w:rPr>
      </w:pPr>
    </w:p>
    <w:p w14:paraId="3DED3391">
      <w:pPr>
        <w:rPr>
          <w:rFonts w:hint="eastAsia" w:ascii="宋体" w:hAnsi="宋体" w:eastAsia="宋体" w:cs="宋体"/>
          <w:color w:val="auto"/>
          <w:highlight w:val="none"/>
        </w:rPr>
      </w:pPr>
    </w:p>
    <w:p w14:paraId="3C448E81">
      <w:pPr>
        <w:rPr>
          <w:rFonts w:hint="eastAsia" w:ascii="宋体" w:hAnsi="宋体" w:eastAsia="宋体" w:cs="宋体"/>
          <w:color w:val="auto"/>
          <w:highlight w:val="none"/>
        </w:rPr>
      </w:pPr>
    </w:p>
    <w:p w14:paraId="432E263D">
      <w:pPr>
        <w:rPr>
          <w:rFonts w:hint="eastAsia" w:ascii="宋体" w:hAnsi="宋体" w:eastAsia="宋体" w:cs="宋体"/>
          <w:color w:val="auto"/>
          <w:highlight w:val="none"/>
        </w:rPr>
      </w:pPr>
    </w:p>
    <w:p w14:paraId="3A2226EC">
      <w:pPr>
        <w:rPr>
          <w:rFonts w:hint="eastAsia" w:ascii="宋体" w:hAnsi="宋体" w:eastAsia="宋体" w:cs="宋体"/>
          <w:color w:val="auto"/>
          <w:highlight w:val="none"/>
        </w:rPr>
      </w:pPr>
    </w:p>
    <w:p w14:paraId="406BB7C6">
      <w:pPr>
        <w:rPr>
          <w:rFonts w:hint="eastAsia" w:ascii="宋体" w:hAnsi="宋体" w:eastAsia="宋体" w:cs="宋体"/>
          <w:color w:val="auto"/>
          <w:highlight w:val="none"/>
        </w:rPr>
      </w:pPr>
    </w:p>
    <w:p w14:paraId="739C9FAE">
      <w:pPr>
        <w:rPr>
          <w:rFonts w:hint="eastAsia" w:ascii="宋体" w:hAnsi="宋体" w:eastAsia="宋体" w:cs="宋体"/>
          <w:color w:val="auto"/>
          <w:highlight w:val="none"/>
        </w:rPr>
      </w:pPr>
    </w:p>
    <w:p w14:paraId="25C216EC">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8"/>
          <w:szCs w:val="28"/>
          <w:highlight w:val="none"/>
          <w:lang w:val="zh-CN" w:eastAsia="zh-CN"/>
        </w:rPr>
        <w:br w:type="page"/>
      </w:r>
      <w:bookmarkStart w:id="491" w:name="_Toc2076"/>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三</w:t>
      </w:r>
      <w:r>
        <w:rPr>
          <w:rFonts w:hint="eastAsia" w:ascii="宋体" w:hAnsi="宋体" w:eastAsia="宋体" w:cs="宋体"/>
          <w:b/>
          <w:bCs/>
          <w:color w:val="auto"/>
          <w:sz w:val="24"/>
          <w:szCs w:val="24"/>
          <w:highlight w:val="none"/>
          <w:lang w:val="zh-CN" w:eastAsia="zh-CN"/>
        </w:rPr>
        <w:t>）投标函附录</w:t>
      </w:r>
      <w:bookmarkEnd w:id="491"/>
    </w:p>
    <w:p w14:paraId="284FCBC6">
      <w:pP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（标段/包名称）</w:t>
      </w:r>
    </w:p>
    <w:p w14:paraId="1CB5E09B">
      <w:pPr>
        <w:rPr>
          <w:rFonts w:hint="eastAsia" w:ascii="宋体" w:hAnsi="宋体" w:eastAsia="宋体" w:cs="宋体"/>
          <w:color w:val="auto"/>
          <w:highlight w:val="none"/>
        </w:rPr>
      </w:pPr>
    </w:p>
    <w:tbl>
      <w:tblPr>
        <w:tblStyle w:val="14"/>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3364"/>
        <w:gridCol w:w="4760"/>
        <w:gridCol w:w="897"/>
      </w:tblGrid>
      <w:tr w14:paraId="5712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4DA3D8A6">
            <w:pPr>
              <w:ind w:firstLine="34"/>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3364" w:type="dxa"/>
            <w:vAlign w:val="center"/>
          </w:tcPr>
          <w:p w14:paraId="4C5C22C8">
            <w:pPr>
              <w:ind w:firstLine="34"/>
              <w:jc w:val="center"/>
              <w:rPr>
                <w:rFonts w:hint="eastAsia" w:ascii="宋体" w:hAnsi="宋体" w:eastAsia="宋体" w:cs="宋体"/>
                <w:b/>
                <w:color w:val="auto"/>
                <w:highlight w:val="none"/>
              </w:rPr>
            </w:pPr>
            <w:r>
              <w:rPr>
                <w:rFonts w:hint="eastAsia" w:ascii="宋体" w:hAnsi="宋体" w:eastAsia="宋体" w:cs="宋体"/>
                <w:b/>
                <w:color w:val="auto"/>
                <w:highlight w:val="none"/>
              </w:rPr>
              <w:t>条款内容</w:t>
            </w:r>
          </w:p>
        </w:tc>
        <w:tc>
          <w:tcPr>
            <w:tcW w:w="4760" w:type="dxa"/>
            <w:vAlign w:val="center"/>
          </w:tcPr>
          <w:p w14:paraId="254D3C94">
            <w:pPr>
              <w:ind w:firstLine="34"/>
              <w:jc w:val="center"/>
              <w:rPr>
                <w:rFonts w:hint="eastAsia" w:ascii="宋体" w:hAnsi="宋体" w:eastAsia="宋体" w:cs="宋体"/>
                <w:b/>
                <w:color w:val="auto"/>
                <w:highlight w:val="none"/>
              </w:rPr>
            </w:pPr>
            <w:r>
              <w:rPr>
                <w:rFonts w:hint="eastAsia" w:ascii="宋体" w:hAnsi="宋体" w:eastAsia="宋体" w:cs="宋体"/>
                <w:b/>
                <w:color w:val="auto"/>
                <w:highlight w:val="none"/>
              </w:rPr>
              <w:t>约定（承诺）内容</w:t>
            </w:r>
          </w:p>
        </w:tc>
        <w:tc>
          <w:tcPr>
            <w:tcW w:w="897" w:type="dxa"/>
            <w:vAlign w:val="center"/>
          </w:tcPr>
          <w:p w14:paraId="2056E91F">
            <w:pPr>
              <w:ind w:firstLine="34"/>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385B0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44AC1C9A">
            <w:pPr>
              <w:ind w:firstLine="34"/>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364" w:type="dxa"/>
            <w:vAlign w:val="center"/>
          </w:tcPr>
          <w:p w14:paraId="467E2E61">
            <w:pPr>
              <w:ind w:firstLine="34"/>
              <w:rPr>
                <w:rFonts w:hint="eastAsia" w:ascii="宋体" w:hAnsi="宋体" w:eastAsia="宋体" w:cs="宋体"/>
                <w:color w:val="auto"/>
                <w:highlight w:val="none"/>
              </w:rPr>
            </w:pPr>
          </w:p>
        </w:tc>
        <w:tc>
          <w:tcPr>
            <w:tcW w:w="4760" w:type="dxa"/>
            <w:vAlign w:val="center"/>
          </w:tcPr>
          <w:p w14:paraId="17C5B3D6">
            <w:pPr>
              <w:ind w:firstLine="34"/>
              <w:rPr>
                <w:rFonts w:hint="eastAsia" w:ascii="宋体" w:hAnsi="宋体" w:eastAsia="宋体" w:cs="宋体"/>
                <w:color w:val="auto"/>
                <w:highlight w:val="none"/>
              </w:rPr>
            </w:pPr>
          </w:p>
        </w:tc>
        <w:tc>
          <w:tcPr>
            <w:tcW w:w="897" w:type="dxa"/>
            <w:vAlign w:val="center"/>
          </w:tcPr>
          <w:p w14:paraId="005F6995">
            <w:pPr>
              <w:ind w:firstLine="34"/>
              <w:rPr>
                <w:rFonts w:hint="eastAsia" w:ascii="宋体" w:hAnsi="宋体" w:eastAsia="宋体" w:cs="宋体"/>
                <w:color w:val="auto"/>
                <w:highlight w:val="none"/>
              </w:rPr>
            </w:pPr>
          </w:p>
        </w:tc>
      </w:tr>
      <w:tr w14:paraId="5E86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17454496">
            <w:pPr>
              <w:ind w:firstLine="34"/>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364" w:type="dxa"/>
            <w:vAlign w:val="center"/>
          </w:tcPr>
          <w:p w14:paraId="73A67954">
            <w:pPr>
              <w:ind w:firstLine="34"/>
              <w:rPr>
                <w:rFonts w:hint="eastAsia" w:ascii="宋体" w:hAnsi="宋体" w:eastAsia="宋体" w:cs="宋体"/>
                <w:color w:val="auto"/>
                <w:highlight w:val="none"/>
              </w:rPr>
            </w:pPr>
          </w:p>
        </w:tc>
        <w:tc>
          <w:tcPr>
            <w:tcW w:w="4760" w:type="dxa"/>
            <w:vAlign w:val="center"/>
          </w:tcPr>
          <w:p w14:paraId="7319CF15">
            <w:pPr>
              <w:ind w:firstLine="34"/>
              <w:rPr>
                <w:rFonts w:hint="eastAsia" w:ascii="宋体" w:hAnsi="宋体" w:eastAsia="宋体" w:cs="宋体"/>
                <w:color w:val="auto"/>
                <w:highlight w:val="none"/>
              </w:rPr>
            </w:pPr>
          </w:p>
        </w:tc>
        <w:tc>
          <w:tcPr>
            <w:tcW w:w="897" w:type="dxa"/>
            <w:vAlign w:val="center"/>
          </w:tcPr>
          <w:p w14:paraId="6422985E">
            <w:pPr>
              <w:ind w:firstLine="34"/>
              <w:rPr>
                <w:rFonts w:hint="eastAsia" w:ascii="宋体" w:hAnsi="宋体" w:eastAsia="宋体" w:cs="宋体"/>
                <w:color w:val="auto"/>
                <w:highlight w:val="none"/>
              </w:rPr>
            </w:pPr>
          </w:p>
        </w:tc>
      </w:tr>
      <w:tr w14:paraId="63270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3AD075B4">
            <w:pPr>
              <w:ind w:firstLine="34"/>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364" w:type="dxa"/>
            <w:vAlign w:val="center"/>
          </w:tcPr>
          <w:p w14:paraId="5E8FD053">
            <w:pPr>
              <w:ind w:firstLine="34"/>
              <w:rPr>
                <w:rFonts w:hint="eastAsia" w:ascii="宋体" w:hAnsi="宋体" w:eastAsia="宋体" w:cs="宋体"/>
                <w:color w:val="auto"/>
                <w:highlight w:val="none"/>
              </w:rPr>
            </w:pPr>
          </w:p>
        </w:tc>
        <w:tc>
          <w:tcPr>
            <w:tcW w:w="4760" w:type="dxa"/>
            <w:vAlign w:val="center"/>
          </w:tcPr>
          <w:p w14:paraId="48C2C87A">
            <w:pPr>
              <w:ind w:firstLine="34"/>
              <w:rPr>
                <w:rFonts w:hint="eastAsia" w:ascii="宋体" w:hAnsi="宋体" w:eastAsia="宋体" w:cs="宋体"/>
                <w:color w:val="auto"/>
                <w:highlight w:val="none"/>
              </w:rPr>
            </w:pPr>
          </w:p>
        </w:tc>
        <w:tc>
          <w:tcPr>
            <w:tcW w:w="897" w:type="dxa"/>
            <w:vAlign w:val="center"/>
          </w:tcPr>
          <w:p w14:paraId="49510D40">
            <w:pPr>
              <w:ind w:firstLine="34"/>
              <w:rPr>
                <w:rFonts w:hint="eastAsia" w:ascii="宋体" w:hAnsi="宋体" w:eastAsia="宋体" w:cs="宋体"/>
                <w:color w:val="auto"/>
                <w:highlight w:val="none"/>
              </w:rPr>
            </w:pPr>
          </w:p>
        </w:tc>
      </w:tr>
      <w:tr w14:paraId="226E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2F66F9F6">
            <w:pPr>
              <w:ind w:firstLine="34"/>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364" w:type="dxa"/>
            <w:vAlign w:val="center"/>
          </w:tcPr>
          <w:p w14:paraId="2F6291A9">
            <w:pPr>
              <w:ind w:firstLine="34"/>
              <w:rPr>
                <w:rFonts w:hint="eastAsia" w:ascii="宋体" w:hAnsi="宋体" w:eastAsia="宋体" w:cs="宋体"/>
                <w:color w:val="auto"/>
                <w:highlight w:val="none"/>
              </w:rPr>
            </w:pPr>
          </w:p>
        </w:tc>
        <w:tc>
          <w:tcPr>
            <w:tcW w:w="4760" w:type="dxa"/>
            <w:vAlign w:val="center"/>
          </w:tcPr>
          <w:p w14:paraId="35214F49">
            <w:pPr>
              <w:ind w:firstLine="34"/>
              <w:rPr>
                <w:rFonts w:hint="eastAsia" w:ascii="宋体" w:hAnsi="宋体" w:eastAsia="宋体" w:cs="宋体"/>
                <w:color w:val="auto"/>
                <w:highlight w:val="none"/>
              </w:rPr>
            </w:pPr>
          </w:p>
        </w:tc>
        <w:tc>
          <w:tcPr>
            <w:tcW w:w="897" w:type="dxa"/>
            <w:vAlign w:val="center"/>
          </w:tcPr>
          <w:p w14:paraId="63B892EB">
            <w:pPr>
              <w:ind w:firstLine="34"/>
              <w:rPr>
                <w:rFonts w:hint="eastAsia" w:ascii="宋体" w:hAnsi="宋体" w:eastAsia="宋体" w:cs="宋体"/>
                <w:color w:val="auto"/>
                <w:highlight w:val="none"/>
              </w:rPr>
            </w:pPr>
          </w:p>
        </w:tc>
      </w:tr>
      <w:tr w14:paraId="686C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6019616D">
            <w:pPr>
              <w:ind w:firstLine="34"/>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364" w:type="dxa"/>
            <w:vAlign w:val="center"/>
          </w:tcPr>
          <w:p w14:paraId="4876C4C6">
            <w:pPr>
              <w:ind w:firstLine="34"/>
              <w:rPr>
                <w:rFonts w:hint="eastAsia" w:ascii="宋体" w:hAnsi="宋体" w:eastAsia="宋体" w:cs="宋体"/>
                <w:color w:val="auto"/>
                <w:highlight w:val="none"/>
              </w:rPr>
            </w:pPr>
          </w:p>
        </w:tc>
        <w:tc>
          <w:tcPr>
            <w:tcW w:w="4760" w:type="dxa"/>
            <w:vAlign w:val="center"/>
          </w:tcPr>
          <w:p w14:paraId="77886D37">
            <w:pPr>
              <w:ind w:firstLine="34"/>
              <w:rPr>
                <w:rFonts w:hint="eastAsia" w:ascii="宋体" w:hAnsi="宋体" w:eastAsia="宋体" w:cs="宋体"/>
                <w:color w:val="auto"/>
                <w:highlight w:val="none"/>
              </w:rPr>
            </w:pPr>
          </w:p>
        </w:tc>
        <w:tc>
          <w:tcPr>
            <w:tcW w:w="897" w:type="dxa"/>
            <w:vAlign w:val="center"/>
          </w:tcPr>
          <w:p w14:paraId="66C0D994">
            <w:pPr>
              <w:ind w:firstLine="34"/>
              <w:rPr>
                <w:rFonts w:hint="eastAsia" w:ascii="宋体" w:hAnsi="宋体" w:eastAsia="宋体" w:cs="宋体"/>
                <w:color w:val="auto"/>
                <w:highlight w:val="none"/>
              </w:rPr>
            </w:pPr>
          </w:p>
        </w:tc>
      </w:tr>
      <w:tr w14:paraId="22BE5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639D3F57">
            <w:pPr>
              <w:ind w:firstLine="34"/>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3364" w:type="dxa"/>
            <w:vAlign w:val="center"/>
          </w:tcPr>
          <w:p w14:paraId="5CD741C4">
            <w:pPr>
              <w:ind w:firstLine="34"/>
              <w:rPr>
                <w:rFonts w:hint="eastAsia" w:ascii="宋体" w:hAnsi="宋体" w:eastAsia="宋体" w:cs="宋体"/>
                <w:color w:val="auto"/>
                <w:highlight w:val="none"/>
              </w:rPr>
            </w:pPr>
          </w:p>
        </w:tc>
        <w:tc>
          <w:tcPr>
            <w:tcW w:w="4760" w:type="dxa"/>
            <w:vAlign w:val="center"/>
          </w:tcPr>
          <w:p w14:paraId="7F872D9D">
            <w:pPr>
              <w:ind w:firstLine="34"/>
              <w:rPr>
                <w:rFonts w:hint="eastAsia" w:ascii="宋体" w:hAnsi="宋体" w:eastAsia="宋体" w:cs="宋体"/>
                <w:color w:val="auto"/>
                <w:highlight w:val="none"/>
              </w:rPr>
            </w:pPr>
          </w:p>
        </w:tc>
        <w:tc>
          <w:tcPr>
            <w:tcW w:w="897" w:type="dxa"/>
            <w:vAlign w:val="center"/>
          </w:tcPr>
          <w:p w14:paraId="2528CE6B">
            <w:pPr>
              <w:ind w:firstLine="34"/>
              <w:rPr>
                <w:rFonts w:hint="eastAsia" w:ascii="宋体" w:hAnsi="宋体" w:eastAsia="宋体" w:cs="宋体"/>
                <w:color w:val="auto"/>
                <w:highlight w:val="none"/>
              </w:rPr>
            </w:pPr>
          </w:p>
        </w:tc>
      </w:tr>
      <w:tr w14:paraId="446E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2F3E3DAE">
            <w:pPr>
              <w:ind w:firstLine="34"/>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3364" w:type="dxa"/>
            <w:vAlign w:val="center"/>
          </w:tcPr>
          <w:p w14:paraId="5EC78888">
            <w:pPr>
              <w:ind w:firstLine="34"/>
              <w:rPr>
                <w:rFonts w:hint="eastAsia" w:ascii="宋体" w:hAnsi="宋体" w:eastAsia="宋体" w:cs="宋体"/>
                <w:color w:val="auto"/>
                <w:highlight w:val="none"/>
              </w:rPr>
            </w:pPr>
          </w:p>
        </w:tc>
        <w:tc>
          <w:tcPr>
            <w:tcW w:w="4760" w:type="dxa"/>
            <w:vAlign w:val="center"/>
          </w:tcPr>
          <w:p w14:paraId="4660276A">
            <w:pPr>
              <w:ind w:firstLine="34"/>
              <w:rPr>
                <w:rFonts w:hint="eastAsia" w:ascii="宋体" w:hAnsi="宋体" w:eastAsia="宋体" w:cs="宋体"/>
                <w:color w:val="auto"/>
                <w:highlight w:val="none"/>
              </w:rPr>
            </w:pPr>
          </w:p>
        </w:tc>
        <w:tc>
          <w:tcPr>
            <w:tcW w:w="897" w:type="dxa"/>
            <w:vAlign w:val="center"/>
          </w:tcPr>
          <w:p w14:paraId="705B07F5">
            <w:pPr>
              <w:ind w:firstLine="34"/>
              <w:rPr>
                <w:rFonts w:hint="eastAsia" w:ascii="宋体" w:hAnsi="宋体" w:eastAsia="宋体" w:cs="宋体"/>
                <w:color w:val="auto"/>
                <w:highlight w:val="none"/>
              </w:rPr>
            </w:pPr>
          </w:p>
        </w:tc>
      </w:tr>
      <w:tr w14:paraId="785D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34194B3E">
            <w:pPr>
              <w:ind w:firstLine="34"/>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3364" w:type="dxa"/>
            <w:vAlign w:val="center"/>
          </w:tcPr>
          <w:p w14:paraId="3A418295">
            <w:pPr>
              <w:ind w:firstLine="34"/>
              <w:rPr>
                <w:rFonts w:hint="eastAsia" w:ascii="宋体" w:hAnsi="宋体" w:eastAsia="宋体" w:cs="宋体"/>
                <w:color w:val="auto"/>
                <w:highlight w:val="none"/>
              </w:rPr>
            </w:pPr>
          </w:p>
        </w:tc>
        <w:tc>
          <w:tcPr>
            <w:tcW w:w="4760" w:type="dxa"/>
            <w:vAlign w:val="center"/>
          </w:tcPr>
          <w:p w14:paraId="14C72018">
            <w:pPr>
              <w:ind w:firstLine="34"/>
              <w:rPr>
                <w:rFonts w:hint="eastAsia" w:ascii="宋体" w:hAnsi="宋体" w:eastAsia="宋体" w:cs="宋体"/>
                <w:color w:val="auto"/>
                <w:highlight w:val="none"/>
              </w:rPr>
            </w:pPr>
          </w:p>
        </w:tc>
        <w:tc>
          <w:tcPr>
            <w:tcW w:w="897" w:type="dxa"/>
            <w:vAlign w:val="center"/>
          </w:tcPr>
          <w:p w14:paraId="35C9A094">
            <w:pPr>
              <w:ind w:firstLine="34"/>
              <w:rPr>
                <w:rFonts w:hint="eastAsia" w:ascii="宋体" w:hAnsi="宋体" w:eastAsia="宋体" w:cs="宋体"/>
                <w:color w:val="auto"/>
                <w:highlight w:val="none"/>
              </w:rPr>
            </w:pPr>
          </w:p>
        </w:tc>
      </w:tr>
      <w:tr w14:paraId="75479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0C88E666">
            <w:pPr>
              <w:ind w:firstLine="34"/>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3364" w:type="dxa"/>
            <w:vAlign w:val="center"/>
          </w:tcPr>
          <w:p w14:paraId="327CC979">
            <w:pPr>
              <w:ind w:firstLine="34"/>
              <w:rPr>
                <w:rFonts w:hint="eastAsia" w:ascii="宋体" w:hAnsi="宋体" w:eastAsia="宋体" w:cs="宋体"/>
                <w:color w:val="auto"/>
                <w:highlight w:val="none"/>
              </w:rPr>
            </w:pPr>
          </w:p>
        </w:tc>
        <w:tc>
          <w:tcPr>
            <w:tcW w:w="4760" w:type="dxa"/>
            <w:vAlign w:val="center"/>
          </w:tcPr>
          <w:p w14:paraId="7852B72C">
            <w:pPr>
              <w:ind w:firstLine="34"/>
              <w:rPr>
                <w:rFonts w:hint="eastAsia" w:ascii="宋体" w:hAnsi="宋体" w:eastAsia="宋体" w:cs="宋体"/>
                <w:color w:val="auto"/>
                <w:highlight w:val="none"/>
              </w:rPr>
            </w:pPr>
          </w:p>
        </w:tc>
        <w:tc>
          <w:tcPr>
            <w:tcW w:w="897" w:type="dxa"/>
            <w:vAlign w:val="center"/>
          </w:tcPr>
          <w:p w14:paraId="3CB142AC">
            <w:pPr>
              <w:ind w:firstLine="34"/>
              <w:rPr>
                <w:rFonts w:hint="eastAsia" w:ascii="宋体" w:hAnsi="宋体" w:eastAsia="宋体" w:cs="宋体"/>
                <w:color w:val="auto"/>
                <w:highlight w:val="none"/>
              </w:rPr>
            </w:pPr>
          </w:p>
        </w:tc>
      </w:tr>
      <w:tr w14:paraId="36ED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58EF58A2">
            <w:pPr>
              <w:ind w:firstLine="34"/>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3364" w:type="dxa"/>
            <w:vAlign w:val="center"/>
          </w:tcPr>
          <w:p w14:paraId="7B2149CD">
            <w:pPr>
              <w:ind w:firstLine="34"/>
              <w:rPr>
                <w:rFonts w:hint="eastAsia" w:ascii="宋体" w:hAnsi="宋体" w:eastAsia="宋体" w:cs="宋体"/>
                <w:color w:val="auto"/>
                <w:highlight w:val="none"/>
              </w:rPr>
            </w:pPr>
          </w:p>
        </w:tc>
        <w:tc>
          <w:tcPr>
            <w:tcW w:w="4760" w:type="dxa"/>
            <w:vAlign w:val="center"/>
          </w:tcPr>
          <w:p w14:paraId="2A8C5284">
            <w:pPr>
              <w:ind w:firstLine="34"/>
              <w:rPr>
                <w:rFonts w:hint="eastAsia" w:ascii="宋体" w:hAnsi="宋体" w:eastAsia="宋体" w:cs="宋体"/>
                <w:color w:val="auto"/>
                <w:highlight w:val="none"/>
              </w:rPr>
            </w:pPr>
          </w:p>
        </w:tc>
        <w:tc>
          <w:tcPr>
            <w:tcW w:w="897" w:type="dxa"/>
            <w:vAlign w:val="center"/>
          </w:tcPr>
          <w:p w14:paraId="7EA85E24">
            <w:pPr>
              <w:ind w:firstLine="34"/>
              <w:rPr>
                <w:rFonts w:hint="eastAsia" w:ascii="宋体" w:hAnsi="宋体" w:eastAsia="宋体" w:cs="宋体"/>
                <w:color w:val="auto"/>
                <w:highlight w:val="none"/>
              </w:rPr>
            </w:pPr>
          </w:p>
        </w:tc>
      </w:tr>
      <w:tr w14:paraId="30C3E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97" w:type="dxa"/>
            <w:vAlign w:val="center"/>
          </w:tcPr>
          <w:p w14:paraId="52D7D2B7">
            <w:pPr>
              <w:ind w:firstLine="34"/>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3364" w:type="dxa"/>
            <w:vAlign w:val="center"/>
          </w:tcPr>
          <w:p w14:paraId="0E52A71E">
            <w:pPr>
              <w:ind w:firstLine="34"/>
              <w:rPr>
                <w:rFonts w:hint="eastAsia" w:ascii="宋体" w:hAnsi="宋体" w:eastAsia="宋体" w:cs="宋体"/>
                <w:color w:val="auto"/>
                <w:highlight w:val="none"/>
              </w:rPr>
            </w:pPr>
          </w:p>
        </w:tc>
        <w:tc>
          <w:tcPr>
            <w:tcW w:w="4760" w:type="dxa"/>
            <w:vAlign w:val="center"/>
          </w:tcPr>
          <w:p w14:paraId="0FA0782C">
            <w:pPr>
              <w:ind w:firstLine="34"/>
              <w:rPr>
                <w:rFonts w:hint="eastAsia" w:ascii="宋体" w:hAnsi="宋体" w:eastAsia="宋体" w:cs="宋体"/>
                <w:color w:val="auto"/>
                <w:highlight w:val="none"/>
              </w:rPr>
            </w:pPr>
          </w:p>
        </w:tc>
        <w:tc>
          <w:tcPr>
            <w:tcW w:w="897" w:type="dxa"/>
            <w:vAlign w:val="center"/>
          </w:tcPr>
          <w:p w14:paraId="12CF7694">
            <w:pPr>
              <w:ind w:firstLine="34"/>
              <w:rPr>
                <w:rFonts w:hint="eastAsia" w:ascii="宋体" w:hAnsi="宋体" w:eastAsia="宋体" w:cs="宋体"/>
                <w:color w:val="auto"/>
                <w:highlight w:val="none"/>
              </w:rPr>
            </w:pPr>
          </w:p>
        </w:tc>
      </w:tr>
      <w:tr w14:paraId="235B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97" w:type="dxa"/>
            <w:vAlign w:val="center"/>
          </w:tcPr>
          <w:p w14:paraId="76472BAA">
            <w:pPr>
              <w:ind w:firstLine="34"/>
              <w:rPr>
                <w:rFonts w:hint="eastAsia" w:ascii="宋体" w:hAnsi="宋体" w:eastAsia="宋体" w:cs="宋体"/>
                <w:color w:val="auto"/>
                <w:highlight w:val="none"/>
              </w:rPr>
            </w:pPr>
          </w:p>
        </w:tc>
        <w:tc>
          <w:tcPr>
            <w:tcW w:w="3364" w:type="dxa"/>
            <w:vAlign w:val="center"/>
          </w:tcPr>
          <w:p w14:paraId="51960214">
            <w:pPr>
              <w:ind w:firstLine="34"/>
              <w:rPr>
                <w:rFonts w:hint="eastAsia" w:ascii="宋体" w:hAnsi="宋体" w:eastAsia="宋体" w:cs="宋体"/>
                <w:color w:val="auto"/>
                <w:highlight w:val="none"/>
              </w:rPr>
            </w:pPr>
          </w:p>
        </w:tc>
        <w:tc>
          <w:tcPr>
            <w:tcW w:w="4760" w:type="dxa"/>
            <w:vAlign w:val="center"/>
          </w:tcPr>
          <w:p w14:paraId="28B69C7D">
            <w:pPr>
              <w:ind w:firstLine="34"/>
              <w:rPr>
                <w:rFonts w:hint="eastAsia" w:ascii="宋体" w:hAnsi="宋体" w:eastAsia="宋体" w:cs="宋体"/>
                <w:color w:val="auto"/>
                <w:highlight w:val="none"/>
              </w:rPr>
            </w:pPr>
          </w:p>
        </w:tc>
        <w:tc>
          <w:tcPr>
            <w:tcW w:w="897" w:type="dxa"/>
            <w:vAlign w:val="center"/>
          </w:tcPr>
          <w:p w14:paraId="2612E0DC">
            <w:pPr>
              <w:ind w:firstLine="34"/>
              <w:rPr>
                <w:rFonts w:hint="eastAsia" w:ascii="宋体" w:hAnsi="宋体" w:eastAsia="宋体" w:cs="宋体"/>
                <w:color w:val="auto"/>
                <w:highlight w:val="none"/>
              </w:rPr>
            </w:pPr>
          </w:p>
        </w:tc>
      </w:tr>
    </w:tbl>
    <w:p w14:paraId="5D630F68">
      <w:pPr>
        <w:rPr>
          <w:rFonts w:hint="eastAsia" w:ascii="宋体" w:hAnsi="宋体" w:eastAsia="宋体" w:cs="宋体"/>
          <w:color w:val="auto"/>
          <w:highlight w:val="none"/>
        </w:rPr>
      </w:pPr>
    </w:p>
    <w:p w14:paraId="1594D819">
      <w:pPr>
        <w:rPr>
          <w:rFonts w:hint="eastAsia" w:ascii="宋体" w:hAnsi="宋体" w:eastAsia="宋体" w:cs="宋体"/>
          <w:color w:val="auto"/>
          <w:highlight w:val="none"/>
        </w:rPr>
      </w:pPr>
    </w:p>
    <w:p w14:paraId="7A1F9325">
      <w:pPr>
        <w:spacing w:line="440" w:lineRule="exact"/>
        <w:ind w:firstLine="4305" w:firstLineChars="20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 标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61AC8BC3">
      <w:pPr>
        <w:spacing w:line="440" w:lineRule="exact"/>
        <w:ind w:firstLine="4305" w:firstLineChars="20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6DFD737E">
      <w:pPr>
        <w:spacing w:line="440" w:lineRule="exact"/>
        <w:ind w:firstLine="5040" w:firstLineChars="24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2DBEC223">
      <w:pPr>
        <w:spacing w:line="360" w:lineRule="auto"/>
        <w:ind w:firstLine="630" w:firstLineChars="3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备注：1．上表各项条款内容由招标人根据项目标段（包）情况进行填写、编辑、扩充。</w:t>
      </w:r>
    </w:p>
    <w:p w14:paraId="618B95E2">
      <w:pPr>
        <w:spacing w:line="360" w:lineRule="auto"/>
        <w:ind w:firstLine="1260" w:firstLineChars="600"/>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2</w:t>
      </w:r>
      <w:r>
        <w:rPr>
          <w:rFonts w:hint="eastAsia" w:ascii="宋体" w:hAnsi="宋体" w:eastAsia="宋体" w:cs="宋体"/>
          <w:color w:val="auto"/>
          <w:szCs w:val="24"/>
          <w:highlight w:val="none"/>
        </w:rPr>
        <w:t>．上表约定（承诺）内容由投标人填报并签署确认，随投标函一起报送；</w:t>
      </w:r>
    </w:p>
    <w:p w14:paraId="49BD7B18">
      <w:pPr>
        <w:spacing w:line="360" w:lineRule="auto"/>
        <w:ind w:firstLine="630" w:firstLineChars="300"/>
        <w:rPr>
          <w:rFonts w:hint="eastAsia" w:ascii="宋体" w:hAnsi="宋体" w:eastAsia="宋体" w:cs="宋体"/>
          <w:color w:val="auto"/>
          <w:szCs w:val="24"/>
          <w:highlight w:val="none"/>
        </w:rPr>
      </w:pPr>
    </w:p>
    <w:p w14:paraId="1BBEB879">
      <w:pPr>
        <w:spacing w:line="360" w:lineRule="auto"/>
        <w:ind w:firstLine="630" w:firstLineChars="300"/>
        <w:rPr>
          <w:rFonts w:hint="eastAsia" w:ascii="宋体" w:hAnsi="宋体" w:eastAsia="宋体" w:cs="宋体"/>
          <w:color w:val="auto"/>
          <w:szCs w:val="24"/>
          <w:highlight w:val="none"/>
        </w:rPr>
      </w:pPr>
    </w:p>
    <w:p w14:paraId="1AF8C1C9">
      <w:pPr>
        <w:keepNext/>
        <w:keepLines/>
        <w:spacing w:after="120" w:line="500" w:lineRule="exact"/>
        <w:jc w:val="center"/>
        <w:outlineLvl w:val="2"/>
        <w:rPr>
          <w:rFonts w:hint="eastAsia" w:ascii="宋体" w:hAnsi="宋体" w:eastAsia="宋体" w:cs="宋体"/>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br w:type="page"/>
      </w:r>
      <w:bookmarkStart w:id="492" w:name="_Toc655"/>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四</w:t>
      </w:r>
      <w:r>
        <w:rPr>
          <w:rFonts w:hint="eastAsia" w:ascii="宋体" w:hAnsi="宋体" w:eastAsia="宋体" w:cs="宋体"/>
          <w:b/>
          <w:bCs/>
          <w:color w:val="auto"/>
          <w:sz w:val="24"/>
          <w:szCs w:val="24"/>
          <w:highlight w:val="none"/>
          <w:lang w:val="zh-CN" w:eastAsia="zh-CN"/>
        </w:rPr>
        <w:t>）法定代表人身份证明</w:t>
      </w:r>
      <w:bookmarkEnd w:id="492"/>
    </w:p>
    <w:p w14:paraId="538711B9">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p>
    <w:p w14:paraId="2D8F69DE">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单位性质：</w:t>
      </w:r>
      <w:r>
        <w:rPr>
          <w:rFonts w:hint="eastAsia" w:ascii="宋体" w:hAnsi="宋体" w:eastAsia="宋体" w:cs="宋体"/>
          <w:color w:val="auto"/>
          <w:highlight w:val="none"/>
          <w:u w:val="single"/>
        </w:rPr>
        <w:t xml:space="preserve">                                                        </w:t>
      </w:r>
    </w:p>
    <w:p w14:paraId="6F4A20C1">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p>
    <w:p w14:paraId="50536400">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成立时间：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53D32BA">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经营期限：</w:t>
      </w:r>
      <w:r>
        <w:rPr>
          <w:rFonts w:hint="eastAsia" w:ascii="宋体" w:hAnsi="宋体" w:eastAsia="宋体" w:cs="宋体"/>
          <w:color w:val="auto"/>
          <w:highlight w:val="none"/>
          <w:u w:val="single"/>
        </w:rPr>
        <w:t xml:space="preserve">                                                        </w:t>
      </w:r>
    </w:p>
    <w:p w14:paraId="78C18601">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性        别：</w:t>
      </w:r>
      <w:r>
        <w:rPr>
          <w:rFonts w:hint="eastAsia" w:ascii="宋体" w:hAnsi="宋体" w:eastAsia="宋体" w:cs="宋体"/>
          <w:color w:val="auto"/>
          <w:highlight w:val="none"/>
          <w:u w:val="single"/>
        </w:rPr>
        <w:t xml:space="preserve">                </w:t>
      </w:r>
    </w:p>
    <w:p w14:paraId="716BE17E">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年    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职        务：</w:t>
      </w:r>
      <w:r>
        <w:rPr>
          <w:rFonts w:hint="eastAsia" w:ascii="宋体" w:hAnsi="宋体" w:eastAsia="宋体" w:cs="宋体"/>
          <w:color w:val="auto"/>
          <w:highlight w:val="none"/>
          <w:u w:val="single"/>
        </w:rPr>
        <w:t xml:space="preserve">                </w:t>
      </w:r>
    </w:p>
    <w:p w14:paraId="1AEB8C34">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（投标人名称）的法定代表人。</w:t>
      </w:r>
    </w:p>
    <w:p w14:paraId="0C3E1A81">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77754F6F">
      <w:pPr>
        <w:spacing w:line="276" w:lineRule="auto"/>
        <w:rPr>
          <w:rFonts w:hint="eastAsia" w:ascii="宋体" w:hAnsi="宋体" w:eastAsia="宋体" w:cs="宋体"/>
          <w:color w:val="auto"/>
          <w:highlight w:val="none"/>
        </w:rPr>
      </w:pPr>
    </w:p>
    <w:p w14:paraId="7DD0924B">
      <w:pPr>
        <w:spacing w:line="276" w:lineRule="auto"/>
        <w:rPr>
          <w:rFonts w:hint="eastAsia" w:ascii="宋体" w:hAnsi="宋体" w:eastAsia="宋体" w:cs="宋体"/>
          <w:color w:val="auto"/>
          <w:highlight w:val="none"/>
        </w:rPr>
      </w:pPr>
    </w:p>
    <w:p w14:paraId="3255C7BE">
      <w:pPr>
        <w:spacing w:line="276"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64FB371A">
      <w:pPr>
        <w:spacing w:line="276" w:lineRule="auto"/>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p>
    <w:p w14:paraId="59EDE7CA">
      <w:pPr>
        <w:rPr>
          <w:rFonts w:hint="eastAsia" w:ascii="宋体" w:hAnsi="宋体" w:eastAsia="宋体" w:cs="宋体"/>
          <w:color w:val="auto"/>
          <w:highlight w:val="none"/>
        </w:rPr>
      </w:pPr>
    </w:p>
    <w:p w14:paraId="21ACDB7C">
      <w:pPr>
        <w:rPr>
          <w:rFonts w:hint="eastAsia" w:ascii="宋体" w:hAnsi="宋体" w:eastAsia="宋体" w:cs="宋体"/>
          <w:color w:val="auto"/>
          <w:highlight w:val="none"/>
        </w:rPr>
      </w:pPr>
    </w:p>
    <w:p w14:paraId="69EE5865">
      <w:pPr>
        <w:rPr>
          <w:rFonts w:hint="eastAsia" w:ascii="宋体" w:hAnsi="宋体" w:eastAsia="宋体" w:cs="宋体"/>
          <w:color w:val="auto"/>
          <w:highlight w:val="none"/>
        </w:rPr>
      </w:pPr>
    </w:p>
    <w:p w14:paraId="0880C723">
      <w:pPr>
        <w:rPr>
          <w:rFonts w:hint="eastAsia" w:ascii="宋体" w:hAnsi="宋体" w:eastAsia="宋体" w:cs="宋体"/>
          <w:color w:val="auto"/>
          <w:highlight w:val="none"/>
        </w:rPr>
      </w:pPr>
    </w:p>
    <w:p w14:paraId="00CB6B64">
      <w:pPr>
        <w:rPr>
          <w:rFonts w:hint="eastAsia" w:ascii="宋体" w:hAnsi="宋体" w:eastAsia="宋体" w:cs="宋体"/>
          <w:color w:val="auto"/>
          <w:highlight w:val="none"/>
        </w:rPr>
      </w:pPr>
    </w:p>
    <w:p w14:paraId="4BD0ACC6">
      <w:pPr>
        <w:rPr>
          <w:rFonts w:hint="eastAsia" w:ascii="宋体" w:hAnsi="宋体" w:eastAsia="宋体" w:cs="宋体"/>
          <w:color w:val="auto"/>
          <w:highlight w:val="none"/>
        </w:rPr>
      </w:pPr>
    </w:p>
    <w:p w14:paraId="057A3DCA">
      <w:pPr>
        <w:rPr>
          <w:rFonts w:hint="eastAsia" w:ascii="宋体" w:hAnsi="宋体" w:eastAsia="宋体" w:cs="宋体"/>
          <w:color w:val="auto"/>
          <w:highlight w:val="none"/>
        </w:rPr>
      </w:pPr>
      <w:r>
        <w:rPr>
          <w:rFonts w:hint="eastAsia" w:ascii="宋体" w:hAnsi="宋体" w:eastAsia="宋体" w:cs="宋体"/>
          <w:color w:val="auto"/>
          <w:highlight w:val="none"/>
        </w:rPr>
        <w:t>备注:附法定代表人身份证复印件</w:t>
      </w:r>
    </w:p>
    <w:p w14:paraId="703AE0B1">
      <w:pPr>
        <w:rPr>
          <w:rFonts w:hint="eastAsia" w:ascii="宋体" w:hAnsi="宋体" w:eastAsia="宋体" w:cs="宋体"/>
          <w:color w:val="auto"/>
          <w:highlight w:val="none"/>
        </w:rPr>
      </w:pPr>
    </w:p>
    <w:p w14:paraId="62F136B9">
      <w:pPr>
        <w:rPr>
          <w:rFonts w:hint="eastAsia" w:ascii="宋体" w:hAnsi="宋体" w:eastAsia="宋体" w:cs="宋体"/>
          <w:color w:val="auto"/>
          <w:highlight w:val="none"/>
        </w:rPr>
      </w:pPr>
    </w:p>
    <w:p w14:paraId="6D2BC514">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br w:type="page"/>
      </w:r>
      <w:bookmarkStart w:id="493" w:name="_Toc11364"/>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五</w:t>
      </w:r>
      <w:r>
        <w:rPr>
          <w:rFonts w:hint="eastAsia" w:ascii="宋体" w:hAnsi="宋体" w:eastAsia="宋体" w:cs="宋体"/>
          <w:b/>
          <w:bCs/>
          <w:color w:val="auto"/>
          <w:sz w:val="24"/>
          <w:szCs w:val="24"/>
          <w:highlight w:val="none"/>
          <w:lang w:val="zh-CN" w:eastAsia="zh-CN"/>
        </w:rPr>
        <w:t>）联合体协议书（如有）</w:t>
      </w:r>
      <w:bookmarkEnd w:id="493"/>
    </w:p>
    <w:p w14:paraId="6565CBFD">
      <w:pPr>
        <w:rPr>
          <w:rFonts w:hint="eastAsia" w:ascii="宋体" w:hAnsi="宋体" w:eastAsia="宋体" w:cs="宋体"/>
          <w:color w:val="auto"/>
          <w:highlight w:val="none"/>
        </w:rPr>
      </w:pPr>
      <w:r>
        <w:rPr>
          <w:rFonts w:hint="eastAsia" w:ascii="宋体" w:hAnsi="宋体" w:eastAsia="宋体" w:cs="宋体"/>
          <w:color w:val="auto"/>
          <w:highlight w:val="none"/>
        </w:rPr>
        <w:t>牵头人名称：</w:t>
      </w:r>
      <w:r>
        <w:rPr>
          <w:rFonts w:hint="eastAsia" w:ascii="宋体" w:hAnsi="宋体" w:eastAsia="宋体" w:cs="宋体"/>
          <w:color w:val="auto"/>
          <w:highlight w:val="none"/>
          <w:u w:val="single"/>
        </w:rPr>
        <w:t xml:space="preserve">                                                  </w:t>
      </w:r>
    </w:p>
    <w:p w14:paraId="15AFEC99">
      <w:pPr>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p>
    <w:p w14:paraId="18C6FF5D">
      <w:pPr>
        <w:rPr>
          <w:rFonts w:hint="eastAsia" w:ascii="宋体" w:hAnsi="宋体" w:eastAsia="宋体" w:cs="宋体"/>
          <w:color w:val="auto"/>
          <w:highlight w:val="none"/>
        </w:rPr>
      </w:pPr>
      <w:r>
        <w:rPr>
          <w:rFonts w:hint="eastAsia" w:ascii="宋体" w:hAnsi="宋体" w:eastAsia="宋体" w:cs="宋体"/>
          <w:color w:val="auto"/>
          <w:highlight w:val="none"/>
        </w:rPr>
        <w:t>法定住所：</w:t>
      </w:r>
      <w:r>
        <w:rPr>
          <w:rFonts w:hint="eastAsia" w:ascii="宋体" w:hAnsi="宋体" w:eastAsia="宋体" w:cs="宋体"/>
          <w:color w:val="auto"/>
          <w:highlight w:val="none"/>
          <w:u w:val="single"/>
        </w:rPr>
        <w:t xml:space="preserve">                                                    </w:t>
      </w:r>
    </w:p>
    <w:p w14:paraId="27B627FC">
      <w:pPr>
        <w:rPr>
          <w:rFonts w:hint="eastAsia" w:ascii="宋体" w:hAnsi="宋体" w:eastAsia="宋体" w:cs="宋体"/>
          <w:color w:val="auto"/>
          <w:highlight w:val="none"/>
        </w:rPr>
      </w:pPr>
    </w:p>
    <w:p w14:paraId="067B11D9">
      <w:pPr>
        <w:rPr>
          <w:rFonts w:hint="eastAsia" w:ascii="宋体" w:hAnsi="宋体" w:eastAsia="宋体" w:cs="宋体"/>
          <w:color w:val="auto"/>
          <w:highlight w:val="none"/>
        </w:rPr>
      </w:pPr>
      <w:r>
        <w:rPr>
          <w:rFonts w:hint="eastAsia" w:ascii="宋体" w:hAnsi="宋体" w:eastAsia="宋体" w:cs="宋体"/>
          <w:color w:val="auto"/>
          <w:highlight w:val="none"/>
        </w:rPr>
        <w:t>成员二名称：</w:t>
      </w:r>
      <w:r>
        <w:rPr>
          <w:rFonts w:hint="eastAsia" w:ascii="宋体" w:hAnsi="宋体" w:eastAsia="宋体" w:cs="宋体"/>
          <w:color w:val="auto"/>
          <w:highlight w:val="none"/>
          <w:u w:val="single"/>
        </w:rPr>
        <w:t xml:space="preserve">                                                  </w:t>
      </w:r>
    </w:p>
    <w:p w14:paraId="47BA37EA">
      <w:pPr>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p>
    <w:p w14:paraId="26462735">
      <w:pPr>
        <w:rPr>
          <w:rFonts w:hint="eastAsia" w:ascii="宋体" w:hAnsi="宋体" w:eastAsia="宋体" w:cs="宋体"/>
          <w:color w:val="auto"/>
          <w:highlight w:val="none"/>
        </w:rPr>
      </w:pPr>
      <w:r>
        <w:rPr>
          <w:rFonts w:hint="eastAsia" w:ascii="宋体" w:hAnsi="宋体" w:eastAsia="宋体" w:cs="宋体"/>
          <w:color w:val="auto"/>
          <w:highlight w:val="none"/>
        </w:rPr>
        <w:t>法定住所：</w:t>
      </w:r>
      <w:r>
        <w:rPr>
          <w:rFonts w:hint="eastAsia" w:ascii="宋体" w:hAnsi="宋体" w:eastAsia="宋体" w:cs="宋体"/>
          <w:color w:val="auto"/>
          <w:highlight w:val="none"/>
          <w:u w:val="single"/>
        </w:rPr>
        <w:t xml:space="preserve">                                                    </w:t>
      </w:r>
    </w:p>
    <w:p w14:paraId="71EBFF52">
      <w:pPr>
        <w:rPr>
          <w:rFonts w:hint="eastAsia" w:ascii="宋体" w:hAnsi="宋体" w:eastAsia="宋体" w:cs="宋体"/>
          <w:color w:val="auto"/>
          <w:highlight w:val="none"/>
        </w:rPr>
      </w:pPr>
      <w:r>
        <w:rPr>
          <w:rFonts w:hint="eastAsia" w:ascii="宋体" w:hAnsi="宋体" w:eastAsia="宋体" w:cs="宋体"/>
          <w:color w:val="auto"/>
          <w:highlight w:val="none"/>
        </w:rPr>
        <w:t>……</w:t>
      </w:r>
    </w:p>
    <w:p w14:paraId="192F44D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鉴于上述各成员单位经过友好协商，自愿组成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（联合体名称）联合体，共同参加</w:t>
      </w:r>
    </w:p>
    <w:p w14:paraId="4953FDCD">
      <w:pPr>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（招标人名称）（以下简称招标人）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标段/包（以下简称本工程）的投标并争取赢得本工程承包合同（以下简称合同）。现就联合体投标事宜订立如下协议：</w:t>
      </w:r>
    </w:p>
    <w:p w14:paraId="5E2B7924">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（某成员单位名称）为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（联合体名称）牵头人。</w:t>
      </w:r>
    </w:p>
    <w:p w14:paraId="18AD0297">
      <w:pPr>
        <w:rPr>
          <w:rFonts w:hint="eastAsia" w:ascii="宋体" w:hAnsi="宋体" w:eastAsia="宋体" w:cs="宋体"/>
          <w:color w:val="auto"/>
          <w:highlight w:val="none"/>
        </w:rPr>
      </w:pPr>
      <w:r>
        <w:rPr>
          <w:rFonts w:hint="eastAsia" w:ascii="宋体" w:hAnsi="宋体" w:eastAsia="宋体" w:cs="宋体"/>
          <w:color w:val="auto"/>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5A3E723B">
      <w:pPr>
        <w:rPr>
          <w:rFonts w:hint="eastAsia" w:ascii="宋体" w:hAnsi="宋体" w:eastAsia="宋体" w:cs="宋体"/>
          <w:color w:val="auto"/>
          <w:highlight w:val="none"/>
        </w:rPr>
      </w:pPr>
      <w:r>
        <w:rPr>
          <w:rFonts w:hint="eastAsia" w:ascii="宋体" w:hAnsi="宋体" w:eastAsia="宋体" w:cs="宋体"/>
          <w:color w:val="auto"/>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1F32D909">
      <w:pPr>
        <w:spacing w:line="394"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4．联合体各成员单位内部的职责分工如下：</w:t>
      </w:r>
      <w:r>
        <w:rPr>
          <w:rFonts w:hint="eastAsia" w:ascii="宋体" w:hAnsi="宋体" w:eastAsia="宋体" w:cs="宋体"/>
          <w:color w:val="auto"/>
          <w:szCs w:val="21"/>
          <w:highlight w:val="none"/>
          <w:u w:val="single"/>
        </w:rPr>
        <w:t xml:space="preserve">                                                  </w:t>
      </w:r>
    </w:p>
    <w:p w14:paraId="28FD7B34">
      <w:pPr>
        <w:spacing w:line="394"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。按照本条上述分工，联合体成员单位各自所承担的合同工作量比例如下：</w:t>
      </w:r>
      <w:r>
        <w:rPr>
          <w:rFonts w:hint="eastAsia" w:ascii="宋体" w:hAnsi="宋体" w:eastAsia="宋体" w:cs="宋体"/>
          <w:color w:val="auto"/>
          <w:szCs w:val="21"/>
          <w:highlight w:val="none"/>
          <w:u w:val="single"/>
        </w:rPr>
        <w:t xml:space="preserve">                                         </w:t>
      </w:r>
    </w:p>
    <w:p w14:paraId="57E5136F">
      <w:pPr>
        <w:spacing w:line="394"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001EECE">
      <w:pPr>
        <w:spacing w:line="394"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5．投标工作和联合体在中标后工程实施过程中的有关费用按各自承担的工作量分摊。</w:t>
      </w:r>
    </w:p>
    <w:p w14:paraId="4538858C">
      <w:pPr>
        <w:spacing w:line="394"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6．联合体中标后，本联合体协议是合同的附件，对联合体各成员单位有合同约束力。</w:t>
      </w:r>
    </w:p>
    <w:p w14:paraId="2DC7AFB6">
      <w:pPr>
        <w:spacing w:line="394"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7．本协议书自签署之日起生效，联合体未中标或者中标时合同履行完毕后自动失效。</w:t>
      </w:r>
    </w:p>
    <w:p w14:paraId="34AAC96E">
      <w:pPr>
        <w:spacing w:line="394"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份，联合体成员和招标人各执一份。</w:t>
      </w:r>
    </w:p>
    <w:p w14:paraId="26243CA9">
      <w:pPr>
        <w:spacing w:line="394" w:lineRule="exact"/>
        <w:ind w:firstLine="1785" w:firstLineChars="85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62831FFF">
      <w:pPr>
        <w:spacing w:line="394" w:lineRule="exact"/>
        <w:ind w:firstLine="1785" w:firstLineChars="85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56EB37D">
      <w:pPr>
        <w:spacing w:line="394" w:lineRule="exact"/>
        <w:ind w:firstLine="1785" w:firstLineChars="8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14163738">
      <w:pPr>
        <w:spacing w:line="394" w:lineRule="exact"/>
        <w:ind w:firstLine="1785" w:firstLineChars="850"/>
        <w:rPr>
          <w:rFonts w:hint="eastAsia" w:ascii="宋体" w:hAnsi="宋体" w:eastAsia="宋体" w:cs="宋体"/>
          <w:color w:val="auto"/>
          <w:szCs w:val="21"/>
          <w:highlight w:val="none"/>
        </w:rPr>
      </w:pPr>
    </w:p>
    <w:p w14:paraId="3F3A89DD">
      <w:pPr>
        <w:spacing w:line="394" w:lineRule="exact"/>
        <w:ind w:firstLine="1785" w:firstLineChars="8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成员二名称：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17529BC2">
      <w:pPr>
        <w:spacing w:line="394" w:lineRule="exact"/>
        <w:ind w:firstLine="1785" w:firstLineChars="8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45899475">
      <w:pPr>
        <w:spacing w:line="394" w:lineRule="exact"/>
        <w:ind w:firstLine="2100" w:firstLineChars="10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6130FFFC">
      <w:pPr>
        <w:ind w:firstLine="4935" w:firstLineChars="2350"/>
        <w:rPr>
          <w:rFonts w:hint="eastAsia" w:ascii="宋体" w:hAnsi="宋体" w:eastAsia="宋体" w:cs="宋体"/>
          <w:color w:val="auto"/>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r>
        <w:rPr>
          <w:rFonts w:hint="eastAsia" w:ascii="宋体" w:hAnsi="宋体" w:eastAsia="宋体" w:cs="宋体"/>
          <w:color w:val="auto"/>
          <w:highlight w:val="none"/>
        </w:rPr>
        <w:t xml:space="preserve">   </w:t>
      </w:r>
    </w:p>
    <w:p w14:paraId="47980594">
      <w:pPr>
        <w:rPr>
          <w:rFonts w:hint="eastAsia" w:ascii="宋体" w:hAnsi="宋体" w:eastAsia="宋体" w:cs="宋体"/>
          <w:color w:val="auto"/>
          <w:highlight w:val="none"/>
        </w:rPr>
      </w:pPr>
    </w:p>
    <w:p w14:paraId="217C7CC5">
      <w:pPr>
        <w:rPr>
          <w:rFonts w:hint="eastAsia" w:ascii="宋体" w:hAnsi="宋体" w:eastAsia="宋体" w:cs="宋体"/>
          <w:color w:val="auto"/>
          <w:highlight w:val="none"/>
        </w:rPr>
      </w:pPr>
    </w:p>
    <w:p w14:paraId="6DBE94C2">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备注：1.本协议书由委托代理人签章的，应附法定代表人签章的授权委托书。</w:t>
      </w:r>
    </w:p>
    <w:p w14:paraId="28715491">
      <w:pPr>
        <w:spacing w:line="240" w:lineRule="auto"/>
        <w:ind w:left="840" w:leftChars="300" w:hanging="210" w:hangingChars="100"/>
        <w:rPr>
          <w:rFonts w:hint="eastAsia" w:ascii="宋体" w:hAnsi="宋体" w:eastAsia="宋体" w:cs="宋体"/>
          <w:color w:val="auto"/>
          <w:szCs w:val="21"/>
          <w:highlight w:val="none"/>
        </w:rPr>
      </w:pPr>
      <w:r>
        <w:rPr>
          <w:rFonts w:hint="eastAsia" w:ascii="宋体" w:hAnsi="宋体" w:eastAsia="宋体" w:cs="宋体"/>
          <w:color w:val="auto"/>
          <w:highlight w:val="none"/>
        </w:rPr>
        <w:t>2.</w:t>
      </w:r>
      <w:r>
        <w:rPr>
          <w:rFonts w:hint="eastAsia" w:ascii="宋体" w:hAnsi="宋体" w:eastAsia="宋体" w:cs="宋体"/>
          <w:color w:val="auto"/>
          <w:szCs w:val="21"/>
          <w:highlight w:val="none"/>
        </w:rPr>
        <w:t>投标人未采用联合体投标的，</w:t>
      </w:r>
      <w:r>
        <w:rPr>
          <w:rFonts w:hint="eastAsia" w:ascii="宋体" w:hAnsi="宋体" w:eastAsia="宋体" w:cs="宋体"/>
          <w:bCs/>
          <w:color w:val="auto"/>
          <w:szCs w:val="21"/>
          <w:highlight w:val="none"/>
        </w:rPr>
        <w:t>投标文件中不需联合体协议书。</w:t>
      </w:r>
    </w:p>
    <w:p w14:paraId="7F7E67EB">
      <w:pPr>
        <w:spacing w:line="240" w:lineRule="auto"/>
        <w:ind w:left="850" w:leftChars="300" w:hanging="220" w:hangingChars="105"/>
        <w:rPr>
          <w:rFonts w:hint="eastAsia" w:ascii="宋体" w:hAnsi="宋体" w:eastAsia="宋体" w:cs="宋体"/>
          <w:color w:val="auto"/>
          <w:highlight w:val="none"/>
        </w:rPr>
      </w:pPr>
      <w:r>
        <w:rPr>
          <w:rFonts w:hint="eastAsia" w:ascii="宋体" w:hAnsi="宋体" w:eastAsia="宋体" w:cs="宋体"/>
          <w:color w:val="auto"/>
          <w:highlight w:val="none"/>
        </w:rPr>
        <w:t>3.电子投标文件的联合体协议书不采用电子签章；需在完成填写之后，按照要求进行盖章、签字，然后上传该协议书的电子扫描件。</w:t>
      </w:r>
    </w:p>
    <w:p w14:paraId="6F6B3601">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494" w:name="_Toc30409"/>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六</w:t>
      </w:r>
      <w:r>
        <w:rPr>
          <w:rFonts w:hint="eastAsia" w:ascii="宋体" w:hAnsi="宋体" w:eastAsia="宋体" w:cs="宋体"/>
          <w:b/>
          <w:bCs/>
          <w:color w:val="auto"/>
          <w:sz w:val="24"/>
          <w:szCs w:val="24"/>
          <w:highlight w:val="none"/>
          <w:lang w:val="zh-CN" w:eastAsia="zh-CN"/>
        </w:rPr>
        <w:t>）投标保证金（现金形式）</w:t>
      </w:r>
      <w:bookmarkEnd w:id="494"/>
    </w:p>
    <w:p w14:paraId="63256C0E">
      <w:pPr>
        <w:rPr>
          <w:rFonts w:hint="eastAsia" w:ascii="宋体" w:hAnsi="宋体" w:eastAsia="宋体" w:cs="宋体"/>
          <w:color w:val="auto"/>
          <w:highlight w:val="none"/>
        </w:rPr>
      </w:pPr>
    </w:p>
    <w:p w14:paraId="7AD94AD4">
      <w:pPr>
        <w:rPr>
          <w:rFonts w:hint="eastAsia" w:ascii="宋体" w:hAnsi="宋体" w:eastAsia="宋体" w:cs="宋体"/>
          <w:color w:val="auto"/>
          <w:highlight w:val="none"/>
        </w:rPr>
      </w:pPr>
    </w:p>
    <w:p w14:paraId="469DF8D5">
      <w:pPr>
        <w:jc w:val="lef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（招标人名称）：</w:t>
      </w:r>
    </w:p>
    <w:p w14:paraId="27F61DDC">
      <w:pPr>
        <w:jc w:val="left"/>
        <w:rPr>
          <w:rFonts w:hint="eastAsia" w:ascii="宋体" w:hAnsi="宋体" w:eastAsia="宋体" w:cs="宋体"/>
          <w:color w:val="auto"/>
          <w:highlight w:val="none"/>
        </w:rPr>
      </w:pPr>
    </w:p>
    <w:p w14:paraId="5C1988D8">
      <w:pPr>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我方于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日参加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（标段/包）</w:t>
      </w:r>
      <w:r>
        <w:rPr>
          <w:rFonts w:hint="eastAsia" w:ascii="宋体" w:hAnsi="宋体" w:eastAsia="宋体" w:cs="宋体"/>
          <w:color w:val="auto"/>
          <w:highlight w:val="none"/>
        </w:rPr>
        <w:t xml:space="preserve">的投标，我方已按照本项目招标文件的规定提交了金额为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万元的投标保证金，我方承诺出现以下情形时，你方可不予退还我方提交的投标保证金： </w:t>
      </w:r>
    </w:p>
    <w:p w14:paraId="389D569E">
      <w:pPr>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 在规定的投标有效期内撤销或者修改投标文件。 </w:t>
      </w:r>
    </w:p>
    <w:p w14:paraId="24177168">
      <w:pPr>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 在收到中标通知书后，无正当理由拒签合同、在签订合同时向招标人提出附加条件或未按招标文件规定提交履约保证金。 </w:t>
      </w:r>
    </w:p>
    <w:p w14:paraId="55E7D4BA">
      <w:pPr>
        <w:jc w:val="left"/>
        <w:rPr>
          <w:rFonts w:hint="eastAsia" w:ascii="宋体" w:hAnsi="宋体" w:eastAsia="宋体" w:cs="宋体"/>
          <w:color w:val="auto"/>
          <w:highlight w:val="none"/>
        </w:rPr>
      </w:pPr>
    </w:p>
    <w:p w14:paraId="39D00EF7">
      <w:pPr>
        <w:jc w:val="left"/>
        <w:rPr>
          <w:rFonts w:hint="eastAsia" w:ascii="宋体" w:hAnsi="宋体" w:eastAsia="宋体" w:cs="宋体"/>
          <w:color w:val="auto"/>
          <w:highlight w:val="none"/>
        </w:rPr>
      </w:pPr>
    </w:p>
    <w:p w14:paraId="2D9F0A44">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附：《基本账户开户许可证》、银行汇款凭证的复印件。</w:t>
      </w:r>
    </w:p>
    <w:p w14:paraId="77E206E5">
      <w:pPr>
        <w:rPr>
          <w:rFonts w:hint="eastAsia" w:ascii="宋体" w:hAnsi="宋体" w:eastAsia="宋体" w:cs="宋体"/>
          <w:color w:val="auto"/>
          <w:highlight w:val="none"/>
        </w:rPr>
      </w:pPr>
    </w:p>
    <w:p w14:paraId="5CFFF326">
      <w:pPr>
        <w:rPr>
          <w:rFonts w:hint="eastAsia" w:ascii="宋体" w:hAnsi="宋体" w:eastAsia="宋体" w:cs="宋体"/>
          <w:color w:val="auto"/>
          <w:highlight w:val="none"/>
        </w:rPr>
      </w:pPr>
    </w:p>
    <w:p w14:paraId="1F90C4BD">
      <w:pPr>
        <w:rPr>
          <w:rFonts w:hint="eastAsia" w:ascii="宋体" w:hAnsi="宋体" w:eastAsia="宋体" w:cs="宋体"/>
          <w:color w:val="auto"/>
          <w:highlight w:val="none"/>
        </w:rPr>
      </w:pPr>
    </w:p>
    <w:p w14:paraId="2B50DC0D">
      <w:pPr>
        <w:jc w:val="righ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（盖单位章）</w:t>
      </w:r>
    </w:p>
    <w:p w14:paraId="2E5A8320">
      <w:pPr>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（签章）</w:t>
      </w:r>
    </w:p>
    <w:p w14:paraId="7F1CFA56">
      <w:pPr>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EA57BA3">
      <w:pPr>
        <w:rPr>
          <w:rFonts w:hint="eastAsia" w:ascii="宋体" w:hAnsi="宋体" w:eastAsia="宋体" w:cs="宋体"/>
          <w:color w:val="auto"/>
          <w:highlight w:val="none"/>
        </w:rPr>
      </w:pPr>
    </w:p>
    <w:p w14:paraId="3A496576">
      <w:pPr>
        <w:rPr>
          <w:rFonts w:hint="eastAsia" w:ascii="宋体" w:hAnsi="宋体" w:eastAsia="宋体" w:cs="宋体"/>
          <w:color w:val="auto"/>
          <w:highlight w:val="none"/>
        </w:rPr>
      </w:pPr>
    </w:p>
    <w:p w14:paraId="665C1442">
      <w:pPr>
        <w:rPr>
          <w:rFonts w:hint="eastAsia" w:ascii="宋体" w:hAnsi="宋体" w:eastAsia="宋体" w:cs="宋体"/>
          <w:color w:val="auto"/>
          <w:highlight w:val="none"/>
        </w:rPr>
      </w:pPr>
    </w:p>
    <w:p w14:paraId="2204BD06">
      <w:pPr>
        <w:rPr>
          <w:rFonts w:hint="eastAsia" w:ascii="宋体" w:hAnsi="宋体" w:eastAsia="宋体" w:cs="宋体"/>
          <w:color w:val="auto"/>
          <w:highlight w:val="none"/>
        </w:rPr>
      </w:pPr>
    </w:p>
    <w:p w14:paraId="23FD9216">
      <w:pPr>
        <w:spacing w:line="400" w:lineRule="exact"/>
        <w:ind w:left="525" w:hanging="525" w:hangingChars="250"/>
        <w:rPr>
          <w:rFonts w:hint="eastAsia" w:ascii="宋体" w:hAnsi="宋体" w:eastAsia="宋体" w:cs="宋体"/>
          <w:color w:val="auto"/>
          <w:szCs w:val="21"/>
          <w:highlight w:val="none"/>
        </w:rPr>
      </w:pPr>
    </w:p>
    <w:p w14:paraId="4E193EC7">
      <w:pPr>
        <w:spacing w:line="400" w:lineRule="exact"/>
        <w:ind w:left="525" w:hanging="525" w:hangingChars="250"/>
        <w:rPr>
          <w:rFonts w:hint="eastAsia" w:ascii="宋体" w:hAnsi="宋体" w:eastAsia="宋体" w:cs="宋体"/>
          <w:color w:val="auto"/>
          <w:szCs w:val="21"/>
          <w:highlight w:val="none"/>
        </w:rPr>
      </w:pPr>
    </w:p>
    <w:p w14:paraId="2A195727">
      <w:pPr>
        <w:spacing w:line="400" w:lineRule="exact"/>
        <w:ind w:left="525" w:hanging="525" w:hangingChars="250"/>
        <w:rPr>
          <w:rFonts w:hint="eastAsia" w:ascii="宋体" w:hAnsi="宋体" w:eastAsia="宋体" w:cs="宋体"/>
          <w:color w:val="auto"/>
          <w:szCs w:val="21"/>
          <w:highlight w:val="none"/>
        </w:rPr>
      </w:pPr>
    </w:p>
    <w:p w14:paraId="093BC650">
      <w:pPr>
        <w:spacing w:line="400" w:lineRule="exact"/>
        <w:ind w:left="525" w:hanging="525" w:hangingChars="250"/>
        <w:rPr>
          <w:rFonts w:hint="eastAsia" w:ascii="宋体" w:hAnsi="宋体" w:eastAsia="宋体" w:cs="宋体"/>
          <w:color w:val="auto"/>
          <w:szCs w:val="21"/>
          <w:highlight w:val="none"/>
        </w:rPr>
      </w:pPr>
    </w:p>
    <w:p w14:paraId="7D570E12">
      <w:pPr>
        <w:spacing w:line="400" w:lineRule="exact"/>
        <w:ind w:left="525" w:hanging="525" w:hangingChars="250"/>
        <w:rPr>
          <w:rFonts w:hint="eastAsia" w:ascii="宋体" w:hAnsi="宋体" w:eastAsia="宋体" w:cs="宋体"/>
          <w:color w:val="auto"/>
          <w:szCs w:val="21"/>
          <w:highlight w:val="none"/>
        </w:rPr>
      </w:pPr>
    </w:p>
    <w:p w14:paraId="36CF3946">
      <w:pPr>
        <w:spacing w:line="400" w:lineRule="exact"/>
        <w:ind w:left="525" w:hanging="525" w:hangingChars="250"/>
        <w:rPr>
          <w:rFonts w:hint="eastAsia" w:ascii="宋体" w:hAnsi="宋体" w:eastAsia="宋体" w:cs="宋体"/>
          <w:color w:val="auto"/>
          <w:szCs w:val="21"/>
          <w:highlight w:val="none"/>
        </w:rPr>
      </w:pPr>
    </w:p>
    <w:p w14:paraId="6363B8D9">
      <w:pPr>
        <w:spacing w:line="400" w:lineRule="exact"/>
        <w:ind w:left="525" w:hanging="525" w:hangingChars="250"/>
        <w:rPr>
          <w:rFonts w:hint="eastAsia" w:ascii="宋体" w:hAnsi="宋体" w:eastAsia="宋体" w:cs="宋体"/>
          <w:color w:val="auto"/>
          <w:szCs w:val="21"/>
          <w:highlight w:val="none"/>
        </w:rPr>
      </w:pPr>
    </w:p>
    <w:p w14:paraId="4F9BA6E8">
      <w:pPr>
        <w:spacing w:line="400" w:lineRule="exact"/>
        <w:ind w:left="525" w:hanging="525" w:hangingChars="250"/>
        <w:rPr>
          <w:rFonts w:hint="eastAsia" w:ascii="宋体" w:hAnsi="宋体" w:eastAsia="宋体" w:cs="宋体"/>
          <w:color w:val="auto"/>
          <w:szCs w:val="21"/>
          <w:highlight w:val="none"/>
        </w:rPr>
      </w:pPr>
    </w:p>
    <w:p w14:paraId="679A274A">
      <w:pPr>
        <w:spacing w:line="400" w:lineRule="exact"/>
        <w:ind w:left="525" w:hanging="525" w:hangingChars="250"/>
        <w:rPr>
          <w:rFonts w:hint="eastAsia" w:ascii="宋体" w:hAnsi="宋体" w:eastAsia="宋体" w:cs="宋体"/>
          <w:color w:val="auto"/>
          <w:szCs w:val="21"/>
          <w:highlight w:val="none"/>
        </w:rPr>
      </w:pPr>
    </w:p>
    <w:p w14:paraId="7368A8C7">
      <w:pPr>
        <w:spacing w:line="400" w:lineRule="exact"/>
        <w:ind w:left="525" w:hanging="525" w:hangingChars="250"/>
        <w:rPr>
          <w:rFonts w:hint="eastAsia" w:ascii="宋体" w:hAnsi="宋体" w:eastAsia="宋体" w:cs="宋体"/>
          <w:color w:val="auto"/>
          <w:szCs w:val="21"/>
          <w:highlight w:val="none"/>
        </w:rPr>
      </w:pPr>
    </w:p>
    <w:p w14:paraId="15E7A1CF">
      <w:pPr>
        <w:spacing w:line="400" w:lineRule="exact"/>
        <w:ind w:left="525" w:hanging="525" w:hanging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备注:招标文件要求以现金形式（包括现钞、银行汇票、银行电汇、支票）提交投标保证金的，投标人除按规定方式提交保证金外，还应在投标文件中采用本格式告知招标人。</w:t>
      </w:r>
    </w:p>
    <w:p w14:paraId="5B403BCF">
      <w:pPr>
        <w:rPr>
          <w:rFonts w:hint="eastAsia" w:ascii="宋体" w:hAnsi="宋体" w:eastAsia="宋体" w:cs="宋体"/>
          <w:color w:val="auto"/>
          <w:highlight w:val="none"/>
        </w:rPr>
      </w:pPr>
    </w:p>
    <w:p w14:paraId="70E31432">
      <w:pPr>
        <w:keepNext/>
        <w:keepLines/>
        <w:spacing w:after="120" w:line="500" w:lineRule="exact"/>
        <w:jc w:val="left"/>
        <w:outlineLvl w:val="2"/>
        <w:rPr>
          <w:rFonts w:hint="eastAsia" w:ascii="宋体" w:hAnsi="宋体" w:eastAsia="宋体" w:cs="宋体"/>
          <w:b/>
          <w:bCs/>
          <w:color w:val="auto"/>
          <w:sz w:val="24"/>
          <w:szCs w:val="24"/>
          <w:highlight w:val="none"/>
          <w:lang w:val="zh-CN" w:eastAsia="zh-CN"/>
        </w:rPr>
        <w:sectPr>
          <w:footerReference r:id="rId4" w:type="default"/>
          <w:footerReference r:id="rId5" w:type="even"/>
          <w:pgSz w:w="11907" w:h="16840"/>
          <w:pgMar w:top="1440" w:right="1080" w:bottom="1440" w:left="1080" w:header="851" w:footer="992" w:gutter="0"/>
          <w:pgNumType w:fmt="decimal"/>
          <w:cols w:space="720" w:num="1"/>
          <w:docGrid w:linePitch="312" w:charSpace="0"/>
        </w:sectPr>
      </w:pPr>
    </w:p>
    <w:p w14:paraId="34697059">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495" w:name="_Toc17817"/>
      <w:bookmarkStart w:id="496" w:name="_Toc467940258"/>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六</w:t>
      </w:r>
      <w:r>
        <w:rPr>
          <w:rFonts w:hint="eastAsia" w:ascii="宋体" w:hAnsi="宋体" w:eastAsia="宋体" w:cs="宋体"/>
          <w:b/>
          <w:bCs/>
          <w:color w:val="auto"/>
          <w:sz w:val="24"/>
          <w:szCs w:val="24"/>
          <w:highlight w:val="none"/>
          <w:lang w:val="zh-CN" w:eastAsia="zh-CN"/>
        </w:rPr>
        <w:t>）投标保证金（</w:t>
      </w:r>
      <w:r>
        <w:rPr>
          <w:rFonts w:hint="eastAsia" w:ascii="宋体" w:hAnsi="宋体" w:eastAsia="宋体" w:cs="宋体"/>
          <w:b/>
          <w:bCs/>
          <w:color w:val="auto"/>
          <w:sz w:val="24"/>
          <w:szCs w:val="24"/>
          <w:highlight w:val="none"/>
          <w:lang w:val="zh-CN"/>
        </w:rPr>
        <w:t>银行</w:t>
      </w:r>
      <w:r>
        <w:rPr>
          <w:rFonts w:hint="eastAsia" w:ascii="宋体" w:hAnsi="宋体" w:eastAsia="宋体" w:cs="宋体"/>
          <w:b/>
          <w:bCs/>
          <w:color w:val="auto"/>
          <w:sz w:val="24"/>
          <w:szCs w:val="24"/>
          <w:highlight w:val="none"/>
          <w:lang w:val="zh-CN" w:eastAsia="zh-CN"/>
        </w:rPr>
        <w:t>保函</w:t>
      </w:r>
      <w:r>
        <w:rPr>
          <w:rFonts w:hint="eastAsia" w:ascii="宋体" w:hAnsi="宋体" w:eastAsia="宋体" w:cs="宋体"/>
          <w:b/>
          <w:bCs/>
          <w:color w:val="auto"/>
          <w:sz w:val="24"/>
          <w:szCs w:val="21"/>
          <w:highlight w:val="none"/>
          <w:lang w:val="zh-CN" w:eastAsia="zh-CN"/>
        </w:rPr>
        <w:t>/</w:t>
      </w:r>
      <w:r>
        <w:rPr>
          <w:rFonts w:hint="eastAsia" w:ascii="宋体" w:hAnsi="宋体" w:eastAsia="宋体" w:cs="宋体"/>
          <w:b/>
          <w:bCs/>
          <w:color w:val="auto"/>
          <w:sz w:val="24"/>
          <w:szCs w:val="21"/>
          <w:highlight w:val="none"/>
          <w:lang w:val="zh-CN"/>
        </w:rPr>
        <w:t>保险保单</w:t>
      </w:r>
      <w:r>
        <w:rPr>
          <w:rFonts w:hint="eastAsia" w:ascii="宋体" w:hAnsi="宋体" w:eastAsia="宋体" w:cs="宋体"/>
          <w:b/>
          <w:bCs/>
          <w:color w:val="auto"/>
          <w:sz w:val="24"/>
          <w:szCs w:val="21"/>
          <w:highlight w:val="none"/>
          <w:lang w:val="zh-CN" w:eastAsia="zh-CN"/>
        </w:rPr>
        <w:t>/</w:t>
      </w:r>
      <w:r>
        <w:rPr>
          <w:rFonts w:hint="eastAsia" w:ascii="宋体" w:hAnsi="宋体" w:eastAsia="宋体" w:cs="宋体"/>
          <w:b/>
          <w:bCs/>
          <w:color w:val="auto"/>
          <w:sz w:val="24"/>
          <w:szCs w:val="21"/>
          <w:highlight w:val="none"/>
          <w:lang w:val="zh-CN"/>
        </w:rPr>
        <w:t>担保保函</w:t>
      </w:r>
      <w:r>
        <w:rPr>
          <w:rFonts w:hint="eastAsia" w:ascii="宋体" w:hAnsi="宋体" w:eastAsia="宋体" w:cs="宋体"/>
          <w:b/>
          <w:bCs/>
          <w:color w:val="auto"/>
          <w:sz w:val="24"/>
          <w:szCs w:val="24"/>
          <w:highlight w:val="none"/>
          <w:lang w:val="zh-CN" w:eastAsia="zh-CN"/>
        </w:rPr>
        <w:t>）</w:t>
      </w:r>
      <w:bookmarkEnd w:id="495"/>
      <w:bookmarkEnd w:id="496"/>
    </w:p>
    <w:p w14:paraId="1A75DAAB">
      <w:pPr>
        <w:spacing w:line="400" w:lineRule="exact"/>
        <w:ind w:left="840" w:hanging="840" w:hangingChars="400"/>
        <w:rPr>
          <w:rFonts w:hint="eastAsia" w:ascii="宋体" w:hAnsi="宋体" w:eastAsia="宋体" w:cs="宋体"/>
          <w:color w:val="auto"/>
          <w:szCs w:val="21"/>
          <w:highlight w:val="none"/>
        </w:rPr>
      </w:pPr>
    </w:p>
    <w:p w14:paraId="572E12CC">
      <w:pPr>
        <w:spacing w:line="400" w:lineRule="exact"/>
        <w:ind w:left="840" w:hanging="840" w:hangingChars="400"/>
        <w:rPr>
          <w:rFonts w:hint="eastAsia" w:ascii="宋体" w:hAnsi="宋体" w:eastAsia="宋体" w:cs="宋体"/>
          <w:color w:val="auto"/>
          <w:szCs w:val="21"/>
          <w:highlight w:val="none"/>
        </w:rPr>
      </w:pPr>
    </w:p>
    <w:p w14:paraId="272D4DFF">
      <w:pPr>
        <w:spacing w:line="400" w:lineRule="exact"/>
        <w:ind w:left="840" w:hanging="840" w:hangingChars="400"/>
        <w:rPr>
          <w:rFonts w:hint="eastAsia" w:ascii="宋体" w:hAnsi="宋体" w:eastAsia="宋体" w:cs="宋体"/>
          <w:color w:val="auto"/>
          <w:szCs w:val="21"/>
          <w:highlight w:val="none"/>
        </w:rPr>
      </w:pPr>
    </w:p>
    <w:p w14:paraId="2C5912D3">
      <w:pPr>
        <w:spacing w:line="400" w:lineRule="exact"/>
        <w:ind w:left="840" w:hanging="840" w:hangingChars="400"/>
        <w:rPr>
          <w:rFonts w:hint="eastAsia" w:ascii="宋体" w:hAnsi="宋体" w:eastAsia="宋体" w:cs="宋体"/>
          <w:color w:val="auto"/>
          <w:szCs w:val="21"/>
          <w:highlight w:val="none"/>
        </w:rPr>
      </w:pPr>
    </w:p>
    <w:p w14:paraId="79F50958">
      <w:pPr>
        <w:spacing w:line="400" w:lineRule="exact"/>
        <w:ind w:left="840" w:hanging="840" w:hangingChars="400"/>
        <w:rPr>
          <w:rFonts w:hint="eastAsia" w:ascii="宋体" w:hAnsi="宋体" w:eastAsia="宋体" w:cs="宋体"/>
          <w:color w:val="auto"/>
          <w:szCs w:val="21"/>
          <w:highlight w:val="none"/>
        </w:rPr>
      </w:pPr>
    </w:p>
    <w:p w14:paraId="3EEA1315">
      <w:pPr>
        <w:spacing w:line="400" w:lineRule="exact"/>
        <w:ind w:left="840" w:hanging="840" w:hangingChars="400"/>
        <w:rPr>
          <w:rFonts w:hint="eastAsia" w:ascii="宋体" w:hAnsi="宋体" w:eastAsia="宋体" w:cs="宋体"/>
          <w:color w:val="auto"/>
          <w:szCs w:val="21"/>
          <w:highlight w:val="none"/>
        </w:rPr>
      </w:pPr>
    </w:p>
    <w:p w14:paraId="5E9ACE84">
      <w:pPr>
        <w:spacing w:line="400" w:lineRule="exact"/>
        <w:ind w:left="840" w:hanging="840" w:hangingChars="400"/>
        <w:rPr>
          <w:rFonts w:hint="eastAsia" w:ascii="宋体" w:hAnsi="宋体" w:eastAsia="宋体" w:cs="宋体"/>
          <w:color w:val="auto"/>
          <w:szCs w:val="21"/>
          <w:highlight w:val="none"/>
        </w:rPr>
      </w:pPr>
    </w:p>
    <w:p w14:paraId="7F8741E0">
      <w:pPr>
        <w:spacing w:line="400" w:lineRule="exact"/>
        <w:ind w:left="840" w:hanging="840" w:hangingChars="400"/>
        <w:rPr>
          <w:rFonts w:hint="eastAsia" w:ascii="宋体" w:hAnsi="宋体" w:eastAsia="宋体" w:cs="宋体"/>
          <w:color w:val="auto"/>
          <w:szCs w:val="21"/>
          <w:highlight w:val="none"/>
        </w:rPr>
      </w:pPr>
    </w:p>
    <w:p w14:paraId="0DFEE036">
      <w:pPr>
        <w:spacing w:line="400" w:lineRule="exact"/>
        <w:ind w:left="840" w:hanging="840" w:hangingChars="400"/>
        <w:rPr>
          <w:rFonts w:hint="eastAsia" w:ascii="宋体" w:hAnsi="宋体" w:eastAsia="宋体" w:cs="宋体"/>
          <w:color w:val="auto"/>
          <w:szCs w:val="21"/>
          <w:highlight w:val="none"/>
        </w:rPr>
      </w:pPr>
    </w:p>
    <w:p w14:paraId="0107AEEF">
      <w:pPr>
        <w:spacing w:line="400" w:lineRule="exact"/>
        <w:ind w:left="840" w:hanging="840" w:hangingChars="400"/>
        <w:rPr>
          <w:rFonts w:hint="eastAsia" w:ascii="宋体" w:hAnsi="宋体" w:eastAsia="宋体" w:cs="宋体"/>
          <w:color w:val="auto"/>
          <w:szCs w:val="21"/>
          <w:highlight w:val="none"/>
        </w:rPr>
      </w:pPr>
    </w:p>
    <w:p w14:paraId="7F9779E7">
      <w:pPr>
        <w:spacing w:line="400" w:lineRule="exact"/>
        <w:ind w:left="840" w:hanging="840" w:hangingChars="400"/>
        <w:rPr>
          <w:rFonts w:hint="eastAsia" w:ascii="宋体" w:hAnsi="宋体" w:eastAsia="宋体" w:cs="宋体"/>
          <w:color w:val="auto"/>
          <w:szCs w:val="21"/>
          <w:highlight w:val="none"/>
        </w:rPr>
      </w:pPr>
    </w:p>
    <w:p w14:paraId="66B4777A">
      <w:pPr>
        <w:spacing w:line="400" w:lineRule="exact"/>
        <w:ind w:left="840" w:hanging="840" w:hangingChars="400"/>
        <w:rPr>
          <w:rFonts w:hint="eastAsia" w:ascii="宋体" w:hAnsi="宋体" w:eastAsia="宋体" w:cs="宋体"/>
          <w:color w:val="auto"/>
          <w:szCs w:val="21"/>
          <w:highlight w:val="none"/>
        </w:rPr>
      </w:pPr>
    </w:p>
    <w:p w14:paraId="235FA866">
      <w:pPr>
        <w:spacing w:line="400" w:lineRule="exact"/>
        <w:ind w:left="840" w:hanging="840" w:hangingChars="400"/>
        <w:rPr>
          <w:rFonts w:hint="eastAsia" w:ascii="宋体" w:hAnsi="宋体" w:eastAsia="宋体" w:cs="宋体"/>
          <w:color w:val="auto"/>
          <w:szCs w:val="21"/>
          <w:highlight w:val="none"/>
        </w:rPr>
      </w:pPr>
    </w:p>
    <w:p w14:paraId="66C0EED1">
      <w:pPr>
        <w:spacing w:line="400" w:lineRule="exact"/>
        <w:ind w:left="840" w:hanging="840" w:hangingChars="400"/>
        <w:rPr>
          <w:rFonts w:hint="eastAsia" w:ascii="宋体" w:hAnsi="宋体" w:eastAsia="宋体" w:cs="宋体"/>
          <w:color w:val="auto"/>
          <w:szCs w:val="21"/>
          <w:highlight w:val="none"/>
        </w:rPr>
      </w:pPr>
    </w:p>
    <w:p w14:paraId="4D2493FA">
      <w:pPr>
        <w:spacing w:line="400" w:lineRule="exact"/>
        <w:ind w:left="840" w:hanging="840" w:hangingChars="400"/>
        <w:rPr>
          <w:rFonts w:hint="eastAsia" w:ascii="宋体" w:hAnsi="宋体" w:eastAsia="宋体" w:cs="宋体"/>
          <w:color w:val="auto"/>
          <w:szCs w:val="21"/>
          <w:highlight w:val="none"/>
        </w:rPr>
      </w:pPr>
    </w:p>
    <w:p w14:paraId="35756A67">
      <w:pPr>
        <w:spacing w:line="400" w:lineRule="exact"/>
        <w:ind w:left="840" w:hanging="840" w:hangingChars="400"/>
        <w:rPr>
          <w:rFonts w:hint="eastAsia" w:ascii="宋体" w:hAnsi="宋体" w:eastAsia="宋体" w:cs="宋体"/>
          <w:color w:val="auto"/>
          <w:szCs w:val="21"/>
          <w:highlight w:val="none"/>
        </w:rPr>
      </w:pPr>
    </w:p>
    <w:p w14:paraId="29694BF4">
      <w:pPr>
        <w:spacing w:line="400" w:lineRule="exact"/>
        <w:ind w:left="840" w:hanging="840" w:hangingChars="400"/>
        <w:rPr>
          <w:rFonts w:hint="eastAsia" w:ascii="宋体" w:hAnsi="宋体" w:eastAsia="宋体" w:cs="宋体"/>
          <w:color w:val="auto"/>
          <w:szCs w:val="21"/>
          <w:highlight w:val="none"/>
        </w:rPr>
      </w:pPr>
    </w:p>
    <w:p w14:paraId="1175E83F">
      <w:pPr>
        <w:spacing w:line="400" w:lineRule="exact"/>
        <w:ind w:left="840" w:hanging="840" w:hangingChars="400"/>
        <w:rPr>
          <w:rFonts w:hint="eastAsia" w:ascii="宋体" w:hAnsi="宋体" w:eastAsia="宋体" w:cs="宋体"/>
          <w:color w:val="auto"/>
          <w:szCs w:val="21"/>
          <w:highlight w:val="none"/>
        </w:rPr>
      </w:pPr>
    </w:p>
    <w:p w14:paraId="42A026D7">
      <w:pPr>
        <w:spacing w:line="400" w:lineRule="exact"/>
        <w:ind w:left="840" w:hanging="840" w:hangingChars="400"/>
        <w:rPr>
          <w:rFonts w:hint="eastAsia" w:ascii="宋体" w:hAnsi="宋体" w:eastAsia="宋体" w:cs="宋体"/>
          <w:color w:val="auto"/>
          <w:szCs w:val="21"/>
          <w:highlight w:val="none"/>
        </w:rPr>
      </w:pPr>
    </w:p>
    <w:p w14:paraId="47D9EA09">
      <w:pPr>
        <w:spacing w:line="400" w:lineRule="exact"/>
        <w:ind w:left="840" w:hanging="840" w:hangingChars="400"/>
        <w:rPr>
          <w:rFonts w:hint="eastAsia" w:ascii="宋体" w:hAnsi="宋体" w:eastAsia="宋体" w:cs="宋体"/>
          <w:color w:val="auto"/>
          <w:szCs w:val="21"/>
          <w:highlight w:val="none"/>
        </w:rPr>
      </w:pPr>
    </w:p>
    <w:p w14:paraId="05F049B2">
      <w:pPr>
        <w:spacing w:line="400" w:lineRule="exact"/>
        <w:ind w:left="840" w:hanging="840" w:hangingChars="400"/>
        <w:rPr>
          <w:rFonts w:hint="eastAsia" w:ascii="宋体" w:hAnsi="宋体" w:eastAsia="宋体" w:cs="宋体"/>
          <w:color w:val="auto"/>
          <w:szCs w:val="21"/>
          <w:highlight w:val="none"/>
        </w:rPr>
      </w:pPr>
    </w:p>
    <w:p w14:paraId="7498C0C3">
      <w:pPr>
        <w:spacing w:line="400" w:lineRule="exact"/>
        <w:ind w:left="840" w:hanging="840" w:hangingChars="400"/>
        <w:rPr>
          <w:rFonts w:hint="eastAsia" w:ascii="宋体" w:hAnsi="宋体" w:eastAsia="宋体" w:cs="宋体"/>
          <w:color w:val="auto"/>
          <w:szCs w:val="21"/>
          <w:highlight w:val="none"/>
        </w:rPr>
      </w:pPr>
    </w:p>
    <w:p w14:paraId="22447DE5">
      <w:pPr>
        <w:spacing w:line="400" w:lineRule="exact"/>
        <w:ind w:left="840" w:hanging="840" w:hanging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招标文件约定接受银行保函、保险公司保单、担保公司保函形式的投标保证金，银行保函、保险保单、担保保函格式未做统一规定。投标人需提供银行保函、保险保单、担保保函原始凭证的扫描件作为投标文件的组成部分。</w:t>
      </w:r>
    </w:p>
    <w:p w14:paraId="3B49E89C">
      <w:pPr>
        <w:spacing w:line="400" w:lineRule="exact"/>
        <w:ind w:left="840" w:leftChars="300" w:hanging="210" w:hangingChars="100"/>
        <w:rPr>
          <w:rFonts w:hint="eastAsia" w:ascii="宋体" w:hAnsi="宋体" w:eastAsia="宋体" w:cs="宋体"/>
          <w:color w:val="auto"/>
          <w:highlight w:val="none"/>
          <w:lang w:val="zh-CN"/>
        </w:rPr>
      </w:pPr>
      <w:r>
        <w:rPr>
          <w:rFonts w:hint="eastAsia" w:ascii="宋体" w:hAnsi="宋体" w:eastAsia="宋体" w:cs="宋体"/>
          <w:color w:val="auto"/>
          <w:szCs w:val="21"/>
          <w:highlight w:val="none"/>
        </w:rPr>
        <w:t>2.投标人提交的银行保函能够通过互联网且无需任何授权即可在相应的银行官方网站验证真伪，并在保函上写明网址，否则视为未按规定提交投标保证金，</w:t>
      </w:r>
      <w:r>
        <w:rPr>
          <w:rFonts w:hint="eastAsia" w:ascii="宋体" w:hAnsi="宋体" w:eastAsia="宋体" w:cs="宋体"/>
          <w:color w:val="auto"/>
          <w:highlight w:val="none"/>
        </w:rPr>
        <w:t>其投标将被否决；投标人提交的保险保单，投标保证保险格式和条款应当经过中国保监会批准或备案，保险保单</w:t>
      </w:r>
      <w:r>
        <w:rPr>
          <w:rFonts w:hint="eastAsia" w:ascii="宋体" w:hAnsi="宋体" w:eastAsia="宋体" w:cs="宋体"/>
          <w:color w:val="auto"/>
          <w:szCs w:val="21"/>
          <w:highlight w:val="none"/>
        </w:rPr>
        <w:t>能够通过互联网且无需任何授权即可在相应的保险公司官方网站验证真伪，并在保单上写明网址，否则视为未按规定提交投标保证金，</w:t>
      </w:r>
      <w:r>
        <w:rPr>
          <w:rFonts w:hint="eastAsia" w:ascii="宋体" w:hAnsi="宋体" w:eastAsia="宋体" w:cs="宋体"/>
          <w:color w:val="auto"/>
          <w:highlight w:val="none"/>
        </w:rPr>
        <w:t>其投标将被否决；投标人提交的担保保函，</w:t>
      </w:r>
      <w:r>
        <w:rPr>
          <w:rFonts w:hint="eastAsia" w:ascii="宋体" w:hAnsi="宋体" w:eastAsia="宋体" w:cs="宋体"/>
          <w:color w:val="auto"/>
          <w:szCs w:val="21"/>
          <w:highlight w:val="none"/>
        </w:rPr>
        <w:t>能够通过互联网且无需任何授权即可在相应工程担保公司官方网站验证真伪，并在保函上写明网址，否则视为未按规定提交投标保证金，</w:t>
      </w:r>
      <w:r>
        <w:rPr>
          <w:rFonts w:hint="eastAsia" w:ascii="宋体" w:hAnsi="宋体" w:eastAsia="宋体" w:cs="宋体"/>
          <w:color w:val="auto"/>
          <w:highlight w:val="none"/>
        </w:rPr>
        <w:t>其投标将被否决。</w:t>
      </w:r>
    </w:p>
    <w:p w14:paraId="64D7EC76">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497" w:name="_Toc32285"/>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zh-CN"/>
        </w:rPr>
        <w:t>七</w:t>
      </w:r>
      <w:r>
        <w:rPr>
          <w:rFonts w:hint="eastAsia" w:ascii="宋体" w:hAnsi="宋体" w:eastAsia="宋体" w:cs="宋体"/>
          <w:b/>
          <w:bCs/>
          <w:color w:val="auto"/>
          <w:sz w:val="24"/>
          <w:szCs w:val="24"/>
          <w:highlight w:val="none"/>
          <w:lang w:val="zh-CN" w:eastAsia="zh-CN"/>
        </w:rPr>
        <w:t>）资格审查资料</w:t>
      </w:r>
      <w:bookmarkEnd w:id="497"/>
    </w:p>
    <w:p w14:paraId="76F4C3C8">
      <w:pPr>
        <w:spacing w:line="400" w:lineRule="exact"/>
        <w:ind w:firstLine="3188" w:firstLineChars="1323"/>
        <w:rPr>
          <w:rFonts w:hint="eastAsia" w:ascii="宋体" w:hAnsi="宋体" w:eastAsia="宋体" w:cs="宋体"/>
          <w:b/>
          <w:color w:val="auto"/>
          <w:sz w:val="24"/>
          <w:szCs w:val="24"/>
          <w:highlight w:val="none"/>
        </w:rPr>
      </w:pPr>
    </w:p>
    <w:p w14:paraId="778B8697">
      <w:pPr>
        <w:spacing w:after="240"/>
        <w:jc w:val="center"/>
        <w:outlineLvl w:val="3"/>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rPr>
        <w:t>1、投标人基本情况</w:t>
      </w:r>
    </w:p>
    <w:p w14:paraId="4CC4C3AC">
      <w:pPr>
        <w:keepNext/>
        <w:keepLines/>
        <w:spacing w:line="40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1-1投标人基本情况表</w:t>
      </w:r>
    </w:p>
    <w:p w14:paraId="16DF6E93">
      <w:pPr>
        <w:spacing w:line="600" w:lineRule="exact"/>
        <w:rPr>
          <w:rFonts w:hint="eastAsia" w:ascii="宋体" w:hAnsi="宋体" w:eastAsia="宋体" w:cs="宋体"/>
          <w:color w:val="auto"/>
          <w:highlight w:val="none"/>
        </w:rPr>
      </w:pPr>
    </w:p>
    <w:p w14:paraId="4A04A8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（会员库表格格式）</w:t>
      </w:r>
    </w:p>
    <w:p w14:paraId="1F9CAC5C">
      <w:pPr>
        <w:rPr>
          <w:rFonts w:hint="eastAsia" w:ascii="宋体" w:hAnsi="宋体" w:eastAsia="宋体" w:cs="宋体"/>
          <w:color w:val="auto"/>
          <w:highlight w:val="none"/>
        </w:rPr>
      </w:pPr>
    </w:p>
    <w:p w14:paraId="0A5CBC04">
      <w:pPr>
        <w:rPr>
          <w:rFonts w:hint="eastAsia" w:ascii="宋体" w:hAnsi="宋体" w:eastAsia="宋体" w:cs="宋体"/>
          <w:color w:val="auto"/>
          <w:highlight w:val="none"/>
        </w:rPr>
      </w:pPr>
    </w:p>
    <w:p w14:paraId="0CF07D5C">
      <w:pPr>
        <w:rPr>
          <w:rFonts w:hint="eastAsia" w:ascii="宋体" w:hAnsi="宋体" w:eastAsia="宋体" w:cs="宋体"/>
          <w:color w:val="auto"/>
          <w:highlight w:val="none"/>
        </w:rPr>
      </w:pPr>
    </w:p>
    <w:p w14:paraId="0A03A1EF">
      <w:pPr>
        <w:rPr>
          <w:rFonts w:hint="eastAsia" w:ascii="宋体" w:hAnsi="宋体" w:eastAsia="宋体" w:cs="宋体"/>
          <w:color w:val="auto"/>
          <w:highlight w:val="none"/>
        </w:rPr>
      </w:pPr>
    </w:p>
    <w:p w14:paraId="61A27276">
      <w:pPr>
        <w:rPr>
          <w:rFonts w:hint="eastAsia" w:ascii="宋体" w:hAnsi="宋体" w:eastAsia="宋体" w:cs="宋体"/>
          <w:color w:val="auto"/>
          <w:highlight w:val="none"/>
        </w:rPr>
      </w:pPr>
    </w:p>
    <w:p w14:paraId="4FCF9E0C">
      <w:pPr>
        <w:rPr>
          <w:rFonts w:hint="eastAsia" w:ascii="宋体" w:hAnsi="宋体" w:eastAsia="宋体" w:cs="宋体"/>
          <w:color w:val="auto"/>
          <w:highlight w:val="none"/>
        </w:rPr>
      </w:pPr>
    </w:p>
    <w:p w14:paraId="67DD724C">
      <w:pPr>
        <w:rPr>
          <w:rFonts w:hint="eastAsia" w:ascii="宋体" w:hAnsi="宋体" w:eastAsia="宋体" w:cs="宋体"/>
          <w:color w:val="auto"/>
          <w:highlight w:val="none"/>
        </w:rPr>
      </w:pPr>
    </w:p>
    <w:p w14:paraId="1D6BA198">
      <w:pPr>
        <w:rPr>
          <w:rFonts w:hint="eastAsia" w:ascii="宋体" w:hAnsi="宋体" w:eastAsia="宋体" w:cs="宋体"/>
          <w:color w:val="auto"/>
          <w:highlight w:val="none"/>
        </w:rPr>
      </w:pPr>
    </w:p>
    <w:p w14:paraId="4F9F8E3D">
      <w:pPr>
        <w:rPr>
          <w:rFonts w:hint="eastAsia" w:ascii="宋体" w:hAnsi="宋体" w:eastAsia="宋体" w:cs="宋体"/>
          <w:color w:val="auto"/>
          <w:highlight w:val="none"/>
          <w:lang w:val="zh-CN"/>
        </w:rPr>
      </w:pPr>
    </w:p>
    <w:p w14:paraId="68848E2C">
      <w:pPr>
        <w:rPr>
          <w:rFonts w:hint="eastAsia" w:ascii="宋体" w:hAnsi="宋体" w:eastAsia="宋体" w:cs="宋体"/>
          <w:color w:val="auto"/>
          <w:highlight w:val="none"/>
          <w:lang w:val="zh-CN"/>
        </w:rPr>
      </w:pPr>
    </w:p>
    <w:p w14:paraId="27F91A25">
      <w:pPr>
        <w:rPr>
          <w:rFonts w:hint="eastAsia" w:ascii="宋体" w:hAnsi="宋体" w:eastAsia="宋体" w:cs="宋体"/>
          <w:color w:val="auto"/>
          <w:highlight w:val="none"/>
          <w:lang w:val="zh-CN"/>
        </w:rPr>
      </w:pPr>
    </w:p>
    <w:p w14:paraId="69106690">
      <w:pPr>
        <w:rPr>
          <w:rFonts w:hint="eastAsia" w:ascii="宋体" w:hAnsi="宋体" w:eastAsia="宋体" w:cs="宋体"/>
          <w:color w:val="auto"/>
          <w:highlight w:val="none"/>
          <w:lang w:val="zh-CN"/>
        </w:rPr>
      </w:pPr>
    </w:p>
    <w:p w14:paraId="488523EE">
      <w:pPr>
        <w:rPr>
          <w:rFonts w:hint="eastAsia" w:ascii="宋体" w:hAnsi="宋体" w:eastAsia="宋体" w:cs="宋体"/>
          <w:color w:val="auto"/>
          <w:highlight w:val="none"/>
          <w:lang w:val="zh-CN"/>
        </w:rPr>
      </w:pPr>
    </w:p>
    <w:p w14:paraId="382A8659">
      <w:pPr>
        <w:rPr>
          <w:rFonts w:hint="eastAsia" w:ascii="宋体" w:hAnsi="宋体" w:eastAsia="宋体" w:cs="宋体"/>
          <w:color w:val="auto"/>
          <w:highlight w:val="none"/>
          <w:lang w:val="zh-CN"/>
        </w:rPr>
      </w:pPr>
    </w:p>
    <w:p w14:paraId="0079D080">
      <w:pPr>
        <w:rPr>
          <w:rFonts w:hint="eastAsia" w:ascii="宋体" w:hAnsi="宋体" w:eastAsia="宋体" w:cs="宋体"/>
          <w:color w:val="auto"/>
          <w:highlight w:val="none"/>
          <w:lang w:val="zh-CN"/>
        </w:rPr>
      </w:pPr>
    </w:p>
    <w:p w14:paraId="3D46B3C3">
      <w:pPr>
        <w:rPr>
          <w:rFonts w:hint="eastAsia" w:ascii="宋体" w:hAnsi="宋体" w:eastAsia="宋体" w:cs="宋体"/>
          <w:color w:val="auto"/>
          <w:highlight w:val="none"/>
          <w:lang w:val="zh-CN"/>
        </w:rPr>
      </w:pPr>
    </w:p>
    <w:p w14:paraId="4351C700">
      <w:pPr>
        <w:rPr>
          <w:rFonts w:hint="eastAsia" w:ascii="宋体" w:hAnsi="宋体" w:eastAsia="宋体" w:cs="宋体"/>
          <w:color w:val="auto"/>
          <w:highlight w:val="none"/>
          <w:lang w:val="zh-CN"/>
        </w:rPr>
      </w:pPr>
    </w:p>
    <w:p w14:paraId="1302508A">
      <w:pPr>
        <w:rPr>
          <w:rFonts w:hint="eastAsia" w:ascii="宋体" w:hAnsi="宋体" w:eastAsia="宋体" w:cs="宋体"/>
          <w:color w:val="auto"/>
          <w:highlight w:val="none"/>
          <w:lang w:val="zh-CN"/>
        </w:rPr>
      </w:pPr>
    </w:p>
    <w:p w14:paraId="1325E979">
      <w:pPr>
        <w:rPr>
          <w:rFonts w:hint="eastAsia" w:ascii="宋体" w:hAnsi="宋体" w:eastAsia="宋体" w:cs="宋体"/>
          <w:color w:val="auto"/>
          <w:highlight w:val="none"/>
          <w:lang w:val="zh-CN"/>
        </w:rPr>
      </w:pPr>
    </w:p>
    <w:p w14:paraId="572DB788">
      <w:pPr>
        <w:rPr>
          <w:rFonts w:hint="eastAsia" w:ascii="宋体" w:hAnsi="宋体" w:eastAsia="宋体" w:cs="宋体"/>
          <w:color w:val="auto"/>
          <w:highlight w:val="none"/>
          <w:lang w:val="zh-CN"/>
        </w:rPr>
      </w:pPr>
    </w:p>
    <w:p w14:paraId="3C0CF0EA">
      <w:pPr>
        <w:spacing w:line="400" w:lineRule="atLeast"/>
        <w:ind w:left="945" w:hanging="945" w:hangingChars="450"/>
        <w:rPr>
          <w:rFonts w:hint="eastAsia" w:ascii="宋体" w:hAnsi="宋体" w:eastAsia="宋体" w:cs="宋体"/>
          <w:color w:val="auto"/>
          <w:szCs w:val="21"/>
          <w:highlight w:val="none"/>
        </w:rPr>
      </w:pPr>
    </w:p>
    <w:p w14:paraId="5A8BB095">
      <w:pPr>
        <w:spacing w:line="400" w:lineRule="atLeast"/>
        <w:ind w:left="945" w:hanging="945" w:hangingChars="450"/>
        <w:rPr>
          <w:rFonts w:hint="eastAsia" w:ascii="宋体" w:hAnsi="宋体" w:eastAsia="宋体" w:cs="宋体"/>
          <w:color w:val="auto"/>
          <w:szCs w:val="21"/>
          <w:highlight w:val="none"/>
        </w:rPr>
      </w:pPr>
    </w:p>
    <w:p w14:paraId="6F5CBED4">
      <w:pPr>
        <w:spacing w:line="400" w:lineRule="atLeast"/>
        <w:ind w:left="945" w:hanging="945" w:hangingChars="450"/>
        <w:rPr>
          <w:rFonts w:hint="eastAsia" w:ascii="宋体" w:hAnsi="宋体" w:eastAsia="宋体" w:cs="宋体"/>
          <w:color w:val="auto"/>
          <w:szCs w:val="21"/>
          <w:highlight w:val="none"/>
        </w:rPr>
      </w:pPr>
    </w:p>
    <w:p w14:paraId="30C3440C">
      <w:pPr>
        <w:spacing w:line="400" w:lineRule="atLeast"/>
        <w:ind w:left="945" w:hanging="945" w:hangingChars="450"/>
        <w:rPr>
          <w:rFonts w:hint="eastAsia" w:ascii="宋体" w:hAnsi="宋体" w:eastAsia="宋体" w:cs="宋体"/>
          <w:color w:val="auto"/>
          <w:szCs w:val="21"/>
          <w:highlight w:val="none"/>
        </w:rPr>
      </w:pPr>
    </w:p>
    <w:p w14:paraId="115130A0">
      <w:pPr>
        <w:spacing w:line="400" w:lineRule="atLeast"/>
        <w:ind w:left="945" w:hanging="945" w:hanging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 本表由招标人根据项目标段（包）实际情况编辑，投标人按照提供的表格内容填报。本表后应附企业法人营业执照、企业资质（格）证书（如有）、安全生产许可证（如有）、基本账户开户许可证、质量、环境、职业健康安全管理体系认证证书（如有）等材料的复印件。</w:t>
      </w:r>
    </w:p>
    <w:p w14:paraId="532F9EF4">
      <w:pPr>
        <w:spacing w:line="400" w:lineRule="atLeast"/>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2．联合体投标的，联合体各成员应分别填写。</w:t>
      </w:r>
    </w:p>
    <w:p w14:paraId="328D3697">
      <w:pPr>
        <w:rPr>
          <w:rFonts w:hint="eastAsia" w:ascii="宋体" w:hAnsi="宋体" w:eastAsia="宋体" w:cs="宋体"/>
          <w:color w:val="auto"/>
          <w:highlight w:val="none"/>
        </w:rPr>
      </w:pPr>
    </w:p>
    <w:p w14:paraId="5CA65D5A">
      <w:pPr>
        <w:rPr>
          <w:rFonts w:hint="eastAsia" w:ascii="宋体" w:hAnsi="宋体" w:eastAsia="宋体" w:cs="宋体"/>
          <w:color w:val="auto"/>
          <w:highlight w:val="none"/>
        </w:rPr>
      </w:pPr>
    </w:p>
    <w:p w14:paraId="02646FD8">
      <w:pPr>
        <w:rPr>
          <w:rFonts w:hint="eastAsia" w:ascii="宋体" w:hAnsi="宋体" w:eastAsia="宋体" w:cs="宋体"/>
          <w:color w:val="auto"/>
          <w:highlight w:val="none"/>
        </w:rPr>
      </w:pPr>
    </w:p>
    <w:p w14:paraId="768DF4F8">
      <w:pPr>
        <w:rPr>
          <w:rFonts w:hint="eastAsia" w:ascii="宋体" w:hAnsi="宋体" w:eastAsia="宋体" w:cs="宋体"/>
          <w:color w:val="auto"/>
          <w:highlight w:val="none"/>
        </w:rPr>
      </w:pPr>
    </w:p>
    <w:p w14:paraId="30313BA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DF77E0F">
      <w:pPr>
        <w:keepNext/>
        <w:keepLines/>
        <w:spacing w:line="40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1-2关联单位情况说明</w:t>
      </w:r>
    </w:p>
    <w:p w14:paraId="63C0FC40">
      <w:pPr>
        <w:rPr>
          <w:rFonts w:hint="eastAsia" w:ascii="宋体" w:hAnsi="宋体" w:eastAsia="宋体" w:cs="宋体"/>
          <w:color w:val="auto"/>
          <w:highlight w:val="none"/>
        </w:rPr>
      </w:pPr>
    </w:p>
    <w:p w14:paraId="6A5526E0">
      <w:pPr>
        <w:rPr>
          <w:rFonts w:hint="eastAsia" w:ascii="宋体" w:hAnsi="宋体" w:eastAsia="宋体" w:cs="宋体"/>
          <w:color w:val="auto"/>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9234"/>
      </w:tblGrid>
      <w:tr w14:paraId="4F13F03C">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PrEx>
        <w:trPr>
          <w:trHeight w:val="8400" w:hRule="atLeast"/>
          <w:jc w:val="center"/>
        </w:trPr>
        <w:tc>
          <w:tcPr>
            <w:tcW w:w="9234" w:type="dxa"/>
          </w:tcPr>
          <w:p w14:paraId="528D15A4">
            <w:pPr>
              <w:tabs>
                <w:tab w:val="left" w:pos="0"/>
              </w:tabs>
              <w:snapToGrid w:val="0"/>
              <w:spacing w:line="360" w:lineRule="exact"/>
              <w:rPr>
                <w:rFonts w:hint="eastAsia" w:ascii="宋体" w:hAnsi="宋体" w:eastAsia="宋体" w:cs="宋体"/>
                <w:color w:val="auto"/>
                <w:szCs w:val="21"/>
                <w:highlight w:val="none"/>
              </w:rPr>
            </w:pPr>
          </w:p>
          <w:p w14:paraId="400D8E87">
            <w:pPr>
              <w:ind w:left="945" w:hanging="945" w:hangingChars="4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单位负责人与本单位负责人为同一人的单位：</w:t>
            </w:r>
          </w:p>
          <w:p w14:paraId="6A5A6FA2">
            <w:pPr>
              <w:ind w:left="945" w:hanging="945" w:hangingChars="450"/>
              <w:rPr>
                <w:rFonts w:hint="eastAsia" w:ascii="宋体" w:hAnsi="宋体" w:eastAsia="宋体" w:cs="宋体"/>
                <w:color w:val="auto"/>
                <w:szCs w:val="24"/>
                <w:highlight w:val="none"/>
              </w:rPr>
            </w:pPr>
          </w:p>
          <w:p w14:paraId="267D1826">
            <w:pPr>
              <w:ind w:left="945" w:hanging="945" w:hangingChars="450"/>
              <w:rPr>
                <w:rFonts w:hint="eastAsia" w:ascii="宋体" w:hAnsi="宋体" w:eastAsia="宋体" w:cs="宋体"/>
                <w:color w:val="auto"/>
                <w:szCs w:val="24"/>
                <w:highlight w:val="none"/>
              </w:rPr>
            </w:pPr>
          </w:p>
          <w:p w14:paraId="2444E062">
            <w:pPr>
              <w:ind w:left="945" w:hanging="945" w:hangingChars="450"/>
              <w:rPr>
                <w:rFonts w:hint="eastAsia" w:ascii="宋体" w:hAnsi="宋体" w:eastAsia="宋体" w:cs="宋体"/>
                <w:color w:val="auto"/>
                <w:szCs w:val="24"/>
                <w:highlight w:val="none"/>
              </w:rPr>
            </w:pPr>
          </w:p>
          <w:p w14:paraId="36E4C7C6">
            <w:pPr>
              <w:ind w:left="945" w:hanging="945" w:hangingChars="450"/>
              <w:rPr>
                <w:rFonts w:hint="eastAsia" w:ascii="宋体" w:hAnsi="宋体" w:eastAsia="宋体" w:cs="宋体"/>
                <w:color w:val="auto"/>
                <w:szCs w:val="24"/>
                <w:highlight w:val="none"/>
              </w:rPr>
            </w:pPr>
          </w:p>
          <w:p w14:paraId="27498206">
            <w:pPr>
              <w:ind w:left="945" w:hanging="945" w:hangingChars="450"/>
              <w:rPr>
                <w:rFonts w:hint="eastAsia" w:ascii="宋体" w:hAnsi="宋体" w:eastAsia="宋体" w:cs="宋体"/>
                <w:color w:val="auto"/>
                <w:szCs w:val="24"/>
                <w:highlight w:val="none"/>
              </w:rPr>
            </w:pPr>
          </w:p>
          <w:p w14:paraId="35BCCD0D">
            <w:pPr>
              <w:ind w:left="945" w:hanging="945" w:hangingChars="450"/>
              <w:rPr>
                <w:rFonts w:hint="eastAsia" w:ascii="宋体" w:hAnsi="宋体" w:eastAsia="宋体" w:cs="宋体"/>
                <w:color w:val="auto"/>
                <w:szCs w:val="24"/>
                <w:highlight w:val="none"/>
              </w:rPr>
            </w:pPr>
          </w:p>
          <w:p w14:paraId="237AA2E5">
            <w:pPr>
              <w:ind w:left="945" w:hanging="945" w:hangingChars="45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与本单位存在控股与被控股关系的单位：</w:t>
            </w:r>
          </w:p>
          <w:p w14:paraId="2ED488B3">
            <w:pPr>
              <w:ind w:left="945" w:hanging="945" w:hangingChars="450"/>
              <w:rPr>
                <w:rFonts w:hint="eastAsia" w:ascii="宋体" w:hAnsi="宋体" w:eastAsia="宋体" w:cs="宋体"/>
                <w:color w:val="auto"/>
                <w:szCs w:val="24"/>
                <w:highlight w:val="none"/>
              </w:rPr>
            </w:pPr>
          </w:p>
          <w:p w14:paraId="0E3FEF61">
            <w:pPr>
              <w:ind w:left="945" w:hanging="945" w:hangingChars="450"/>
              <w:rPr>
                <w:rFonts w:hint="eastAsia" w:ascii="宋体" w:hAnsi="宋体" w:eastAsia="宋体" w:cs="宋体"/>
                <w:color w:val="auto"/>
                <w:szCs w:val="24"/>
                <w:highlight w:val="none"/>
              </w:rPr>
            </w:pPr>
          </w:p>
          <w:p w14:paraId="2B3D168E">
            <w:pPr>
              <w:ind w:left="945" w:hanging="945" w:hangingChars="450"/>
              <w:rPr>
                <w:rFonts w:hint="eastAsia" w:ascii="宋体" w:hAnsi="宋体" w:eastAsia="宋体" w:cs="宋体"/>
                <w:color w:val="auto"/>
                <w:szCs w:val="24"/>
                <w:highlight w:val="none"/>
              </w:rPr>
            </w:pPr>
          </w:p>
          <w:p w14:paraId="0976C80C">
            <w:pPr>
              <w:ind w:left="945" w:hanging="945" w:hangingChars="450"/>
              <w:rPr>
                <w:rFonts w:hint="eastAsia" w:ascii="宋体" w:hAnsi="宋体" w:eastAsia="宋体" w:cs="宋体"/>
                <w:color w:val="auto"/>
                <w:szCs w:val="24"/>
                <w:highlight w:val="none"/>
              </w:rPr>
            </w:pPr>
          </w:p>
          <w:p w14:paraId="3A831872">
            <w:pPr>
              <w:ind w:left="945" w:hanging="945" w:hangingChars="450"/>
              <w:rPr>
                <w:rFonts w:hint="eastAsia" w:ascii="宋体" w:hAnsi="宋体" w:eastAsia="宋体" w:cs="宋体"/>
                <w:color w:val="auto"/>
                <w:szCs w:val="24"/>
                <w:highlight w:val="none"/>
              </w:rPr>
            </w:pPr>
          </w:p>
          <w:p w14:paraId="04A40EEC">
            <w:pPr>
              <w:ind w:left="945" w:hanging="945" w:hangingChars="450"/>
              <w:rPr>
                <w:rFonts w:hint="eastAsia" w:ascii="宋体" w:hAnsi="宋体" w:eastAsia="宋体" w:cs="宋体"/>
                <w:color w:val="auto"/>
                <w:szCs w:val="24"/>
                <w:highlight w:val="none"/>
              </w:rPr>
            </w:pPr>
          </w:p>
          <w:p w14:paraId="26773E7F">
            <w:pPr>
              <w:ind w:left="945" w:hanging="945" w:hangingChars="450"/>
              <w:rPr>
                <w:rFonts w:hint="eastAsia" w:ascii="宋体" w:hAnsi="宋体" w:eastAsia="宋体" w:cs="宋体"/>
                <w:color w:val="auto"/>
                <w:szCs w:val="24"/>
                <w:highlight w:val="none"/>
              </w:rPr>
            </w:pPr>
          </w:p>
          <w:p w14:paraId="510B4B7C">
            <w:pPr>
              <w:ind w:left="945" w:hanging="945" w:hangingChars="450"/>
              <w:rPr>
                <w:rFonts w:hint="eastAsia" w:ascii="宋体" w:hAnsi="宋体" w:eastAsia="宋体" w:cs="宋体"/>
                <w:color w:val="auto"/>
                <w:szCs w:val="24"/>
                <w:highlight w:val="none"/>
              </w:rPr>
            </w:pPr>
          </w:p>
          <w:p w14:paraId="5F442E84">
            <w:pPr>
              <w:ind w:left="945" w:hanging="945" w:hangingChars="450"/>
              <w:rPr>
                <w:rFonts w:hint="eastAsia" w:ascii="宋体" w:hAnsi="宋体" w:eastAsia="宋体" w:cs="宋体"/>
                <w:color w:val="auto"/>
                <w:szCs w:val="24"/>
                <w:highlight w:val="none"/>
              </w:rPr>
            </w:pPr>
          </w:p>
          <w:p w14:paraId="22975BC1">
            <w:pPr>
              <w:ind w:left="945" w:hanging="945" w:hangingChars="450"/>
              <w:rPr>
                <w:rFonts w:hint="eastAsia" w:ascii="宋体" w:hAnsi="宋体" w:eastAsia="宋体" w:cs="宋体"/>
                <w:color w:val="auto"/>
                <w:szCs w:val="24"/>
                <w:highlight w:val="none"/>
              </w:rPr>
            </w:pPr>
            <w:r>
              <w:rPr>
                <w:rFonts w:hint="eastAsia" w:ascii="宋体" w:hAnsi="宋体" w:eastAsia="宋体" w:cs="宋体"/>
                <w:color w:val="auto"/>
                <w:szCs w:val="24"/>
                <w:highlight w:val="none"/>
              </w:rPr>
              <w:t>与本单位存在管理与被管理关系的单位：</w:t>
            </w:r>
          </w:p>
          <w:p w14:paraId="3FBB57D3">
            <w:pPr>
              <w:snapToGrid w:val="0"/>
              <w:spacing w:line="360" w:lineRule="exact"/>
              <w:rPr>
                <w:rFonts w:hint="eastAsia" w:ascii="宋体" w:hAnsi="宋体" w:eastAsia="宋体" w:cs="宋体"/>
                <w:color w:val="auto"/>
                <w:szCs w:val="21"/>
                <w:highlight w:val="none"/>
              </w:rPr>
            </w:pPr>
          </w:p>
          <w:p w14:paraId="5C56452B">
            <w:pPr>
              <w:snapToGrid w:val="0"/>
              <w:spacing w:line="360" w:lineRule="exact"/>
              <w:rPr>
                <w:rFonts w:hint="eastAsia" w:ascii="宋体" w:hAnsi="宋体" w:eastAsia="宋体" w:cs="宋体"/>
                <w:color w:val="auto"/>
                <w:szCs w:val="21"/>
                <w:highlight w:val="none"/>
              </w:rPr>
            </w:pPr>
          </w:p>
          <w:p w14:paraId="54860CB8">
            <w:pPr>
              <w:tabs>
                <w:tab w:val="left" w:pos="6039"/>
              </w:tabs>
              <w:snapToGrid w:val="0"/>
              <w:spacing w:line="360" w:lineRule="exact"/>
              <w:rPr>
                <w:rFonts w:hint="eastAsia" w:ascii="宋体" w:hAnsi="宋体" w:eastAsia="宋体" w:cs="宋体"/>
                <w:color w:val="auto"/>
                <w:szCs w:val="21"/>
                <w:highlight w:val="none"/>
              </w:rPr>
            </w:pPr>
          </w:p>
        </w:tc>
      </w:tr>
    </w:tbl>
    <w:p w14:paraId="5C766161">
      <w:pPr>
        <w:rPr>
          <w:rFonts w:hint="eastAsia" w:ascii="宋体" w:hAnsi="宋体" w:eastAsia="宋体" w:cs="宋体"/>
          <w:color w:val="auto"/>
          <w:highlight w:val="none"/>
        </w:rPr>
      </w:pPr>
    </w:p>
    <w:p w14:paraId="33559259">
      <w:pPr>
        <w:ind w:left="945" w:hanging="945" w:hangingChars="450"/>
        <w:rPr>
          <w:rFonts w:hint="eastAsia" w:ascii="宋体" w:hAnsi="宋体" w:eastAsia="宋体" w:cs="宋体"/>
          <w:color w:val="auto"/>
          <w:szCs w:val="24"/>
          <w:highlight w:val="none"/>
        </w:rPr>
      </w:pPr>
    </w:p>
    <w:p w14:paraId="2146D552">
      <w:pPr>
        <w:ind w:left="945" w:hanging="945" w:hangingChars="450"/>
        <w:rPr>
          <w:rFonts w:hint="eastAsia" w:ascii="宋体" w:hAnsi="宋体" w:eastAsia="宋体" w:cs="宋体"/>
          <w:color w:val="auto"/>
          <w:szCs w:val="24"/>
          <w:highlight w:val="none"/>
        </w:rPr>
      </w:pPr>
    </w:p>
    <w:p w14:paraId="5C9356E2">
      <w:pPr>
        <w:ind w:left="945" w:hanging="945" w:hangingChars="450"/>
        <w:rPr>
          <w:rFonts w:hint="eastAsia" w:ascii="宋体" w:hAnsi="宋体" w:eastAsia="宋体" w:cs="宋体"/>
          <w:color w:val="auto"/>
          <w:szCs w:val="24"/>
          <w:highlight w:val="none"/>
        </w:rPr>
      </w:pPr>
    </w:p>
    <w:p w14:paraId="4ACEA595">
      <w:pPr>
        <w:ind w:left="945" w:hanging="945" w:hangingChars="450"/>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备注：1. 未披露或未真实披露申请人与可能参加本招标项目（标段/包）投标的关联单位的关系的相关情况视为弄虚作假。</w:t>
      </w:r>
    </w:p>
    <w:p w14:paraId="4288AD6B">
      <w:pPr>
        <w:ind w:left="945" w:leftChars="300" w:hanging="315" w:hangingChars="150"/>
        <w:rPr>
          <w:rFonts w:hint="eastAsia" w:ascii="宋体" w:hAnsi="宋体" w:eastAsia="宋体" w:cs="宋体"/>
          <w:color w:val="auto"/>
          <w:szCs w:val="24"/>
          <w:highlight w:val="none"/>
        </w:rPr>
      </w:pPr>
      <w:r>
        <w:rPr>
          <w:rFonts w:hint="eastAsia" w:ascii="宋体" w:hAnsi="宋体" w:eastAsia="宋体" w:cs="宋体"/>
          <w:color w:val="auto"/>
          <w:szCs w:val="24"/>
          <w:highlight w:val="none"/>
        </w:rPr>
        <w:t>2．联合体投标的，联合体各成员应分别填写。</w:t>
      </w:r>
    </w:p>
    <w:p w14:paraId="0A519B13">
      <w:pPr>
        <w:ind w:left="945" w:leftChars="300" w:hanging="315" w:hangingChars="150"/>
        <w:rPr>
          <w:rFonts w:hint="eastAsia" w:ascii="宋体" w:hAnsi="宋体" w:eastAsia="宋体" w:cs="宋体"/>
          <w:color w:val="auto"/>
          <w:szCs w:val="24"/>
          <w:highlight w:val="none"/>
        </w:rPr>
      </w:pPr>
    </w:p>
    <w:p w14:paraId="680959F9">
      <w:pPr>
        <w:tabs>
          <w:tab w:val="left" w:pos="630"/>
        </w:tabs>
        <w:ind w:firstLine="642" w:firstLineChars="306"/>
        <w:rPr>
          <w:rFonts w:hint="eastAsia" w:ascii="宋体" w:hAnsi="宋体" w:eastAsia="宋体" w:cs="宋体"/>
          <w:color w:val="auto"/>
          <w:highlight w:val="none"/>
        </w:rPr>
      </w:pPr>
    </w:p>
    <w:p w14:paraId="3FA1D287">
      <w:pPr>
        <w:rPr>
          <w:rFonts w:hint="eastAsia" w:ascii="宋体" w:hAnsi="宋体" w:eastAsia="宋体" w:cs="宋体"/>
          <w:color w:val="auto"/>
          <w:highlight w:val="none"/>
        </w:rPr>
      </w:pPr>
    </w:p>
    <w:p w14:paraId="37700688">
      <w:pPr>
        <w:rPr>
          <w:rFonts w:hint="eastAsia" w:ascii="宋体" w:hAnsi="宋体" w:eastAsia="宋体" w:cs="宋体"/>
          <w:color w:val="auto"/>
          <w:highlight w:val="none"/>
        </w:rPr>
      </w:pPr>
    </w:p>
    <w:p w14:paraId="60352D9B">
      <w:pPr>
        <w:rPr>
          <w:rFonts w:hint="eastAsia" w:ascii="宋体" w:hAnsi="宋体" w:eastAsia="宋体" w:cs="宋体"/>
          <w:color w:val="auto"/>
          <w:highlight w:val="none"/>
        </w:rPr>
      </w:pPr>
    </w:p>
    <w:p w14:paraId="2D4F62FC">
      <w:pPr>
        <w:rPr>
          <w:rFonts w:hint="eastAsia" w:ascii="宋体" w:hAnsi="宋体" w:eastAsia="宋体" w:cs="宋体"/>
          <w:color w:val="auto"/>
          <w:highlight w:val="none"/>
        </w:rPr>
      </w:pPr>
    </w:p>
    <w:p w14:paraId="4FAF0C48">
      <w:pPr>
        <w:rPr>
          <w:rFonts w:hint="eastAsia" w:ascii="宋体" w:hAnsi="宋体" w:eastAsia="宋体" w:cs="宋体"/>
          <w:color w:val="auto"/>
          <w:highlight w:val="none"/>
        </w:rPr>
      </w:pPr>
    </w:p>
    <w:p w14:paraId="36A046C9">
      <w:pPr>
        <w:rPr>
          <w:rFonts w:hint="eastAsia" w:ascii="宋体" w:hAnsi="宋体" w:eastAsia="宋体" w:cs="宋体"/>
          <w:color w:val="auto"/>
          <w:highlight w:val="none"/>
        </w:rPr>
      </w:pPr>
    </w:p>
    <w:p w14:paraId="391B21F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CF15738">
      <w:pPr>
        <w:keepNext/>
        <w:keepLines/>
        <w:spacing w:line="40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1-3投标人基本情况其它材料</w:t>
      </w:r>
    </w:p>
    <w:p w14:paraId="35F6DCEF">
      <w:pPr>
        <w:rPr>
          <w:rFonts w:hint="eastAsia" w:ascii="宋体" w:hAnsi="宋体" w:eastAsia="宋体" w:cs="宋体"/>
          <w:color w:val="auto"/>
          <w:highlight w:val="none"/>
        </w:rPr>
      </w:pPr>
    </w:p>
    <w:p w14:paraId="75D5ED76">
      <w:pPr>
        <w:rPr>
          <w:rFonts w:hint="eastAsia" w:ascii="宋体" w:hAnsi="宋体" w:eastAsia="宋体" w:cs="宋体"/>
          <w:color w:val="auto"/>
          <w:highlight w:val="none"/>
        </w:rPr>
      </w:pPr>
    </w:p>
    <w:p w14:paraId="746BCC10">
      <w:pPr>
        <w:rPr>
          <w:rFonts w:hint="eastAsia" w:ascii="宋体" w:hAnsi="宋体" w:eastAsia="宋体" w:cs="宋体"/>
          <w:color w:val="auto"/>
          <w:highlight w:val="none"/>
        </w:rPr>
      </w:pPr>
    </w:p>
    <w:p w14:paraId="62773AB9">
      <w:pPr>
        <w:rPr>
          <w:rFonts w:hint="eastAsia" w:ascii="宋体" w:hAnsi="宋体" w:eastAsia="宋体" w:cs="宋体"/>
          <w:color w:val="auto"/>
          <w:highlight w:val="none"/>
        </w:rPr>
      </w:pPr>
    </w:p>
    <w:p w14:paraId="476FA21C">
      <w:pPr>
        <w:rPr>
          <w:rFonts w:hint="eastAsia" w:ascii="宋体" w:hAnsi="宋体" w:eastAsia="宋体" w:cs="宋体"/>
          <w:color w:val="auto"/>
          <w:highlight w:val="none"/>
        </w:rPr>
      </w:pPr>
    </w:p>
    <w:p w14:paraId="35EE50B2">
      <w:pPr>
        <w:rPr>
          <w:rFonts w:hint="eastAsia" w:ascii="宋体" w:hAnsi="宋体" w:eastAsia="宋体" w:cs="宋体"/>
          <w:color w:val="auto"/>
          <w:highlight w:val="none"/>
        </w:rPr>
      </w:pPr>
    </w:p>
    <w:p w14:paraId="05980D27">
      <w:pPr>
        <w:rPr>
          <w:rFonts w:hint="eastAsia" w:ascii="宋体" w:hAnsi="宋体" w:eastAsia="宋体" w:cs="宋体"/>
          <w:color w:val="auto"/>
          <w:highlight w:val="none"/>
        </w:rPr>
      </w:pPr>
    </w:p>
    <w:p w14:paraId="6E31F822">
      <w:pPr>
        <w:rPr>
          <w:rFonts w:hint="eastAsia" w:ascii="宋体" w:hAnsi="宋体" w:eastAsia="宋体" w:cs="宋体"/>
          <w:color w:val="auto"/>
          <w:highlight w:val="none"/>
        </w:rPr>
      </w:pPr>
    </w:p>
    <w:p w14:paraId="330B9309">
      <w:pPr>
        <w:rPr>
          <w:rFonts w:hint="eastAsia" w:ascii="宋体" w:hAnsi="宋体" w:eastAsia="宋体" w:cs="宋体"/>
          <w:color w:val="auto"/>
          <w:highlight w:val="none"/>
        </w:rPr>
      </w:pPr>
    </w:p>
    <w:p w14:paraId="66CFD6BE">
      <w:pPr>
        <w:rPr>
          <w:rFonts w:hint="eastAsia" w:ascii="宋体" w:hAnsi="宋体" w:eastAsia="宋体" w:cs="宋体"/>
          <w:color w:val="auto"/>
          <w:highlight w:val="none"/>
        </w:rPr>
      </w:pPr>
    </w:p>
    <w:p w14:paraId="66E3BC9E">
      <w:pPr>
        <w:rPr>
          <w:rFonts w:hint="eastAsia" w:ascii="宋体" w:hAnsi="宋体" w:eastAsia="宋体" w:cs="宋体"/>
          <w:color w:val="auto"/>
          <w:highlight w:val="none"/>
        </w:rPr>
      </w:pPr>
    </w:p>
    <w:p w14:paraId="1DA1B665">
      <w:pPr>
        <w:rPr>
          <w:rFonts w:hint="eastAsia" w:ascii="宋体" w:hAnsi="宋体" w:eastAsia="宋体" w:cs="宋体"/>
          <w:color w:val="auto"/>
          <w:highlight w:val="none"/>
        </w:rPr>
      </w:pPr>
    </w:p>
    <w:p w14:paraId="4B40036B">
      <w:pPr>
        <w:rPr>
          <w:rFonts w:hint="eastAsia" w:ascii="宋体" w:hAnsi="宋体" w:eastAsia="宋体" w:cs="宋体"/>
          <w:color w:val="auto"/>
          <w:highlight w:val="none"/>
        </w:rPr>
      </w:pPr>
    </w:p>
    <w:p w14:paraId="47500B70">
      <w:pPr>
        <w:rPr>
          <w:rFonts w:hint="eastAsia" w:ascii="宋体" w:hAnsi="宋体" w:eastAsia="宋体" w:cs="宋体"/>
          <w:color w:val="auto"/>
          <w:highlight w:val="none"/>
        </w:rPr>
      </w:pPr>
    </w:p>
    <w:p w14:paraId="09F42080">
      <w:pPr>
        <w:rPr>
          <w:rFonts w:hint="eastAsia" w:ascii="宋体" w:hAnsi="宋体" w:eastAsia="宋体" w:cs="宋体"/>
          <w:color w:val="auto"/>
          <w:highlight w:val="none"/>
        </w:rPr>
      </w:pPr>
    </w:p>
    <w:p w14:paraId="7A94D235">
      <w:pPr>
        <w:rPr>
          <w:rFonts w:hint="eastAsia" w:ascii="宋体" w:hAnsi="宋体" w:eastAsia="宋体" w:cs="宋体"/>
          <w:color w:val="auto"/>
          <w:highlight w:val="none"/>
        </w:rPr>
      </w:pPr>
    </w:p>
    <w:p w14:paraId="7804A0BD">
      <w:pPr>
        <w:rPr>
          <w:rFonts w:hint="eastAsia" w:ascii="宋体" w:hAnsi="宋体" w:eastAsia="宋体" w:cs="宋体"/>
          <w:color w:val="auto"/>
          <w:highlight w:val="none"/>
        </w:rPr>
      </w:pPr>
    </w:p>
    <w:p w14:paraId="2285C265">
      <w:pPr>
        <w:rPr>
          <w:rFonts w:hint="eastAsia" w:ascii="宋体" w:hAnsi="宋体" w:eastAsia="宋体" w:cs="宋体"/>
          <w:color w:val="auto"/>
          <w:highlight w:val="none"/>
        </w:rPr>
      </w:pPr>
    </w:p>
    <w:p w14:paraId="61016854">
      <w:pPr>
        <w:rPr>
          <w:rFonts w:hint="eastAsia" w:ascii="宋体" w:hAnsi="宋体" w:eastAsia="宋体" w:cs="宋体"/>
          <w:color w:val="auto"/>
          <w:highlight w:val="none"/>
        </w:rPr>
      </w:pPr>
    </w:p>
    <w:p w14:paraId="7E7B3E0B">
      <w:pPr>
        <w:rPr>
          <w:rFonts w:hint="eastAsia" w:ascii="宋体" w:hAnsi="宋体" w:eastAsia="宋体" w:cs="宋体"/>
          <w:color w:val="auto"/>
          <w:highlight w:val="none"/>
        </w:rPr>
      </w:pPr>
    </w:p>
    <w:p w14:paraId="2F630EEC">
      <w:pPr>
        <w:rPr>
          <w:rFonts w:hint="eastAsia" w:ascii="宋体" w:hAnsi="宋体" w:eastAsia="宋体" w:cs="宋体"/>
          <w:color w:val="auto"/>
          <w:highlight w:val="none"/>
        </w:rPr>
      </w:pPr>
    </w:p>
    <w:p w14:paraId="073986F0">
      <w:pPr>
        <w:rPr>
          <w:rFonts w:hint="eastAsia" w:ascii="宋体" w:hAnsi="宋体" w:eastAsia="宋体" w:cs="宋体"/>
          <w:color w:val="auto"/>
          <w:highlight w:val="none"/>
        </w:rPr>
      </w:pPr>
    </w:p>
    <w:p w14:paraId="313F77C9">
      <w:pPr>
        <w:rPr>
          <w:rFonts w:hint="eastAsia" w:ascii="宋体" w:hAnsi="宋体" w:eastAsia="宋体" w:cs="宋体"/>
          <w:color w:val="auto"/>
          <w:highlight w:val="none"/>
        </w:rPr>
      </w:pPr>
    </w:p>
    <w:p w14:paraId="792FF5A5">
      <w:pPr>
        <w:rPr>
          <w:rFonts w:hint="eastAsia" w:ascii="宋体" w:hAnsi="宋体" w:eastAsia="宋体" w:cs="宋体"/>
          <w:color w:val="auto"/>
          <w:highlight w:val="none"/>
        </w:rPr>
      </w:pPr>
    </w:p>
    <w:p w14:paraId="48A0FC40">
      <w:pPr>
        <w:rPr>
          <w:rFonts w:hint="eastAsia" w:ascii="宋体" w:hAnsi="宋体" w:eastAsia="宋体" w:cs="宋体"/>
          <w:color w:val="auto"/>
          <w:highlight w:val="none"/>
        </w:rPr>
      </w:pPr>
    </w:p>
    <w:p w14:paraId="761CF9A7">
      <w:pPr>
        <w:rPr>
          <w:rFonts w:hint="eastAsia" w:ascii="宋体" w:hAnsi="宋体" w:eastAsia="宋体" w:cs="宋体"/>
          <w:color w:val="auto"/>
          <w:highlight w:val="none"/>
        </w:rPr>
        <w:sectPr>
          <w:pgSz w:w="11907" w:h="16840"/>
          <w:pgMar w:top="1440" w:right="1080" w:bottom="1440" w:left="1080" w:header="851" w:footer="992" w:gutter="0"/>
          <w:pgNumType w:fmt="decimal"/>
          <w:cols w:space="720" w:num="1"/>
          <w:docGrid w:linePitch="312" w:charSpace="0"/>
        </w:sectPr>
      </w:pPr>
    </w:p>
    <w:p w14:paraId="157A0C3A">
      <w:pPr>
        <w:spacing w:after="240"/>
        <w:jc w:val="center"/>
        <w:outlineLvl w:val="3"/>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eastAsia="zh-CN"/>
        </w:rPr>
        <w:t>2、近</w:t>
      </w:r>
      <w:r>
        <w:rPr>
          <w:rFonts w:hint="eastAsia" w:ascii="宋体" w:hAnsi="宋体" w:eastAsia="宋体" w:cs="宋体"/>
          <w:color w:val="auto"/>
          <w:szCs w:val="21"/>
          <w:highlight w:val="none"/>
          <w:u w:val="single"/>
          <w:lang w:val="en-US" w:eastAsia="zh-CN"/>
        </w:rPr>
        <w:t>3</w:t>
      </w:r>
      <w:r>
        <w:rPr>
          <w:rFonts w:hint="eastAsia" w:ascii="宋体" w:hAnsi="宋体" w:eastAsia="宋体" w:cs="宋体"/>
          <w:b/>
          <w:color w:val="auto"/>
          <w:sz w:val="24"/>
          <w:szCs w:val="24"/>
          <w:highlight w:val="none"/>
          <w:lang w:val="zh-CN" w:eastAsia="zh-CN"/>
        </w:rPr>
        <w:t>年财务状况</w:t>
      </w:r>
    </w:p>
    <w:p w14:paraId="3C8DF819">
      <w:pPr>
        <w:ind w:left="970" w:hanging="970" w:hangingChars="460"/>
        <w:rPr>
          <w:rFonts w:hint="eastAsia" w:ascii="宋体" w:hAnsi="宋体" w:eastAsia="宋体" w:cs="宋体"/>
          <w:b/>
          <w:color w:val="auto"/>
          <w:highlight w:val="none"/>
        </w:rPr>
      </w:pPr>
    </w:p>
    <w:p w14:paraId="35F8FFB4">
      <w:pPr>
        <w:ind w:left="970" w:hanging="970" w:hangingChars="460"/>
        <w:rPr>
          <w:rFonts w:hint="eastAsia" w:ascii="宋体" w:hAnsi="宋体" w:eastAsia="宋体" w:cs="宋体"/>
          <w:b/>
          <w:color w:val="auto"/>
          <w:highlight w:val="none"/>
        </w:rPr>
      </w:pPr>
    </w:p>
    <w:p w14:paraId="47E51B92">
      <w:pPr>
        <w:ind w:left="970" w:hanging="970" w:hangingChars="460"/>
        <w:rPr>
          <w:rFonts w:hint="eastAsia" w:ascii="宋体" w:hAnsi="宋体" w:eastAsia="宋体" w:cs="宋体"/>
          <w:b/>
          <w:color w:val="auto"/>
          <w:highlight w:val="none"/>
        </w:rPr>
      </w:pPr>
    </w:p>
    <w:p w14:paraId="3798C409">
      <w:pPr>
        <w:ind w:left="970" w:hanging="970" w:hangingChars="460"/>
        <w:rPr>
          <w:rFonts w:hint="eastAsia" w:ascii="宋体" w:hAnsi="宋体" w:eastAsia="宋体" w:cs="宋体"/>
          <w:b/>
          <w:color w:val="auto"/>
          <w:highlight w:val="none"/>
        </w:rPr>
      </w:pPr>
    </w:p>
    <w:p w14:paraId="3996F44A">
      <w:pPr>
        <w:ind w:left="970" w:hanging="970" w:hangingChars="460"/>
        <w:rPr>
          <w:rFonts w:hint="eastAsia" w:ascii="宋体" w:hAnsi="宋体" w:eastAsia="宋体" w:cs="宋体"/>
          <w:b/>
          <w:color w:val="auto"/>
          <w:highlight w:val="none"/>
        </w:rPr>
      </w:pPr>
    </w:p>
    <w:p w14:paraId="0AD83F14">
      <w:pPr>
        <w:ind w:left="970" w:hanging="970" w:hangingChars="460"/>
        <w:rPr>
          <w:rFonts w:hint="eastAsia" w:ascii="宋体" w:hAnsi="宋体" w:eastAsia="宋体" w:cs="宋体"/>
          <w:b/>
          <w:color w:val="auto"/>
          <w:highlight w:val="none"/>
        </w:rPr>
      </w:pPr>
    </w:p>
    <w:p w14:paraId="18553D7C">
      <w:pPr>
        <w:ind w:left="970" w:hanging="970" w:hangingChars="460"/>
        <w:rPr>
          <w:rFonts w:hint="eastAsia" w:ascii="宋体" w:hAnsi="宋体" w:eastAsia="宋体" w:cs="宋体"/>
          <w:b/>
          <w:color w:val="auto"/>
          <w:highlight w:val="none"/>
        </w:rPr>
      </w:pPr>
    </w:p>
    <w:p w14:paraId="2748A2A4">
      <w:pPr>
        <w:ind w:left="970" w:hanging="970" w:hangingChars="460"/>
        <w:rPr>
          <w:rFonts w:hint="eastAsia" w:ascii="宋体" w:hAnsi="宋体" w:eastAsia="宋体" w:cs="宋体"/>
          <w:b/>
          <w:color w:val="auto"/>
          <w:highlight w:val="none"/>
        </w:rPr>
      </w:pPr>
    </w:p>
    <w:p w14:paraId="16498A74">
      <w:pPr>
        <w:ind w:left="970" w:hanging="970" w:hangingChars="460"/>
        <w:rPr>
          <w:rFonts w:hint="eastAsia" w:ascii="宋体" w:hAnsi="宋体" w:eastAsia="宋体" w:cs="宋体"/>
          <w:b/>
          <w:color w:val="auto"/>
          <w:highlight w:val="none"/>
        </w:rPr>
      </w:pPr>
    </w:p>
    <w:p w14:paraId="7EEAB332">
      <w:pPr>
        <w:ind w:left="970" w:hanging="970" w:hangingChars="460"/>
        <w:rPr>
          <w:rFonts w:hint="eastAsia" w:ascii="宋体" w:hAnsi="宋体" w:eastAsia="宋体" w:cs="宋体"/>
          <w:b/>
          <w:color w:val="auto"/>
          <w:highlight w:val="none"/>
        </w:rPr>
      </w:pPr>
    </w:p>
    <w:p w14:paraId="727B7350">
      <w:pPr>
        <w:ind w:left="970" w:hanging="970" w:hangingChars="460"/>
        <w:rPr>
          <w:rFonts w:hint="eastAsia" w:ascii="宋体" w:hAnsi="宋体" w:eastAsia="宋体" w:cs="宋体"/>
          <w:b/>
          <w:color w:val="auto"/>
          <w:highlight w:val="none"/>
        </w:rPr>
      </w:pPr>
    </w:p>
    <w:p w14:paraId="3D8A3027">
      <w:pPr>
        <w:ind w:left="970" w:hanging="970" w:hangingChars="460"/>
        <w:rPr>
          <w:rFonts w:hint="eastAsia" w:ascii="宋体" w:hAnsi="宋体" w:eastAsia="宋体" w:cs="宋体"/>
          <w:b/>
          <w:color w:val="auto"/>
          <w:highlight w:val="none"/>
        </w:rPr>
      </w:pPr>
    </w:p>
    <w:p w14:paraId="58516D1B">
      <w:pPr>
        <w:ind w:left="970" w:hanging="970" w:hangingChars="460"/>
        <w:rPr>
          <w:rFonts w:hint="eastAsia" w:ascii="宋体" w:hAnsi="宋体" w:eastAsia="宋体" w:cs="宋体"/>
          <w:b/>
          <w:color w:val="auto"/>
          <w:highlight w:val="none"/>
        </w:rPr>
      </w:pPr>
    </w:p>
    <w:p w14:paraId="51CD4784">
      <w:pPr>
        <w:ind w:left="970" w:hanging="970" w:hangingChars="460"/>
        <w:rPr>
          <w:rFonts w:hint="eastAsia" w:ascii="宋体" w:hAnsi="宋体" w:eastAsia="宋体" w:cs="宋体"/>
          <w:b/>
          <w:color w:val="auto"/>
          <w:highlight w:val="none"/>
        </w:rPr>
      </w:pPr>
    </w:p>
    <w:p w14:paraId="73BC6C45">
      <w:pPr>
        <w:ind w:left="970" w:hanging="970" w:hangingChars="460"/>
        <w:rPr>
          <w:rFonts w:hint="eastAsia" w:ascii="宋体" w:hAnsi="宋体" w:eastAsia="宋体" w:cs="宋体"/>
          <w:b/>
          <w:color w:val="auto"/>
          <w:highlight w:val="none"/>
        </w:rPr>
      </w:pPr>
    </w:p>
    <w:p w14:paraId="205CACEE">
      <w:pPr>
        <w:ind w:left="970" w:hanging="970" w:hangingChars="460"/>
        <w:rPr>
          <w:rFonts w:hint="eastAsia" w:ascii="宋体" w:hAnsi="宋体" w:eastAsia="宋体" w:cs="宋体"/>
          <w:b/>
          <w:color w:val="auto"/>
          <w:highlight w:val="none"/>
        </w:rPr>
      </w:pPr>
    </w:p>
    <w:p w14:paraId="57309733">
      <w:pPr>
        <w:ind w:left="970" w:hanging="970" w:hangingChars="460"/>
        <w:rPr>
          <w:rFonts w:hint="eastAsia" w:ascii="宋体" w:hAnsi="宋体" w:eastAsia="宋体" w:cs="宋体"/>
          <w:b/>
          <w:color w:val="auto"/>
          <w:highlight w:val="none"/>
        </w:rPr>
      </w:pPr>
    </w:p>
    <w:p w14:paraId="43850E24">
      <w:pPr>
        <w:ind w:left="970" w:hanging="970" w:hangingChars="460"/>
        <w:rPr>
          <w:rFonts w:hint="eastAsia" w:ascii="宋体" w:hAnsi="宋体" w:eastAsia="宋体" w:cs="宋体"/>
          <w:b/>
          <w:color w:val="auto"/>
          <w:highlight w:val="none"/>
        </w:rPr>
      </w:pPr>
    </w:p>
    <w:p w14:paraId="6EF45E30">
      <w:pPr>
        <w:ind w:left="970" w:hanging="970" w:hangingChars="460"/>
        <w:rPr>
          <w:rFonts w:hint="eastAsia" w:ascii="宋体" w:hAnsi="宋体" w:eastAsia="宋体" w:cs="宋体"/>
          <w:b/>
          <w:color w:val="auto"/>
          <w:highlight w:val="none"/>
        </w:rPr>
      </w:pPr>
    </w:p>
    <w:p w14:paraId="365B737B">
      <w:pPr>
        <w:ind w:left="970" w:hanging="970" w:hangingChars="460"/>
        <w:rPr>
          <w:rFonts w:hint="eastAsia" w:ascii="宋体" w:hAnsi="宋体" w:eastAsia="宋体" w:cs="宋体"/>
          <w:b/>
          <w:color w:val="auto"/>
          <w:highlight w:val="none"/>
        </w:rPr>
      </w:pPr>
    </w:p>
    <w:p w14:paraId="084287AD">
      <w:pPr>
        <w:ind w:left="970" w:hanging="970" w:hangingChars="460"/>
        <w:rPr>
          <w:rFonts w:hint="eastAsia" w:ascii="宋体" w:hAnsi="宋体" w:eastAsia="宋体" w:cs="宋体"/>
          <w:b/>
          <w:color w:val="auto"/>
          <w:highlight w:val="none"/>
        </w:rPr>
      </w:pPr>
    </w:p>
    <w:p w14:paraId="63EE1476">
      <w:pPr>
        <w:ind w:left="970" w:hanging="970" w:hangingChars="460"/>
        <w:rPr>
          <w:rFonts w:hint="eastAsia" w:ascii="宋体" w:hAnsi="宋体" w:eastAsia="宋体" w:cs="宋体"/>
          <w:b/>
          <w:color w:val="auto"/>
          <w:highlight w:val="none"/>
        </w:rPr>
      </w:pPr>
    </w:p>
    <w:p w14:paraId="0333D87F">
      <w:pPr>
        <w:ind w:left="970" w:hanging="970" w:hangingChars="460"/>
        <w:rPr>
          <w:rFonts w:hint="eastAsia" w:ascii="宋体" w:hAnsi="宋体" w:eastAsia="宋体" w:cs="宋体"/>
          <w:b/>
          <w:color w:val="auto"/>
          <w:highlight w:val="none"/>
        </w:rPr>
      </w:pPr>
    </w:p>
    <w:p w14:paraId="23E0B201">
      <w:pPr>
        <w:ind w:left="970" w:hanging="970" w:hangingChars="460"/>
        <w:rPr>
          <w:rFonts w:hint="eastAsia" w:ascii="宋体" w:hAnsi="宋体" w:eastAsia="宋体" w:cs="宋体"/>
          <w:b/>
          <w:color w:val="auto"/>
          <w:highlight w:val="none"/>
        </w:rPr>
      </w:pPr>
    </w:p>
    <w:p w14:paraId="72B89425">
      <w:pPr>
        <w:ind w:left="970" w:hanging="970" w:hangingChars="460"/>
        <w:rPr>
          <w:rFonts w:hint="eastAsia" w:ascii="宋体" w:hAnsi="宋体" w:eastAsia="宋体" w:cs="宋体"/>
          <w:b/>
          <w:color w:val="auto"/>
          <w:highlight w:val="none"/>
        </w:rPr>
      </w:pPr>
    </w:p>
    <w:p w14:paraId="06437695">
      <w:pPr>
        <w:ind w:left="970" w:hanging="970" w:hangingChars="460"/>
        <w:rPr>
          <w:rFonts w:hint="eastAsia" w:ascii="宋体" w:hAnsi="宋体" w:eastAsia="宋体" w:cs="宋体"/>
          <w:b/>
          <w:color w:val="auto"/>
          <w:highlight w:val="none"/>
        </w:rPr>
      </w:pPr>
    </w:p>
    <w:p w14:paraId="6AAB5064">
      <w:pPr>
        <w:ind w:left="970" w:hanging="970" w:hangingChars="460"/>
        <w:rPr>
          <w:rFonts w:hint="eastAsia" w:ascii="宋体" w:hAnsi="宋体" w:eastAsia="宋体" w:cs="宋体"/>
          <w:b/>
          <w:color w:val="auto"/>
          <w:highlight w:val="none"/>
        </w:rPr>
      </w:pPr>
    </w:p>
    <w:p w14:paraId="380C44D8">
      <w:pPr>
        <w:ind w:left="966" w:hanging="965" w:hangingChars="460"/>
        <w:rPr>
          <w:rFonts w:hint="eastAsia" w:ascii="宋体" w:hAnsi="宋体" w:eastAsia="宋体" w:cs="宋体"/>
          <w:color w:val="auto"/>
          <w:kern w:val="0"/>
          <w:szCs w:val="21"/>
          <w:highlight w:val="none"/>
          <w:lang w:val="zh-CN"/>
        </w:rPr>
      </w:pPr>
    </w:p>
    <w:p w14:paraId="38E18759">
      <w:pPr>
        <w:ind w:left="966" w:hanging="965" w:hangingChars="460"/>
        <w:rPr>
          <w:rFonts w:hint="eastAsia" w:ascii="宋体" w:hAnsi="宋体" w:eastAsia="宋体" w:cs="宋体"/>
          <w:color w:val="auto"/>
          <w:kern w:val="0"/>
          <w:szCs w:val="21"/>
          <w:highlight w:val="none"/>
          <w:lang w:val="zh-CN"/>
        </w:rPr>
      </w:pPr>
    </w:p>
    <w:p w14:paraId="58B81A40">
      <w:pPr>
        <w:ind w:left="966" w:hanging="965" w:hangingChars="460"/>
        <w:rPr>
          <w:rFonts w:hint="eastAsia" w:ascii="宋体" w:hAnsi="宋体" w:eastAsia="宋体" w:cs="宋体"/>
          <w:color w:val="auto"/>
          <w:kern w:val="0"/>
          <w:szCs w:val="21"/>
          <w:highlight w:val="none"/>
          <w:lang w:val="zh-CN"/>
        </w:rPr>
      </w:pPr>
    </w:p>
    <w:p w14:paraId="5EA2E5CE">
      <w:pPr>
        <w:ind w:left="966" w:hanging="965" w:hangingChars="460"/>
        <w:rPr>
          <w:rFonts w:hint="eastAsia" w:ascii="宋体" w:hAnsi="宋体" w:eastAsia="宋体" w:cs="宋体"/>
          <w:color w:val="auto"/>
          <w:kern w:val="0"/>
          <w:szCs w:val="21"/>
          <w:highlight w:val="none"/>
          <w:lang w:val="zh-CN"/>
        </w:rPr>
      </w:pPr>
    </w:p>
    <w:p w14:paraId="4FF9AE21">
      <w:pPr>
        <w:ind w:left="970" w:hanging="970" w:hangingChars="460"/>
        <w:rPr>
          <w:rFonts w:hint="eastAsia" w:ascii="宋体" w:hAnsi="宋体" w:eastAsia="宋体" w:cs="宋体"/>
          <w:b/>
          <w:color w:val="auto"/>
          <w:highlight w:val="none"/>
        </w:rPr>
      </w:pPr>
    </w:p>
    <w:p w14:paraId="1F96BEE3">
      <w:pPr>
        <w:ind w:left="970" w:hanging="970" w:hangingChars="460"/>
        <w:rPr>
          <w:rFonts w:hint="eastAsia" w:ascii="宋体" w:hAnsi="宋体" w:eastAsia="宋体" w:cs="宋体"/>
          <w:b/>
          <w:color w:val="auto"/>
          <w:highlight w:val="none"/>
        </w:rPr>
      </w:pPr>
    </w:p>
    <w:p w14:paraId="5E3073F9">
      <w:pPr>
        <w:ind w:left="970" w:hanging="970" w:hangingChars="460"/>
        <w:rPr>
          <w:rFonts w:hint="eastAsia" w:ascii="宋体" w:hAnsi="宋体" w:eastAsia="宋体" w:cs="宋体"/>
          <w:b/>
          <w:color w:val="auto"/>
          <w:highlight w:val="none"/>
        </w:rPr>
      </w:pPr>
    </w:p>
    <w:p w14:paraId="578FD514">
      <w:pPr>
        <w:ind w:left="970" w:hanging="970" w:hangingChars="460"/>
        <w:rPr>
          <w:rFonts w:hint="eastAsia" w:ascii="宋体" w:hAnsi="宋体" w:eastAsia="宋体" w:cs="宋体"/>
          <w:b/>
          <w:color w:val="auto"/>
          <w:highlight w:val="none"/>
        </w:rPr>
      </w:pPr>
    </w:p>
    <w:p w14:paraId="25526306">
      <w:pPr>
        <w:ind w:left="970" w:hanging="970" w:hangingChars="460"/>
        <w:rPr>
          <w:rFonts w:hint="eastAsia" w:ascii="宋体" w:hAnsi="宋体" w:eastAsia="宋体" w:cs="宋体"/>
          <w:b/>
          <w:color w:val="auto"/>
          <w:highlight w:val="none"/>
        </w:rPr>
      </w:pPr>
    </w:p>
    <w:p w14:paraId="111548D7">
      <w:pPr>
        <w:rPr>
          <w:rFonts w:hint="eastAsia" w:ascii="宋体" w:hAnsi="宋体" w:eastAsia="宋体" w:cs="宋体"/>
          <w:b/>
          <w:color w:val="auto"/>
          <w:highlight w:val="none"/>
        </w:rPr>
      </w:pPr>
      <w:r>
        <w:rPr>
          <w:rFonts w:hint="eastAsia" w:ascii="宋体" w:hAnsi="宋体" w:eastAsia="宋体" w:cs="宋体"/>
          <w:b/>
          <w:color w:val="auto"/>
          <w:highlight w:val="none"/>
        </w:rPr>
        <w:t>备注：1、财务会计报表信息（如有）请上传至“财务会计报表”节点中，请勿在此节点中上传，否则会公示到外网。</w:t>
      </w:r>
    </w:p>
    <w:p w14:paraId="12FA64CC">
      <w:pPr>
        <w:rPr>
          <w:rFonts w:hint="eastAsia" w:ascii="宋体" w:hAnsi="宋体" w:eastAsia="宋体" w:cs="宋体"/>
          <w:b/>
          <w:color w:val="auto"/>
          <w:szCs w:val="24"/>
          <w:highlight w:val="none"/>
          <w:u w:val="none"/>
        </w:rPr>
      </w:pPr>
      <w:r>
        <w:rPr>
          <w:rFonts w:hint="eastAsia" w:ascii="宋体" w:hAnsi="宋体" w:eastAsia="宋体" w:cs="宋体"/>
          <w:b/>
          <w:color w:val="auto"/>
          <w:highlight w:val="none"/>
          <w:u w:val="none"/>
        </w:rPr>
        <w:t>2、提供近三年度(2022、2023、2024年度或2023、2024、2025年度)经审计的财务报告。（对于成立不足3年的公司，则提供公司自成立之日起至今的相关资料）</w:t>
      </w:r>
    </w:p>
    <w:p w14:paraId="58D1E5AF">
      <w:pPr>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br w:type="page"/>
      </w:r>
    </w:p>
    <w:p w14:paraId="56C9CBE2">
      <w:pPr>
        <w:spacing w:after="240"/>
        <w:jc w:val="center"/>
        <w:outlineLvl w:val="3"/>
        <w:rPr>
          <w:rFonts w:hint="eastAsia" w:ascii="宋体" w:hAnsi="宋体" w:eastAsia="宋体" w:cs="宋体"/>
          <w:color w:val="auto"/>
          <w:sz w:val="24"/>
          <w:szCs w:val="28"/>
          <w:highlight w:val="none"/>
          <w:lang w:val="zh-CN" w:eastAsia="zh-CN"/>
        </w:rPr>
      </w:pPr>
      <w:r>
        <w:rPr>
          <w:rFonts w:hint="eastAsia" w:ascii="宋体" w:hAnsi="宋体" w:eastAsia="宋体" w:cs="宋体"/>
          <w:b/>
          <w:color w:val="auto"/>
          <w:sz w:val="24"/>
          <w:szCs w:val="24"/>
          <w:highlight w:val="none"/>
          <w:lang w:val="zh-CN" w:eastAsia="zh-CN"/>
        </w:rPr>
        <w:t>3、近</w:t>
      </w:r>
      <w:r>
        <w:rPr>
          <w:rFonts w:hint="eastAsia" w:ascii="宋体" w:hAnsi="宋体" w:eastAsia="宋体" w:cs="宋体"/>
          <w:color w:val="auto"/>
          <w:sz w:val="24"/>
          <w:szCs w:val="21"/>
          <w:highlight w:val="none"/>
          <w:u w:val="single"/>
          <w:lang w:val="en-US" w:eastAsia="zh-CN"/>
        </w:rPr>
        <w:t>5</w:t>
      </w:r>
      <w:r>
        <w:rPr>
          <w:rFonts w:hint="eastAsia" w:ascii="宋体" w:hAnsi="宋体" w:eastAsia="宋体" w:cs="宋体"/>
          <w:b/>
          <w:color w:val="auto"/>
          <w:sz w:val="24"/>
          <w:szCs w:val="24"/>
          <w:highlight w:val="none"/>
          <w:lang w:val="zh-CN" w:eastAsia="zh-CN"/>
        </w:rPr>
        <w:t>年完成的类似</w:t>
      </w:r>
      <w:r>
        <w:rPr>
          <w:rFonts w:hint="eastAsia" w:ascii="宋体" w:hAnsi="宋体" w:eastAsia="宋体" w:cs="宋体"/>
          <w:b/>
          <w:color w:val="auto"/>
          <w:sz w:val="24"/>
          <w:szCs w:val="24"/>
          <w:highlight w:val="none"/>
          <w:lang w:val="zh-CN"/>
        </w:rPr>
        <w:t>业绩</w:t>
      </w:r>
      <w:r>
        <w:rPr>
          <w:rFonts w:hint="eastAsia" w:ascii="宋体" w:hAnsi="宋体" w:eastAsia="宋体" w:cs="宋体"/>
          <w:b/>
          <w:color w:val="auto"/>
          <w:sz w:val="24"/>
          <w:szCs w:val="24"/>
          <w:highlight w:val="none"/>
          <w:lang w:val="zh-CN" w:eastAsia="zh-CN"/>
        </w:rPr>
        <w:t>情况</w:t>
      </w:r>
    </w:p>
    <w:tbl>
      <w:tblPr>
        <w:tblStyle w:val="1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0"/>
        <w:gridCol w:w="2948"/>
        <w:gridCol w:w="2948"/>
        <w:gridCol w:w="1417"/>
        <w:gridCol w:w="1417"/>
      </w:tblGrid>
      <w:tr w14:paraId="12EA2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blHeader/>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2B43CEB0">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2948" w:type="dxa"/>
            <w:tcBorders>
              <w:top w:val="single" w:color="auto" w:sz="4" w:space="0"/>
              <w:left w:val="single" w:color="auto" w:sz="4" w:space="0"/>
              <w:bottom w:val="single" w:color="auto" w:sz="4" w:space="0"/>
              <w:right w:val="single" w:color="auto" w:sz="4" w:space="0"/>
            </w:tcBorders>
            <w:noWrap w:val="0"/>
            <w:vAlign w:val="center"/>
          </w:tcPr>
          <w:p w14:paraId="21401ED5">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项目单位名称</w:t>
            </w:r>
          </w:p>
        </w:tc>
        <w:tc>
          <w:tcPr>
            <w:tcW w:w="2948" w:type="dxa"/>
            <w:tcBorders>
              <w:top w:val="single" w:color="auto" w:sz="4" w:space="0"/>
              <w:left w:val="single" w:color="auto" w:sz="4" w:space="0"/>
              <w:bottom w:val="single" w:color="auto" w:sz="4" w:space="0"/>
              <w:right w:val="single" w:color="auto" w:sz="4" w:space="0"/>
            </w:tcBorders>
            <w:noWrap w:val="0"/>
            <w:vAlign w:val="center"/>
          </w:tcPr>
          <w:p w14:paraId="753285EC">
            <w:pPr>
              <w:widowControl/>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项目名称</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97C5329">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合同</w:t>
            </w:r>
            <w:r>
              <w:rPr>
                <w:rFonts w:hint="eastAsia" w:ascii="宋体" w:hAnsi="宋体" w:eastAsia="宋体" w:cs="宋体"/>
                <w:color w:val="auto"/>
                <w:kern w:val="0"/>
                <w:sz w:val="24"/>
                <w:szCs w:val="24"/>
                <w:highlight w:val="none"/>
              </w:rPr>
              <w:t>价格（万元）</w:t>
            </w:r>
          </w:p>
        </w:tc>
        <w:tc>
          <w:tcPr>
            <w:tcW w:w="1417" w:type="dxa"/>
            <w:tcBorders>
              <w:top w:val="single" w:color="auto" w:sz="4" w:space="0"/>
              <w:left w:val="single" w:color="auto" w:sz="4" w:space="0"/>
              <w:bottom w:val="single" w:color="auto" w:sz="4" w:space="0"/>
              <w:right w:val="single" w:color="auto" w:sz="4" w:space="0"/>
            </w:tcBorders>
            <w:noWrap w:val="0"/>
            <w:vAlign w:val="center"/>
          </w:tcPr>
          <w:p w14:paraId="2369B5B2">
            <w:pPr>
              <w:widowControl/>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签订时间</w:t>
            </w:r>
          </w:p>
        </w:tc>
      </w:tr>
      <w:tr w14:paraId="61EC7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blHeader/>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663FB135">
            <w:pPr>
              <w:widowControl/>
              <w:spacing w:line="360" w:lineRule="auto"/>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0B72880A">
            <w:pPr>
              <w:widowControl/>
              <w:spacing w:line="360" w:lineRule="auto"/>
              <w:ind w:right="-141" w:rightChars="-67"/>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3F1D7649">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54B7C7D9">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6BE7FE57">
            <w:pPr>
              <w:widowControl/>
              <w:spacing w:line="360" w:lineRule="auto"/>
              <w:jc w:val="center"/>
              <w:rPr>
                <w:rFonts w:hint="eastAsia" w:ascii="宋体" w:hAnsi="宋体" w:eastAsia="宋体" w:cs="宋体"/>
                <w:color w:val="auto"/>
                <w:kern w:val="0"/>
                <w:sz w:val="24"/>
                <w:szCs w:val="24"/>
                <w:highlight w:val="none"/>
              </w:rPr>
            </w:pPr>
          </w:p>
        </w:tc>
      </w:tr>
      <w:tr w14:paraId="55751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blHeader/>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77E67D4C">
            <w:pPr>
              <w:widowControl/>
              <w:spacing w:line="360" w:lineRule="auto"/>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347290F3">
            <w:pPr>
              <w:widowControl/>
              <w:spacing w:line="360" w:lineRule="auto"/>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235B174B">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4CBBAAC7">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B8CCB04">
            <w:pPr>
              <w:widowControl/>
              <w:spacing w:line="360" w:lineRule="auto"/>
              <w:jc w:val="center"/>
              <w:rPr>
                <w:rFonts w:hint="eastAsia" w:ascii="宋体" w:hAnsi="宋体" w:eastAsia="宋体" w:cs="宋体"/>
                <w:color w:val="auto"/>
                <w:kern w:val="0"/>
                <w:sz w:val="24"/>
                <w:szCs w:val="24"/>
                <w:highlight w:val="none"/>
              </w:rPr>
            </w:pPr>
          </w:p>
        </w:tc>
      </w:tr>
      <w:tr w14:paraId="422DC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3" w:hRule="atLeast"/>
          <w:tblHeader/>
          <w:jc w:val="center"/>
        </w:trPr>
        <w:tc>
          <w:tcPr>
            <w:tcW w:w="850" w:type="dxa"/>
            <w:tcBorders>
              <w:top w:val="single" w:color="auto" w:sz="4" w:space="0"/>
              <w:left w:val="single" w:color="auto" w:sz="4" w:space="0"/>
              <w:bottom w:val="single" w:color="auto" w:sz="4" w:space="0"/>
              <w:right w:val="single" w:color="auto" w:sz="4" w:space="0"/>
            </w:tcBorders>
            <w:noWrap w:val="0"/>
            <w:vAlign w:val="center"/>
          </w:tcPr>
          <w:p w14:paraId="3A449E96">
            <w:pPr>
              <w:widowControl/>
              <w:spacing w:line="360" w:lineRule="auto"/>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7B91D449">
            <w:pPr>
              <w:widowControl/>
              <w:spacing w:line="360" w:lineRule="auto"/>
              <w:jc w:val="center"/>
              <w:rPr>
                <w:rFonts w:hint="eastAsia" w:ascii="宋体" w:hAnsi="宋体" w:eastAsia="宋体" w:cs="宋体"/>
                <w:color w:val="auto"/>
                <w:kern w:val="0"/>
                <w:sz w:val="24"/>
                <w:szCs w:val="24"/>
                <w:highlight w:val="none"/>
              </w:rPr>
            </w:pPr>
          </w:p>
        </w:tc>
        <w:tc>
          <w:tcPr>
            <w:tcW w:w="2948" w:type="dxa"/>
            <w:tcBorders>
              <w:top w:val="single" w:color="auto" w:sz="4" w:space="0"/>
              <w:left w:val="single" w:color="auto" w:sz="4" w:space="0"/>
              <w:bottom w:val="single" w:color="auto" w:sz="4" w:space="0"/>
              <w:right w:val="single" w:color="auto" w:sz="4" w:space="0"/>
            </w:tcBorders>
            <w:noWrap w:val="0"/>
            <w:vAlign w:val="center"/>
          </w:tcPr>
          <w:p w14:paraId="687621C8">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3DC33B41">
            <w:pPr>
              <w:widowControl/>
              <w:spacing w:line="360" w:lineRule="auto"/>
              <w:jc w:val="center"/>
              <w:rPr>
                <w:rFonts w:hint="eastAsia" w:ascii="宋体" w:hAnsi="宋体" w:eastAsia="宋体" w:cs="宋体"/>
                <w:color w:val="auto"/>
                <w:kern w:val="0"/>
                <w:sz w:val="24"/>
                <w:szCs w:val="24"/>
                <w:highlight w:val="none"/>
              </w:rPr>
            </w:pPr>
          </w:p>
        </w:tc>
        <w:tc>
          <w:tcPr>
            <w:tcW w:w="1417" w:type="dxa"/>
            <w:tcBorders>
              <w:top w:val="single" w:color="auto" w:sz="4" w:space="0"/>
              <w:left w:val="single" w:color="auto" w:sz="4" w:space="0"/>
              <w:bottom w:val="single" w:color="auto" w:sz="4" w:space="0"/>
              <w:right w:val="single" w:color="auto" w:sz="4" w:space="0"/>
            </w:tcBorders>
            <w:noWrap w:val="0"/>
            <w:vAlign w:val="center"/>
          </w:tcPr>
          <w:p w14:paraId="741B557C">
            <w:pPr>
              <w:widowControl/>
              <w:spacing w:line="360" w:lineRule="auto"/>
              <w:jc w:val="center"/>
              <w:rPr>
                <w:rFonts w:hint="eastAsia" w:ascii="宋体" w:hAnsi="宋体" w:eastAsia="宋体" w:cs="宋体"/>
                <w:color w:val="auto"/>
                <w:kern w:val="0"/>
                <w:sz w:val="24"/>
                <w:szCs w:val="24"/>
                <w:highlight w:val="none"/>
              </w:rPr>
            </w:pPr>
          </w:p>
        </w:tc>
      </w:tr>
    </w:tbl>
    <w:p w14:paraId="746AE8FF">
      <w:pPr>
        <w:spacing w:line="600" w:lineRule="exact"/>
        <w:rPr>
          <w:rFonts w:hint="eastAsia" w:ascii="宋体" w:hAnsi="宋体" w:eastAsia="宋体" w:cs="宋体"/>
          <w:color w:val="auto"/>
          <w:highlight w:val="none"/>
        </w:rPr>
      </w:pPr>
    </w:p>
    <w:p w14:paraId="71119383">
      <w:pPr>
        <w:spacing w:line="600" w:lineRule="exact"/>
        <w:rPr>
          <w:rFonts w:hint="eastAsia" w:ascii="宋体" w:hAnsi="宋体" w:eastAsia="宋体" w:cs="宋体"/>
          <w:color w:val="auto"/>
          <w:highlight w:val="none"/>
        </w:rPr>
      </w:pPr>
    </w:p>
    <w:p w14:paraId="1141B566">
      <w:pPr>
        <w:spacing w:line="600" w:lineRule="exact"/>
        <w:rPr>
          <w:rFonts w:hint="eastAsia" w:ascii="宋体" w:hAnsi="宋体" w:eastAsia="宋体" w:cs="宋体"/>
          <w:color w:val="auto"/>
          <w:highlight w:val="none"/>
        </w:rPr>
      </w:pPr>
    </w:p>
    <w:p w14:paraId="6FCACA50">
      <w:pPr>
        <w:spacing w:line="600" w:lineRule="exact"/>
        <w:rPr>
          <w:rFonts w:hint="eastAsia" w:ascii="宋体" w:hAnsi="宋体" w:eastAsia="宋体" w:cs="宋体"/>
          <w:color w:val="auto"/>
          <w:highlight w:val="none"/>
        </w:rPr>
      </w:pPr>
    </w:p>
    <w:p w14:paraId="5080C978">
      <w:pPr>
        <w:spacing w:line="600" w:lineRule="exact"/>
        <w:rPr>
          <w:rFonts w:hint="eastAsia" w:ascii="宋体" w:hAnsi="宋体" w:eastAsia="宋体" w:cs="宋体"/>
          <w:color w:val="auto"/>
          <w:highlight w:val="none"/>
        </w:rPr>
      </w:pPr>
    </w:p>
    <w:p w14:paraId="04FEF565">
      <w:pPr>
        <w:spacing w:line="600" w:lineRule="exact"/>
        <w:rPr>
          <w:rFonts w:hint="eastAsia" w:ascii="宋体" w:hAnsi="宋体" w:eastAsia="宋体" w:cs="宋体"/>
          <w:color w:val="auto"/>
          <w:highlight w:val="none"/>
        </w:rPr>
      </w:pPr>
    </w:p>
    <w:p w14:paraId="06F0EE9F">
      <w:pPr>
        <w:spacing w:line="600" w:lineRule="exact"/>
        <w:rPr>
          <w:rFonts w:hint="eastAsia" w:ascii="宋体" w:hAnsi="宋体" w:eastAsia="宋体" w:cs="宋体"/>
          <w:color w:val="auto"/>
          <w:highlight w:val="none"/>
        </w:rPr>
      </w:pPr>
    </w:p>
    <w:p w14:paraId="1B03424E">
      <w:pPr>
        <w:rPr>
          <w:rFonts w:hint="eastAsia" w:ascii="宋体" w:hAnsi="宋体" w:eastAsia="宋体" w:cs="宋体"/>
          <w:b/>
          <w:bCs/>
          <w:color w:val="auto"/>
          <w:szCs w:val="24"/>
          <w:highlight w:val="none"/>
        </w:rPr>
      </w:pPr>
      <w:r>
        <w:rPr>
          <w:rFonts w:hint="eastAsia" w:ascii="宋体" w:hAnsi="宋体" w:eastAsia="宋体" w:cs="宋体"/>
          <w:b/>
          <w:color w:val="auto"/>
          <w:highlight w:val="none"/>
        </w:rPr>
        <w:t>备注：</w:t>
      </w:r>
      <w:r>
        <w:rPr>
          <w:rFonts w:hint="eastAsia" w:ascii="宋体" w:hAnsi="宋体" w:eastAsia="宋体" w:cs="宋体"/>
          <w:b/>
          <w:bCs/>
          <w:color w:val="auto"/>
          <w:szCs w:val="21"/>
          <w:highlight w:val="none"/>
        </w:rPr>
        <w:t>投标人承担过类似项目</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按照招标文件评分办法的要求进行提供</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。投标人可自行增加表格。</w:t>
      </w:r>
    </w:p>
    <w:p w14:paraId="18C2C5A6">
      <w:pPr>
        <w:spacing w:after="240"/>
        <w:jc w:val="center"/>
        <w:outlineLvl w:val="3"/>
        <w:rPr>
          <w:rFonts w:hint="eastAsia" w:ascii="宋体" w:hAnsi="宋体" w:eastAsia="宋体" w:cs="宋体"/>
          <w:color w:val="auto"/>
          <w:sz w:val="24"/>
          <w:szCs w:val="28"/>
          <w:highlight w:val="none"/>
          <w:lang w:val="zh-CN" w:eastAsia="zh-CN"/>
        </w:rPr>
      </w:pPr>
      <w:r>
        <w:rPr>
          <w:rFonts w:hint="eastAsia" w:ascii="宋体" w:hAnsi="宋体" w:eastAsia="宋体" w:cs="宋体"/>
          <w:color w:val="auto"/>
          <w:sz w:val="24"/>
          <w:szCs w:val="28"/>
          <w:highlight w:val="none"/>
          <w:lang w:val="zh-CN" w:eastAsia="zh-CN"/>
        </w:rPr>
        <w:br w:type="page"/>
      </w:r>
      <w:r>
        <w:rPr>
          <w:rFonts w:hint="eastAsia" w:ascii="宋体" w:hAnsi="宋体" w:eastAsia="宋体" w:cs="宋体"/>
          <w:b/>
          <w:color w:val="auto"/>
          <w:sz w:val="24"/>
          <w:szCs w:val="24"/>
          <w:highlight w:val="none"/>
          <w:lang w:val="zh-CN"/>
        </w:rPr>
        <w:t>4</w:t>
      </w:r>
      <w:r>
        <w:rPr>
          <w:rFonts w:hint="eastAsia" w:ascii="宋体" w:hAnsi="宋体" w:eastAsia="宋体" w:cs="宋体"/>
          <w:b/>
          <w:color w:val="auto"/>
          <w:sz w:val="24"/>
          <w:szCs w:val="24"/>
          <w:highlight w:val="none"/>
          <w:lang w:val="zh-CN" w:eastAsia="zh-CN"/>
        </w:rPr>
        <w:t>、企业信誉情况</w:t>
      </w:r>
    </w:p>
    <w:p w14:paraId="493148C9">
      <w:pPr>
        <w:keepNext/>
        <w:keepLines/>
        <w:spacing w:line="40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4-1投标人信誉声明</w:t>
      </w:r>
    </w:p>
    <w:p w14:paraId="669A61BE">
      <w:pPr>
        <w:spacing w:line="400" w:lineRule="atLeas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0588700C">
      <w:pPr>
        <w:spacing w:line="440" w:lineRule="exact"/>
        <w:jc w:val="center"/>
        <w:rPr>
          <w:rFonts w:hint="eastAsia" w:ascii="宋体" w:hAnsi="宋体" w:eastAsia="宋体" w:cs="宋体"/>
          <w:color w:val="auto"/>
          <w:szCs w:val="21"/>
          <w:highlight w:val="none"/>
        </w:rPr>
      </w:pPr>
    </w:p>
    <w:p w14:paraId="6AF9F538">
      <w:pPr>
        <w:spacing w:line="440" w:lineRule="exact"/>
        <w:rPr>
          <w:rFonts w:hint="eastAsia" w:ascii="宋体" w:hAnsi="宋体" w:eastAsia="宋体" w:cs="宋体"/>
          <w:color w:val="auto"/>
          <w:szCs w:val="21"/>
          <w:highlight w:val="none"/>
        </w:rPr>
      </w:pPr>
    </w:p>
    <w:p w14:paraId="4472F2FF">
      <w:pPr>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（招标人名称）：</w:t>
      </w:r>
    </w:p>
    <w:p w14:paraId="1A479C42">
      <w:pPr>
        <w:rPr>
          <w:rFonts w:hint="eastAsia" w:ascii="宋体" w:hAnsi="宋体" w:eastAsia="宋体" w:cs="宋体"/>
          <w:color w:val="auto"/>
          <w:szCs w:val="24"/>
          <w:highlight w:val="none"/>
        </w:rPr>
      </w:pPr>
    </w:p>
    <w:p w14:paraId="1FE247B3">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我方在此声明，</w:t>
      </w:r>
      <w:r>
        <w:rPr>
          <w:rFonts w:hint="eastAsia" w:ascii="宋体" w:hAnsi="宋体" w:eastAsia="宋体" w:cs="宋体"/>
          <w:color w:val="auto"/>
          <w:szCs w:val="24"/>
          <w:highlight w:val="none"/>
        </w:rPr>
        <w:t>截止本招标项目投标截止时间，我方处于</w:t>
      </w:r>
      <w:r>
        <w:rPr>
          <w:rFonts w:hint="eastAsia" w:ascii="宋体" w:hAnsi="宋体" w:eastAsia="宋体" w:cs="宋体"/>
          <w:color w:val="auto"/>
          <w:szCs w:val="21"/>
          <w:highlight w:val="none"/>
        </w:rPr>
        <w:t>正常的经营状态，不存在下列任何一种情形。</w:t>
      </w:r>
    </w:p>
    <w:p w14:paraId="082474CE">
      <w:pPr>
        <w:spacing w:line="400" w:lineRule="exact"/>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（1）被责令停业； </w:t>
      </w:r>
    </w:p>
    <w:p w14:paraId="04676CD4">
      <w:pPr>
        <w:spacing w:line="400" w:lineRule="exact"/>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（2）被暂停或取消投标资格； </w:t>
      </w:r>
    </w:p>
    <w:p w14:paraId="57ED5583">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（3）财产被接管或冻结；</w:t>
      </w:r>
    </w:p>
    <w:p w14:paraId="795EE842">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（4）在最近三年内有骗取中标或严重违约或重大工程质量问题。</w:t>
      </w:r>
    </w:p>
    <w:p w14:paraId="23EADCB1">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我方保证上述信息的真实和准确，并愿意承担因我方就此弄虚作假所引起的一切法律后果。</w:t>
      </w:r>
    </w:p>
    <w:p w14:paraId="4E794B63">
      <w:pPr>
        <w:spacing w:line="440" w:lineRule="exact"/>
        <w:ind w:firstLine="420" w:firstLineChars="200"/>
        <w:rPr>
          <w:rFonts w:hint="eastAsia" w:ascii="宋体" w:hAnsi="宋体" w:eastAsia="宋体" w:cs="宋体"/>
          <w:color w:val="auto"/>
          <w:szCs w:val="21"/>
          <w:highlight w:val="none"/>
        </w:rPr>
      </w:pPr>
    </w:p>
    <w:p w14:paraId="1F9ECCCB">
      <w:pPr>
        <w:spacing w:line="440" w:lineRule="exact"/>
        <w:ind w:firstLine="3990" w:firstLineChars="19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6C3FA0AA">
      <w:pPr>
        <w:spacing w:line="440" w:lineRule="exact"/>
        <w:ind w:firstLine="3990" w:firstLineChars="19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0C5DDD6D">
      <w:pPr>
        <w:spacing w:line="440" w:lineRule="exact"/>
        <w:ind w:firstLine="420" w:firstLineChars="200"/>
        <w:rPr>
          <w:rFonts w:hint="eastAsia" w:ascii="宋体" w:hAnsi="宋体" w:eastAsia="宋体" w:cs="宋体"/>
          <w:color w:val="auto"/>
          <w:szCs w:val="21"/>
          <w:highlight w:val="none"/>
        </w:rPr>
      </w:pPr>
    </w:p>
    <w:p w14:paraId="1857FB26">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年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日</w:t>
      </w:r>
    </w:p>
    <w:p w14:paraId="2DC0D73C">
      <w:pPr>
        <w:spacing w:line="400" w:lineRule="atLeast"/>
        <w:ind w:firstLine="420" w:firstLineChars="200"/>
        <w:jc w:val="center"/>
        <w:rPr>
          <w:rFonts w:hint="eastAsia" w:ascii="宋体" w:hAnsi="宋体" w:eastAsia="宋体" w:cs="宋体"/>
          <w:color w:val="auto"/>
          <w:szCs w:val="21"/>
          <w:highlight w:val="none"/>
        </w:rPr>
      </w:pPr>
    </w:p>
    <w:p w14:paraId="66CD866C">
      <w:pPr>
        <w:spacing w:line="400" w:lineRule="atLeast"/>
        <w:ind w:firstLine="420" w:firstLineChars="200"/>
        <w:jc w:val="center"/>
        <w:rPr>
          <w:rFonts w:hint="eastAsia" w:ascii="宋体" w:hAnsi="宋体" w:eastAsia="宋体" w:cs="宋体"/>
          <w:color w:val="auto"/>
          <w:szCs w:val="21"/>
          <w:highlight w:val="none"/>
        </w:rPr>
      </w:pPr>
    </w:p>
    <w:p w14:paraId="57795563">
      <w:pPr>
        <w:spacing w:line="400" w:lineRule="atLeast"/>
        <w:ind w:firstLine="420" w:firstLineChars="200"/>
        <w:jc w:val="center"/>
        <w:rPr>
          <w:rFonts w:hint="eastAsia" w:ascii="宋体" w:hAnsi="宋体" w:eastAsia="宋体" w:cs="宋体"/>
          <w:color w:val="auto"/>
          <w:szCs w:val="21"/>
          <w:highlight w:val="none"/>
        </w:rPr>
      </w:pPr>
    </w:p>
    <w:p w14:paraId="71531609">
      <w:pPr>
        <w:spacing w:line="400" w:lineRule="atLeast"/>
        <w:ind w:firstLine="420" w:firstLineChars="200"/>
        <w:jc w:val="center"/>
        <w:rPr>
          <w:rFonts w:hint="eastAsia" w:ascii="宋体" w:hAnsi="宋体" w:eastAsia="宋体" w:cs="宋体"/>
          <w:color w:val="auto"/>
          <w:szCs w:val="21"/>
          <w:highlight w:val="none"/>
        </w:rPr>
      </w:pPr>
    </w:p>
    <w:p w14:paraId="3E026D69">
      <w:pPr>
        <w:spacing w:line="400" w:lineRule="atLeast"/>
        <w:ind w:firstLine="420" w:firstLineChars="200"/>
        <w:jc w:val="center"/>
        <w:rPr>
          <w:rFonts w:hint="eastAsia" w:ascii="宋体" w:hAnsi="宋体" w:eastAsia="宋体" w:cs="宋体"/>
          <w:color w:val="auto"/>
          <w:szCs w:val="21"/>
          <w:highlight w:val="none"/>
        </w:rPr>
      </w:pPr>
    </w:p>
    <w:p w14:paraId="60BAC23A">
      <w:pPr>
        <w:spacing w:line="400" w:lineRule="atLeast"/>
        <w:ind w:firstLine="420" w:firstLineChars="200"/>
        <w:jc w:val="center"/>
        <w:rPr>
          <w:rFonts w:hint="eastAsia" w:ascii="宋体" w:hAnsi="宋体" w:eastAsia="宋体" w:cs="宋体"/>
          <w:color w:val="auto"/>
          <w:szCs w:val="21"/>
          <w:highlight w:val="none"/>
        </w:rPr>
      </w:pPr>
    </w:p>
    <w:p w14:paraId="227D55FA">
      <w:pPr>
        <w:spacing w:line="400" w:lineRule="atLeast"/>
        <w:ind w:firstLine="420" w:firstLineChars="200"/>
        <w:jc w:val="center"/>
        <w:rPr>
          <w:rFonts w:hint="eastAsia" w:ascii="宋体" w:hAnsi="宋体" w:eastAsia="宋体" w:cs="宋体"/>
          <w:color w:val="auto"/>
          <w:szCs w:val="21"/>
          <w:highlight w:val="none"/>
        </w:rPr>
      </w:pPr>
    </w:p>
    <w:p w14:paraId="0F668F56">
      <w:pPr>
        <w:spacing w:line="400" w:lineRule="atLeast"/>
        <w:ind w:firstLine="420" w:firstLineChars="200"/>
        <w:jc w:val="center"/>
        <w:rPr>
          <w:rFonts w:hint="eastAsia" w:ascii="宋体" w:hAnsi="宋体" w:eastAsia="宋体" w:cs="宋体"/>
          <w:color w:val="auto"/>
          <w:szCs w:val="21"/>
          <w:highlight w:val="none"/>
        </w:rPr>
      </w:pPr>
    </w:p>
    <w:p w14:paraId="24200F50">
      <w:pPr>
        <w:rPr>
          <w:rFonts w:hint="eastAsia" w:ascii="宋体" w:hAnsi="宋体" w:eastAsia="宋体" w:cs="宋体"/>
          <w:color w:val="auto"/>
          <w:sz w:val="24"/>
          <w:szCs w:val="24"/>
          <w:highlight w:val="none"/>
        </w:rPr>
      </w:pPr>
      <w:bookmarkStart w:id="498" w:name="_Toc456173584"/>
      <w:bookmarkStart w:id="499" w:name="_Toc467940293"/>
      <w:r>
        <w:rPr>
          <w:rFonts w:hint="eastAsia" w:ascii="宋体" w:hAnsi="宋体" w:eastAsia="宋体" w:cs="宋体"/>
          <w:color w:val="auto"/>
          <w:sz w:val="24"/>
          <w:szCs w:val="24"/>
          <w:highlight w:val="none"/>
        </w:rPr>
        <w:br w:type="page"/>
      </w:r>
    </w:p>
    <w:bookmarkEnd w:id="498"/>
    <w:bookmarkEnd w:id="499"/>
    <w:p w14:paraId="0F8AC4E1">
      <w:pPr>
        <w:keepNext/>
        <w:keepLines/>
        <w:spacing w:line="400" w:lineRule="exact"/>
        <w:jc w:val="center"/>
        <w:outlineLvl w:val="3"/>
        <w:rPr>
          <w:rFonts w:hint="eastAsia" w:ascii="宋体" w:hAnsi="宋体" w:eastAsia="宋体" w:cs="宋体"/>
          <w:color w:val="auto"/>
          <w:sz w:val="24"/>
          <w:szCs w:val="24"/>
          <w:highlight w:val="none"/>
        </w:rPr>
      </w:pPr>
      <w:bookmarkStart w:id="500" w:name="_Toc467365539"/>
      <w:bookmarkStart w:id="501" w:name="_Toc467940294"/>
      <w:r>
        <w:rPr>
          <w:rFonts w:hint="eastAsia" w:ascii="宋体" w:hAnsi="宋体" w:eastAsia="宋体" w:cs="宋体"/>
          <w:color w:val="auto"/>
          <w:sz w:val="24"/>
          <w:szCs w:val="24"/>
          <w:highlight w:val="none"/>
        </w:rPr>
        <w:t>4-2 失信被执行人查询结果</w:t>
      </w:r>
      <w:bookmarkEnd w:id="500"/>
      <w:bookmarkEnd w:id="501"/>
    </w:p>
    <w:p w14:paraId="4538D81E">
      <w:pPr>
        <w:spacing w:line="400" w:lineRule="atLeast"/>
        <w:ind w:left="840" w:hanging="840" w:hangingChars="400"/>
        <w:rPr>
          <w:rFonts w:hint="eastAsia" w:ascii="宋体" w:hAnsi="宋体" w:eastAsia="宋体" w:cs="宋体"/>
          <w:color w:val="auto"/>
          <w:szCs w:val="21"/>
          <w:highlight w:val="none"/>
        </w:rPr>
      </w:pPr>
    </w:p>
    <w:p w14:paraId="40FB45C9">
      <w:pPr>
        <w:spacing w:line="400" w:lineRule="atLeast"/>
        <w:ind w:left="840" w:hanging="840" w:hangingChars="400"/>
        <w:rPr>
          <w:rFonts w:hint="eastAsia" w:ascii="宋体" w:hAnsi="宋体" w:eastAsia="宋体" w:cs="宋体"/>
          <w:color w:val="auto"/>
          <w:szCs w:val="21"/>
          <w:highlight w:val="none"/>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5"/>
      </w:tblGrid>
      <w:tr w14:paraId="40CE3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0" w:hRule="atLeast"/>
        </w:trPr>
        <w:tc>
          <w:tcPr>
            <w:tcW w:w="9235" w:type="dxa"/>
          </w:tcPr>
          <w:p w14:paraId="77C5B5BE">
            <w:pPr>
              <w:spacing w:line="400" w:lineRule="atLeast"/>
              <w:ind w:left="630" w:hanging="630" w:hangingChars="300"/>
              <w:rPr>
                <w:rFonts w:hint="eastAsia" w:ascii="宋体" w:hAnsi="宋体" w:eastAsia="宋体" w:cs="宋体"/>
                <w:color w:val="auto"/>
                <w:szCs w:val="21"/>
                <w:highlight w:val="none"/>
              </w:rPr>
            </w:pPr>
          </w:p>
        </w:tc>
      </w:tr>
    </w:tbl>
    <w:p w14:paraId="244B2553">
      <w:pPr>
        <w:spacing w:line="400" w:lineRule="atLeast"/>
        <w:ind w:left="630" w:hanging="630" w:hangingChars="300"/>
        <w:rPr>
          <w:rFonts w:hint="eastAsia" w:ascii="宋体" w:hAnsi="宋体" w:eastAsia="宋体" w:cs="宋体"/>
          <w:color w:val="auto"/>
          <w:szCs w:val="21"/>
          <w:highlight w:val="none"/>
        </w:rPr>
      </w:pPr>
    </w:p>
    <w:p w14:paraId="2756FA3B">
      <w:pPr>
        <w:spacing w:line="400" w:lineRule="atLeast"/>
        <w:ind w:left="840" w:hanging="840" w:hanging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投标人根据《关于在招标投标活动中对失信被执行人实施联合惩戒的通知》（法〔2016〕285号）的规定，自行通过“信用中国”网站（www.creditchina.gov.cn）查询申请人是否为失信被执行人，并将查询结果“截图”附在本表中。</w:t>
      </w:r>
    </w:p>
    <w:p w14:paraId="4FF8E307">
      <w:pPr>
        <w:spacing w:line="400" w:lineRule="atLeast"/>
        <w:ind w:left="840" w:leftChars="300" w:hanging="210" w:hanging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2.联合体投标的，应当对所有联合体成员进行查询。</w:t>
      </w:r>
    </w:p>
    <w:p w14:paraId="765298BF">
      <w:pPr>
        <w:spacing w:line="440" w:lineRule="exact"/>
        <w:ind w:left="945" w:leftChars="300" w:hanging="315" w:hangingChars="150"/>
        <w:rPr>
          <w:rFonts w:hint="eastAsia" w:ascii="宋体" w:hAnsi="宋体" w:eastAsia="宋体" w:cs="宋体"/>
          <w:color w:val="auto"/>
          <w:szCs w:val="21"/>
          <w:highlight w:val="none"/>
        </w:rPr>
      </w:pPr>
    </w:p>
    <w:p w14:paraId="7EB8EB7F">
      <w:pPr>
        <w:spacing w:line="440" w:lineRule="exact"/>
        <w:ind w:left="945" w:leftChars="300" w:hanging="315" w:hangingChars="150"/>
        <w:rPr>
          <w:rFonts w:hint="eastAsia" w:ascii="宋体" w:hAnsi="宋体" w:eastAsia="宋体" w:cs="宋体"/>
          <w:color w:val="auto"/>
          <w:szCs w:val="21"/>
          <w:highlight w:val="none"/>
        </w:rPr>
      </w:pPr>
    </w:p>
    <w:p w14:paraId="4D36EF19">
      <w:pPr>
        <w:rPr>
          <w:rFonts w:hint="eastAsia" w:ascii="宋体" w:hAnsi="宋体" w:eastAsia="宋体" w:cs="宋体"/>
          <w:color w:val="auto"/>
          <w:sz w:val="24"/>
          <w:szCs w:val="24"/>
          <w:highlight w:val="none"/>
        </w:rPr>
      </w:pPr>
      <w:bookmarkStart w:id="502" w:name="_Toc467940295"/>
      <w:r>
        <w:rPr>
          <w:rFonts w:hint="eastAsia" w:ascii="宋体" w:hAnsi="宋体" w:eastAsia="宋体" w:cs="宋体"/>
          <w:color w:val="auto"/>
          <w:sz w:val="24"/>
          <w:szCs w:val="24"/>
          <w:highlight w:val="none"/>
        </w:rPr>
        <w:br w:type="page"/>
      </w:r>
    </w:p>
    <w:p w14:paraId="2032F683">
      <w:pPr>
        <w:keepNext/>
        <w:keepLines/>
        <w:spacing w:line="24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4"/>
          <w:szCs w:val="24"/>
          <w:highlight w:val="none"/>
        </w:rPr>
        <w:t>年发生的诉讼和仲裁情况</w:t>
      </w:r>
      <w:bookmarkEnd w:id="502"/>
    </w:p>
    <w:p w14:paraId="262F9E5F">
      <w:pPr>
        <w:spacing w:before="120" w:beforeLines="50" w:after="240" w:afterLines="100" w:line="440" w:lineRule="exact"/>
        <w:rPr>
          <w:rFonts w:hint="eastAsia" w:ascii="宋体" w:hAnsi="宋体" w:eastAsia="宋体" w:cs="宋体"/>
          <w:color w:val="auto"/>
          <w:sz w:val="24"/>
          <w:szCs w:val="24"/>
          <w:highlight w:val="none"/>
        </w:rPr>
      </w:pPr>
    </w:p>
    <w:tbl>
      <w:tblPr>
        <w:tblStyle w:val="1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5D68C9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shd w:val="clear" w:color="auto" w:fill="auto"/>
            <w:vAlign w:val="center"/>
          </w:tcPr>
          <w:p w14:paraId="5FA8E64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类别</w:t>
            </w:r>
          </w:p>
        </w:tc>
        <w:tc>
          <w:tcPr>
            <w:tcW w:w="954" w:type="dxa"/>
            <w:shd w:val="clear" w:color="auto" w:fill="auto"/>
            <w:vAlign w:val="center"/>
          </w:tcPr>
          <w:p w14:paraId="4B6F256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60" w:type="dxa"/>
            <w:shd w:val="clear" w:color="auto" w:fill="auto"/>
            <w:vAlign w:val="center"/>
          </w:tcPr>
          <w:p w14:paraId="45AE815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发生时间</w:t>
            </w:r>
          </w:p>
        </w:tc>
        <w:tc>
          <w:tcPr>
            <w:tcW w:w="3600" w:type="dxa"/>
            <w:shd w:val="clear" w:color="auto" w:fill="auto"/>
            <w:vAlign w:val="center"/>
          </w:tcPr>
          <w:p w14:paraId="200D87E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情况简介</w:t>
            </w:r>
          </w:p>
        </w:tc>
        <w:tc>
          <w:tcPr>
            <w:tcW w:w="1952" w:type="dxa"/>
            <w:shd w:val="clear" w:color="auto" w:fill="auto"/>
            <w:vAlign w:val="center"/>
          </w:tcPr>
          <w:p w14:paraId="0812D90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证明材料索引</w:t>
            </w:r>
          </w:p>
        </w:tc>
      </w:tr>
      <w:tr w14:paraId="1255F9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shd w:val="clear" w:color="auto" w:fill="auto"/>
            <w:vAlign w:val="center"/>
          </w:tcPr>
          <w:p w14:paraId="1BC388F1">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诉</w:t>
            </w:r>
          </w:p>
          <w:p w14:paraId="187EACB6">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讼</w:t>
            </w:r>
          </w:p>
          <w:p w14:paraId="689F6634">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情</w:t>
            </w:r>
          </w:p>
          <w:p w14:paraId="2649A9DE">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况</w:t>
            </w:r>
          </w:p>
        </w:tc>
        <w:tc>
          <w:tcPr>
            <w:tcW w:w="954" w:type="dxa"/>
            <w:shd w:val="clear" w:color="auto" w:fill="auto"/>
            <w:vAlign w:val="center"/>
          </w:tcPr>
          <w:p w14:paraId="78F7DDD5">
            <w:pPr>
              <w:jc w:val="center"/>
              <w:rPr>
                <w:rFonts w:hint="eastAsia" w:ascii="宋体" w:hAnsi="宋体" w:eastAsia="宋体" w:cs="宋体"/>
                <w:color w:val="auto"/>
                <w:szCs w:val="21"/>
                <w:highlight w:val="none"/>
              </w:rPr>
            </w:pPr>
          </w:p>
        </w:tc>
        <w:tc>
          <w:tcPr>
            <w:tcW w:w="1260" w:type="dxa"/>
            <w:shd w:val="clear" w:color="auto" w:fill="auto"/>
            <w:vAlign w:val="center"/>
          </w:tcPr>
          <w:p w14:paraId="3DEBB6EF">
            <w:pPr>
              <w:jc w:val="center"/>
              <w:rPr>
                <w:rFonts w:hint="eastAsia" w:ascii="宋体" w:hAnsi="宋体" w:eastAsia="宋体" w:cs="宋体"/>
                <w:color w:val="auto"/>
                <w:szCs w:val="21"/>
                <w:highlight w:val="none"/>
              </w:rPr>
            </w:pPr>
          </w:p>
        </w:tc>
        <w:tc>
          <w:tcPr>
            <w:tcW w:w="3600" w:type="dxa"/>
            <w:shd w:val="clear" w:color="auto" w:fill="auto"/>
            <w:vAlign w:val="center"/>
          </w:tcPr>
          <w:p w14:paraId="5DED0D40">
            <w:pPr>
              <w:jc w:val="center"/>
              <w:rPr>
                <w:rFonts w:hint="eastAsia" w:ascii="宋体" w:hAnsi="宋体" w:eastAsia="宋体" w:cs="宋体"/>
                <w:color w:val="auto"/>
                <w:szCs w:val="21"/>
                <w:highlight w:val="none"/>
              </w:rPr>
            </w:pPr>
          </w:p>
        </w:tc>
        <w:tc>
          <w:tcPr>
            <w:tcW w:w="1952" w:type="dxa"/>
            <w:shd w:val="clear" w:color="auto" w:fill="auto"/>
            <w:vAlign w:val="center"/>
          </w:tcPr>
          <w:p w14:paraId="30EABE9F">
            <w:pPr>
              <w:jc w:val="center"/>
              <w:rPr>
                <w:rFonts w:hint="eastAsia" w:ascii="宋体" w:hAnsi="宋体" w:eastAsia="宋体" w:cs="宋体"/>
                <w:color w:val="auto"/>
                <w:szCs w:val="21"/>
                <w:highlight w:val="none"/>
              </w:rPr>
            </w:pPr>
          </w:p>
        </w:tc>
      </w:tr>
      <w:tr w14:paraId="21529D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shd w:val="clear" w:color="auto" w:fill="auto"/>
            <w:vAlign w:val="center"/>
          </w:tcPr>
          <w:p w14:paraId="61F19019">
            <w:pPr>
              <w:jc w:val="center"/>
              <w:rPr>
                <w:rFonts w:hint="eastAsia" w:ascii="宋体" w:hAnsi="宋体" w:eastAsia="宋体" w:cs="宋体"/>
                <w:color w:val="auto"/>
                <w:szCs w:val="21"/>
                <w:highlight w:val="none"/>
              </w:rPr>
            </w:pPr>
          </w:p>
        </w:tc>
        <w:tc>
          <w:tcPr>
            <w:tcW w:w="954" w:type="dxa"/>
            <w:shd w:val="clear" w:color="auto" w:fill="auto"/>
            <w:vAlign w:val="center"/>
          </w:tcPr>
          <w:p w14:paraId="682C1D30">
            <w:pPr>
              <w:jc w:val="center"/>
              <w:rPr>
                <w:rFonts w:hint="eastAsia" w:ascii="宋体" w:hAnsi="宋体" w:eastAsia="宋体" w:cs="宋体"/>
                <w:color w:val="auto"/>
                <w:szCs w:val="21"/>
                <w:highlight w:val="none"/>
              </w:rPr>
            </w:pPr>
          </w:p>
        </w:tc>
        <w:tc>
          <w:tcPr>
            <w:tcW w:w="1260" w:type="dxa"/>
            <w:shd w:val="clear" w:color="auto" w:fill="auto"/>
            <w:vAlign w:val="center"/>
          </w:tcPr>
          <w:p w14:paraId="67BB4E38">
            <w:pPr>
              <w:jc w:val="center"/>
              <w:rPr>
                <w:rFonts w:hint="eastAsia" w:ascii="宋体" w:hAnsi="宋体" w:eastAsia="宋体" w:cs="宋体"/>
                <w:color w:val="auto"/>
                <w:szCs w:val="21"/>
                <w:highlight w:val="none"/>
              </w:rPr>
            </w:pPr>
          </w:p>
        </w:tc>
        <w:tc>
          <w:tcPr>
            <w:tcW w:w="3600" w:type="dxa"/>
            <w:shd w:val="clear" w:color="auto" w:fill="auto"/>
            <w:vAlign w:val="center"/>
          </w:tcPr>
          <w:p w14:paraId="0BFAF54B">
            <w:pPr>
              <w:jc w:val="center"/>
              <w:rPr>
                <w:rFonts w:hint="eastAsia" w:ascii="宋体" w:hAnsi="宋体" w:eastAsia="宋体" w:cs="宋体"/>
                <w:color w:val="auto"/>
                <w:szCs w:val="21"/>
                <w:highlight w:val="none"/>
              </w:rPr>
            </w:pPr>
          </w:p>
        </w:tc>
        <w:tc>
          <w:tcPr>
            <w:tcW w:w="1952" w:type="dxa"/>
            <w:shd w:val="clear" w:color="auto" w:fill="auto"/>
            <w:vAlign w:val="center"/>
          </w:tcPr>
          <w:p w14:paraId="4D66A609">
            <w:pPr>
              <w:jc w:val="center"/>
              <w:rPr>
                <w:rFonts w:hint="eastAsia" w:ascii="宋体" w:hAnsi="宋体" w:eastAsia="宋体" w:cs="宋体"/>
                <w:color w:val="auto"/>
                <w:szCs w:val="21"/>
                <w:highlight w:val="none"/>
              </w:rPr>
            </w:pPr>
          </w:p>
        </w:tc>
      </w:tr>
      <w:tr w14:paraId="645EF1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shd w:val="clear" w:color="auto" w:fill="auto"/>
            <w:vAlign w:val="center"/>
          </w:tcPr>
          <w:p w14:paraId="3C50A89A">
            <w:pPr>
              <w:jc w:val="center"/>
              <w:rPr>
                <w:rFonts w:hint="eastAsia" w:ascii="宋体" w:hAnsi="宋体" w:eastAsia="宋体" w:cs="宋体"/>
                <w:color w:val="auto"/>
                <w:szCs w:val="21"/>
                <w:highlight w:val="none"/>
              </w:rPr>
            </w:pPr>
          </w:p>
        </w:tc>
        <w:tc>
          <w:tcPr>
            <w:tcW w:w="954" w:type="dxa"/>
            <w:shd w:val="clear" w:color="auto" w:fill="auto"/>
            <w:vAlign w:val="center"/>
          </w:tcPr>
          <w:p w14:paraId="45E7A16A">
            <w:pPr>
              <w:jc w:val="center"/>
              <w:rPr>
                <w:rFonts w:hint="eastAsia" w:ascii="宋体" w:hAnsi="宋体" w:eastAsia="宋体" w:cs="宋体"/>
                <w:color w:val="auto"/>
                <w:szCs w:val="21"/>
                <w:highlight w:val="none"/>
              </w:rPr>
            </w:pPr>
          </w:p>
        </w:tc>
        <w:tc>
          <w:tcPr>
            <w:tcW w:w="1260" w:type="dxa"/>
            <w:shd w:val="clear" w:color="auto" w:fill="auto"/>
            <w:vAlign w:val="center"/>
          </w:tcPr>
          <w:p w14:paraId="2D0C31C3">
            <w:pPr>
              <w:jc w:val="center"/>
              <w:rPr>
                <w:rFonts w:hint="eastAsia" w:ascii="宋体" w:hAnsi="宋体" w:eastAsia="宋体" w:cs="宋体"/>
                <w:color w:val="auto"/>
                <w:szCs w:val="21"/>
                <w:highlight w:val="none"/>
              </w:rPr>
            </w:pPr>
          </w:p>
        </w:tc>
        <w:tc>
          <w:tcPr>
            <w:tcW w:w="3600" w:type="dxa"/>
            <w:shd w:val="clear" w:color="auto" w:fill="auto"/>
            <w:vAlign w:val="center"/>
          </w:tcPr>
          <w:p w14:paraId="6F059956">
            <w:pPr>
              <w:jc w:val="center"/>
              <w:rPr>
                <w:rFonts w:hint="eastAsia" w:ascii="宋体" w:hAnsi="宋体" w:eastAsia="宋体" w:cs="宋体"/>
                <w:color w:val="auto"/>
                <w:szCs w:val="21"/>
                <w:highlight w:val="none"/>
              </w:rPr>
            </w:pPr>
          </w:p>
        </w:tc>
        <w:tc>
          <w:tcPr>
            <w:tcW w:w="1952" w:type="dxa"/>
            <w:shd w:val="clear" w:color="auto" w:fill="auto"/>
            <w:vAlign w:val="center"/>
          </w:tcPr>
          <w:p w14:paraId="1E6E0F48">
            <w:pPr>
              <w:jc w:val="center"/>
              <w:rPr>
                <w:rFonts w:hint="eastAsia" w:ascii="宋体" w:hAnsi="宋体" w:eastAsia="宋体" w:cs="宋体"/>
                <w:color w:val="auto"/>
                <w:szCs w:val="21"/>
                <w:highlight w:val="none"/>
              </w:rPr>
            </w:pPr>
          </w:p>
        </w:tc>
      </w:tr>
      <w:tr w14:paraId="044B1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shd w:val="clear" w:color="auto" w:fill="auto"/>
            <w:vAlign w:val="center"/>
          </w:tcPr>
          <w:p w14:paraId="766BB0AD">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仲</w:t>
            </w:r>
          </w:p>
          <w:p w14:paraId="7006C7CC">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裁</w:t>
            </w:r>
          </w:p>
          <w:p w14:paraId="38028BA1">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情</w:t>
            </w:r>
          </w:p>
          <w:p w14:paraId="33C3D1F6">
            <w:pPr>
              <w:spacing w:line="2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况</w:t>
            </w:r>
          </w:p>
        </w:tc>
        <w:tc>
          <w:tcPr>
            <w:tcW w:w="954" w:type="dxa"/>
            <w:shd w:val="clear" w:color="auto" w:fill="auto"/>
            <w:vAlign w:val="center"/>
          </w:tcPr>
          <w:p w14:paraId="2A290415">
            <w:pPr>
              <w:jc w:val="center"/>
              <w:rPr>
                <w:rFonts w:hint="eastAsia" w:ascii="宋体" w:hAnsi="宋体" w:eastAsia="宋体" w:cs="宋体"/>
                <w:color w:val="auto"/>
                <w:szCs w:val="21"/>
                <w:highlight w:val="none"/>
              </w:rPr>
            </w:pPr>
          </w:p>
        </w:tc>
        <w:tc>
          <w:tcPr>
            <w:tcW w:w="1260" w:type="dxa"/>
            <w:shd w:val="clear" w:color="auto" w:fill="auto"/>
            <w:vAlign w:val="center"/>
          </w:tcPr>
          <w:p w14:paraId="5EA2D14A">
            <w:pPr>
              <w:jc w:val="center"/>
              <w:rPr>
                <w:rFonts w:hint="eastAsia" w:ascii="宋体" w:hAnsi="宋体" w:eastAsia="宋体" w:cs="宋体"/>
                <w:color w:val="auto"/>
                <w:szCs w:val="21"/>
                <w:highlight w:val="none"/>
              </w:rPr>
            </w:pPr>
          </w:p>
        </w:tc>
        <w:tc>
          <w:tcPr>
            <w:tcW w:w="3600" w:type="dxa"/>
            <w:shd w:val="clear" w:color="auto" w:fill="auto"/>
            <w:vAlign w:val="center"/>
          </w:tcPr>
          <w:p w14:paraId="17729E00">
            <w:pPr>
              <w:jc w:val="center"/>
              <w:rPr>
                <w:rFonts w:hint="eastAsia" w:ascii="宋体" w:hAnsi="宋体" w:eastAsia="宋体" w:cs="宋体"/>
                <w:color w:val="auto"/>
                <w:szCs w:val="21"/>
                <w:highlight w:val="none"/>
              </w:rPr>
            </w:pPr>
          </w:p>
        </w:tc>
        <w:tc>
          <w:tcPr>
            <w:tcW w:w="1952" w:type="dxa"/>
            <w:shd w:val="clear" w:color="auto" w:fill="auto"/>
            <w:vAlign w:val="center"/>
          </w:tcPr>
          <w:p w14:paraId="08A9027D">
            <w:pPr>
              <w:jc w:val="center"/>
              <w:rPr>
                <w:rFonts w:hint="eastAsia" w:ascii="宋体" w:hAnsi="宋体" w:eastAsia="宋体" w:cs="宋体"/>
                <w:color w:val="auto"/>
                <w:szCs w:val="21"/>
                <w:highlight w:val="none"/>
              </w:rPr>
            </w:pPr>
          </w:p>
        </w:tc>
      </w:tr>
      <w:tr w14:paraId="7AE090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shd w:val="clear" w:color="auto" w:fill="auto"/>
            <w:vAlign w:val="center"/>
          </w:tcPr>
          <w:p w14:paraId="0A3F7755">
            <w:pPr>
              <w:jc w:val="center"/>
              <w:rPr>
                <w:rFonts w:hint="eastAsia" w:ascii="宋体" w:hAnsi="宋体" w:eastAsia="宋体" w:cs="宋体"/>
                <w:color w:val="auto"/>
                <w:szCs w:val="21"/>
                <w:highlight w:val="none"/>
              </w:rPr>
            </w:pPr>
          </w:p>
        </w:tc>
        <w:tc>
          <w:tcPr>
            <w:tcW w:w="954" w:type="dxa"/>
            <w:shd w:val="clear" w:color="auto" w:fill="auto"/>
            <w:vAlign w:val="center"/>
          </w:tcPr>
          <w:p w14:paraId="49A5BEB1">
            <w:pPr>
              <w:jc w:val="center"/>
              <w:rPr>
                <w:rFonts w:hint="eastAsia" w:ascii="宋体" w:hAnsi="宋体" w:eastAsia="宋体" w:cs="宋体"/>
                <w:color w:val="auto"/>
                <w:szCs w:val="21"/>
                <w:highlight w:val="none"/>
              </w:rPr>
            </w:pPr>
          </w:p>
        </w:tc>
        <w:tc>
          <w:tcPr>
            <w:tcW w:w="1260" w:type="dxa"/>
            <w:shd w:val="clear" w:color="auto" w:fill="auto"/>
            <w:vAlign w:val="center"/>
          </w:tcPr>
          <w:p w14:paraId="485FF87B">
            <w:pPr>
              <w:jc w:val="center"/>
              <w:rPr>
                <w:rFonts w:hint="eastAsia" w:ascii="宋体" w:hAnsi="宋体" w:eastAsia="宋体" w:cs="宋体"/>
                <w:color w:val="auto"/>
                <w:szCs w:val="21"/>
                <w:highlight w:val="none"/>
              </w:rPr>
            </w:pPr>
          </w:p>
        </w:tc>
        <w:tc>
          <w:tcPr>
            <w:tcW w:w="3600" w:type="dxa"/>
            <w:shd w:val="clear" w:color="auto" w:fill="auto"/>
            <w:vAlign w:val="center"/>
          </w:tcPr>
          <w:p w14:paraId="779AC2B4">
            <w:pPr>
              <w:jc w:val="center"/>
              <w:rPr>
                <w:rFonts w:hint="eastAsia" w:ascii="宋体" w:hAnsi="宋体" w:eastAsia="宋体" w:cs="宋体"/>
                <w:color w:val="auto"/>
                <w:szCs w:val="21"/>
                <w:highlight w:val="none"/>
              </w:rPr>
            </w:pPr>
          </w:p>
        </w:tc>
        <w:tc>
          <w:tcPr>
            <w:tcW w:w="1952" w:type="dxa"/>
            <w:shd w:val="clear" w:color="auto" w:fill="auto"/>
            <w:vAlign w:val="center"/>
          </w:tcPr>
          <w:p w14:paraId="264050A0">
            <w:pPr>
              <w:jc w:val="center"/>
              <w:rPr>
                <w:rFonts w:hint="eastAsia" w:ascii="宋体" w:hAnsi="宋体" w:eastAsia="宋体" w:cs="宋体"/>
                <w:color w:val="auto"/>
                <w:szCs w:val="21"/>
                <w:highlight w:val="none"/>
              </w:rPr>
            </w:pPr>
          </w:p>
        </w:tc>
      </w:tr>
      <w:tr w14:paraId="322A43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shd w:val="clear" w:color="auto" w:fill="auto"/>
            <w:vAlign w:val="center"/>
          </w:tcPr>
          <w:p w14:paraId="3F4B3B44">
            <w:pPr>
              <w:jc w:val="center"/>
              <w:rPr>
                <w:rFonts w:hint="eastAsia" w:ascii="宋体" w:hAnsi="宋体" w:eastAsia="宋体" w:cs="宋体"/>
                <w:color w:val="auto"/>
                <w:szCs w:val="21"/>
                <w:highlight w:val="none"/>
              </w:rPr>
            </w:pPr>
          </w:p>
        </w:tc>
        <w:tc>
          <w:tcPr>
            <w:tcW w:w="954" w:type="dxa"/>
            <w:shd w:val="clear" w:color="auto" w:fill="auto"/>
            <w:vAlign w:val="center"/>
          </w:tcPr>
          <w:p w14:paraId="74EC604A">
            <w:pPr>
              <w:jc w:val="center"/>
              <w:rPr>
                <w:rFonts w:hint="eastAsia" w:ascii="宋体" w:hAnsi="宋体" w:eastAsia="宋体" w:cs="宋体"/>
                <w:color w:val="auto"/>
                <w:szCs w:val="21"/>
                <w:highlight w:val="none"/>
              </w:rPr>
            </w:pPr>
          </w:p>
        </w:tc>
        <w:tc>
          <w:tcPr>
            <w:tcW w:w="1260" w:type="dxa"/>
            <w:shd w:val="clear" w:color="auto" w:fill="auto"/>
            <w:vAlign w:val="center"/>
          </w:tcPr>
          <w:p w14:paraId="07313001">
            <w:pPr>
              <w:jc w:val="center"/>
              <w:rPr>
                <w:rFonts w:hint="eastAsia" w:ascii="宋体" w:hAnsi="宋体" w:eastAsia="宋体" w:cs="宋体"/>
                <w:color w:val="auto"/>
                <w:szCs w:val="21"/>
                <w:highlight w:val="none"/>
              </w:rPr>
            </w:pPr>
          </w:p>
        </w:tc>
        <w:tc>
          <w:tcPr>
            <w:tcW w:w="3600" w:type="dxa"/>
            <w:shd w:val="clear" w:color="auto" w:fill="auto"/>
            <w:vAlign w:val="center"/>
          </w:tcPr>
          <w:p w14:paraId="02E86F37">
            <w:pPr>
              <w:jc w:val="center"/>
              <w:rPr>
                <w:rFonts w:hint="eastAsia" w:ascii="宋体" w:hAnsi="宋体" w:eastAsia="宋体" w:cs="宋体"/>
                <w:color w:val="auto"/>
                <w:szCs w:val="21"/>
                <w:highlight w:val="none"/>
              </w:rPr>
            </w:pPr>
          </w:p>
        </w:tc>
        <w:tc>
          <w:tcPr>
            <w:tcW w:w="1952" w:type="dxa"/>
            <w:shd w:val="clear" w:color="auto" w:fill="auto"/>
            <w:vAlign w:val="center"/>
          </w:tcPr>
          <w:p w14:paraId="066974AF">
            <w:pPr>
              <w:jc w:val="center"/>
              <w:rPr>
                <w:rFonts w:hint="eastAsia" w:ascii="宋体" w:hAnsi="宋体" w:eastAsia="宋体" w:cs="宋体"/>
                <w:color w:val="auto"/>
                <w:szCs w:val="21"/>
                <w:highlight w:val="none"/>
              </w:rPr>
            </w:pPr>
          </w:p>
        </w:tc>
      </w:tr>
    </w:tbl>
    <w:p w14:paraId="4A8E4C66">
      <w:pPr>
        <w:spacing w:line="400" w:lineRule="exact"/>
        <w:ind w:left="840" w:hanging="840" w:hanging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备注：1.近</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年发生的诉讼和仲裁情况仅限于投标人败诉的，且与签订或履行施工承包合同有关的案件，不包括调解结案以及未终审判决的诉讼或未裁决的仲裁。附法院或仲裁机构作出的判决或裁决等有关法律文书的复印件。</w:t>
      </w:r>
    </w:p>
    <w:p w14:paraId="6D6E708D">
      <w:pPr>
        <w:spacing w:line="400" w:lineRule="exact"/>
        <w:ind w:left="840" w:leftChars="300" w:hanging="210" w:hanging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近</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年是指从投标截止日往前推算</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年。以仲裁裁决或判决书时间为准。</w:t>
      </w:r>
    </w:p>
    <w:p w14:paraId="0CC6C3DE">
      <w:pPr>
        <w:spacing w:line="400" w:lineRule="exact"/>
        <w:ind w:left="525" w:leftChars="250"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投标人不如实填报或隐瞒实情，视为弄虚作假。没有相关情况应明确填“无”。</w:t>
      </w:r>
    </w:p>
    <w:p w14:paraId="00D168AA">
      <w:pPr>
        <w:spacing w:line="400" w:lineRule="exact"/>
        <w:ind w:left="525" w:leftChars="250" w:firstLine="105" w:firstLineChars="50"/>
        <w:rPr>
          <w:rFonts w:hint="eastAsia" w:ascii="宋体" w:hAnsi="宋体" w:eastAsia="宋体" w:cs="宋体"/>
          <w:color w:val="auto"/>
          <w:szCs w:val="21"/>
          <w:highlight w:val="none"/>
        </w:rPr>
      </w:pPr>
    </w:p>
    <w:p w14:paraId="24582B74">
      <w:pPr>
        <w:spacing w:line="400" w:lineRule="atLeast"/>
        <w:jc w:val="center"/>
        <w:rPr>
          <w:rFonts w:hint="eastAsia" w:ascii="宋体" w:hAnsi="宋体" w:eastAsia="宋体" w:cs="宋体"/>
          <w:color w:val="auto"/>
          <w:sz w:val="24"/>
          <w:szCs w:val="24"/>
          <w:highlight w:val="none"/>
        </w:rPr>
      </w:pPr>
    </w:p>
    <w:p w14:paraId="771D0E34">
      <w:pPr>
        <w:spacing w:line="400" w:lineRule="atLeast"/>
        <w:jc w:val="center"/>
        <w:rPr>
          <w:rFonts w:hint="eastAsia" w:ascii="宋体" w:hAnsi="宋体" w:eastAsia="宋体" w:cs="宋体"/>
          <w:color w:val="auto"/>
          <w:sz w:val="24"/>
          <w:szCs w:val="24"/>
          <w:highlight w:val="none"/>
        </w:rPr>
      </w:pPr>
    </w:p>
    <w:p w14:paraId="434E35D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823322C">
      <w:pPr>
        <w:keepNext/>
        <w:keepLines/>
        <w:spacing w:line="240" w:lineRule="exact"/>
        <w:jc w:val="center"/>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近 </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年投标人获得奖项情况表</w:t>
      </w:r>
    </w:p>
    <w:p w14:paraId="31FFA396">
      <w:pPr>
        <w:rPr>
          <w:rFonts w:hint="eastAsia" w:ascii="宋体" w:hAnsi="宋体" w:eastAsia="宋体" w:cs="宋体"/>
          <w:color w:val="auto"/>
          <w:highlight w:val="none"/>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800"/>
        <w:gridCol w:w="1440"/>
        <w:gridCol w:w="2160"/>
      </w:tblGrid>
      <w:tr w14:paraId="29A93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vAlign w:val="center"/>
          </w:tcPr>
          <w:p w14:paraId="7862A5E3">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402" w:type="dxa"/>
            <w:vAlign w:val="center"/>
          </w:tcPr>
          <w:p w14:paraId="76823649">
            <w:pPr>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800" w:type="dxa"/>
            <w:vAlign w:val="center"/>
          </w:tcPr>
          <w:p w14:paraId="5E704C0D">
            <w:pPr>
              <w:jc w:val="center"/>
              <w:rPr>
                <w:rFonts w:hint="eastAsia" w:ascii="宋体" w:hAnsi="宋体" w:eastAsia="宋体" w:cs="宋体"/>
                <w:color w:val="auto"/>
                <w:highlight w:val="none"/>
              </w:rPr>
            </w:pPr>
            <w:r>
              <w:rPr>
                <w:rFonts w:hint="eastAsia" w:ascii="宋体" w:hAnsi="宋体" w:eastAsia="宋体" w:cs="宋体"/>
                <w:color w:val="auto"/>
                <w:highlight w:val="none"/>
              </w:rPr>
              <w:t>获奖名称</w:t>
            </w:r>
          </w:p>
        </w:tc>
        <w:tc>
          <w:tcPr>
            <w:tcW w:w="1440" w:type="dxa"/>
            <w:vAlign w:val="center"/>
          </w:tcPr>
          <w:p w14:paraId="0AB106D1">
            <w:pPr>
              <w:jc w:val="center"/>
              <w:rPr>
                <w:rFonts w:hint="eastAsia" w:ascii="宋体" w:hAnsi="宋体" w:eastAsia="宋体" w:cs="宋体"/>
                <w:color w:val="auto"/>
                <w:highlight w:val="none"/>
              </w:rPr>
            </w:pPr>
            <w:r>
              <w:rPr>
                <w:rFonts w:hint="eastAsia" w:ascii="宋体" w:hAnsi="宋体" w:eastAsia="宋体" w:cs="宋体"/>
                <w:color w:val="auto"/>
                <w:highlight w:val="none"/>
              </w:rPr>
              <w:t>获奖日期</w:t>
            </w:r>
          </w:p>
        </w:tc>
        <w:tc>
          <w:tcPr>
            <w:tcW w:w="2160" w:type="dxa"/>
            <w:vAlign w:val="center"/>
          </w:tcPr>
          <w:p w14:paraId="046E8CFA">
            <w:pPr>
              <w:jc w:val="center"/>
              <w:rPr>
                <w:rFonts w:hint="eastAsia" w:ascii="宋体" w:hAnsi="宋体" w:eastAsia="宋体" w:cs="宋体"/>
                <w:color w:val="auto"/>
                <w:highlight w:val="none"/>
              </w:rPr>
            </w:pPr>
            <w:r>
              <w:rPr>
                <w:rFonts w:hint="eastAsia" w:ascii="宋体" w:hAnsi="宋体" w:eastAsia="宋体" w:cs="宋体"/>
                <w:color w:val="auto"/>
                <w:highlight w:val="none"/>
              </w:rPr>
              <w:t>颁奖单位</w:t>
            </w:r>
          </w:p>
        </w:tc>
      </w:tr>
      <w:tr w14:paraId="32C6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115596FB">
            <w:pPr>
              <w:jc w:val="center"/>
              <w:rPr>
                <w:rFonts w:hint="eastAsia" w:ascii="宋体" w:hAnsi="宋体" w:eastAsia="宋体" w:cs="宋体"/>
                <w:color w:val="auto"/>
                <w:highlight w:val="none"/>
              </w:rPr>
            </w:pPr>
          </w:p>
        </w:tc>
        <w:tc>
          <w:tcPr>
            <w:tcW w:w="2402" w:type="dxa"/>
          </w:tcPr>
          <w:p w14:paraId="18063BC1">
            <w:pPr>
              <w:jc w:val="center"/>
              <w:rPr>
                <w:rFonts w:hint="eastAsia" w:ascii="宋体" w:hAnsi="宋体" w:eastAsia="宋体" w:cs="宋体"/>
                <w:color w:val="auto"/>
                <w:highlight w:val="none"/>
              </w:rPr>
            </w:pPr>
          </w:p>
        </w:tc>
        <w:tc>
          <w:tcPr>
            <w:tcW w:w="1800" w:type="dxa"/>
          </w:tcPr>
          <w:p w14:paraId="2416BEDC">
            <w:pPr>
              <w:jc w:val="center"/>
              <w:rPr>
                <w:rFonts w:hint="eastAsia" w:ascii="宋体" w:hAnsi="宋体" w:eastAsia="宋体" w:cs="宋体"/>
                <w:color w:val="auto"/>
                <w:highlight w:val="none"/>
              </w:rPr>
            </w:pPr>
          </w:p>
        </w:tc>
        <w:tc>
          <w:tcPr>
            <w:tcW w:w="1440" w:type="dxa"/>
          </w:tcPr>
          <w:p w14:paraId="2ADC72EF">
            <w:pPr>
              <w:jc w:val="center"/>
              <w:rPr>
                <w:rFonts w:hint="eastAsia" w:ascii="宋体" w:hAnsi="宋体" w:eastAsia="宋体" w:cs="宋体"/>
                <w:color w:val="auto"/>
                <w:highlight w:val="none"/>
              </w:rPr>
            </w:pPr>
          </w:p>
        </w:tc>
        <w:tc>
          <w:tcPr>
            <w:tcW w:w="2160" w:type="dxa"/>
          </w:tcPr>
          <w:p w14:paraId="4ECA8F62">
            <w:pPr>
              <w:jc w:val="center"/>
              <w:rPr>
                <w:rFonts w:hint="eastAsia" w:ascii="宋体" w:hAnsi="宋体" w:eastAsia="宋体" w:cs="宋体"/>
                <w:color w:val="auto"/>
                <w:highlight w:val="none"/>
              </w:rPr>
            </w:pPr>
          </w:p>
        </w:tc>
      </w:tr>
      <w:tr w14:paraId="0BB9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52E76C47">
            <w:pPr>
              <w:jc w:val="center"/>
              <w:rPr>
                <w:rFonts w:hint="eastAsia" w:ascii="宋体" w:hAnsi="宋体" w:eastAsia="宋体" w:cs="宋体"/>
                <w:color w:val="auto"/>
                <w:highlight w:val="none"/>
              </w:rPr>
            </w:pPr>
          </w:p>
        </w:tc>
        <w:tc>
          <w:tcPr>
            <w:tcW w:w="2402" w:type="dxa"/>
          </w:tcPr>
          <w:p w14:paraId="2BFD37FF">
            <w:pPr>
              <w:jc w:val="center"/>
              <w:rPr>
                <w:rFonts w:hint="eastAsia" w:ascii="宋体" w:hAnsi="宋体" w:eastAsia="宋体" w:cs="宋体"/>
                <w:color w:val="auto"/>
                <w:highlight w:val="none"/>
              </w:rPr>
            </w:pPr>
          </w:p>
        </w:tc>
        <w:tc>
          <w:tcPr>
            <w:tcW w:w="1800" w:type="dxa"/>
          </w:tcPr>
          <w:p w14:paraId="68A084C0">
            <w:pPr>
              <w:jc w:val="center"/>
              <w:rPr>
                <w:rFonts w:hint="eastAsia" w:ascii="宋体" w:hAnsi="宋体" w:eastAsia="宋体" w:cs="宋体"/>
                <w:color w:val="auto"/>
                <w:highlight w:val="none"/>
              </w:rPr>
            </w:pPr>
          </w:p>
        </w:tc>
        <w:tc>
          <w:tcPr>
            <w:tcW w:w="1440" w:type="dxa"/>
          </w:tcPr>
          <w:p w14:paraId="3E8CF0FC">
            <w:pPr>
              <w:jc w:val="center"/>
              <w:rPr>
                <w:rFonts w:hint="eastAsia" w:ascii="宋体" w:hAnsi="宋体" w:eastAsia="宋体" w:cs="宋体"/>
                <w:color w:val="auto"/>
                <w:highlight w:val="none"/>
              </w:rPr>
            </w:pPr>
          </w:p>
        </w:tc>
        <w:tc>
          <w:tcPr>
            <w:tcW w:w="2160" w:type="dxa"/>
          </w:tcPr>
          <w:p w14:paraId="0DF2EDDA">
            <w:pPr>
              <w:jc w:val="center"/>
              <w:rPr>
                <w:rFonts w:hint="eastAsia" w:ascii="宋体" w:hAnsi="宋体" w:eastAsia="宋体" w:cs="宋体"/>
                <w:color w:val="auto"/>
                <w:highlight w:val="none"/>
              </w:rPr>
            </w:pPr>
          </w:p>
        </w:tc>
      </w:tr>
      <w:tr w14:paraId="632A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1D2192BB">
            <w:pPr>
              <w:jc w:val="center"/>
              <w:rPr>
                <w:rFonts w:hint="eastAsia" w:ascii="宋体" w:hAnsi="宋体" w:eastAsia="宋体" w:cs="宋体"/>
                <w:color w:val="auto"/>
                <w:highlight w:val="none"/>
              </w:rPr>
            </w:pPr>
          </w:p>
        </w:tc>
        <w:tc>
          <w:tcPr>
            <w:tcW w:w="2402" w:type="dxa"/>
          </w:tcPr>
          <w:p w14:paraId="6BA2882C">
            <w:pPr>
              <w:jc w:val="center"/>
              <w:rPr>
                <w:rFonts w:hint="eastAsia" w:ascii="宋体" w:hAnsi="宋体" w:eastAsia="宋体" w:cs="宋体"/>
                <w:color w:val="auto"/>
                <w:highlight w:val="none"/>
              </w:rPr>
            </w:pPr>
          </w:p>
        </w:tc>
        <w:tc>
          <w:tcPr>
            <w:tcW w:w="1800" w:type="dxa"/>
          </w:tcPr>
          <w:p w14:paraId="299F6CFA">
            <w:pPr>
              <w:jc w:val="center"/>
              <w:rPr>
                <w:rFonts w:hint="eastAsia" w:ascii="宋体" w:hAnsi="宋体" w:eastAsia="宋体" w:cs="宋体"/>
                <w:color w:val="auto"/>
                <w:highlight w:val="none"/>
              </w:rPr>
            </w:pPr>
          </w:p>
        </w:tc>
        <w:tc>
          <w:tcPr>
            <w:tcW w:w="1440" w:type="dxa"/>
          </w:tcPr>
          <w:p w14:paraId="608C3210">
            <w:pPr>
              <w:jc w:val="center"/>
              <w:rPr>
                <w:rFonts w:hint="eastAsia" w:ascii="宋体" w:hAnsi="宋体" w:eastAsia="宋体" w:cs="宋体"/>
                <w:color w:val="auto"/>
                <w:highlight w:val="none"/>
              </w:rPr>
            </w:pPr>
          </w:p>
        </w:tc>
        <w:tc>
          <w:tcPr>
            <w:tcW w:w="2160" w:type="dxa"/>
          </w:tcPr>
          <w:p w14:paraId="0C4BD34B">
            <w:pPr>
              <w:jc w:val="center"/>
              <w:rPr>
                <w:rFonts w:hint="eastAsia" w:ascii="宋体" w:hAnsi="宋体" w:eastAsia="宋体" w:cs="宋体"/>
                <w:color w:val="auto"/>
                <w:highlight w:val="none"/>
              </w:rPr>
            </w:pPr>
          </w:p>
        </w:tc>
      </w:tr>
      <w:tr w14:paraId="66DB5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642FE452">
            <w:pPr>
              <w:jc w:val="center"/>
              <w:rPr>
                <w:rFonts w:hint="eastAsia" w:ascii="宋体" w:hAnsi="宋体" w:eastAsia="宋体" w:cs="宋体"/>
                <w:color w:val="auto"/>
                <w:highlight w:val="none"/>
              </w:rPr>
            </w:pPr>
          </w:p>
        </w:tc>
        <w:tc>
          <w:tcPr>
            <w:tcW w:w="2402" w:type="dxa"/>
          </w:tcPr>
          <w:p w14:paraId="7CA66AA8">
            <w:pPr>
              <w:jc w:val="center"/>
              <w:rPr>
                <w:rFonts w:hint="eastAsia" w:ascii="宋体" w:hAnsi="宋体" w:eastAsia="宋体" w:cs="宋体"/>
                <w:color w:val="auto"/>
                <w:highlight w:val="none"/>
              </w:rPr>
            </w:pPr>
          </w:p>
        </w:tc>
        <w:tc>
          <w:tcPr>
            <w:tcW w:w="1800" w:type="dxa"/>
          </w:tcPr>
          <w:p w14:paraId="214270CA">
            <w:pPr>
              <w:jc w:val="center"/>
              <w:rPr>
                <w:rFonts w:hint="eastAsia" w:ascii="宋体" w:hAnsi="宋体" w:eastAsia="宋体" w:cs="宋体"/>
                <w:color w:val="auto"/>
                <w:highlight w:val="none"/>
              </w:rPr>
            </w:pPr>
          </w:p>
        </w:tc>
        <w:tc>
          <w:tcPr>
            <w:tcW w:w="1440" w:type="dxa"/>
          </w:tcPr>
          <w:p w14:paraId="03522FEA">
            <w:pPr>
              <w:jc w:val="center"/>
              <w:rPr>
                <w:rFonts w:hint="eastAsia" w:ascii="宋体" w:hAnsi="宋体" w:eastAsia="宋体" w:cs="宋体"/>
                <w:color w:val="auto"/>
                <w:highlight w:val="none"/>
              </w:rPr>
            </w:pPr>
          </w:p>
        </w:tc>
        <w:tc>
          <w:tcPr>
            <w:tcW w:w="2160" w:type="dxa"/>
          </w:tcPr>
          <w:p w14:paraId="051A6A0D">
            <w:pPr>
              <w:jc w:val="center"/>
              <w:rPr>
                <w:rFonts w:hint="eastAsia" w:ascii="宋体" w:hAnsi="宋体" w:eastAsia="宋体" w:cs="宋体"/>
                <w:color w:val="auto"/>
                <w:highlight w:val="none"/>
              </w:rPr>
            </w:pPr>
          </w:p>
        </w:tc>
      </w:tr>
      <w:tr w14:paraId="3B86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0A7F182F">
            <w:pPr>
              <w:jc w:val="center"/>
              <w:rPr>
                <w:rFonts w:hint="eastAsia" w:ascii="宋体" w:hAnsi="宋体" w:eastAsia="宋体" w:cs="宋体"/>
                <w:color w:val="auto"/>
                <w:highlight w:val="none"/>
              </w:rPr>
            </w:pPr>
          </w:p>
        </w:tc>
        <w:tc>
          <w:tcPr>
            <w:tcW w:w="2402" w:type="dxa"/>
          </w:tcPr>
          <w:p w14:paraId="2018A809">
            <w:pPr>
              <w:jc w:val="center"/>
              <w:rPr>
                <w:rFonts w:hint="eastAsia" w:ascii="宋体" w:hAnsi="宋体" w:eastAsia="宋体" w:cs="宋体"/>
                <w:color w:val="auto"/>
                <w:highlight w:val="none"/>
              </w:rPr>
            </w:pPr>
          </w:p>
        </w:tc>
        <w:tc>
          <w:tcPr>
            <w:tcW w:w="1800" w:type="dxa"/>
          </w:tcPr>
          <w:p w14:paraId="27EF76BE">
            <w:pPr>
              <w:jc w:val="center"/>
              <w:rPr>
                <w:rFonts w:hint="eastAsia" w:ascii="宋体" w:hAnsi="宋体" w:eastAsia="宋体" w:cs="宋体"/>
                <w:color w:val="auto"/>
                <w:highlight w:val="none"/>
              </w:rPr>
            </w:pPr>
          </w:p>
        </w:tc>
        <w:tc>
          <w:tcPr>
            <w:tcW w:w="1440" w:type="dxa"/>
          </w:tcPr>
          <w:p w14:paraId="39D626AF">
            <w:pPr>
              <w:jc w:val="center"/>
              <w:rPr>
                <w:rFonts w:hint="eastAsia" w:ascii="宋体" w:hAnsi="宋体" w:eastAsia="宋体" w:cs="宋体"/>
                <w:color w:val="auto"/>
                <w:highlight w:val="none"/>
              </w:rPr>
            </w:pPr>
          </w:p>
        </w:tc>
        <w:tc>
          <w:tcPr>
            <w:tcW w:w="2160" w:type="dxa"/>
          </w:tcPr>
          <w:p w14:paraId="0BB17861">
            <w:pPr>
              <w:jc w:val="center"/>
              <w:rPr>
                <w:rFonts w:hint="eastAsia" w:ascii="宋体" w:hAnsi="宋体" w:eastAsia="宋体" w:cs="宋体"/>
                <w:color w:val="auto"/>
                <w:highlight w:val="none"/>
              </w:rPr>
            </w:pPr>
          </w:p>
        </w:tc>
      </w:tr>
      <w:tr w14:paraId="39C5B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64D47279">
            <w:pPr>
              <w:jc w:val="center"/>
              <w:rPr>
                <w:rFonts w:hint="eastAsia" w:ascii="宋体" w:hAnsi="宋体" w:eastAsia="宋体" w:cs="宋体"/>
                <w:color w:val="auto"/>
                <w:highlight w:val="none"/>
              </w:rPr>
            </w:pPr>
          </w:p>
        </w:tc>
        <w:tc>
          <w:tcPr>
            <w:tcW w:w="2402" w:type="dxa"/>
          </w:tcPr>
          <w:p w14:paraId="45EAB099">
            <w:pPr>
              <w:jc w:val="center"/>
              <w:rPr>
                <w:rFonts w:hint="eastAsia" w:ascii="宋体" w:hAnsi="宋体" w:eastAsia="宋体" w:cs="宋体"/>
                <w:color w:val="auto"/>
                <w:highlight w:val="none"/>
              </w:rPr>
            </w:pPr>
          </w:p>
        </w:tc>
        <w:tc>
          <w:tcPr>
            <w:tcW w:w="1800" w:type="dxa"/>
          </w:tcPr>
          <w:p w14:paraId="6F11DB44">
            <w:pPr>
              <w:jc w:val="center"/>
              <w:rPr>
                <w:rFonts w:hint="eastAsia" w:ascii="宋体" w:hAnsi="宋体" w:eastAsia="宋体" w:cs="宋体"/>
                <w:color w:val="auto"/>
                <w:highlight w:val="none"/>
              </w:rPr>
            </w:pPr>
          </w:p>
        </w:tc>
        <w:tc>
          <w:tcPr>
            <w:tcW w:w="1440" w:type="dxa"/>
          </w:tcPr>
          <w:p w14:paraId="2D92FBF3">
            <w:pPr>
              <w:jc w:val="center"/>
              <w:rPr>
                <w:rFonts w:hint="eastAsia" w:ascii="宋体" w:hAnsi="宋体" w:eastAsia="宋体" w:cs="宋体"/>
                <w:color w:val="auto"/>
                <w:highlight w:val="none"/>
              </w:rPr>
            </w:pPr>
          </w:p>
        </w:tc>
        <w:tc>
          <w:tcPr>
            <w:tcW w:w="2160" w:type="dxa"/>
          </w:tcPr>
          <w:p w14:paraId="63CCFF9F">
            <w:pPr>
              <w:jc w:val="center"/>
              <w:rPr>
                <w:rFonts w:hint="eastAsia" w:ascii="宋体" w:hAnsi="宋体" w:eastAsia="宋体" w:cs="宋体"/>
                <w:color w:val="auto"/>
                <w:highlight w:val="none"/>
              </w:rPr>
            </w:pPr>
          </w:p>
        </w:tc>
      </w:tr>
      <w:tr w14:paraId="60B65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2DDDA38F">
            <w:pPr>
              <w:jc w:val="center"/>
              <w:rPr>
                <w:rFonts w:hint="eastAsia" w:ascii="宋体" w:hAnsi="宋体" w:eastAsia="宋体" w:cs="宋体"/>
                <w:color w:val="auto"/>
                <w:highlight w:val="none"/>
              </w:rPr>
            </w:pPr>
          </w:p>
        </w:tc>
        <w:tc>
          <w:tcPr>
            <w:tcW w:w="2402" w:type="dxa"/>
          </w:tcPr>
          <w:p w14:paraId="35443208">
            <w:pPr>
              <w:jc w:val="center"/>
              <w:rPr>
                <w:rFonts w:hint="eastAsia" w:ascii="宋体" w:hAnsi="宋体" w:eastAsia="宋体" w:cs="宋体"/>
                <w:color w:val="auto"/>
                <w:highlight w:val="none"/>
              </w:rPr>
            </w:pPr>
          </w:p>
        </w:tc>
        <w:tc>
          <w:tcPr>
            <w:tcW w:w="1800" w:type="dxa"/>
          </w:tcPr>
          <w:p w14:paraId="725836BE">
            <w:pPr>
              <w:jc w:val="center"/>
              <w:rPr>
                <w:rFonts w:hint="eastAsia" w:ascii="宋体" w:hAnsi="宋体" w:eastAsia="宋体" w:cs="宋体"/>
                <w:color w:val="auto"/>
                <w:highlight w:val="none"/>
              </w:rPr>
            </w:pPr>
          </w:p>
        </w:tc>
        <w:tc>
          <w:tcPr>
            <w:tcW w:w="1440" w:type="dxa"/>
          </w:tcPr>
          <w:p w14:paraId="7D136E0E">
            <w:pPr>
              <w:jc w:val="center"/>
              <w:rPr>
                <w:rFonts w:hint="eastAsia" w:ascii="宋体" w:hAnsi="宋体" w:eastAsia="宋体" w:cs="宋体"/>
                <w:color w:val="auto"/>
                <w:highlight w:val="none"/>
              </w:rPr>
            </w:pPr>
          </w:p>
        </w:tc>
        <w:tc>
          <w:tcPr>
            <w:tcW w:w="2160" w:type="dxa"/>
          </w:tcPr>
          <w:p w14:paraId="375BDCBE">
            <w:pPr>
              <w:jc w:val="center"/>
              <w:rPr>
                <w:rFonts w:hint="eastAsia" w:ascii="宋体" w:hAnsi="宋体" w:eastAsia="宋体" w:cs="宋体"/>
                <w:color w:val="auto"/>
                <w:highlight w:val="none"/>
              </w:rPr>
            </w:pPr>
          </w:p>
        </w:tc>
      </w:tr>
      <w:tr w14:paraId="026D1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75E439AE">
            <w:pPr>
              <w:jc w:val="center"/>
              <w:rPr>
                <w:rFonts w:hint="eastAsia" w:ascii="宋体" w:hAnsi="宋体" w:eastAsia="宋体" w:cs="宋体"/>
                <w:color w:val="auto"/>
                <w:highlight w:val="none"/>
              </w:rPr>
            </w:pPr>
          </w:p>
        </w:tc>
        <w:tc>
          <w:tcPr>
            <w:tcW w:w="2402" w:type="dxa"/>
          </w:tcPr>
          <w:p w14:paraId="6000AAB3">
            <w:pPr>
              <w:jc w:val="center"/>
              <w:rPr>
                <w:rFonts w:hint="eastAsia" w:ascii="宋体" w:hAnsi="宋体" w:eastAsia="宋体" w:cs="宋体"/>
                <w:color w:val="auto"/>
                <w:highlight w:val="none"/>
              </w:rPr>
            </w:pPr>
          </w:p>
        </w:tc>
        <w:tc>
          <w:tcPr>
            <w:tcW w:w="1800" w:type="dxa"/>
          </w:tcPr>
          <w:p w14:paraId="65093CA8">
            <w:pPr>
              <w:jc w:val="center"/>
              <w:rPr>
                <w:rFonts w:hint="eastAsia" w:ascii="宋体" w:hAnsi="宋体" w:eastAsia="宋体" w:cs="宋体"/>
                <w:color w:val="auto"/>
                <w:highlight w:val="none"/>
              </w:rPr>
            </w:pPr>
          </w:p>
        </w:tc>
        <w:tc>
          <w:tcPr>
            <w:tcW w:w="1440" w:type="dxa"/>
          </w:tcPr>
          <w:p w14:paraId="28374F9F">
            <w:pPr>
              <w:jc w:val="center"/>
              <w:rPr>
                <w:rFonts w:hint="eastAsia" w:ascii="宋体" w:hAnsi="宋体" w:eastAsia="宋体" w:cs="宋体"/>
                <w:color w:val="auto"/>
                <w:highlight w:val="none"/>
              </w:rPr>
            </w:pPr>
          </w:p>
        </w:tc>
        <w:tc>
          <w:tcPr>
            <w:tcW w:w="2160" w:type="dxa"/>
          </w:tcPr>
          <w:p w14:paraId="3A766B6B">
            <w:pPr>
              <w:jc w:val="center"/>
              <w:rPr>
                <w:rFonts w:hint="eastAsia" w:ascii="宋体" w:hAnsi="宋体" w:eastAsia="宋体" w:cs="宋体"/>
                <w:color w:val="auto"/>
                <w:highlight w:val="none"/>
              </w:rPr>
            </w:pPr>
          </w:p>
        </w:tc>
      </w:tr>
      <w:tr w14:paraId="28CB1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5DD0AAA1">
            <w:pPr>
              <w:jc w:val="center"/>
              <w:rPr>
                <w:rFonts w:hint="eastAsia" w:ascii="宋体" w:hAnsi="宋体" w:eastAsia="宋体" w:cs="宋体"/>
                <w:color w:val="auto"/>
                <w:highlight w:val="none"/>
              </w:rPr>
            </w:pPr>
          </w:p>
        </w:tc>
        <w:tc>
          <w:tcPr>
            <w:tcW w:w="2402" w:type="dxa"/>
          </w:tcPr>
          <w:p w14:paraId="1C29A4B3">
            <w:pPr>
              <w:jc w:val="center"/>
              <w:rPr>
                <w:rFonts w:hint="eastAsia" w:ascii="宋体" w:hAnsi="宋体" w:eastAsia="宋体" w:cs="宋体"/>
                <w:color w:val="auto"/>
                <w:highlight w:val="none"/>
              </w:rPr>
            </w:pPr>
          </w:p>
        </w:tc>
        <w:tc>
          <w:tcPr>
            <w:tcW w:w="1800" w:type="dxa"/>
          </w:tcPr>
          <w:p w14:paraId="51A1AB5E">
            <w:pPr>
              <w:jc w:val="center"/>
              <w:rPr>
                <w:rFonts w:hint="eastAsia" w:ascii="宋体" w:hAnsi="宋体" w:eastAsia="宋体" w:cs="宋体"/>
                <w:color w:val="auto"/>
                <w:highlight w:val="none"/>
              </w:rPr>
            </w:pPr>
          </w:p>
        </w:tc>
        <w:tc>
          <w:tcPr>
            <w:tcW w:w="1440" w:type="dxa"/>
          </w:tcPr>
          <w:p w14:paraId="7D5C6BB1">
            <w:pPr>
              <w:jc w:val="center"/>
              <w:rPr>
                <w:rFonts w:hint="eastAsia" w:ascii="宋体" w:hAnsi="宋体" w:eastAsia="宋体" w:cs="宋体"/>
                <w:color w:val="auto"/>
                <w:highlight w:val="none"/>
              </w:rPr>
            </w:pPr>
          </w:p>
        </w:tc>
        <w:tc>
          <w:tcPr>
            <w:tcW w:w="2160" w:type="dxa"/>
          </w:tcPr>
          <w:p w14:paraId="528DE43E">
            <w:pPr>
              <w:jc w:val="center"/>
              <w:rPr>
                <w:rFonts w:hint="eastAsia" w:ascii="宋体" w:hAnsi="宋体" w:eastAsia="宋体" w:cs="宋体"/>
                <w:color w:val="auto"/>
                <w:highlight w:val="none"/>
              </w:rPr>
            </w:pPr>
          </w:p>
        </w:tc>
      </w:tr>
      <w:tr w14:paraId="40F6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4DCF7F3B">
            <w:pPr>
              <w:jc w:val="center"/>
              <w:rPr>
                <w:rFonts w:hint="eastAsia" w:ascii="宋体" w:hAnsi="宋体" w:eastAsia="宋体" w:cs="宋体"/>
                <w:color w:val="auto"/>
                <w:highlight w:val="none"/>
              </w:rPr>
            </w:pPr>
          </w:p>
        </w:tc>
        <w:tc>
          <w:tcPr>
            <w:tcW w:w="2402" w:type="dxa"/>
          </w:tcPr>
          <w:p w14:paraId="0DFDC4B8">
            <w:pPr>
              <w:jc w:val="center"/>
              <w:rPr>
                <w:rFonts w:hint="eastAsia" w:ascii="宋体" w:hAnsi="宋体" w:eastAsia="宋体" w:cs="宋体"/>
                <w:color w:val="auto"/>
                <w:highlight w:val="none"/>
              </w:rPr>
            </w:pPr>
          </w:p>
        </w:tc>
        <w:tc>
          <w:tcPr>
            <w:tcW w:w="1800" w:type="dxa"/>
          </w:tcPr>
          <w:p w14:paraId="0CB009EA">
            <w:pPr>
              <w:jc w:val="center"/>
              <w:rPr>
                <w:rFonts w:hint="eastAsia" w:ascii="宋体" w:hAnsi="宋体" w:eastAsia="宋体" w:cs="宋体"/>
                <w:color w:val="auto"/>
                <w:highlight w:val="none"/>
              </w:rPr>
            </w:pPr>
          </w:p>
        </w:tc>
        <w:tc>
          <w:tcPr>
            <w:tcW w:w="1440" w:type="dxa"/>
          </w:tcPr>
          <w:p w14:paraId="39EFA585">
            <w:pPr>
              <w:jc w:val="center"/>
              <w:rPr>
                <w:rFonts w:hint="eastAsia" w:ascii="宋体" w:hAnsi="宋体" w:eastAsia="宋体" w:cs="宋体"/>
                <w:color w:val="auto"/>
                <w:highlight w:val="none"/>
              </w:rPr>
            </w:pPr>
          </w:p>
        </w:tc>
        <w:tc>
          <w:tcPr>
            <w:tcW w:w="2160" w:type="dxa"/>
          </w:tcPr>
          <w:p w14:paraId="6571018E">
            <w:pPr>
              <w:jc w:val="center"/>
              <w:rPr>
                <w:rFonts w:hint="eastAsia" w:ascii="宋体" w:hAnsi="宋体" w:eastAsia="宋体" w:cs="宋体"/>
                <w:color w:val="auto"/>
                <w:highlight w:val="none"/>
              </w:rPr>
            </w:pPr>
          </w:p>
        </w:tc>
      </w:tr>
      <w:tr w14:paraId="7F59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08EA35F1">
            <w:pPr>
              <w:jc w:val="center"/>
              <w:rPr>
                <w:rFonts w:hint="eastAsia" w:ascii="宋体" w:hAnsi="宋体" w:eastAsia="宋体" w:cs="宋体"/>
                <w:color w:val="auto"/>
                <w:highlight w:val="none"/>
              </w:rPr>
            </w:pPr>
          </w:p>
        </w:tc>
        <w:tc>
          <w:tcPr>
            <w:tcW w:w="2402" w:type="dxa"/>
          </w:tcPr>
          <w:p w14:paraId="496C0792">
            <w:pPr>
              <w:jc w:val="center"/>
              <w:rPr>
                <w:rFonts w:hint="eastAsia" w:ascii="宋体" w:hAnsi="宋体" w:eastAsia="宋体" w:cs="宋体"/>
                <w:color w:val="auto"/>
                <w:highlight w:val="none"/>
              </w:rPr>
            </w:pPr>
          </w:p>
        </w:tc>
        <w:tc>
          <w:tcPr>
            <w:tcW w:w="1800" w:type="dxa"/>
          </w:tcPr>
          <w:p w14:paraId="4C2FF0E1">
            <w:pPr>
              <w:jc w:val="center"/>
              <w:rPr>
                <w:rFonts w:hint="eastAsia" w:ascii="宋体" w:hAnsi="宋体" w:eastAsia="宋体" w:cs="宋体"/>
                <w:color w:val="auto"/>
                <w:highlight w:val="none"/>
              </w:rPr>
            </w:pPr>
          </w:p>
        </w:tc>
        <w:tc>
          <w:tcPr>
            <w:tcW w:w="1440" w:type="dxa"/>
          </w:tcPr>
          <w:p w14:paraId="451F62E6">
            <w:pPr>
              <w:jc w:val="center"/>
              <w:rPr>
                <w:rFonts w:hint="eastAsia" w:ascii="宋体" w:hAnsi="宋体" w:eastAsia="宋体" w:cs="宋体"/>
                <w:color w:val="auto"/>
                <w:highlight w:val="none"/>
              </w:rPr>
            </w:pPr>
          </w:p>
        </w:tc>
        <w:tc>
          <w:tcPr>
            <w:tcW w:w="2160" w:type="dxa"/>
          </w:tcPr>
          <w:p w14:paraId="110CD4D5">
            <w:pPr>
              <w:jc w:val="center"/>
              <w:rPr>
                <w:rFonts w:hint="eastAsia" w:ascii="宋体" w:hAnsi="宋体" w:eastAsia="宋体" w:cs="宋体"/>
                <w:color w:val="auto"/>
                <w:highlight w:val="none"/>
              </w:rPr>
            </w:pPr>
          </w:p>
        </w:tc>
      </w:tr>
      <w:tr w14:paraId="4289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252E09B9">
            <w:pPr>
              <w:jc w:val="center"/>
              <w:rPr>
                <w:rFonts w:hint="eastAsia" w:ascii="宋体" w:hAnsi="宋体" w:eastAsia="宋体" w:cs="宋体"/>
                <w:color w:val="auto"/>
                <w:highlight w:val="none"/>
              </w:rPr>
            </w:pPr>
          </w:p>
        </w:tc>
        <w:tc>
          <w:tcPr>
            <w:tcW w:w="2402" w:type="dxa"/>
          </w:tcPr>
          <w:p w14:paraId="3B9D69BD">
            <w:pPr>
              <w:jc w:val="center"/>
              <w:rPr>
                <w:rFonts w:hint="eastAsia" w:ascii="宋体" w:hAnsi="宋体" w:eastAsia="宋体" w:cs="宋体"/>
                <w:color w:val="auto"/>
                <w:highlight w:val="none"/>
              </w:rPr>
            </w:pPr>
          </w:p>
        </w:tc>
        <w:tc>
          <w:tcPr>
            <w:tcW w:w="1800" w:type="dxa"/>
          </w:tcPr>
          <w:p w14:paraId="24A7C719">
            <w:pPr>
              <w:jc w:val="center"/>
              <w:rPr>
                <w:rFonts w:hint="eastAsia" w:ascii="宋体" w:hAnsi="宋体" w:eastAsia="宋体" w:cs="宋体"/>
                <w:color w:val="auto"/>
                <w:highlight w:val="none"/>
              </w:rPr>
            </w:pPr>
          </w:p>
        </w:tc>
        <w:tc>
          <w:tcPr>
            <w:tcW w:w="1440" w:type="dxa"/>
          </w:tcPr>
          <w:p w14:paraId="6F997D52">
            <w:pPr>
              <w:jc w:val="center"/>
              <w:rPr>
                <w:rFonts w:hint="eastAsia" w:ascii="宋体" w:hAnsi="宋体" w:eastAsia="宋体" w:cs="宋体"/>
                <w:color w:val="auto"/>
                <w:highlight w:val="none"/>
              </w:rPr>
            </w:pPr>
          </w:p>
        </w:tc>
        <w:tc>
          <w:tcPr>
            <w:tcW w:w="2160" w:type="dxa"/>
          </w:tcPr>
          <w:p w14:paraId="5BF4A988">
            <w:pPr>
              <w:jc w:val="center"/>
              <w:rPr>
                <w:rFonts w:hint="eastAsia" w:ascii="宋体" w:hAnsi="宋体" w:eastAsia="宋体" w:cs="宋体"/>
                <w:color w:val="auto"/>
                <w:highlight w:val="none"/>
              </w:rPr>
            </w:pPr>
          </w:p>
        </w:tc>
      </w:tr>
      <w:tr w14:paraId="533A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tcPr>
          <w:p w14:paraId="3FDD0477">
            <w:pPr>
              <w:jc w:val="center"/>
              <w:rPr>
                <w:rFonts w:hint="eastAsia" w:ascii="宋体" w:hAnsi="宋体" w:eastAsia="宋体" w:cs="宋体"/>
                <w:color w:val="auto"/>
                <w:highlight w:val="none"/>
              </w:rPr>
            </w:pPr>
          </w:p>
        </w:tc>
        <w:tc>
          <w:tcPr>
            <w:tcW w:w="2402" w:type="dxa"/>
          </w:tcPr>
          <w:p w14:paraId="746BCFED">
            <w:pPr>
              <w:jc w:val="center"/>
              <w:rPr>
                <w:rFonts w:hint="eastAsia" w:ascii="宋体" w:hAnsi="宋体" w:eastAsia="宋体" w:cs="宋体"/>
                <w:color w:val="auto"/>
                <w:highlight w:val="none"/>
              </w:rPr>
            </w:pPr>
          </w:p>
        </w:tc>
        <w:tc>
          <w:tcPr>
            <w:tcW w:w="1800" w:type="dxa"/>
          </w:tcPr>
          <w:p w14:paraId="63376D40">
            <w:pPr>
              <w:jc w:val="center"/>
              <w:rPr>
                <w:rFonts w:hint="eastAsia" w:ascii="宋体" w:hAnsi="宋体" w:eastAsia="宋体" w:cs="宋体"/>
                <w:color w:val="auto"/>
                <w:highlight w:val="none"/>
              </w:rPr>
            </w:pPr>
          </w:p>
        </w:tc>
        <w:tc>
          <w:tcPr>
            <w:tcW w:w="1440" w:type="dxa"/>
          </w:tcPr>
          <w:p w14:paraId="1BF53269">
            <w:pPr>
              <w:jc w:val="center"/>
              <w:rPr>
                <w:rFonts w:hint="eastAsia" w:ascii="宋体" w:hAnsi="宋体" w:eastAsia="宋体" w:cs="宋体"/>
                <w:color w:val="auto"/>
                <w:highlight w:val="none"/>
              </w:rPr>
            </w:pPr>
          </w:p>
        </w:tc>
        <w:tc>
          <w:tcPr>
            <w:tcW w:w="2160" w:type="dxa"/>
          </w:tcPr>
          <w:p w14:paraId="00A70656">
            <w:pPr>
              <w:jc w:val="center"/>
              <w:rPr>
                <w:rFonts w:hint="eastAsia" w:ascii="宋体" w:hAnsi="宋体" w:eastAsia="宋体" w:cs="宋体"/>
                <w:color w:val="auto"/>
                <w:highlight w:val="none"/>
              </w:rPr>
            </w:pPr>
          </w:p>
        </w:tc>
      </w:tr>
    </w:tbl>
    <w:p w14:paraId="48BFB597">
      <w:pPr>
        <w:spacing w:line="305" w:lineRule="auto"/>
        <w:ind w:firstLine="420"/>
        <w:rPr>
          <w:rFonts w:hint="eastAsia" w:ascii="宋体" w:hAnsi="宋体" w:eastAsia="宋体" w:cs="宋体"/>
          <w:color w:val="auto"/>
          <w:szCs w:val="21"/>
          <w:highlight w:val="none"/>
        </w:rPr>
      </w:pPr>
    </w:p>
    <w:p w14:paraId="79861DCF">
      <w:pPr>
        <w:spacing w:line="305" w:lineRule="auto"/>
        <w:ind w:firstLine="420"/>
        <w:rPr>
          <w:rFonts w:hint="eastAsia" w:ascii="宋体" w:hAnsi="宋体" w:eastAsia="宋体" w:cs="宋体"/>
          <w:color w:val="auto"/>
          <w:szCs w:val="21"/>
          <w:highlight w:val="none"/>
        </w:rPr>
      </w:pPr>
    </w:p>
    <w:p w14:paraId="71218714">
      <w:pPr>
        <w:ind w:left="850" w:hanging="850" w:hangingChars="405"/>
        <w:jc w:val="left"/>
        <w:rPr>
          <w:rFonts w:hint="eastAsia" w:ascii="宋体" w:hAnsi="宋体" w:eastAsia="宋体" w:cs="宋体"/>
          <w:color w:val="auto"/>
          <w:highlight w:val="none"/>
        </w:rPr>
      </w:pPr>
      <w:r>
        <w:rPr>
          <w:rFonts w:hint="eastAsia" w:ascii="宋体" w:hAnsi="宋体" w:eastAsia="宋体" w:cs="宋体"/>
          <w:color w:val="auto"/>
          <w:highlight w:val="none"/>
        </w:rPr>
        <w:t>备注：1. 近</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年是指从投标截止日往前推算的</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年，以表彰文件、获奖证书的时间为准。</w:t>
      </w:r>
    </w:p>
    <w:p w14:paraId="28ACAC1A">
      <w:pPr>
        <w:ind w:left="850" w:leftChars="294" w:hanging="233" w:hangingChars="111"/>
        <w:jc w:val="left"/>
        <w:rPr>
          <w:rFonts w:hint="eastAsia" w:ascii="宋体" w:hAnsi="宋体" w:eastAsia="宋体" w:cs="宋体"/>
          <w:color w:val="auto"/>
          <w:highlight w:val="none"/>
        </w:rPr>
      </w:pPr>
      <w:r>
        <w:rPr>
          <w:rFonts w:hint="eastAsia" w:ascii="宋体" w:hAnsi="宋体" w:eastAsia="宋体" w:cs="宋体"/>
          <w:color w:val="auto"/>
          <w:highlight w:val="none"/>
        </w:rPr>
        <w:t>2. 本表后应附表彰文件、颁奖机构颁发的获奖证书及其他证明材料等原件扫描件。</w:t>
      </w:r>
    </w:p>
    <w:p w14:paraId="5078E42E">
      <w:pPr>
        <w:rPr>
          <w:rFonts w:hint="eastAsia" w:ascii="宋体" w:hAnsi="宋体" w:eastAsia="宋体" w:cs="宋体"/>
          <w:color w:val="auto"/>
          <w:highlight w:val="none"/>
        </w:rPr>
      </w:pPr>
    </w:p>
    <w:p w14:paraId="5531094F">
      <w:pPr>
        <w:rPr>
          <w:rFonts w:hint="eastAsia" w:ascii="宋体" w:hAnsi="宋体" w:eastAsia="宋体" w:cs="宋体"/>
          <w:color w:val="auto"/>
          <w:highlight w:val="none"/>
        </w:rPr>
      </w:pPr>
    </w:p>
    <w:p w14:paraId="0B071F16">
      <w:pPr>
        <w:rPr>
          <w:rFonts w:hint="eastAsia" w:ascii="宋体" w:hAnsi="宋体" w:eastAsia="宋体" w:cs="宋体"/>
          <w:color w:val="auto"/>
          <w:highlight w:val="none"/>
        </w:rPr>
      </w:pPr>
    </w:p>
    <w:p w14:paraId="13E9B9AC">
      <w:pPr>
        <w:rPr>
          <w:rFonts w:hint="eastAsia" w:ascii="宋体" w:hAnsi="宋体" w:eastAsia="宋体" w:cs="宋体"/>
          <w:color w:val="auto"/>
          <w:highlight w:val="none"/>
        </w:rPr>
      </w:pPr>
    </w:p>
    <w:p w14:paraId="0B53EBF9">
      <w:pPr>
        <w:rPr>
          <w:rFonts w:hint="eastAsia" w:ascii="宋体" w:hAnsi="宋体" w:eastAsia="宋体" w:cs="宋体"/>
          <w:color w:val="auto"/>
          <w:highlight w:val="none"/>
        </w:rPr>
      </w:pPr>
    </w:p>
    <w:p w14:paraId="7A4E5C57">
      <w:pPr>
        <w:rPr>
          <w:rFonts w:hint="eastAsia" w:ascii="宋体" w:hAnsi="宋体" w:eastAsia="宋体" w:cs="宋体"/>
          <w:color w:val="auto"/>
          <w:highlight w:val="none"/>
        </w:rPr>
      </w:pPr>
    </w:p>
    <w:p w14:paraId="0B573E23">
      <w:pPr>
        <w:rPr>
          <w:rFonts w:hint="eastAsia" w:ascii="宋体" w:hAnsi="宋体" w:eastAsia="宋体" w:cs="宋体"/>
          <w:color w:val="auto"/>
          <w:highlight w:val="none"/>
        </w:rPr>
      </w:pPr>
    </w:p>
    <w:p w14:paraId="6E9530A1">
      <w:pPr>
        <w:rPr>
          <w:rFonts w:hint="eastAsia" w:ascii="宋体" w:hAnsi="宋体" w:eastAsia="宋体" w:cs="宋体"/>
          <w:color w:val="auto"/>
          <w:highlight w:val="none"/>
        </w:rPr>
      </w:pPr>
    </w:p>
    <w:p w14:paraId="289E3AFC">
      <w:pPr>
        <w:rPr>
          <w:rFonts w:hint="eastAsia" w:ascii="宋体" w:hAnsi="宋体" w:eastAsia="宋体" w:cs="宋体"/>
          <w:color w:val="auto"/>
          <w:highlight w:val="none"/>
        </w:rPr>
      </w:pPr>
    </w:p>
    <w:p w14:paraId="04D6AE00">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br w:type="page"/>
      </w:r>
    </w:p>
    <w:p w14:paraId="4EBD8EE8">
      <w:pPr>
        <w:spacing w:after="240"/>
        <w:jc w:val="center"/>
        <w:outlineLvl w:val="3"/>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5、其它资格审查材料</w:t>
      </w:r>
    </w:p>
    <w:p w14:paraId="061788DA">
      <w:pPr>
        <w:rPr>
          <w:rFonts w:hint="eastAsia" w:ascii="宋体" w:hAnsi="宋体" w:eastAsia="宋体" w:cs="宋体"/>
          <w:color w:val="auto"/>
          <w:highlight w:val="none"/>
        </w:rPr>
      </w:pPr>
    </w:p>
    <w:p w14:paraId="6E58FA9A">
      <w:pPr>
        <w:rPr>
          <w:rFonts w:hint="eastAsia" w:ascii="宋体" w:hAnsi="宋体" w:eastAsia="宋体" w:cs="宋体"/>
          <w:color w:val="auto"/>
          <w:highlight w:val="none"/>
        </w:rPr>
      </w:pPr>
    </w:p>
    <w:p w14:paraId="7546EAD4">
      <w:pPr>
        <w:rPr>
          <w:rFonts w:hint="eastAsia" w:ascii="宋体" w:hAnsi="宋体" w:eastAsia="宋体" w:cs="宋体"/>
          <w:color w:val="auto"/>
          <w:highlight w:val="none"/>
        </w:rPr>
      </w:pPr>
    </w:p>
    <w:p w14:paraId="7177911D">
      <w:pPr>
        <w:rPr>
          <w:rFonts w:hint="eastAsia" w:ascii="宋体" w:hAnsi="宋体" w:eastAsia="宋体" w:cs="宋体"/>
          <w:color w:val="auto"/>
          <w:highlight w:val="none"/>
        </w:rPr>
      </w:pPr>
    </w:p>
    <w:p w14:paraId="43F041C9">
      <w:pPr>
        <w:rPr>
          <w:rFonts w:hint="eastAsia" w:ascii="宋体" w:hAnsi="宋体" w:eastAsia="宋体" w:cs="宋体"/>
          <w:color w:val="auto"/>
          <w:highlight w:val="none"/>
        </w:rPr>
      </w:pPr>
    </w:p>
    <w:p w14:paraId="561E8387">
      <w:pPr>
        <w:rPr>
          <w:rFonts w:hint="eastAsia" w:ascii="宋体" w:hAnsi="宋体" w:eastAsia="宋体" w:cs="宋体"/>
          <w:color w:val="auto"/>
          <w:highlight w:val="none"/>
        </w:rPr>
      </w:pPr>
    </w:p>
    <w:p w14:paraId="44CF044D">
      <w:pPr>
        <w:rPr>
          <w:rFonts w:hint="eastAsia" w:ascii="宋体" w:hAnsi="宋体" w:eastAsia="宋体" w:cs="宋体"/>
          <w:color w:val="auto"/>
          <w:highlight w:val="none"/>
        </w:rPr>
      </w:pPr>
    </w:p>
    <w:p w14:paraId="4C886549">
      <w:pPr>
        <w:rPr>
          <w:rFonts w:hint="eastAsia" w:ascii="宋体" w:hAnsi="宋体" w:eastAsia="宋体" w:cs="宋体"/>
          <w:color w:val="auto"/>
          <w:highlight w:val="none"/>
        </w:rPr>
      </w:pPr>
    </w:p>
    <w:p w14:paraId="6C0EAE81">
      <w:pPr>
        <w:rPr>
          <w:rFonts w:hint="eastAsia" w:ascii="宋体" w:hAnsi="宋体" w:eastAsia="宋体" w:cs="宋体"/>
          <w:color w:val="auto"/>
          <w:highlight w:val="none"/>
        </w:rPr>
      </w:pPr>
    </w:p>
    <w:p w14:paraId="331E7616">
      <w:pPr>
        <w:rPr>
          <w:rFonts w:hint="eastAsia" w:ascii="宋体" w:hAnsi="宋体" w:eastAsia="宋体" w:cs="宋体"/>
          <w:color w:val="auto"/>
          <w:highlight w:val="none"/>
        </w:rPr>
      </w:pPr>
    </w:p>
    <w:p w14:paraId="6CF3D4B4">
      <w:pPr>
        <w:rPr>
          <w:rFonts w:hint="eastAsia" w:ascii="宋体" w:hAnsi="宋体" w:eastAsia="宋体" w:cs="宋体"/>
          <w:color w:val="auto"/>
          <w:highlight w:val="none"/>
        </w:rPr>
      </w:pPr>
    </w:p>
    <w:p w14:paraId="2F85E92A">
      <w:pPr>
        <w:rPr>
          <w:rFonts w:hint="eastAsia" w:ascii="宋体" w:hAnsi="宋体" w:eastAsia="宋体" w:cs="宋体"/>
          <w:color w:val="auto"/>
          <w:highlight w:val="none"/>
        </w:rPr>
      </w:pPr>
    </w:p>
    <w:p w14:paraId="0A3226EA">
      <w:pPr>
        <w:rPr>
          <w:rFonts w:hint="eastAsia" w:ascii="宋体" w:hAnsi="宋体" w:eastAsia="宋体" w:cs="宋体"/>
          <w:color w:val="auto"/>
          <w:highlight w:val="none"/>
        </w:rPr>
      </w:pPr>
    </w:p>
    <w:p w14:paraId="6B487E54">
      <w:pPr>
        <w:rPr>
          <w:rFonts w:hint="eastAsia" w:ascii="宋体" w:hAnsi="宋体" w:eastAsia="宋体" w:cs="宋体"/>
          <w:color w:val="auto"/>
          <w:highlight w:val="none"/>
        </w:rPr>
      </w:pPr>
    </w:p>
    <w:p w14:paraId="35FEDBF8">
      <w:pPr>
        <w:rPr>
          <w:rFonts w:hint="eastAsia" w:ascii="宋体" w:hAnsi="宋体" w:eastAsia="宋体" w:cs="宋体"/>
          <w:color w:val="auto"/>
          <w:highlight w:val="none"/>
        </w:rPr>
      </w:pPr>
    </w:p>
    <w:p w14:paraId="796C57DA">
      <w:pPr>
        <w:rPr>
          <w:rFonts w:hint="eastAsia" w:ascii="宋体" w:hAnsi="宋体" w:eastAsia="宋体" w:cs="宋体"/>
          <w:color w:val="auto"/>
          <w:highlight w:val="none"/>
        </w:rPr>
      </w:pPr>
    </w:p>
    <w:p w14:paraId="5425DD56">
      <w:pPr>
        <w:rPr>
          <w:rFonts w:hint="eastAsia" w:ascii="宋体" w:hAnsi="宋体" w:eastAsia="宋体" w:cs="宋体"/>
          <w:color w:val="auto"/>
          <w:highlight w:val="none"/>
        </w:rPr>
      </w:pPr>
    </w:p>
    <w:p w14:paraId="6B6FBC86">
      <w:pPr>
        <w:rPr>
          <w:rFonts w:hint="eastAsia" w:ascii="宋体" w:hAnsi="宋体" w:eastAsia="宋体" w:cs="宋体"/>
          <w:color w:val="auto"/>
          <w:highlight w:val="none"/>
        </w:rPr>
      </w:pPr>
    </w:p>
    <w:p w14:paraId="37A2D3B5">
      <w:pPr>
        <w:rPr>
          <w:rFonts w:hint="eastAsia" w:ascii="宋体" w:hAnsi="宋体" w:eastAsia="宋体" w:cs="宋体"/>
          <w:color w:val="auto"/>
          <w:highlight w:val="none"/>
        </w:rPr>
      </w:pPr>
    </w:p>
    <w:p w14:paraId="48AD1D52">
      <w:pPr>
        <w:rPr>
          <w:rFonts w:hint="eastAsia" w:ascii="宋体" w:hAnsi="宋体" w:eastAsia="宋体" w:cs="宋体"/>
          <w:color w:val="auto"/>
          <w:highlight w:val="none"/>
        </w:rPr>
      </w:pPr>
    </w:p>
    <w:p w14:paraId="63DAB1D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E03766E">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503" w:name="_Toc6376"/>
      <w:r>
        <w:rPr>
          <w:rFonts w:hint="eastAsia" w:ascii="宋体" w:hAnsi="宋体" w:eastAsia="宋体" w:cs="宋体"/>
          <w:b/>
          <w:bCs/>
          <w:color w:val="auto"/>
          <w:sz w:val="24"/>
          <w:szCs w:val="24"/>
          <w:highlight w:val="none"/>
          <w:lang w:val="zh-CN"/>
        </w:rPr>
        <w:t>（八）</w:t>
      </w:r>
      <w:r>
        <w:rPr>
          <w:rFonts w:hint="eastAsia" w:ascii="宋体" w:hAnsi="宋体" w:eastAsia="宋体" w:cs="宋体"/>
          <w:b/>
          <w:bCs/>
          <w:color w:val="auto"/>
          <w:sz w:val="24"/>
          <w:szCs w:val="24"/>
          <w:highlight w:val="none"/>
          <w:lang w:val="zh-CN" w:eastAsia="zh-CN"/>
        </w:rPr>
        <w:t>其他材料</w:t>
      </w:r>
      <w:bookmarkEnd w:id="503"/>
    </w:p>
    <w:p w14:paraId="10D003DB">
      <w:pPr>
        <w:rPr>
          <w:rFonts w:hint="eastAsia" w:ascii="宋体" w:hAnsi="宋体" w:eastAsia="宋体" w:cs="宋体"/>
          <w:color w:val="auto"/>
          <w:highlight w:val="none"/>
        </w:rPr>
      </w:pPr>
    </w:p>
    <w:p w14:paraId="13BCE1BA">
      <w:pPr>
        <w:rPr>
          <w:rFonts w:hint="eastAsia" w:ascii="宋体" w:hAnsi="宋体" w:eastAsia="宋体" w:cs="宋体"/>
          <w:color w:val="auto"/>
          <w:highlight w:val="none"/>
        </w:rPr>
      </w:pPr>
    </w:p>
    <w:p w14:paraId="0F0CD02C">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r>
    </w:p>
    <w:p w14:paraId="631522A6">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504" w:name="_Toc8691"/>
      <w:r>
        <w:rPr>
          <w:rFonts w:hint="eastAsia" w:ascii="宋体" w:hAnsi="宋体" w:eastAsia="宋体" w:cs="宋体"/>
          <w:b/>
          <w:bCs/>
          <w:color w:val="auto"/>
          <w:sz w:val="24"/>
          <w:szCs w:val="24"/>
          <w:highlight w:val="none"/>
          <w:lang w:val="zh-CN"/>
        </w:rPr>
        <w:t>（九）财务会计报表</w:t>
      </w:r>
      <w:bookmarkEnd w:id="504"/>
    </w:p>
    <w:p w14:paraId="71501F88">
      <w:pPr>
        <w:rPr>
          <w:rFonts w:hint="eastAsia" w:ascii="宋体" w:hAnsi="宋体" w:eastAsia="宋体" w:cs="宋体"/>
          <w:color w:val="auto"/>
          <w:highlight w:val="none"/>
        </w:rPr>
      </w:pPr>
      <w:r>
        <w:rPr>
          <w:rFonts w:hint="eastAsia" w:ascii="宋体" w:hAnsi="宋体" w:eastAsia="宋体" w:cs="宋体"/>
          <w:color w:val="auto"/>
          <w:highlight w:val="none"/>
        </w:rPr>
        <w:t>财务会计报表信息（如有）请在此处上传。</w:t>
      </w:r>
    </w:p>
    <w:p w14:paraId="33C23A4E">
      <w:pP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634159B">
      <w:pPr>
        <w:spacing w:line="600" w:lineRule="exact"/>
        <w:contextualSpacing/>
        <w:jc w:val="center"/>
        <w:outlineLvl w:val="1"/>
        <w:rPr>
          <w:rFonts w:hint="eastAsia" w:ascii="宋体" w:hAnsi="宋体" w:eastAsia="宋体" w:cs="宋体"/>
          <w:b/>
          <w:bCs/>
          <w:color w:val="auto"/>
          <w:sz w:val="28"/>
          <w:szCs w:val="28"/>
          <w:highlight w:val="none"/>
          <w:lang w:val="zh-CN"/>
        </w:rPr>
      </w:pPr>
      <w:bookmarkStart w:id="505" w:name="_Toc18239"/>
      <w:bookmarkStart w:id="506" w:name="_Toc491075864"/>
      <w:bookmarkStart w:id="507" w:name="_Toc495388721"/>
      <w:r>
        <w:rPr>
          <w:rFonts w:hint="eastAsia" w:ascii="宋体" w:hAnsi="宋体" w:eastAsia="宋体" w:cs="宋体"/>
          <w:b/>
          <w:bCs/>
          <w:color w:val="auto"/>
          <w:sz w:val="28"/>
          <w:szCs w:val="28"/>
          <w:highlight w:val="none"/>
          <w:lang w:val="zh-CN"/>
        </w:rPr>
        <w:t>第二部分、投标报价表</w:t>
      </w:r>
      <w:bookmarkEnd w:id="505"/>
      <w:bookmarkEnd w:id="506"/>
      <w:bookmarkEnd w:id="507"/>
    </w:p>
    <w:p w14:paraId="34C54D22">
      <w:pPr>
        <w:keepNext/>
        <w:keepLines/>
        <w:spacing w:after="120" w:line="500" w:lineRule="exact"/>
        <w:jc w:val="center"/>
        <w:outlineLvl w:val="2"/>
        <w:rPr>
          <w:rFonts w:hint="eastAsia" w:ascii="宋体" w:hAnsi="宋体" w:eastAsia="宋体" w:cs="宋体"/>
          <w:b/>
          <w:bCs/>
          <w:color w:val="auto"/>
          <w:sz w:val="24"/>
          <w:szCs w:val="24"/>
          <w:highlight w:val="none"/>
          <w:lang w:val="zh-CN" w:eastAsia="zh-CN"/>
        </w:rPr>
      </w:pPr>
      <w:bookmarkStart w:id="508" w:name="_Toc28675"/>
      <w:r>
        <w:rPr>
          <w:rFonts w:hint="eastAsia" w:ascii="宋体" w:hAnsi="宋体" w:eastAsia="宋体" w:cs="宋体"/>
          <w:b/>
          <w:bCs/>
          <w:color w:val="auto"/>
          <w:sz w:val="24"/>
          <w:szCs w:val="24"/>
          <w:highlight w:val="none"/>
          <w:lang w:val="zh-CN" w:eastAsia="zh-CN"/>
        </w:rPr>
        <w:t>（一）投标一览表</w:t>
      </w:r>
      <w:bookmarkEnd w:id="508"/>
    </w:p>
    <w:p w14:paraId="3A9842CD">
      <w:pPr>
        <w:rPr>
          <w:rFonts w:hint="eastAsia" w:ascii="宋体" w:hAnsi="宋体" w:eastAsia="宋体" w:cs="宋体"/>
          <w:b/>
          <w:color w:val="auto"/>
          <w:szCs w:val="21"/>
          <w:highlight w:val="none"/>
          <w:lang w:val="zh-CN"/>
        </w:rPr>
      </w:pPr>
    </w:p>
    <w:p w14:paraId="1726146D">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标段（包）编号：</w:t>
      </w:r>
      <w:r>
        <w:rPr>
          <w:rFonts w:hint="eastAsia" w:ascii="宋体" w:hAnsi="宋体" w:eastAsia="宋体" w:cs="宋体"/>
          <w:color w:val="auto"/>
          <w:szCs w:val="21"/>
          <w:highlight w:val="none"/>
          <w:u w:val="single"/>
        </w:rPr>
        <w:t xml:space="preserve">                              </w:t>
      </w:r>
    </w:p>
    <w:p w14:paraId="2086B7DA">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标段（包）名称：</w:t>
      </w:r>
      <w:r>
        <w:rPr>
          <w:rFonts w:hint="eastAsia" w:ascii="宋体" w:hAnsi="宋体" w:eastAsia="宋体" w:cs="宋体"/>
          <w:color w:val="auto"/>
          <w:szCs w:val="21"/>
          <w:highlight w:val="none"/>
          <w:u w:val="single"/>
        </w:rPr>
        <w:t xml:space="preserve">                              </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3558"/>
        <w:gridCol w:w="6274"/>
      </w:tblGrid>
      <w:tr w14:paraId="25752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695" w:hRule="atLeast"/>
          <w:jc w:val="center"/>
        </w:trPr>
        <w:tc>
          <w:tcPr>
            <w:tcW w:w="3558" w:type="dxa"/>
            <w:noWrap w:val="0"/>
            <w:vAlign w:val="center"/>
          </w:tcPr>
          <w:p w14:paraId="3724C051">
            <w:pPr>
              <w:keepNext w:val="0"/>
              <w:keepLines w:val="0"/>
              <w:suppressLineNumbers w:val="0"/>
              <w:tabs>
                <w:tab w:val="left" w:pos="690"/>
              </w:tabs>
              <w:spacing w:before="0" w:beforeAutospacing="0" w:after="0" w:afterAutospacing="0" w:line="360" w:lineRule="auto"/>
              <w:ind w:left="0" w:right="-50" w:rightChars="-2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w:t>
            </w:r>
          </w:p>
        </w:tc>
        <w:tc>
          <w:tcPr>
            <w:tcW w:w="6274" w:type="dxa"/>
            <w:noWrap w:val="0"/>
            <w:vAlign w:val="center"/>
          </w:tcPr>
          <w:p w14:paraId="794C82A5">
            <w:pPr>
              <w:keepNext w:val="0"/>
              <w:keepLines w:val="0"/>
              <w:widowControl/>
              <w:suppressLineNumbers w:val="0"/>
              <w:spacing w:before="0" w:beforeAutospacing="0" w:after="0" w:afterAutospacing="0" w:line="360" w:lineRule="atLeast"/>
              <w:ind w:left="0" w:right="0"/>
              <w:jc w:val="center"/>
              <w:rPr>
                <w:rFonts w:hint="eastAsia" w:ascii="宋体" w:hAnsi="宋体" w:eastAsia="宋体" w:cs="宋体"/>
                <w:color w:val="auto"/>
                <w:sz w:val="24"/>
                <w:highlight w:val="none"/>
              </w:rPr>
            </w:pPr>
          </w:p>
        </w:tc>
      </w:tr>
      <w:tr w14:paraId="3E40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1066" w:hRule="atLeast"/>
          <w:jc w:val="center"/>
        </w:trPr>
        <w:tc>
          <w:tcPr>
            <w:tcW w:w="3558" w:type="dxa"/>
            <w:noWrap w:val="0"/>
            <w:vAlign w:val="center"/>
          </w:tcPr>
          <w:p w14:paraId="3D283571">
            <w:pPr>
              <w:keepNext w:val="0"/>
              <w:keepLines w:val="0"/>
              <w:suppressLineNumbers w:val="0"/>
              <w:tabs>
                <w:tab w:val="left" w:pos="690"/>
              </w:tabs>
              <w:spacing w:before="0" w:beforeAutospacing="0" w:after="0" w:afterAutospacing="0" w:line="360" w:lineRule="auto"/>
              <w:ind w:left="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投标报价合计</w:t>
            </w:r>
          </w:p>
        </w:tc>
        <w:tc>
          <w:tcPr>
            <w:tcW w:w="6274" w:type="dxa"/>
            <w:noWrap w:val="0"/>
            <w:vAlign w:val="center"/>
          </w:tcPr>
          <w:p w14:paraId="7BDAE15A">
            <w:pPr>
              <w:pStyle w:val="19"/>
              <w:keepNext w:val="0"/>
              <w:keepLines w:val="0"/>
              <w:suppressLineNumbers w:val="0"/>
              <w:tabs>
                <w:tab w:val="center" w:pos="2911"/>
              </w:tabs>
              <w:spacing w:before="0" w:beforeAutospacing="0" w:after="0" w:afterAutospacing="0" w:line="360" w:lineRule="auto"/>
              <w:ind w:left="0" w:leftChars="0" w:right="0" w:rightChars="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p w14:paraId="7E0BB25C">
            <w:pPr>
              <w:pStyle w:val="19"/>
              <w:keepNext w:val="0"/>
              <w:keepLines w:val="0"/>
              <w:suppressLineNumbers w:val="0"/>
              <w:tabs>
                <w:tab w:val="center" w:pos="2911"/>
              </w:tabs>
              <w:spacing w:before="0" w:beforeAutospacing="0" w:after="0" w:afterAutospacing="0" w:line="360" w:lineRule="auto"/>
              <w:ind w:left="0" w:leftChars="0" w:right="0" w:rightChars="0"/>
              <w:jc w:val="both"/>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val="en-US" w:eastAsia="zh-CN"/>
              </w:rPr>
              <w:t>小写：</w:t>
            </w:r>
          </w:p>
        </w:tc>
      </w:tr>
      <w:tr w14:paraId="017D7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695" w:hRule="atLeast"/>
          <w:jc w:val="center"/>
        </w:trPr>
        <w:tc>
          <w:tcPr>
            <w:tcW w:w="3558" w:type="dxa"/>
            <w:noWrap w:val="0"/>
            <w:vAlign w:val="center"/>
          </w:tcPr>
          <w:p w14:paraId="070689A3">
            <w:pPr>
              <w:keepNext w:val="0"/>
              <w:keepLines w:val="0"/>
              <w:suppressLineNumbers w:val="0"/>
              <w:tabs>
                <w:tab w:val="left" w:pos="690"/>
              </w:tabs>
              <w:spacing w:before="0" w:beforeAutospacing="0" w:after="0" w:afterAutospacing="0" w:line="360" w:lineRule="auto"/>
              <w:ind w:left="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合同履行期限</w:t>
            </w:r>
          </w:p>
        </w:tc>
        <w:tc>
          <w:tcPr>
            <w:tcW w:w="6274" w:type="dxa"/>
            <w:noWrap w:val="0"/>
            <w:vAlign w:val="center"/>
          </w:tcPr>
          <w:p w14:paraId="0B3CD0F7">
            <w:pPr>
              <w:keepNext w:val="0"/>
              <w:keepLines w:val="0"/>
              <w:widowControl/>
              <w:suppressLineNumbers w:val="0"/>
              <w:spacing w:before="0" w:beforeAutospacing="0" w:after="0" w:afterAutospacing="0" w:line="360" w:lineRule="atLeast"/>
              <w:ind w:left="0" w:right="0"/>
              <w:jc w:val="center"/>
              <w:rPr>
                <w:rFonts w:hint="eastAsia" w:ascii="宋体" w:hAnsi="宋体" w:eastAsia="宋体" w:cs="宋体"/>
                <w:color w:val="auto"/>
                <w:sz w:val="24"/>
                <w:highlight w:val="none"/>
              </w:rPr>
            </w:pPr>
          </w:p>
        </w:tc>
      </w:tr>
      <w:tr w14:paraId="7B145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695" w:hRule="atLeast"/>
          <w:jc w:val="center"/>
        </w:trPr>
        <w:tc>
          <w:tcPr>
            <w:tcW w:w="3558" w:type="dxa"/>
            <w:noWrap w:val="0"/>
            <w:vAlign w:val="center"/>
          </w:tcPr>
          <w:p w14:paraId="4875EAC5">
            <w:pPr>
              <w:keepNext w:val="0"/>
              <w:keepLines w:val="0"/>
              <w:suppressLineNumbers w:val="0"/>
              <w:tabs>
                <w:tab w:val="left" w:pos="690"/>
              </w:tabs>
              <w:spacing w:before="0" w:beforeAutospacing="0" w:after="0" w:afterAutospacing="0" w:line="360" w:lineRule="auto"/>
              <w:ind w:left="0" w:right="-50" w:rightChars="-24"/>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w:t>
            </w:r>
          </w:p>
        </w:tc>
        <w:tc>
          <w:tcPr>
            <w:tcW w:w="6274" w:type="dxa"/>
            <w:noWrap w:val="0"/>
            <w:vAlign w:val="center"/>
          </w:tcPr>
          <w:p w14:paraId="64D87E16">
            <w:pPr>
              <w:keepNext w:val="0"/>
              <w:keepLines w:val="0"/>
              <w:widowControl/>
              <w:suppressLineNumbers w:val="0"/>
              <w:spacing w:before="0" w:beforeAutospacing="0" w:after="0" w:afterAutospacing="0" w:line="360" w:lineRule="atLeast"/>
              <w:ind w:left="0" w:right="0"/>
              <w:jc w:val="center"/>
              <w:rPr>
                <w:rFonts w:hint="eastAsia" w:ascii="宋体" w:hAnsi="宋体" w:eastAsia="宋体" w:cs="宋体"/>
                <w:color w:val="auto"/>
                <w:sz w:val="24"/>
                <w:highlight w:val="none"/>
              </w:rPr>
            </w:pPr>
          </w:p>
        </w:tc>
      </w:tr>
      <w:tr w14:paraId="573D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695" w:hRule="atLeast"/>
          <w:jc w:val="center"/>
        </w:trPr>
        <w:tc>
          <w:tcPr>
            <w:tcW w:w="3558" w:type="dxa"/>
            <w:noWrap w:val="0"/>
            <w:vAlign w:val="center"/>
          </w:tcPr>
          <w:p w14:paraId="6F80367D">
            <w:pPr>
              <w:keepNext w:val="0"/>
              <w:keepLines w:val="0"/>
              <w:suppressLineNumbers w:val="0"/>
              <w:tabs>
                <w:tab w:val="left" w:pos="690"/>
              </w:tabs>
              <w:spacing w:before="0" w:beforeAutospacing="0" w:after="0" w:afterAutospacing="0" w:line="360" w:lineRule="auto"/>
              <w:ind w:left="0" w:right="-50" w:rightChars="-2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优惠条款（如有）</w:t>
            </w:r>
          </w:p>
        </w:tc>
        <w:tc>
          <w:tcPr>
            <w:tcW w:w="6274" w:type="dxa"/>
            <w:noWrap w:val="0"/>
            <w:vAlign w:val="center"/>
          </w:tcPr>
          <w:p w14:paraId="05495B19">
            <w:pPr>
              <w:keepNext w:val="0"/>
              <w:keepLines w:val="0"/>
              <w:widowControl/>
              <w:suppressLineNumbers w:val="0"/>
              <w:spacing w:before="0" w:beforeAutospacing="0" w:after="0" w:afterAutospacing="0" w:line="360" w:lineRule="atLeast"/>
              <w:ind w:left="0" w:right="0"/>
              <w:jc w:val="center"/>
              <w:rPr>
                <w:rFonts w:hint="eastAsia" w:ascii="宋体" w:hAnsi="宋体" w:eastAsia="宋体" w:cs="宋体"/>
                <w:color w:val="auto"/>
                <w:sz w:val="24"/>
                <w:highlight w:val="none"/>
                <w:u w:val="single"/>
              </w:rPr>
            </w:pPr>
          </w:p>
        </w:tc>
      </w:tr>
      <w:tr w14:paraId="6EB2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cantSplit/>
          <w:trHeight w:val="705" w:hRule="atLeast"/>
          <w:jc w:val="center"/>
        </w:trPr>
        <w:tc>
          <w:tcPr>
            <w:tcW w:w="3558" w:type="dxa"/>
            <w:noWrap w:val="0"/>
            <w:vAlign w:val="center"/>
          </w:tcPr>
          <w:p w14:paraId="518F84C4">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6274" w:type="dxa"/>
            <w:noWrap w:val="0"/>
            <w:vAlign w:val="center"/>
          </w:tcPr>
          <w:p w14:paraId="55275A12">
            <w:pPr>
              <w:keepNext w:val="0"/>
              <w:keepLines w:val="0"/>
              <w:suppressLineNumbers w:val="0"/>
              <w:spacing w:before="0" w:beforeAutospacing="0" w:after="0" w:afterAutospacing="0"/>
              <w:ind w:left="0" w:right="0"/>
              <w:jc w:val="center"/>
              <w:rPr>
                <w:rFonts w:hint="eastAsia" w:ascii="宋体" w:hAnsi="宋体" w:eastAsia="宋体" w:cs="宋体"/>
                <w:color w:val="auto"/>
                <w:sz w:val="24"/>
                <w:highlight w:val="none"/>
              </w:rPr>
            </w:pPr>
          </w:p>
        </w:tc>
      </w:tr>
    </w:tbl>
    <w:p w14:paraId="657DB4B3">
      <w:pPr>
        <w:wordWrap/>
        <w:adjustRightInd w:val="0"/>
        <w:snapToGrid w:val="0"/>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2212167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1.此表中的报价合计不可超出最高限价，如超出按无效投标处理。</w:t>
      </w:r>
    </w:p>
    <w:p w14:paraId="0450C4A6">
      <w:pPr>
        <w:spacing w:afterAutospacing="0" w:line="360" w:lineRule="auto"/>
        <w:ind w:firstLine="480" w:firstLineChars="200"/>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2.</w:t>
      </w:r>
      <w:r>
        <w:rPr>
          <w:rFonts w:hint="eastAsia" w:ascii="宋体" w:hAnsi="宋体" w:eastAsia="宋体" w:cs="宋体"/>
          <w:b/>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投标人的报价应包含为完成招标文件提出的软件开发、集成、调试、报检、培训、售后服务（含软件更新升级）等全部相关工作所有可能发生的费用。对在合同实施过程中可能发生的其他费用（如：增加耗材、材料涨价、人工、运输成本增加等因素），招标人概不负责。本文件所要求内容应视为保证本项目的所需最低要求，如有遗漏，投标人应予补充。否则，将不予以付款。</w:t>
      </w:r>
    </w:p>
    <w:p w14:paraId="562798E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3.所有价格均系用人民币表示；</w:t>
      </w:r>
    </w:p>
    <w:p w14:paraId="79B96E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4.以上价格含税，可开具增值税专用发票；</w:t>
      </w:r>
    </w:p>
    <w:p w14:paraId="358FCA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5.此表除保留在投标文件中外，另复制两份与投标函（原件）一起另外密封装在开标一览表信封中，作为唱标之用。</w:t>
      </w:r>
    </w:p>
    <w:p w14:paraId="1D1887B0">
      <w:pPr>
        <w:widowControl w:val="0"/>
        <w:wordWrap/>
        <w:autoSpaceDE w:val="0"/>
        <w:autoSpaceDN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14:paraId="5FFB2604">
      <w:pPr>
        <w:widowControl w:val="0"/>
        <w:wordWrap/>
        <w:autoSpaceDE w:val="0"/>
        <w:autoSpaceDN w:val="0"/>
        <w:adjustRightInd w:val="0"/>
        <w:snapToGrid/>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 期：</w:t>
      </w:r>
    </w:p>
    <w:p w14:paraId="081B1FF4">
      <w:pPr>
        <w:keepNext/>
        <w:keepLines/>
        <w:spacing w:after="120" w:line="500" w:lineRule="exact"/>
        <w:jc w:val="center"/>
        <w:outlineLvl w:val="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8"/>
          <w:szCs w:val="24"/>
          <w:highlight w:val="none"/>
          <w:lang w:val="en-US" w:eastAsia="zh-CN" w:bidi="ar-SA"/>
        </w:rPr>
        <w:br w:type="page"/>
      </w:r>
      <w:bookmarkStart w:id="509" w:name="_Toc24050"/>
      <w:bookmarkStart w:id="510" w:name="_Toc23474"/>
      <w:r>
        <w:rPr>
          <w:rFonts w:hint="eastAsia" w:ascii="宋体" w:hAnsi="宋体" w:eastAsia="宋体" w:cs="宋体"/>
          <w:b/>
          <w:bCs/>
          <w:color w:val="auto"/>
          <w:sz w:val="24"/>
          <w:szCs w:val="24"/>
          <w:highlight w:val="none"/>
          <w:lang w:val="en-US" w:eastAsia="zh-CN"/>
        </w:rPr>
        <w:t>（二）分项报价表</w:t>
      </w:r>
      <w:bookmarkEnd w:id="509"/>
      <w:bookmarkEnd w:id="510"/>
    </w:p>
    <w:p w14:paraId="31164D7F">
      <w:pPr>
        <w:spacing w:line="300" w:lineRule="auto"/>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eastAsia="en-US"/>
        </w:rPr>
        <w:t>项目名称：</w:t>
      </w:r>
      <w:r>
        <w:rPr>
          <w:rFonts w:hint="eastAsia" w:ascii="宋体" w:hAnsi="宋体" w:eastAsia="宋体" w:cs="宋体"/>
          <w:color w:val="auto"/>
          <w:spacing w:val="0"/>
          <w:kern w:val="0"/>
          <w:position w:val="0"/>
          <w:sz w:val="24"/>
          <w:szCs w:val="24"/>
          <w:highlight w:val="none"/>
          <w:u w:val="single"/>
          <w:lang w:eastAsia="en-US"/>
        </w:rPr>
        <w:t xml:space="preserve">          </w:t>
      </w:r>
      <w:r>
        <w:rPr>
          <w:rFonts w:hint="eastAsia" w:ascii="宋体" w:hAnsi="宋体" w:eastAsia="宋体" w:cs="宋体"/>
          <w:color w:val="auto"/>
          <w:spacing w:val="0"/>
          <w:kern w:val="0"/>
          <w:position w:val="0"/>
          <w:sz w:val="24"/>
          <w:szCs w:val="24"/>
          <w:highlight w:val="none"/>
          <w:lang w:eastAsia="en-US"/>
        </w:rPr>
        <w:t xml:space="preserve">        项目编号：</w:t>
      </w:r>
      <w:r>
        <w:rPr>
          <w:rFonts w:hint="eastAsia" w:ascii="宋体" w:hAnsi="宋体" w:eastAsia="宋体" w:cs="宋体"/>
          <w:color w:val="auto"/>
          <w:spacing w:val="0"/>
          <w:kern w:val="0"/>
          <w:position w:val="0"/>
          <w:sz w:val="24"/>
          <w:szCs w:val="24"/>
          <w:highlight w:val="none"/>
          <w:u w:val="single"/>
          <w:lang w:eastAsia="en-US"/>
        </w:rPr>
        <w:t xml:space="preserve">              </w:t>
      </w:r>
      <w:r>
        <w:rPr>
          <w:rFonts w:hint="eastAsia" w:ascii="宋体" w:hAnsi="宋体" w:eastAsia="宋体" w:cs="宋体"/>
          <w:color w:val="auto"/>
          <w:spacing w:val="0"/>
          <w:kern w:val="0"/>
          <w:position w:val="0"/>
          <w:sz w:val="24"/>
          <w:szCs w:val="24"/>
          <w:highlight w:val="none"/>
          <w:lang w:eastAsia="en-US"/>
        </w:rPr>
        <w:t xml:space="preserve">     货币单位：人民币</w:t>
      </w:r>
    </w:p>
    <w:tbl>
      <w:tblPr>
        <w:tblStyle w:val="14"/>
        <w:tblW w:w="4994" w:type="pct"/>
        <w:jc w:val="center"/>
        <w:tblLayout w:type="fixed"/>
        <w:tblCellMar>
          <w:top w:w="0" w:type="dxa"/>
          <w:left w:w="108" w:type="dxa"/>
          <w:bottom w:w="0" w:type="dxa"/>
          <w:right w:w="108" w:type="dxa"/>
        </w:tblCellMar>
      </w:tblPr>
      <w:tblGrid>
        <w:gridCol w:w="737"/>
        <w:gridCol w:w="737"/>
        <w:gridCol w:w="3871"/>
        <w:gridCol w:w="737"/>
        <w:gridCol w:w="737"/>
        <w:gridCol w:w="750"/>
        <w:gridCol w:w="1191"/>
        <w:gridCol w:w="1191"/>
      </w:tblGrid>
      <w:tr w14:paraId="0CA3B4B9">
        <w:tblPrEx>
          <w:tblCellMar>
            <w:top w:w="0" w:type="dxa"/>
            <w:left w:w="108" w:type="dxa"/>
            <w:bottom w:w="0" w:type="dxa"/>
            <w:right w:w="108" w:type="dxa"/>
          </w:tblCellMar>
        </w:tblPrEx>
        <w:trPr>
          <w:trHeight w:val="9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6D6E0D65">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0049306">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系统</w:t>
            </w: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7794E380">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板块内容</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8E3379D">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B7442B4">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c>
          <w:tcPr>
            <w:tcW w:w="376" w:type="pct"/>
            <w:tcBorders>
              <w:top w:val="single" w:color="000000" w:sz="4" w:space="0"/>
              <w:left w:val="single" w:color="000000" w:sz="4" w:space="0"/>
              <w:bottom w:val="single" w:color="000000" w:sz="4" w:space="0"/>
              <w:right w:val="single" w:color="000000" w:sz="4" w:space="0"/>
            </w:tcBorders>
            <w:noWrap w:val="0"/>
            <w:vAlign w:val="center"/>
          </w:tcPr>
          <w:p w14:paraId="021FCAD2">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税率</w:t>
            </w:r>
            <w:r>
              <w:rPr>
                <w:rFonts w:hint="eastAsia" w:ascii="宋体" w:hAnsi="宋体" w:eastAsia="宋体" w:cs="宋体"/>
                <w:b/>
                <w:bCs/>
                <w:color w:val="auto"/>
                <w:kern w:val="0"/>
                <w:sz w:val="24"/>
                <w:szCs w:val="24"/>
                <w:highlight w:val="none"/>
                <w:lang w:bidi="ar"/>
              </w:rPr>
              <w:br w:type="textWrapping"/>
            </w:r>
            <w:r>
              <w:rPr>
                <w:rFonts w:hint="eastAsia" w:ascii="宋体" w:hAnsi="宋体" w:eastAsia="宋体" w:cs="宋体"/>
                <w:b/>
                <w:bCs/>
                <w:color w:val="auto"/>
                <w:kern w:val="0"/>
                <w:sz w:val="24"/>
                <w:szCs w:val="24"/>
                <w:highlight w:val="none"/>
                <w:lang w:bidi="ar"/>
              </w:rPr>
              <w:t>（%）</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72E63394">
            <w:pPr>
              <w:widowControl/>
              <w:spacing w:line="240" w:lineRule="auto"/>
              <w:ind w:firstLine="0" w:firstLineChars="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含税最高投标限价</w:t>
            </w:r>
            <w:r>
              <w:rPr>
                <w:rFonts w:hint="eastAsia" w:ascii="宋体" w:hAnsi="宋体" w:eastAsia="宋体" w:cs="宋体"/>
                <w:b/>
                <w:bCs/>
                <w:color w:val="auto"/>
                <w:kern w:val="0"/>
                <w:sz w:val="24"/>
                <w:szCs w:val="24"/>
                <w:highlight w:val="none"/>
                <w:lang w:bidi="ar"/>
              </w:rPr>
              <w:br w:type="textWrapping"/>
            </w:r>
            <w:r>
              <w:rPr>
                <w:rFonts w:hint="eastAsia" w:ascii="宋体" w:hAnsi="宋体" w:eastAsia="宋体" w:cs="宋体"/>
                <w:b/>
                <w:bCs/>
                <w:color w:val="auto"/>
                <w:kern w:val="0"/>
                <w:sz w:val="24"/>
                <w:szCs w:val="24"/>
                <w:highlight w:val="none"/>
                <w:lang w:bidi="ar"/>
              </w:rPr>
              <w:t>（万元）</w:t>
            </w:r>
          </w:p>
        </w:tc>
        <w:tc>
          <w:tcPr>
            <w:tcW w:w="598" w:type="pct"/>
            <w:tcBorders>
              <w:top w:val="single" w:color="000000" w:sz="4" w:space="0"/>
              <w:left w:val="single" w:color="000000" w:sz="4" w:space="0"/>
              <w:bottom w:val="single" w:color="000000" w:sz="4" w:space="0"/>
              <w:right w:val="single" w:color="000000" w:sz="4" w:space="0"/>
            </w:tcBorders>
            <w:noWrap w:val="0"/>
            <w:vAlign w:val="center"/>
          </w:tcPr>
          <w:p w14:paraId="2FCE16F2">
            <w:pPr>
              <w:widowControl/>
              <w:spacing w:line="240" w:lineRule="auto"/>
              <w:ind w:firstLine="0" w:firstLineChars="0"/>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投标报价</w:t>
            </w:r>
            <w:r>
              <w:rPr>
                <w:rFonts w:hint="eastAsia" w:ascii="宋体" w:hAnsi="宋体" w:eastAsia="宋体" w:cs="宋体"/>
                <w:b/>
                <w:bCs/>
                <w:color w:val="auto"/>
                <w:kern w:val="0"/>
                <w:sz w:val="24"/>
                <w:szCs w:val="24"/>
                <w:highlight w:val="none"/>
                <w:lang w:val="en-US" w:eastAsia="zh-CN" w:bidi="ar"/>
              </w:rPr>
              <w:br w:type="textWrapping"/>
            </w:r>
            <w:r>
              <w:rPr>
                <w:rFonts w:hint="eastAsia" w:ascii="宋体" w:hAnsi="宋体" w:eastAsia="宋体" w:cs="宋体"/>
                <w:b/>
                <w:bCs/>
                <w:color w:val="auto"/>
                <w:kern w:val="0"/>
                <w:sz w:val="24"/>
                <w:szCs w:val="24"/>
                <w:highlight w:val="none"/>
                <w:lang w:val="en-US" w:eastAsia="zh-CN" w:bidi="ar"/>
              </w:rPr>
              <w:t>（万元）</w:t>
            </w:r>
          </w:p>
        </w:tc>
      </w:tr>
      <w:tr w14:paraId="322C79C5">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1A03665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0" w:type="pct"/>
            <w:vMerge w:val="restart"/>
            <w:tcBorders>
              <w:top w:val="single" w:color="000000" w:sz="4" w:space="0"/>
              <w:left w:val="single" w:color="000000" w:sz="4" w:space="0"/>
              <w:bottom w:val="single" w:color="000000" w:sz="4" w:space="0"/>
              <w:right w:val="single" w:color="000000" w:sz="4" w:space="0"/>
            </w:tcBorders>
            <w:noWrap/>
            <w:vAlign w:val="center"/>
          </w:tcPr>
          <w:p w14:paraId="5B61A37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社会保险信息系统</w:t>
            </w: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604823F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参保登记</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12C435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6088B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0"/>
            <w:vAlign w:val="center"/>
          </w:tcPr>
          <w:p w14:paraId="0F9C5195">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DB9D4A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119.61</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BE0305D">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778DC554">
        <w:tblPrEx>
          <w:tblCellMar>
            <w:top w:w="0" w:type="dxa"/>
            <w:left w:w="108" w:type="dxa"/>
            <w:bottom w:w="0" w:type="dxa"/>
            <w:right w:w="108" w:type="dxa"/>
          </w:tblCellMar>
        </w:tblPrEx>
        <w:trPr>
          <w:trHeight w:val="7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5AB963A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3DF9622C">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61AA9D8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缴费认定</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3231EE9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F7F41D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76412F7">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E488BB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202.49</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4587B9AE">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44668C59">
        <w:tblPrEx>
          <w:tblCellMar>
            <w:top w:w="0" w:type="dxa"/>
            <w:left w:w="108" w:type="dxa"/>
            <w:bottom w:w="0" w:type="dxa"/>
            <w:right w:w="108" w:type="dxa"/>
          </w:tblCellMar>
        </w:tblPrEx>
        <w:trPr>
          <w:trHeight w:val="4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7DA4367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567ABFEB">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7F73ABF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信息维护</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40754AD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BA262F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DE8A19B">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087ACF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89.85</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5E1D439E">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66387F56">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2384D43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7EF23D10">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6A22A93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养老待遇</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AD6793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C4D3DD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5A160AE">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535B85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518.05</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4F78015E">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1A3B58BB">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30C4D37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0EA4357C">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1B40BA2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工伤（职业伤害）待遇</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7BE5832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930E88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3785530">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210184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230.78</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A756260">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61F76762">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675AFC5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6</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4B310D5B">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7FC3F8F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失业待遇</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4472917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2C6CE1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25B2163">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E5346C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82.5</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05F26F8">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15775917">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19EC16E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5E7F46B5">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6169547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职业年金</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75369E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9080D8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4C29F94C">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51211C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168.35</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98C9210">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1B6A95DA">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2B1D6E9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8</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228D8E8B">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421DA28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代发待遇</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7A43CE5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D857C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AB225F6">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52A9136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52.8</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BAFE03F">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426F9FC6">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5F35316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7976068D">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365F7D4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关系转移</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40E29BC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AD17A6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BC718D2">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220E47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201.4</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1D1B35D">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4166F8D4">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03332F7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31656620">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0F19CA4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基金财务</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34DBE3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1CCFAC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96F3045">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05B37F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377.79</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233361AE">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651B4D3E">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08DF9FB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11</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00BED1D4">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4837B64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部级报表</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4F16EBF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241A44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7223BC0">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2E58DA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75.05</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74BECC6">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77E1446C">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6E18D77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12</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521E6D2C">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459D65E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查询打印</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422620D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584CE9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D93B9FE">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8822B51">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150.41</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87608CA">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24BFB26D">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5CEF56D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13</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1829D7FE">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0505199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稽核内控</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07B83AD">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F43D3B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7C7E2E8F">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39BF67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238.96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31C1B05B">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41FC34D5">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619C637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32157F85">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23E603B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劳动能力鉴定</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ACF1C7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13D12A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45D5EC3">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E1DEBC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78.24</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5AD1146">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3E61B3C1">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7E01672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1ADAD035">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1218DDAB">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工伤认定</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75A44BD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7CF59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276CBBA">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44F68F3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43.84</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74E6CCA">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3EB67821">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15F49D46">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16</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5D9772E0">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15FADED2">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参数维护</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DD839B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BF960B9">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0E84EAC8">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98895E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42.21</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5EDD0FD">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6B039E10">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0047EAB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17</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1D78C425">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596E85B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管理支撑</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415D68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67B752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5FDB73E4">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DCD87A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58.26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0642897">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58F9D34F">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63ADBA8A">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18</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71729697">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032CE0EB">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社会保险本省自建业务中台</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98740E3">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9951835">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26A8C24A">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C311A8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100.58</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D27AEF9">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69CA67B6">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175261E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19</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60F5EEC9">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1FB3D218">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部下发全险种业务中台部署及对接</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9A1F620">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B6E57FF">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3BE76269">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1B658B4">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149.26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6FE02242">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45AD72D2">
        <w:tblPrEx>
          <w:tblCellMar>
            <w:top w:w="0" w:type="dxa"/>
            <w:left w:w="108" w:type="dxa"/>
            <w:bottom w:w="0" w:type="dxa"/>
            <w:right w:w="108" w:type="dxa"/>
          </w:tblCellMar>
        </w:tblPrEx>
        <w:trPr>
          <w:trHeight w:val="300" w:hRule="atLeast"/>
          <w:jc w:val="center"/>
        </w:trPr>
        <w:tc>
          <w:tcPr>
            <w:tcW w:w="370" w:type="pct"/>
            <w:tcBorders>
              <w:top w:val="single" w:color="000000" w:sz="4" w:space="0"/>
              <w:left w:val="single" w:color="000000" w:sz="4" w:space="0"/>
              <w:bottom w:val="single" w:color="000000" w:sz="4" w:space="0"/>
              <w:right w:val="single" w:color="000000" w:sz="4" w:space="0"/>
            </w:tcBorders>
            <w:noWrap/>
            <w:vAlign w:val="center"/>
          </w:tcPr>
          <w:p w14:paraId="042A9CDC">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20</w:t>
            </w:r>
          </w:p>
        </w:tc>
        <w:tc>
          <w:tcPr>
            <w:tcW w:w="370" w:type="pct"/>
            <w:vMerge w:val="continue"/>
            <w:tcBorders>
              <w:top w:val="single" w:color="000000" w:sz="4" w:space="0"/>
              <w:left w:val="single" w:color="000000" w:sz="4" w:space="0"/>
              <w:bottom w:val="single" w:color="000000" w:sz="4" w:space="0"/>
              <w:right w:val="single" w:color="000000" w:sz="4" w:space="0"/>
            </w:tcBorders>
            <w:noWrap/>
            <w:vAlign w:val="center"/>
          </w:tcPr>
          <w:p w14:paraId="5BA7346F">
            <w:pPr>
              <w:spacing w:line="240" w:lineRule="auto"/>
              <w:ind w:firstLine="0" w:firstLineChars="0"/>
              <w:jc w:val="center"/>
              <w:rPr>
                <w:rFonts w:hint="eastAsia" w:ascii="宋体" w:hAnsi="宋体" w:eastAsia="宋体" w:cs="宋体"/>
                <w:color w:val="auto"/>
                <w:sz w:val="24"/>
                <w:szCs w:val="24"/>
                <w:highlight w:val="none"/>
              </w:rPr>
            </w:pPr>
          </w:p>
        </w:tc>
        <w:tc>
          <w:tcPr>
            <w:tcW w:w="1945" w:type="pct"/>
            <w:tcBorders>
              <w:top w:val="single" w:color="000000" w:sz="4" w:space="0"/>
              <w:left w:val="single" w:color="000000" w:sz="4" w:space="0"/>
              <w:bottom w:val="single" w:color="000000" w:sz="4" w:space="0"/>
              <w:right w:val="single" w:color="000000" w:sz="4" w:space="0"/>
            </w:tcBorders>
            <w:noWrap/>
            <w:vAlign w:val="center"/>
          </w:tcPr>
          <w:p w14:paraId="7623F358">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配套子系统对接改造</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2F1489A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3327D8E">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376" w:type="pct"/>
            <w:tcBorders>
              <w:top w:val="single" w:color="000000" w:sz="4" w:space="0"/>
              <w:left w:val="single" w:color="000000" w:sz="4" w:space="0"/>
              <w:bottom w:val="single" w:color="000000" w:sz="4" w:space="0"/>
              <w:right w:val="single" w:color="000000" w:sz="4" w:space="0"/>
            </w:tcBorders>
            <w:noWrap/>
            <w:vAlign w:val="center"/>
          </w:tcPr>
          <w:p w14:paraId="62A6CFE3">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091D5A18">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99.57</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460A4512">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r w14:paraId="16339DEC">
        <w:tblPrEx>
          <w:tblCellMar>
            <w:top w:w="0" w:type="dxa"/>
            <w:left w:w="108" w:type="dxa"/>
            <w:bottom w:w="0" w:type="dxa"/>
            <w:right w:w="108" w:type="dxa"/>
          </w:tblCellMar>
        </w:tblPrEx>
        <w:trPr>
          <w:trHeight w:val="300" w:hRule="atLeast"/>
          <w:jc w:val="center"/>
        </w:trPr>
        <w:tc>
          <w:tcPr>
            <w:tcW w:w="3803" w:type="pct"/>
            <w:gridSpan w:val="6"/>
            <w:tcBorders>
              <w:top w:val="single" w:color="000000" w:sz="4" w:space="0"/>
              <w:left w:val="single" w:color="000000" w:sz="4" w:space="0"/>
              <w:bottom w:val="single" w:color="000000" w:sz="4" w:space="0"/>
              <w:right w:val="single" w:color="000000" w:sz="4" w:space="0"/>
            </w:tcBorders>
            <w:noWrap/>
            <w:vAlign w:val="center"/>
          </w:tcPr>
          <w:p w14:paraId="0A556BC7">
            <w:pPr>
              <w:spacing w:line="24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合计</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72E64717">
            <w:pPr>
              <w:widowControl/>
              <w:spacing w:line="240" w:lineRule="auto"/>
              <w:ind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3080.00</w:t>
            </w:r>
          </w:p>
        </w:tc>
        <w:tc>
          <w:tcPr>
            <w:tcW w:w="598" w:type="pct"/>
            <w:tcBorders>
              <w:top w:val="single" w:color="000000" w:sz="4" w:space="0"/>
              <w:left w:val="single" w:color="000000" w:sz="4" w:space="0"/>
              <w:bottom w:val="single" w:color="000000" w:sz="4" w:space="0"/>
              <w:right w:val="single" w:color="000000" w:sz="4" w:space="0"/>
            </w:tcBorders>
            <w:noWrap/>
            <w:vAlign w:val="center"/>
          </w:tcPr>
          <w:p w14:paraId="1320BC0C">
            <w:pPr>
              <w:widowControl/>
              <w:spacing w:line="240" w:lineRule="auto"/>
              <w:ind w:firstLine="0" w:firstLineChars="0"/>
              <w:jc w:val="center"/>
              <w:textAlignment w:val="center"/>
              <w:rPr>
                <w:rFonts w:hint="eastAsia" w:ascii="宋体" w:hAnsi="宋体" w:eastAsia="宋体" w:cs="宋体"/>
                <w:color w:val="auto"/>
                <w:kern w:val="0"/>
                <w:sz w:val="24"/>
                <w:szCs w:val="24"/>
                <w:highlight w:val="none"/>
                <w:lang w:bidi="ar"/>
              </w:rPr>
            </w:pPr>
          </w:p>
        </w:tc>
      </w:tr>
    </w:tbl>
    <w:p w14:paraId="6947CF81">
      <w:pPr>
        <w:spacing w:line="300" w:lineRule="auto"/>
        <w:jc w:val="left"/>
        <w:rPr>
          <w:rFonts w:hint="eastAsia" w:ascii="宋体" w:hAnsi="宋体" w:eastAsia="宋体" w:cs="宋体"/>
          <w:color w:val="auto"/>
          <w:spacing w:val="0"/>
          <w:kern w:val="0"/>
          <w:position w:val="0"/>
          <w:sz w:val="24"/>
          <w:szCs w:val="24"/>
          <w:highlight w:val="none"/>
          <w:lang w:eastAsia="en-US"/>
        </w:rPr>
      </w:pPr>
    </w:p>
    <w:p w14:paraId="3EA88C8E">
      <w:pPr>
        <w:spacing w:line="300" w:lineRule="auto"/>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eastAsia="zh-CN"/>
        </w:rPr>
        <w:t>投标人</w:t>
      </w:r>
      <w:r>
        <w:rPr>
          <w:rFonts w:hint="eastAsia" w:ascii="宋体" w:hAnsi="宋体" w:eastAsia="宋体" w:cs="宋体"/>
          <w:color w:val="auto"/>
          <w:spacing w:val="0"/>
          <w:kern w:val="0"/>
          <w:position w:val="0"/>
          <w:sz w:val="24"/>
          <w:szCs w:val="24"/>
          <w:highlight w:val="none"/>
          <w:lang w:eastAsia="en-US"/>
        </w:rPr>
        <w:t>名称[盖章]：</w:t>
      </w:r>
      <w:r>
        <w:rPr>
          <w:rFonts w:hint="eastAsia" w:ascii="宋体" w:hAnsi="宋体" w:eastAsia="宋体" w:cs="宋体"/>
          <w:color w:val="auto"/>
          <w:spacing w:val="0"/>
          <w:kern w:val="0"/>
          <w:position w:val="0"/>
          <w:sz w:val="24"/>
          <w:szCs w:val="24"/>
          <w:highlight w:val="none"/>
          <w:u w:val="single"/>
          <w:lang w:eastAsia="en-US"/>
        </w:rPr>
        <w:t xml:space="preserve">                             </w:t>
      </w:r>
      <w:r>
        <w:rPr>
          <w:rFonts w:hint="eastAsia" w:ascii="宋体" w:hAnsi="宋体" w:eastAsia="宋体" w:cs="宋体"/>
          <w:color w:val="auto"/>
          <w:spacing w:val="0"/>
          <w:kern w:val="0"/>
          <w:position w:val="0"/>
          <w:sz w:val="24"/>
          <w:szCs w:val="24"/>
          <w:highlight w:val="none"/>
          <w:lang w:eastAsia="en-US"/>
        </w:rPr>
        <w:t xml:space="preserve"> </w:t>
      </w:r>
    </w:p>
    <w:p w14:paraId="5D26F979">
      <w:pPr>
        <w:spacing w:line="300" w:lineRule="auto"/>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eastAsia="zh-CN"/>
        </w:rPr>
        <w:t>投标人</w:t>
      </w:r>
      <w:r>
        <w:rPr>
          <w:rFonts w:hint="eastAsia" w:ascii="宋体" w:hAnsi="宋体" w:eastAsia="宋体" w:cs="宋体"/>
          <w:color w:val="auto"/>
          <w:spacing w:val="0"/>
          <w:kern w:val="0"/>
          <w:position w:val="0"/>
          <w:sz w:val="24"/>
          <w:szCs w:val="24"/>
          <w:highlight w:val="none"/>
          <w:lang w:eastAsia="en-US"/>
        </w:rPr>
        <w:t>授权代表签字：</w:t>
      </w:r>
      <w:r>
        <w:rPr>
          <w:rFonts w:hint="eastAsia" w:ascii="宋体" w:hAnsi="宋体" w:eastAsia="宋体" w:cs="宋体"/>
          <w:color w:val="auto"/>
          <w:spacing w:val="0"/>
          <w:kern w:val="0"/>
          <w:position w:val="0"/>
          <w:sz w:val="24"/>
          <w:szCs w:val="24"/>
          <w:highlight w:val="none"/>
          <w:u w:val="single"/>
          <w:lang w:eastAsia="en-US"/>
        </w:rPr>
        <w:t xml:space="preserve">                           </w:t>
      </w:r>
      <w:r>
        <w:rPr>
          <w:rFonts w:hint="eastAsia" w:ascii="宋体" w:hAnsi="宋体" w:eastAsia="宋体" w:cs="宋体"/>
          <w:color w:val="auto"/>
          <w:spacing w:val="0"/>
          <w:kern w:val="0"/>
          <w:position w:val="0"/>
          <w:sz w:val="24"/>
          <w:szCs w:val="24"/>
          <w:highlight w:val="none"/>
          <w:lang w:eastAsia="en-US"/>
        </w:rPr>
        <w:t xml:space="preserve">             </w:t>
      </w:r>
    </w:p>
    <w:p w14:paraId="16144E29">
      <w:pPr>
        <w:spacing w:line="300" w:lineRule="auto"/>
        <w:jc w:val="left"/>
        <w:rPr>
          <w:rFonts w:hint="eastAsia" w:ascii="宋体" w:hAnsi="宋体" w:eastAsia="宋体" w:cs="宋体"/>
          <w:color w:val="auto"/>
          <w:spacing w:val="0"/>
          <w:kern w:val="0"/>
          <w:position w:val="0"/>
          <w:sz w:val="24"/>
          <w:szCs w:val="24"/>
          <w:highlight w:val="none"/>
          <w:u w:val="single"/>
          <w:lang w:eastAsia="en-US"/>
        </w:rPr>
      </w:pPr>
      <w:r>
        <w:rPr>
          <w:rFonts w:hint="eastAsia" w:ascii="宋体" w:hAnsi="宋体" w:eastAsia="宋体" w:cs="宋体"/>
          <w:color w:val="auto"/>
          <w:spacing w:val="0"/>
          <w:kern w:val="0"/>
          <w:position w:val="0"/>
          <w:sz w:val="24"/>
          <w:szCs w:val="24"/>
          <w:highlight w:val="none"/>
          <w:lang w:eastAsia="en-US"/>
        </w:rPr>
        <w:t>日期：</w:t>
      </w:r>
      <w:r>
        <w:rPr>
          <w:rFonts w:hint="eastAsia" w:ascii="宋体" w:hAnsi="宋体" w:eastAsia="宋体" w:cs="宋体"/>
          <w:color w:val="auto"/>
          <w:spacing w:val="0"/>
          <w:kern w:val="0"/>
          <w:position w:val="0"/>
          <w:sz w:val="24"/>
          <w:szCs w:val="24"/>
          <w:highlight w:val="none"/>
          <w:u w:val="single"/>
          <w:lang w:eastAsia="en-US"/>
        </w:rPr>
        <w:t xml:space="preserve">                   </w:t>
      </w:r>
    </w:p>
    <w:p w14:paraId="5409CF1B">
      <w:pPr>
        <w:jc w:val="left"/>
        <w:rPr>
          <w:rFonts w:hint="eastAsia" w:ascii="宋体" w:hAnsi="宋体" w:eastAsia="宋体" w:cs="宋体"/>
          <w:color w:val="auto"/>
          <w:spacing w:val="0"/>
          <w:kern w:val="0"/>
          <w:position w:val="0"/>
          <w:sz w:val="24"/>
          <w:szCs w:val="24"/>
          <w:highlight w:val="none"/>
          <w:lang w:eastAsia="en-US"/>
        </w:rPr>
      </w:pPr>
    </w:p>
    <w:p w14:paraId="4DF1370F">
      <w:pPr>
        <w:adjustRightInd w:val="0"/>
        <w:snapToGrid w:val="0"/>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eastAsia="en-US"/>
        </w:rPr>
        <w:t>说明：</w:t>
      </w:r>
    </w:p>
    <w:p w14:paraId="11EC61B0">
      <w:pPr>
        <w:numPr>
          <w:ilvl w:val="0"/>
          <w:numId w:val="0"/>
        </w:numPr>
        <w:adjustRightInd w:val="0"/>
        <w:snapToGrid w:val="0"/>
        <w:ind w:left="990" w:leftChars="0" w:hanging="360" w:firstLineChars="0"/>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val="en-US" w:eastAsia="en-US" w:bidi="ar-SA"/>
        </w:rPr>
        <w:t>1.</w:t>
      </w:r>
      <w:r>
        <w:rPr>
          <w:rFonts w:hint="eastAsia" w:ascii="宋体" w:hAnsi="宋体" w:eastAsia="宋体" w:cs="宋体"/>
          <w:color w:val="auto"/>
          <w:spacing w:val="0"/>
          <w:kern w:val="0"/>
          <w:position w:val="0"/>
          <w:sz w:val="24"/>
          <w:szCs w:val="24"/>
          <w:highlight w:val="none"/>
          <w:lang w:eastAsia="en-US"/>
        </w:rPr>
        <w:t>所有价格按照“</w:t>
      </w:r>
      <w:r>
        <w:rPr>
          <w:rFonts w:hint="eastAsia" w:ascii="宋体" w:hAnsi="宋体" w:eastAsia="宋体" w:cs="宋体"/>
          <w:color w:val="auto"/>
          <w:spacing w:val="0"/>
          <w:kern w:val="0"/>
          <w:position w:val="0"/>
          <w:sz w:val="24"/>
          <w:szCs w:val="24"/>
          <w:highlight w:val="none"/>
          <w:lang w:eastAsia="zh-CN"/>
        </w:rPr>
        <w:t>投标人</w:t>
      </w:r>
      <w:r>
        <w:rPr>
          <w:rFonts w:hint="eastAsia" w:ascii="宋体" w:hAnsi="宋体" w:eastAsia="宋体" w:cs="宋体"/>
          <w:color w:val="auto"/>
          <w:spacing w:val="0"/>
          <w:kern w:val="0"/>
          <w:position w:val="0"/>
          <w:sz w:val="24"/>
          <w:szCs w:val="24"/>
          <w:highlight w:val="none"/>
          <w:lang w:eastAsia="en-US"/>
        </w:rPr>
        <w:t>须知”要求执行，精确到个数位。</w:t>
      </w:r>
    </w:p>
    <w:p w14:paraId="4A9ADB24">
      <w:pPr>
        <w:numPr>
          <w:ilvl w:val="0"/>
          <w:numId w:val="0"/>
        </w:numPr>
        <w:adjustRightInd w:val="0"/>
        <w:snapToGrid w:val="0"/>
        <w:ind w:left="990" w:leftChars="0" w:hanging="360" w:firstLineChars="0"/>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val="en-US" w:eastAsia="en-US" w:bidi="ar-SA"/>
        </w:rPr>
        <w:t>2.</w:t>
      </w:r>
      <w:r>
        <w:rPr>
          <w:rFonts w:hint="eastAsia" w:ascii="宋体" w:hAnsi="宋体" w:eastAsia="宋体" w:cs="宋体"/>
          <w:color w:val="auto"/>
          <w:spacing w:val="0"/>
          <w:kern w:val="0"/>
          <w:position w:val="0"/>
          <w:sz w:val="24"/>
          <w:szCs w:val="24"/>
          <w:highlight w:val="none"/>
          <w:lang w:eastAsia="en-US"/>
        </w:rPr>
        <w:t>分项报价总计价格必须与《</w:t>
      </w:r>
      <w:r>
        <w:rPr>
          <w:rFonts w:hint="eastAsia" w:ascii="宋体" w:hAnsi="宋体" w:eastAsia="宋体" w:cs="宋体"/>
          <w:color w:val="auto"/>
          <w:spacing w:val="0"/>
          <w:kern w:val="0"/>
          <w:position w:val="0"/>
          <w:sz w:val="24"/>
          <w:szCs w:val="24"/>
          <w:highlight w:val="none"/>
          <w:lang w:val="en-US" w:eastAsia="zh-CN"/>
        </w:rPr>
        <w:t>开标</w:t>
      </w:r>
      <w:r>
        <w:rPr>
          <w:rFonts w:hint="eastAsia" w:ascii="宋体" w:hAnsi="宋体" w:eastAsia="宋体" w:cs="宋体"/>
          <w:color w:val="auto"/>
          <w:spacing w:val="0"/>
          <w:kern w:val="0"/>
          <w:position w:val="0"/>
          <w:sz w:val="24"/>
          <w:szCs w:val="24"/>
          <w:highlight w:val="none"/>
          <w:lang w:eastAsia="en-US"/>
        </w:rPr>
        <w:t>一览表》报价一致。</w:t>
      </w:r>
      <w:bookmarkStart w:id="511" w:name="_bookmark68"/>
      <w:bookmarkEnd w:id="511"/>
    </w:p>
    <w:p w14:paraId="14AAD9E3">
      <w:pPr>
        <w:numPr>
          <w:ilvl w:val="0"/>
          <w:numId w:val="0"/>
        </w:numPr>
        <w:adjustRightInd w:val="0"/>
        <w:snapToGrid w:val="0"/>
        <w:ind w:left="990" w:leftChars="0" w:hanging="360" w:firstLineChars="0"/>
        <w:jc w:val="left"/>
        <w:rPr>
          <w:rFonts w:hint="eastAsia" w:ascii="宋体" w:hAnsi="宋体" w:eastAsia="宋体" w:cs="宋体"/>
          <w:color w:val="auto"/>
          <w:spacing w:val="0"/>
          <w:kern w:val="0"/>
          <w:position w:val="0"/>
          <w:sz w:val="24"/>
          <w:szCs w:val="24"/>
          <w:highlight w:val="none"/>
          <w:lang w:eastAsia="en-US"/>
        </w:rPr>
      </w:pPr>
      <w:r>
        <w:rPr>
          <w:rFonts w:hint="eastAsia" w:ascii="宋体" w:hAnsi="宋体" w:eastAsia="宋体" w:cs="宋体"/>
          <w:color w:val="auto"/>
          <w:spacing w:val="0"/>
          <w:kern w:val="0"/>
          <w:position w:val="0"/>
          <w:sz w:val="24"/>
          <w:szCs w:val="24"/>
          <w:highlight w:val="none"/>
          <w:lang w:val="en-US" w:eastAsia="en-US" w:bidi="ar-SA"/>
        </w:rPr>
        <w:t>3.</w:t>
      </w:r>
      <w:r>
        <w:rPr>
          <w:rFonts w:hint="eastAsia" w:ascii="宋体" w:hAnsi="宋体" w:eastAsia="宋体" w:cs="宋体"/>
          <w:color w:val="auto"/>
          <w:spacing w:val="0"/>
          <w:kern w:val="0"/>
          <w:position w:val="0"/>
          <w:sz w:val="24"/>
          <w:szCs w:val="24"/>
          <w:highlight w:val="none"/>
          <w:lang w:eastAsia="zh-CN"/>
        </w:rPr>
        <w:t>投标人</w:t>
      </w:r>
      <w:r>
        <w:rPr>
          <w:rFonts w:hint="eastAsia" w:ascii="宋体" w:hAnsi="宋体" w:eastAsia="宋体" w:cs="宋体"/>
          <w:color w:val="auto"/>
          <w:spacing w:val="0"/>
          <w:kern w:val="0"/>
          <w:position w:val="0"/>
          <w:sz w:val="24"/>
          <w:szCs w:val="24"/>
          <w:highlight w:val="none"/>
          <w:lang w:eastAsia="en-US"/>
        </w:rPr>
        <w:t>可根据响应情况对本表进行</w:t>
      </w:r>
      <w:r>
        <w:rPr>
          <w:rFonts w:hint="eastAsia" w:ascii="宋体" w:hAnsi="宋体" w:eastAsia="宋体" w:cs="宋体"/>
          <w:color w:val="auto"/>
          <w:spacing w:val="0"/>
          <w:kern w:val="0"/>
          <w:position w:val="0"/>
          <w:sz w:val="24"/>
          <w:szCs w:val="24"/>
          <w:highlight w:val="none"/>
          <w:lang w:val="en-US" w:eastAsia="zh-CN"/>
        </w:rPr>
        <w:t>修改</w:t>
      </w:r>
      <w:r>
        <w:rPr>
          <w:rFonts w:hint="eastAsia" w:ascii="宋体" w:hAnsi="宋体" w:eastAsia="宋体" w:cs="宋体"/>
          <w:color w:val="auto"/>
          <w:spacing w:val="0"/>
          <w:kern w:val="0"/>
          <w:position w:val="0"/>
          <w:sz w:val="24"/>
          <w:szCs w:val="24"/>
          <w:highlight w:val="none"/>
          <w:lang w:eastAsia="en-US"/>
        </w:rPr>
        <w:t>增加。</w:t>
      </w:r>
    </w:p>
    <w:p w14:paraId="0B2A98C4">
      <w:pPr>
        <w:numPr>
          <w:ilvl w:val="0"/>
          <w:numId w:val="0"/>
        </w:numPr>
        <w:adjustRightInd w:val="0"/>
        <w:snapToGrid w:val="0"/>
        <w:ind w:left="850" w:leftChars="0" w:hanging="220" w:firstLineChars="0"/>
        <w:jc w:val="left"/>
        <w:rPr>
          <w:rFonts w:hint="eastAsia" w:ascii="宋体" w:hAnsi="宋体" w:eastAsia="宋体" w:cs="宋体"/>
          <w:color w:val="auto"/>
          <w:highlight w:val="none"/>
        </w:rPr>
      </w:pPr>
      <w:r>
        <w:rPr>
          <w:rFonts w:hint="eastAsia" w:ascii="宋体" w:hAnsi="宋体" w:eastAsia="宋体" w:cs="宋体"/>
          <w:color w:val="auto"/>
          <w:spacing w:val="0"/>
          <w:kern w:val="0"/>
          <w:position w:val="0"/>
          <w:sz w:val="24"/>
          <w:szCs w:val="24"/>
          <w:highlight w:val="none"/>
          <w:lang w:val="en-US" w:eastAsia="zh-CN"/>
        </w:rPr>
        <w:t>★4.投标人的报价应包含为完成招标文件提出的软件开发、集成、调试、报检、培训、售后服务（含软件更新升级）等全部相关工作所有可能发生的费用。对在合同实施过程中可能发生的其他费用（如：增加耗材、材料涨价、人工、运输成本增加等因素），招标人概不负责。本文件所要求内容应视为保证本项目的所需最低要求，如有遗漏，投标人应予补充。否则，将不予以付款。</w:t>
      </w:r>
    </w:p>
    <w:p w14:paraId="1A9C5837">
      <w:pPr>
        <w:rPr>
          <w:rFonts w:hint="eastAsia" w:ascii="宋体" w:hAnsi="宋体" w:eastAsia="宋体" w:cs="宋体"/>
          <w:b/>
          <w:bCs/>
          <w:color w:val="auto"/>
          <w:sz w:val="28"/>
          <w:szCs w:val="28"/>
          <w:highlight w:val="none"/>
          <w:lang w:val="zh-CN"/>
        </w:rPr>
      </w:pPr>
      <w:bookmarkStart w:id="512" w:name="_Toc495388722"/>
      <w:bookmarkStart w:id="513" w:name="_Toc491075865"/>
      <w:r>
        <w:rPr>
          <w:rFonts w:hint="eastAsia" w:ascii="宋体" w:hAnsi="宋体" w:eastAsia="宋体" w:cs="宋体"/>
          <w:b/>
          <w:bCs/>
          <w:color w:val="auto"/>
          <w:sz w:val="28"/>
          <w:szCs w:val="28"/>
          <w:highlight w:val="none"/>
          <w:lang w:val="zh-CN"/>
        </w:rPr>
        <w:br w:type="page"/>
      </w:r>
    </w:p>
    <w:p w14:paraId="262EC1F0">
      <w:pPr>
        <w:spacing w:line="600" w:lineRule="exact"/>
        <w:contextualSpacing/>
        <w:jc w:val="center"/>
        <w:outlineLvl w:val="1"/>
        <w:rPr>
          <w:rFonts w:hint="eastAsia" w:ascii="宋体" w:hAnsi="宋体" w:eastAsia="宋体" w:cs="宋体"/>
          <w:b/>
          <w:bCs/>
          <w:color w:val="auto"/>
          <w:sz w:val="28"/>
          <w:szCs w:val="28"/>
          <w:highlight w:val="none"/>
          <w:lang w:val="zh-CN" w:eastAsia="zh-CN"/>
        </w:rPr>
      </w:pPr>
      <w:bookmarkStart w:id="514" w:name="_Toc1250"/>
      <w:r>
        <w:rPr>
          <w:rFonts w:hint="eastAsia" w:ascii="宋体" w:hAnsi="宋体" w:eastAsia="宋体" w:cs="宋体"/>
          <w:b/>
          <w:bCs/>
          <w:color w:val="auto"/>
          <w:sz w:val="28"/>
          <w:szCs w:val="28"/>
          <w:highlight w:val="none"/>
          <w:lang w:val="zh-CN"/>
        </w:rPr>
        <w:t>第三部分</w:t>
      </w:r>
      <w:r>
        <w:rPr>
          <w:rFonts w:hint="eastAsia" w:ascii="宋体" w:hAnsi="宋体" w:eastAsia="宋体" w:cs="宋体"/>
          <w:b/>
          <w:bCs/>
          <w:color w:val="auto"/>
          <w:sz w:val="28"/>
          <w:szCs w:val="28"/>
          <w:highlight w:val="none"/>
          <w:lang w:val="zh-CN" w:eastAsia="zh-CN"/>
        </w:rPr>
        <w:t>、技术文件</w:t>
      </w:r>
      <w:bookmarkEnd w:id="512"/>
      <w:bookmarkEnd w:id="513"/>
      <w:bookmarkEnd w:id="514"/>
    </w:p>
    <w:p w14:paraId="32A4A245">
      <w:pPr>
        <w:spacing w:line="360" w:lineRule="auto"/>
        <w:jc w:val="center"/>
        <w:outlineLvl w:val="2"/>
        <w:rPr>
          <w:rFonts w:hint="eastAsia" w:ascii="宋体" w:hAnsi="宋体" w:eastAsia="宋体" w:cs="宋体"/>
          <w:b/>
          <w:color w:val="auto"/>
          <w:sz w:val="24"/>
          <w:szCs w:val="24"/>
          <w:highlight w:val="none"/>
        </w:rPr>
      </w:pPr>
      <w:bookmarkStart w:id="515" w:name="_Toc7949"/>
      <w:bookmarkStart w:id="516" w:name="_Toc22819"/>
      <w:bookmarkStart w:id="517" w:name="_Toc393"/>
      <w:bookmarkStart w:id="518" w:name="_Toc467789358"/>
      <w:bookmarkStart w:id="519" w:name="_Toc475715888"/>
      <w:bookmarkStart w:id="520" w:name="_Toc467789357"/>
      <w:bookmarkStart w:id="521" w:name="_Toc495388723"/>
      <w:bookmarkStart w:id="522" w:name="_Toc491075866"/>
      <w:r>
        <w:rPr>
          <w:rFonts w:hint="eastAsia" w:ascii="宋体" w:hAnsi="宋体" w:eastAsia="宋体" w:cs="宋体"/>
          <w:b/>
          <w:color w:val="auto"/>
          <w:kern w:val="0"/>
          <w:sz w:val="28"/>
          <w:szCs w:val="28"/>
          <w:highlight w:val="none"/>
        </w:rPr>
        <w:t>1</w:t>
      </w:r>
      <w:r>
        <w:rPr>
          <w:rFonts w:hint="eastAsia" w:ascii="宋体" w:hAnsi="宋体" w:eastAsia="宋体" w:cs="宋体"/>
          <w:b/>
          <w:color w:val="auto"/>
          <w:kern w:val="0"/>
          <w:sz w:val="28"/>
          <w:szCs w:val="28"/>
          <w:highlight w:val="none"/>
          <w:lang w:eastAsia="zh-CN"/>
        </w:rPr>
        <w:t>.</w:t>
      </w:r>
      <w:r>
        <w:rPr>
          <w:rFonts w:hint="eastAsia" w:ascii="宋体" w:hAnsi="宋体" w:eastAsia="宋体" w:cs="宋体"/>
          <w:b/>
          <w:color w:val="auto"/>
          <w:kern w:val="0"/>
          <w:sz w:val="28"/>
          <w:szCs w:val="28"/>
          <w:highlight w:val="none"/>
        </w:rPr>
        <w:t>★项要求响应/偏离对照表</w:t>
      </w:r>
      <w:bookmarkEnd w:id="515"/>
      <w:bookmarkEnd w:id="516"/>
      <w:bookmarkEnd w:id="517"/>
    </w:p>
    <w:p w14:paraId="2E07D2FB">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招标编号：</w:t>
      </w:r>
    </w:p>
    <w:p w14:paraId="3B5E4EAD">
      <w:pPr>
        <w:contextualSpacing/>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w:t>
      </w:r>
    </w:p>
    <w:tbl>
      <w:tblPr>
        <w:tblStyle w:val="14"/>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3"/>
        <w:gridCol w:w="1349"/>
        <w:gridCol w:w="1634"/>
        <w:gridCol w:w="1492"/>
        <w:gridCol w:w="1492"/>
        <w:gridCol w:w="1492"/>
        <w:gridCol w:w="1492"/>
      </w:tblGrid>
      <w:tr w14:paraId="0CCF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7" w:hRule="atLeast"/>
          <w:jc w:val="center"/>
        </w:trPr>
        <w:tc>
          <w:tcPr>
            <w:tcW w:w="733" w:type="dxa"/>
            <w:noWrap w:val="0"/>
            <w:vAlign w:val="center"/>
          </w:tcPr>
          <w:p w14:paraId="776460CB">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349" w:type="dxa"/>
            <w:noWrap w:val="0"/>
            <w:vAlign w:val="center"/>
          </w:tcPr>
          <w:p w14:paraId="162AAB8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招标文件条目号</w:t>
            </w:r>
          </w:p>
        </w:tc>
        <w:tc>
          <w:tcPr>
            <w:tcW w:w="1634" w:type="dxa"/>
            <w:noWrap w:val="0"/>
            <w:vAlign w:val="center"/>
          </w:tcPr>
          <w:p w14:paraId="22DC2B88">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招标文件中</w:t>
            </w:r>
          </w:p>
          <w:p w14:paraId="20428749">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的★项要求</w:t>
            </w:r>
          </w:p>
        </w:tc>
        <w:tc>
          <w:tcPr>
            <w:tcW w:w="1492" w:type="dxa"/>
            <w:noWrap w:val="0"/>
            <w:vAlign w:val="center"/>
          </w:tcPr>
          <w:p w14:paraId="56193E50">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w:t>
            </w:r>
          </w:p>
          <w:p w14:paraId="25C42F45">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的★项响应情况</w:t>
            </w:r>
          </w:p>
        </w:tc>
        <w:tc>
          <w:tcPr>
            <w:tcW w:w="1492" w:type="dxa"/>
            <w:noWrap w:val="0"/>
            <w:vAlign w:val="center"/>
          </w:tcPr>
          <w:p w14:paraId="2CC2701A">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偏离（正偏离/无偏离/负偏离）</w:t>
            </w:r>
          </w:p>
        </w:tc>
        <w:tc>
          <w:tcPr>
            <w:tcW w:w="1492" w:type="dxa"/>
            <w:noWrap w:val="0"/>
            <w:vAlign w:val="center"/>
          </w:tcPr>
          <w:p w14:paraId="57C92DC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tc>
        <w:tc>
          <w:tcPr>
            <w:tcW w:w="1492" w:type="dxa"/>
            <w:noWrap w:val="0"/>
            <w:vAlign w:val="center"/>
          </w:tcPr>
          <w:p w14:paraId="13E2441E">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证明资料所在投标文件中页码</w:t>
            </w:r>
          </w:p>
        </w:tc>
      </w:tr>
      <w:tr w14:paraId="03C3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05CB459A">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49" w:type="dxa"/>
            <w:noWrap w:val="0"/>
            <w:vAlign w:val="center"/>
          </w:tcPr>
          <w:p w14:paraId="262773CC">
            <w:pPr>
              <w:contextualSpacing/>
              <w:jc w:val="center"/>
              <w:rPr>
                <w:rFonts w:hint="eastAsia" w:ascii="宋体" w:hAnsi="宋体" w:eastAsia="宋体" w:cs="宋体"/>
                <w:color w:val="auto"/>
                <w:szCs w:val="21"/>
                <w:highlight w:val="none"/>
              </w:rPr>
            </w:pPr>
          </w:p>
        </w:tc>
        <w:tc>
          <w:tcPr>
            <w:tcW w:w="1634" w:type="dxa"/>
            <w:noWrap w:val="0"/>
            <w:vAlign w:val="center"/>
          </w:tcPr>
          <w:p w14:paraId="32D121B2">
            <w:pPr>
              <w:contextualSpacing/>
              <w:jc w:val="center"/>
              <w:rPr>
                <w:rFonts w:hint="eastAsia" w:ascii="宋体" w:hAnsi="宋体" w:eastAsia="宋体" w:cs="宋体"/>
                <w:color w:val="auto"/>
                <w:szCs w:val="21"/>
                <w:highlight w:val="none"/>
              </w:rPr>
            </w:pPr>
          </w:p>
        </w:tc>
        <w:tc>
          <w:tcPr>
            <w:tcW w:w="1492" w:type="dxa"/>
            <w:noWrap w:val="0"/>
            <w:vAlign w:val="center"/>
          </w:tcPr>
          <w:p w14:paraId="16B8BF32">
            <w:pPr>
              <w:contextualSpacing/>
              <w:jc w:val="center"/>
              <w:rPr>
                <w:rFonts w:hint="eastAsia" w:ascii="宋体" w:hAnsi="宋体" w:eastAsia="宋体" w:cs="宋体"/>
                <w:color w:val="auto"/>
                <w:szCs w:val="21"/>
                <w:highlight w:val="none"/>
              </w:rPr>
            </w:pPr>
          </w:p>
        </w:tc>
        <w:tc>
          <w:tcPr>
            <w:tcW w:w="1492" w:type="dxa"/>
            <w:noWrap w:val="0"/>
            <w:vAlign w:val="center"/>
          </w:tcPr>
          <w:p w14:paraId="6E64354A">
            <w:pPr>
              <w:contextualSpacing/>
              <w:jc w:val="center"/>
              <w:rPr>
                <w:rFonts w:hint="eastAsia" w:ascii="宋体" w:hAnsi="宋体" w:eastAsia="宋体" w:cs="宋体"/>
                <w:color w:val="auto"/>
                <w:szCs w:val="21"/>
                <w:highlight w:val="none"/>
              </w:rPr>
            </w:pPr>
          </w:p>
        </w:tc>
        <w:tc>
          <w:tcPr>
            <w:tcW w:w="1492" w:type="dxa"/>
            <w:noWrap w:val="0"/>
            <w:vAlign w:val="center"/>
          </w:tcPr>
          <w:p w14:paraId="660F7F60">
            <w:pPr>
              <w:contextualSpacing/>
              <w:jc w:val="center"/>
              <w:rPr>
                <w:rFonts w:hint="eastAsia" w:ascii="宋体" w:hAnsi="宋体" w:eastAsia="宋体" w:cs="宋体"/>
                <w:color w:val="auto"/>
                <w:szCs w:val="21"/>
                <w:highlight w:val="none"/>
              </w:rPr>
            </w:pPr>
          </w:p>
        </w:tc>
        <w:tc>
          <w:tcPr>
            <w:tcW w:w="1492" w:type="dxa"/>
            <w:noWrap w:val="0"/>
            <w:vAlign w:val="center"/>
          </w:tcPr>
          <w:p w14:paraId="7DFE0808">
            <w:pPr>
              <w:contextualSpacing/>
              <w:jc w:val="center"/>
              <w:rPr>
                <w:rFonts w:hint="eastAsia" w:ascii="宋体" w:hAnsi="宋体" w:eastAsia="宋体" w:cs="宋体"/>
                <w:color w:val="auto"/>
                <w:szCs w:val="21"/>
                <w:highlight w:val="none"/>
              </w:rPr>
            </w:pPr>
          </w:p>
        </w:tc>
      </w:tr>
      <w:tr w14:paraId="3F6B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53750253">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49" w:type="dxa"/>
            <w:noWrap w:val="0"/>
            <w:vAlign w:val="center"/>
          </w:tcPr>
          <w:p w14:paraId="178A1B6F">
            <w:pPr>
              <w:contextualSpacing/>
              <w:jc w:val="center"/>
              <w:rPr>
                <w:rFonts w:hint="eastAsia" w:ascii="宋体" w:hAnsi="宋体" w:eastAsia="宋体" w:cs="宋体"/>
                <w:color w:val="auto"/>
                <w:szCs w:val="21"/>
                <w:highlight w:val="none"/>
              </w:rPr>
            </w:pPr>
          </w:p>
        </w:tc>
        <w:tc>
          <w:tcPr>
            <w:tcW w:w="1634" w:type="dxa"/>
            <w:noWrap w:val="0"/>
            <w:vAlign w:val="center"/>
          </w:tcPr>
          <w:p w14:paraId="2FDA24A8">
            <w:pPr>
              <w:contextualSpacing/>
              <w:jc w:val="center"/>
              <w:rPr>
                <w:rFonts w:hint="eastAsia" w:ascii="宋体" w:hAnsi="宋体" w:eastAsia="宋体" w:cs="宋体"/>
                <w:color w:val="auto"/>
                <w:szCs w:val="21"/>
                <w:highlight w:val="none"/>
              </w:rPr>
            </w:pPr>
          </w:p>
        </w:tc>
        <w:tc>
          <w:tcPr>
            <w:tcW w:w="1492" w:type="dxa"/>
            <w:noWrap w:val="0"/>
            <w:vAlign w:val="center"/>
          </w:tcPr>
          <w:p w14:paraId="7E1C36EB">
            <w:pPr>
              <w:contextualSpacing/>
              <w:jc w:val="center"/>
              <w:rPr>
                <w:rFonts w:hint="eastAsia" w:ascii="宋体" w:hAnsi="宋体" w:eastAsia="宋体" w:cs="宋体"/>
                <w:color w:val="auto"/>
                <w:szCs w:val="21"/>
                <w:highlight w:val="none"/>
              </w:rPr>
            </w:pPr>
          </w:p>
        </w:tc>
        <w:tc>
          <w:tcPr>
            <w:tcW w:w="1492" w:type="dxa"/>
            <w:noWrap w:val="0"/>
            <w:vAlign w:val="center"/>
          </w:tcPr>
          <w:p w14:paraId="1237C8CC">
            <w:pPr>
              <w:contextualSpacing/>
              <w:jc w:val="center"/>
              <w:rPr>
                <w:rFonts w:hint="eastAsia" w:ascii="宋体" w:hAnsi="宋体" w:eastAsia="宋体" w:cs="宋体"/>
                <w:color w:val="auto"/>
                <w:szCs w:val="21"/>
                <w:highlight w:val="none"/>
              </w:rPr>
            </w:pPr>
          </w:p>
        </w:tc>
        <w:tc>
          <w:tcPr>
            <w:tcW w:w="1492" w:type="dxa"/>
            <w:noWrap w:val="0"/>
            <w:vAlign w:val="center"/>
          </w:tcPr>
          <w:p w14:paraId="3F753FA2">
            <w:pPr>
              <w:contextualSpacing/>
              <w:jc w:val="center"/>
              <w:rPr>
                <w:rFonts w:hint="eastAsia" w:ascii="宋体" w:hAnsi="宋体" w:eastAsia="宋体" w:cs="宋体"/>
                <w:color w:val="auto"/>
                <w:szCs w:val="21"/>
                <w:highlight w:val="none"/>
              </w:rPr>
            </w:pPr>
          </w:p>
        </w:tc>
        <w:tc>
          <w:tcPr>
            <w:tcW w:w="1492" w:type="dxa"/>
            <w:noWrap w:val="0"/>
            <w:vAlign w:val="center"/>
          </w:tcPr>
          <w:p w14:paraId="760FD9D0">
            <w:pPr>
              <w:contextualSpacing/>
              <w:jc w:val="center"/>
              <w:rPr>
                <w:rFonts w:hint="eastAsia" w:ascii="宋体" w:hAnsi="宋体" w:eastAsia="宋体" w:cs="宋体"/>
                <w:color w:val="auto"/>
                <w:szCs w:val="21"/>
                <w:highlight w:val="none"/>
              </w:rPr>
            </w:pPr>
          </w:p>
        </w:tc>
      </w:tr>
      <w:tr w14:paraId="4FCC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4151F621">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349" w:type="dxa"/>
            <w:noWrap w:val="0"/>
            <w:vAlign w:val="center"/>
          </w:tcPr>
          <w:p w14:paraId="633B3D4A">
            <w:pPr>
              <w:contextualSpacing/>
              <w:jc w:val="center"/>
              <w:rPr>
                <w:rFonts w:hint="eastAsia" w:ascii="宋体" w:hAnsi="宋体" w:eastAsia="宋体" w:cs="宋体"/>
                <w:color w:val="auto"/>
                <w:szCs w:val="21"/>
                <w:highlight w:val="none"/>
              </w:rPr>
            </w:pPr>
          </w:p>
        </w:tc>
        <w:tc>
          <w:tcPr>
            <w:tcW w:w="1634" w:type="dxa"/>
            <w:noWrap w:val="0"/>
            <w:vAlign w:val="center"/>
          </w:tcPr>
          <w:p w14:paraId="7CDAAD77">
            <w:pPr>
              <w:contextualSpacing/>
              <w:jc w:val="center"/>
              <w:rPr>
                <w:rFonts w:hint="eastAsia" w:ascii="宋体" w:hAnsi="宋体" w:eastAsia="宋体" w:cs="宋体"/>
                <w:color w:val="auto"/>
                <w:szCs w:val="21"/>
                <w:highlight w:val="none"/>
              </w:rPr>
            </w:pPr>
          </w:p>
        </w:tc>
        <w:tc>
          <w:tcPr>
            <w:tcW w:w="1492" w:type="dxa"/>
            <w:noWrap w:val="0"/>
            <w:vAlign w:val="center"/>
          </w:tcPr>
          <w:p w14:paraId="358B44E0">
            <w:pPr>
              <w:contextualSpacing/>
              <w:jc w:val="center"/>
              <w:rPr>
                <w:rFonts w:hint="eastAsia" w:ascii="宋体" w:hAnsi="宋体" w:eastAsia="宋体" w:cs="宋体"/>
                <w:color w:val="auto"/>
                <w:szCs w:val="21"/>
                <w:highlight w:val="none"/>
              </w:rPr>
            </w:pPr>
          </w:p>
        </w:tc>
        <w:tc>
          <w:tcPr>
            <w:tcW w:w="1492" w:type="dxa"/>
            <w:noWrap w:val="0"/>
            <w:vAlign w:val="center"/>
          </w:tcPr>
          <w:p w14:paraId="74E00715">
            <w:pPr>
              <w:contextualSpacing/>
              <w:jc w:val="center"/>
              <w:rPr>
                <w:rFonts w:hint="eastAsia" w:ascii="宋体" w:hAnsi="宋体" w:eastAsia="宋体" w:cs="宋体"/>
                <w:color w:val="auto"/>
                <w:szCs w:val="21"/>
                <w:highlight w:val="none"/>
              </w:rPr>
            </w:pPr>
          </w:p>
        </w:tc>
        <w:tc>
          <w:tcPr>
            <w:tcW w:w="1492" w:type="dxa"/>
            <w:noWrap w:val="0"/>
            <w:vAlign w:val="center"/>
          </w:tcPr>
          <w:p w14:paraId="008AB11C">
            <w:pPr>
              <w:contextualSpacing/>
              <w:jc w:val="center"/>
              <w:rPr>
                <w:rFonts w:hint="eastAsia" w:ascii="宋体" w:hAnsi="宋体" w:eastAsia="宋体" w:cs="宋体"/>
                <w:color w:val="auto"/>
                <w:szCs w:val="21"/>
                <w:highlight w:val="none"/>
              </w:rPr>
            </w:pPr>
          </w:p>
        </w:tc>
        <w:tc>
          <w:tcPr>
            <w:tcW w:w="1492" w:type="dxa"/>
            <w:noWrap w:val="0"/>
            <w:vAlign w:val="center"/>
          </w:tcPr>
          <w:p w14:paraId="0E72BED8">
            <w:pPr>
              <w:contextualSpacing/>
              <w:jc w:val="center"/>
              <w:rPr>
                <w:rFonts w:hint="eastAsia" w:ascii="宋体" w:hAnsi="宋体" w:eastAsia="宋体" w:cs="宋体"/>
                <w:color w:val="auto"/>
                <w:szCs w:val="21"/>
                <w:highlight w:val="none"/>
              </w:rPr>
            </w:pPr>
          </w:p>
        </w:tc>
      </w:tr>
      <w:tr w14:paraId="2A6B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17AD03A0">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349" w:type="dxa"/>
            <w:noWrap w:val="0"/>
            <w:vAlign w:val="center"/>
          </w:tcPr>
          <w:p w14:paraId="5E883BBF">
            <w:pPr>
              <w:contextualSpacing/>
              <w:jc w:val="center"/>
              <w:rPr>
                <w:rFonts w:hint="eastAsia" w:ascii="宋体" w:hAnsi="宋体" w:eastAsia="宋体" w:cs="宋体"/>
                <w:color w:val="auto"/>
                <w:szCs w:val="21"/>
                <w:highlight w:val="none"/>
              </w:rPr>
            </w:pPr>
          </w:p>
        </w:tc>
        <w:tc>
          <w:tcPr>
            <w:tcW w:w="1634" w:type="dxa"/>
            <w:noWrap w:val="0"/>
            <w:vAlign w:val="center"/>
          </w:tcPr>
          <w:p w14:paraId="0DE81EF4">
            <w:pPr>
              <w:contextualSpacing/>
              <w:jc w:val="center"/>
              <w:rPr>
                <w:rFonts w:hint="eastAsia" w:ascii="宋体" w:hAnsi="宋体" w:eastAsia="宋体" w:cs="宋体"/>
                <w:color w:val="auto"/>
                <w:szCs w:val="21"/>
                <w:highlight w:val="none"/>
              </w:rPr>
            </w:pPr>
          </w:p>
        </w:tc>
        <w:tc>
          <w:tcPr>
            <w:tcW w:w="1492" w:type="dxa"/>
            <w:noWrap w:val="0"/>
            <w:vAlign w:val="center"/>
          </w:tcPr>
          <w:p w14:paraId="110287B9">
            <w:pPr>
              <w:contextualSpacing/>
              <w:jc w:val="center"/>
              <w:rPr>
                <w:rFonts w:hint="eastAsia" w:ascii="宋体" w:hAnsi="宋体" w:eastAsia="宋体" w:cs="宋体"/>
                <w:color w:val="auto"/>
                <w:szCs w:val="21"/>
                <w:highlight w:val="none"/>
              </w:rPr>
            </w:pPr>
          </w:p>
        </w:tc>
        <w:tc>
          <w:tcPr>
            <w:tcW w:w="1492" w:type="dxa"/>
            <w:noWrap w:val="0"/>
            <w:vAlign w:val="center"/>
          </w:tcPr>
          <w:p w14:paraId="1F5BDF1F">
            <w:pPr>
              <w:contextualSpacing/>
              <w:jc w:val="center"/>
              <w:rPr>
                <w:rFonts w:hint="eastAsia" w:ascii="宋体" w:hAnsi="宋体" w:eastAsia="宋体" w:cs="宋体"/>
                <w:color w:val="auto"/>
                <w:szCs w:val="21"/>
                <w:highlight w:val="none"/>
              </w:rPr>
            </w:pPr>
          </w:p>
        </w:tc>
        <w:tc>
          <w:tcPr>
            <w:tcW w:w="1492" w:type="dxa"/>
            <w:noWrap w:val="0"/>
            <w:vAlign w:val="center"/>
          </w:tcPr>
          <w:p w14:paraId="0DAA47B6">
            <w:pPr>
              <w:contextualSpacing/>
              <w:jc w:val="center"/>
              <w:rPr>
                <w:rFonts w:hint="eastAsia" w:ascii="宋体" w:hAnsi="宋体" w:eastAsia="宋体" w:cs="宋体"/>
                <w:color w:val="auto"/>
                <w:szCs w:val="21"/>
                <w:highlight w:val="none"/>
              </w:rPr>
            </w:pPr>
          </w:p>
        </w:tc>
        <w:tc>
          <w:tcPr>
            <w:tcW w:w="1492" w:type="dxa"/>
            <w:noWrap w:val="0"/>
            <w:vAlign w:val="center"/>
          </w:tcPr>
          <w:p w14:paraId="34699A66">
            <w:pPr>
              <w:contextualSpacing/>
              <w:jc w:val="center"/>
              <w:rPr>
                <w:rFonts w:hint="eastAsia" w:ascii="宋体" w:hAnsi="宋体" w:eastAsia="宋体" w:cs="宋体"/>
                <w:color w:val="auto"/>
                <w:szCs w:val="21"/>
                <w:highlight w:val="none"/>
              </w:rPr>
            </w:pPr>
          </w:p>
        </w:tc>
      </w:tr>
      <w:tr w14:paraId="75DB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173509BD">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349" w:type="dxa"/>
            <w:noWrap w:val="0"/>
            <w:vAlign w:val="center"/>
          </w:tcPr>
          <w:p w14:paraId="0EA62A2C">
            <w:pPr>
              <w:contextualSpacing/>
              <w:jc w:val="center"/>
              <w:rPr>
                <w:rFonts w:hint="eastAsia" w:ascii="宋体" w:hAnsi="宋体" w:eastAsia="宋体" w:cs="宋体"/>
                <w:color w:val="auto"/>
                <w:szCs w:val="21"/>
                <w:highlight w:val="none"/>
              </w:rPr>
            </w:pPr>
          </w:p>
        </w:tc>
        <w:tc>
          <w:tcPr>
            <w:tcW w:w="1634" w:type="dxa"/>
            <w:noWrap w:val="0"/>
            <w:vAlign w:val="center"/>
          </w:tcPr>
          <w:p w14:paraId="03368D0F">
            <w:pPr>
              <w:contextualSpacing/>
              <w:jc w:val="center"/>
              <w:rPr>
                <w:rFonts w:hint="eastAsia" w:ascii="宋体" w:hAnsi="宋体" w:eastAsia="宋体" w:cs="宋体"/>
                <w:color w:val="auto"/>
                <w:szCs w:val="21"/>
                <w:highlight w:val="none"/>
              </w:rPr>
            </w:pPr>
          </w:p>
        </w:tc>
        <w:tc>
          <w:tcPr>
            <w:tcW w:w="1492" w:type="dxa"/>
            <w:noWrap w:val="0"/>
            <w:vAlign w:val="center"/>
          </w:tcPr>
          <w:p w14:paraId="03167467">
            <w:pPr>
              <w:contextualSpacing/>
              <w:jc w:val="center"/>
              <w:rPr>
                <w:rFonts w:hint="eastAsia" w:ascii="宋体" w:hAnsi="宋体" w:eastAsia="宋体" w:cs="宋体"/>
                <w:color w:val="auto"/>
                <w:szCs w:val="21"/>
                <w:highlight w:val="none"/>
              </w:rPr>
            </w:pPr>
          </w:p>
        </w:tc>
        <w:tc>
          <w:tcPr>
            <w:tcW w:w="1492" w:type="dxa"/>
            <w:noWrap w:val="0"/>
            <w:vAlign w:val="center"/>
          </w:tcPr>
          <w:p w14:paraId="584BE30E">
            <w:pPr>
              <w:contextualSpacing/>
              <w:jc w:val="center"/>
              <w:rPr>
                <w:rFonts w:hint="eastAsia" w:ascii="宋体" w:hAnsi="宋体" w:eastAsia="宋体" w:cs="宋体"/>
                <w:color w:val="auto"/>
                <w:szCs w:val="21"/>
                <w:highlight w:val="none"/>
              </w:rPr>
            </w:pPr>
          </w:p>
        </w:tc>
        <w:tc>
          <w:tcPr>
            <w:tcW w:w="1492" w:type="dxa"/>
            <w:noWrap w:val="0"/>
            <w:vAlign w:val="center"/>
          </w:tcPr>
          <w:p w14:paraId="3DC3B11A">
            <w:pPr>
              <w:contextualSpacing/>
              <w:jc w:val="center"/>
              <w:rPr>
                <w:rFonts w:hint="eastAsia" w:ascii="宋体" w:hAnsi="宋体" w:eastAsia="宋体" w:cs="宋体"/>
                <w:color w:val="auto"/>
                <w:szCs w:val="21"/>
                <w:highlight w:val="none"/>
              </w:rPr>
            </w:pPr>
          </w:p>
        </w:tc>
        <w:tc>
          <w:tcPr>
            <w:tcW w:w="1492" w:type="dxa"/>
            <w:noWrap w:val="0"/>
            <w:vAlign w:val="center"/>
          </w:tcPr>
          <w:p w14:paraId="54332182">
            <w:pPr>
              <w:contextualSpacing/>
              <w:jc w:val="center"/>
              <w:rPr>
                <w:rFonts w:hint="eastAsia" w:ascii="宋体" w:hAnsi="宋体" w:eastAsia="宋体" w:cs="宋体"/>
                <w:color w:val="auto"/>
                <w:szCs w:val="21"/>
                <w:highlight w:val="none"/>
              </w:rPr>
            </w:pPr>
          </w:p>
        </w:tc>
      </w:tr>
      <w:tr w14:paraId="1C7A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625671D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349" w:type="dxa"/>
            <w:noWrap w:val="0"/>
            <w:vAlign w:val="center"/>
          </w:tcPr>
          <w:p w14:paraId="7D633103">
            <w:pPr>
              <w:contextualSpacing/>
              <w:jc w:val="center"/>
              <w:rPr>
                <w:rFonts w:hint="eastAsia" w:ascii="宋体" w:hAnsi="宋体" w:eastAsia="宋体" w:cs="宋体"/>
                <w:color w:val="auto"/>
                <w:szCs w:val="21"/>
                <w:highlight w:val="none"/>
              </w:rPr>
            </w:pPr>
          </w:p>
        </w:tc>
        <w:tc>
          <w:tcPr>
            <w:tcW w:w="1634" w:type="dxa"/>
            <w:noWrap w:val="0"/>
            <w:vAlign w:val="center"/>
          </w:tcPr>
          <w:p w14:paraId="17FCF940">
            <w:pPr>
              <w:contextualSpacing/>
              <w:jc w:val="center"/>
              <w:rPr>
                <w:rFonts w:hint="eastAsia" w:ascii="宋体" w:hAnsi="宋体" w:eastAsia="宋体" w:cs="宋体"/>
                <w:color w:val="auto"/>
                <w:szCs w:val="21"/>
                <w:highlight w:val="none"/>
              </w:rPr>
            </w:pPr>
          </w:p>
        </w:tc>
        <w:tc>
          <w:tcPr>
            <w:tcW w:w="1492" w:type="dxa"/>
            <w:noWrap w:val="0"/>
            <w:vAlign w:val="center"/>
          </w:tcPr>
          <w:p w14:paraId="0C8473DE">
            <w:pPr>
              <w:contextualSpacing/>
              <w:jc w:val="center"/>
              <w:rPr>
                <w:rFonts w:hint="eastAsia" w:ascii="宋体" w:hAnsi="宋体" w:eastAsia="宋体" w:cs="宋体"/>
                <w:color w:val="auto"/>
                <w:szCs w:val="21"/>
                <w:highlight w:val="none"/>
              </w:rPr>
            </w:pPr>
          </w:p>
        </w:tc>
        <w:tc>
          <w:tcPr>
            <w:tcW w:w="1492" w:type="dxa"/>
            <w:noWrap w:val="0"/>
            <w:vAlign w:val="center"/>
          </w:tcPr>
          <w:p w14:paraId="7D220A05">
            <w:pPr>
              <w:contextualSpacing/>
              <w:jc w:val="center"/>
              <w:rPr>
                <w:rFonts w:hint="eastAsia" w:ascii="宋体" w:hAnsi="宋体" w:eastAsia="宋体" w:cs="宋体"/>
                <w:color w:val="auto"/>
                <w:szCs w:val="21"/>
                <w:highlight w:val="none"/>
              </w:rPr>
            </w:pPr>
          </w:p>
        </w:tc>
        <w:tc>
          <w:tcPr>
            <w:tcW w:w="1492" w:type="dxa"/>
            <w:noWrap w:val="0"/>
            <w:vAlign w:val="center"/>
          </w:tcPr>
          <w:p w14:paraId="5F65D222">
            <w:pPr>
              <w:contextualSpacing/>
              <w:jc w:val="center"/>
              <w:rPr>
                <w:rFonts w:hint="eastAsia" w:ascii="宋体" w:hAnsi="宋体" w:eastAsia="宋体" w:cs="宋体"/>
                <w:color w:val="auto"/>
                <w:szCs w:val="21"/>
                <w:highlight w:val="none"/>
              </w:rPr>
            </w:pPr>
          </w:p>
        </w:tc>
        <w:tc>
          <w:tcPr>
            <w:tcW w:w="1492" w:type="dxa"/>
            <w:noWrap w:val="0"/>
            <w:vAlign w:val="center"/>
          </w:tcPr>
          <w:p w14:paraId="63540A38">
            <w:pPr>
              <w:contextualSpacing/>
              <w:jc w:val="center"/>
              <w:rPr>
                <w:rFonts w:hint="eastAsia" w:ascii="宋体" w:hAnsi="宋体" w:eastAsia="宋体" w:cs="宋体"/>
                <w:color w:val="auto"/>
                <w:szCs w:val="21"/>
                <w:highlight w:val="none"/>
              </w:rPr>
            </w:pPr>
          </w:p>
        </w:tc>
      </w:tr>
      <w:tr w14:paraId="5C59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0" w:hRule="atLeast"/>
          <w:jc w:val="center"/>
        </w:trPr>
        <w:tc>
          <w:tcPr>
            <w:tcW w:w="9684" w:type="dxa"/>
            <w:gridSpan w:val="7"/>
            <w:noWrap w:val="0"/>
            <w:vAlign w:val="center"/>
          </w:tcPr>
          <w:p w14:paraId="2E6BA69D">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合计：正偏离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项，无偏离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项，负偏离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w:t>
            </w:r>
          </w:p>
        </w:tc>
      </w:tr>
    </w:tbl>
    <w:p w14:paraId="3DE54DE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备注：1、按第</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章“采购需求”中的技术要求中的顺序填写此表，作为投标文件重要的组成部分。2、作为投标文件重要的组成部分，任何通过简单拷贝招标文件技术要求或简单标注“符合”“满足”的投标文件将被视为实质性不符合。3、偏离包括正、负偏离，正偏离指投标人的响应高于招标文件要求，负偏离指投标人的响应低于招标文件要求。无偏离也应该予以说明。4、如投标人无任何偏离，也需在响应表中注明：“全部技术条款无偏离”并在投标文件中递交此表。</w:t>
      </w:r>
    </w:p>
    <w:p w14:paraId="4C2083F4">
      <w:pPr>
        <w:adjustRightInd w:val="0"/>
        <w:snapToGrid w:val="0"/>
        <w:spacing w:line="360" w:lineRule="auto"/>
        <w:rPr>
          <w:rFonts w:hint="eastAsia" w:ascii="宋体" w:hAnsi="宋体" w:eastAsia="宋体" w:cs="宋体"/>
          <w:color w:val="auto"/>
          <w:sz w:val="24"/>
          <w:szCs w:val="24"/>
          <w:highlight w:val="none"/>
        </w:rPr>
      </w:pPr>
    </w:p>
    <w:p w14:paraId="66E5E36F">
      <w:pPr>
        <w:tabs>
          <w:tab w:val="left" w:pos="142"/>
        </w:tabs>
        <w:spacing w:line="360" w:lineRule="auto"/>
        <w:contextualSpacing/>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（盖章）                        </w:t>
      </w:r>
    </w:p>
    <w:p w14:paraId="39C4BCFE">
      <w:pPr>
        <w:tabs>
          <w:tab w:val="left" w:pos="142"/>
        </w:tabs>
        <w:spacing w:line="360" w:lineRule="auto"/>
        <w:contextualSpacing/>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（签字）        </w:t>
      </w:r>
    </w:p>
    <w:p w14:paraId="24AFDF07">
      <w:pPr>
        <w:tabs>
          <w:tab w:val="left" w:pos="142"/>
        </w:tabs>
        <w:adjustRightInd w:val="0"/>
        <w:spacing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CCE8E8C">
      <w:pPr>
        <w:spacing w:line="360" w:lineRule="auto"/>
        <w:jc w:val="center"/>
        <w:outlineLvl w:val="2"/>
        <w:rPr>
          <w:rFonts w:hint="eastAsia" w:ascii="宋体" w:hAnsi="宋体" w:eastAsia="宋体" w:cs="宋体"/>
          <w:b/>
          <w:color w:val="auto"/>
          <w:sz w:val="24"/>
          <w:szCs w:val="24"/>
          <w:highlight w:val="none"/>
        </w:rPr>
      </w:pPr>
      <w:r>
        <w:rPr>
          <w:rFonts w:hint="eastAsia" w:ascii="宋体" w:hAnsi="宋体" w:eastAsia="宋体" w:cs="宋体"/>
          <w:b/>
          <w:color w:val="auto"/>
          <w:kern w:val="0"/>
          <w:sz w:val="28"/>
          <w:szCs w:val="28"/>
          <w:highlight w:val="none"/>
        </w:rPr>
        <w:br w:type="page"/>
      </w:r>
      <w:bookmarkStart w:id="523" w:name="_Toc21073"/>
      <w:bookmarkStart w:id="524" w:name="_Toc799"/>
      <w:bookmarkStart w:id="525" w:name="_Toc11292"/>
      <w:r>
        <w:rPr>
          <w:rFonts w:hint="eastAsia" w:ascii="宋体" w:hAnsi="宋体" w:cs="宋体"/>
          <w:b/>
          <w:color w:val="auto"/>
          <w:kern w:val="0"/>
          <w:sz w:val="28"/>
          <w:szCs w:val="28"/>
          <w:highlight w:val="none"/>
          <w:lang w:val="en-US" w:eastAsia="zh-CN"/>
        </w:rPr>
        <w:t>2</w:t>
      </w:r>
      <w:r>
        <w:rPr>
          <w:rFonts w:hint="eastAsia" w:ascii="宋体" w:hAnsi="宋体" w:eastAsia="宋体" w:cs="宋体"/>
          <w:b/>
          <w:color w:val="auto"/>
          <w:kern w:val="0"/>
          <w:sz w:val="28"/>
          <w:szCs w:val="28"/>
          <w:highlight w:val="none"/>
          <w:lang w:val="en-US" w:eastAsia="zh-CN"/>
        </w:rPr>
        <w:t>.</w:t>
      </w:r>
      <w:r>
        <w:rPr>
          <w:rFonts w:hint="eastAsia" w:ascii="宋体" w:hAnsi="宋体" w:eastAsia="宋体" w:cs="宋体"/>
          <w:b/>
          <w:color w:val="auto"/>
          <w:sz w:val="28"/>
          <w:szCs w:val="28"/>
          <w:highlight w:val="none"/>
        </w:rPr>
        <w:t>非</w:t>
      </w:r>
      <w:r>
        <w:rPr>
          <w:rFonts w:hint="eastAsia" w:ascii="宋体" w:hAnsi="宋体" w:eastAsia="宋体" w:cs="宋体"/>
          <w:b/>
          <w:color w:val="auto"/>
          <w:kern w:val="0"/>
          <w:sz w:val="28"/>
          <w:szCs w:val="28"/>
          <w:highlight w:val="none"/>
        </w:rPr>
        <w:t>★</w:t>
      </w:r>
      <w:r>
        <w:rPr>
          <w:rFonts w:hint="eastAsia" w:ascii="宋体" w:hAnsi="宋体" w:eastAsia="宋体" w:cs="宋体"/>
          <w:b/>
          <w:color w:val="auto"/>
          <w:sz w:val="28"/>
          <w:szCs w:val="28"/>
          <w:highlight w:val="none"/>
        </w:rPr>
        <w:t>项</w:t>
      </w:r>
      <w:r>
        <w:rPr>
          <w:rFonts w:hint="eastAsia" w:ascii="宋体" w:hAnsi="宋体" w:cs="宋体"/>
          <w:b/>
          <w:color w:val="auto"/>
          <w:kern w:val="0"/>
          <w:sz w:val="28"/>
          <w:szCs w:val="28"/>
          <w:highlight w:val="none"/>
          <w:lang w:val="en-US" w:eastAsia="zh-CN"/>
        </w:rPr>
        <w:t>要求</w:t>
      </w:r>
      <w:r>
        <w:rPr>
          <w:rFonts w:hint="eastAsia" w:ascii="宋体" w:hAnsi="宋体" w:eastAsia="宋体" w:cs="宋体"/>
          <w:b/>
          <w:color w:val="auto"/>
          <w:kern w:val="0"/>
          <w:sz w:val="28"/>
          <w:szCs w:val="28"/>
          <w:highlight w:val="none"/>
        </w:rPr>
        <w:t>响应/偏离对照表</w:t>
      </w:r>
      <w:bookmarkEnd w:id="523"/>
      <w:bookmarkEnd w:id="524"/>
      <w:bookmarkEnd w:id="525"/>
    </w:p>
    <w:p w14:paraId="2E66D7E2">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招标编号：</w:t>
      </w:r>
    </w:p>
    <w:p w14:paraId="55135DCD">
      <w:pPr>
        <w:contextualSpacing/>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w:t>
      </w:r>
    </w:p>
    <w:tbl>
      <w:tblPr>
        <w:tblStyle w:val="14"/>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3"/>
        <w:gridCol w:w="1207"/>
        <w:gridCol w:w="1776"/>
        <w:gridCol w:w="1492"/>
        <w:gridCol w:w="1492"/>
        <w:gridCol w:w="1492"/>
        <w:gridCol w:w="1492"/>
      </w:tblGrid>
      <w:tr w14:paraId="612D9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7" w:hRule="atLeast"/>
          <w:jc w:val="center"/>
        </w:trPr>
        <w:tc>
          <w:tcPr>
            <w:tcW w:w="733" w:type="dxa"/>
            <w:noWrap w:val="0"/>
            <w:vAlign w:val="center"/>
          </w:tcPr>
          <w:p w14:paraId="291A4299">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07" w:type="dxa"/>
            <w:noWrap w:val="0"/>
            <w:vAlign w:val="center"/>
          </w:tcPr>
          <w:p w14:paraId="4E5FC08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招标文件条目号</w:t>
            </w:r>
          </w:p>
        </w:tc>
        <w:tc>
          <w:tcPr>
            <w:tcW w:w="1776" w:type="dxa"/>
            <w:noWrap w:val="0"/>
            <w:vAlign w:val="center"/>
          </w:tcPr>
          <w:p w14:paraId="25278D7E">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招标文件中</w:t>
            </w:r>
          </w:p>
          <w:p w14:paraId="22B4CECA">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的技术规格要求</w:t>
            </w:r>
          </w:p>
        </w:tc>
        <w:tc>
          <w:tcPr>
            <w:tcW w:w="1492" w:type="dxa"/>
            <w:noWrap w:val="0"/>
            <w:vAlign w:val="center"/>
          </w:tcPr>
          <w:p w14:paraId="13E8AE1A">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投标文件中</w:t>
            </w:r>
          </w:p>
          <w:p w14:paraId="6BB094D8">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的技术规格响应情况</w:t>
            </w:r>
          </w:p>
        </w:tc>
        <w:tc>
          <w:tcPr>
            <w:tcW w:w="1492" w:type="dxa"/>
            <w:noWrap w:val="0"/>
            <w:vAlign w:val="center"/>
          </w:tcPr>
          <w:p w14:paraId="1AF3D257">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偏离（正偏离/无偏离/负偏离）</w:t>
            </w:r>
          </w:p>
        </w:tc>
        <w:tc>
          <w:tcPr>
            <w:tcW w:w="1492" w:type="dxa"/>
            <w:noWrap w:val="0"/>
            <w:vAlign w:val="center"/>
          </w:tcPr>
          <w:p w14:paraId="66510BB7">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tc>
        <w:tc>
          <w:tcPr>
            <w:tcW w:w="1492" w:type="dxa"/>
            <w:noWrap w:val="0"/>
            <w:vAlign w:val="center"/>
          </w:tcPr>
          <w:p w14:paraId="7A6FB770">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证明资料所在投标文件中页码</w:t>
            </w:r>
          </w:p>
        </w:tc>
      </w:tr>
      <w:tr w14:paraId="3C69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207704E3">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07" w:type="dxa"/>
            <w:noWrap w:val="0"/>
            <w:vAlign w:val="center"/>
          </w:tcPr>
          <w:p w14:paraId="0A55C33D">
            <w:pPr>
              <w:contextualSpacing/>
              <w:jc w:val="center"/>
              <w:rPr>
                <w:rFonts w:hint="eastAsia" w:ascii="宋体" w:hAnsi="宋体" w:eastAsia="宋体" w:cs="宋体"/>
                <w:color w:val="auto"/>
                <w:szCs w:val="21"/>
                <w:highlight w:val="none"/>
              </w:rPr>
            </w:pPr>
          </w:p>
        </w:tc>
        <w:tc>
          <w:tcPr>
            <w:tcW w:w="1776" w:type="dxa"/>
            <w:noWrap w:val="0"/>
            <w:vAlign w:val="center"/>
          </w:tcPr>
          <w:p w14:paraId="52A2F86A">
            <w:pPr>
              <w:contextualSpacing/>
              <w:jc w:val="center"/>
              <w:rPr>
                <w:rFonts w:hint="eastAsia" w:ascii="宋体" w:hAnsi="宋体" w:eastAsia="宋体" w:cs="宋体"/>
                <w:color w:val="auto"/>
                <w:szCs w:val="21"/>
                <w:highlight w:val="none"/>
              </w:rPr>
            </w:pPr>
          </w:p>
        </w:tc>
        <w:tc>
          <w:tcPr>
            <w:tcW w:w="1492" w:type="dxa"/>
            <w:noWrap w:val="0"/>
            <w:vAlign w:val="center"/>
          </w:tcPr>
          <w:p w14:paraId="09EA5E1E">
            <w:pPr>
              <w:contextualSpacing/>
              <w:jc w:val="center"/>
              <w:rPr>
                <w:rFonts w:hint="eastAsia" w:ascii="宋体" w:hAnsi="宋体" w:eastAsia="宋体" w:cs="宋体"/>
                <w:color w:val="auto"/>
                <w:szCs w:val="21"/>
                <w:highlight w:val="none"/>
              </w:rPr>
            </w:pPr>
          </w:p>
        </w:tc>
        <w:tc>
          <w:tcPr>
            <w:tcW w:w="1492" w:type="dxa"/>
            <w:noWrap w:val="0"/>
            <w:vAlign w:val="center"/>
          </w:tcPr>
          <w:p w14:paraId="27CEAF60">
            <w:pPr>
              <w:contextualSpacing/>
              <w:jc w:val="center"/>
              <w:rPr>
                <w:rFonts w:hint="eastAsia" w:ascii="宋体" w:hAnsi="宋体" w:eastAsia="宋体" w:cs="宋体"/>
                <w:color w:val="auto"/>
                <w:szCs w:val="21"/>
                <w:highlight w:val="none"/>
              </w:rPr>
            </w:pPr>
          </w:p>
        </w:tc>
        <w:tc>
          <w:tcPr>
            <w:tcW w:w="1492" w:type="dxa"/>
            <w:noWrap w:val="0"/>
            <w:vAlign w:val="center"/>
          </w:tcPr>
          <w:p w14:paraId="06113239">
            <w:pPr>
              <w:contextualSpacing/>
              <w:jc w:val="center"/>
              <w:rPr>
                <w:rFonts w:hint="eastAsia" w:ascii="宋体" w:hAnsi="宋体" w:eastAsia="宋体" w:cs="宋体"/>
                <w:color w:val="auto"/>
                <w:szCs w:val="21"/>
                <w:highlight w:val="none"/>
              </w:rPr>
            </w:pPr>
          </w:p>
        </w:tc>
        <w:tc>
          <w:tcPr>
            <w:tcW w:w="1492" w:type="dxa"/>
            <w:noWrap w:val="0"/>
            <w:vAlign w:val="center"/>
          </w:tcPr>
          <w:p w14:paraId="34B3EC7C">
            <w:pPr>
              <w:contextualSpacing/>
              <w:jc w:val="center"/>
              <w:rPr>
                <w:rFonts w:hint="eastAsia" w:ascii="宋体" w:hAnsi="宋体" w:eastAsia="宋体" w:cs="宋体"/>
                <w:color w:val="auto"/>
                <w:szCs w:val="21"/>
                <w:highlight w:val="none"/>
              </w:rPr>
            </w:pPr>
          </w:p>
        </w:tc>
      </w:tr>
      <w:tr w14:paraId="1D95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09311353">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07" w:type="dxa"/>
            <w:noWrap w:val="0"/>
            <w:vAlign w:val="center"/>
          </w:tcPr>
          <w:p w14:paraId="77219391">
            <w:pPr>
              <w:contextualSpacing/>
              <w:jc w:val="center"/>
              <w:rPr>
                <w:rFonts w:hint="eastAsia" w:ascii="宋体" w:hAnsi="宋体" w:eastAsia="宋体" w:cs="宋体"/>
                <w:color w:val="auto"/>
                <w:szCs w:val="21"/>
                <w:highlight w:val="none"/>
              </w:rPr>
            </w:pPr>
          </w:p>
        </w:tc>
        <w:tc>
          <w:tcPr>
            <w:tcW w:w="1776" w:type="dxa"/>
            <w:noWrap w:val="0"/>
            <w:vAlign w:val="center"/>
          </w:tcPr>
          <w:p w14:paraId="1AAEE912">
            <w:pPr>
              <w:contextualSpacing/>
              <w:jc w:val="center"/>
              <w:rPr>
                <w:rFonts w:hint="eastAsia" w:ascii="宋体" w:hAnsi="宋体" w:eastAsia="宋体" w:cs="宋体"/>
                <w:color w:val="auto"/>
                <w:szCs w:val="21"/>
                <w:highlight w:val="none"/>
              </w:rPr>
            </w:pPr>
          </w:p>
        </w:tc>
        <w:tc>
          <w:tcPr>
            <w:tcW w:w="1492" w:type="dxa"/>
            <w:noWrap w:val="0"/>
            <w:vAlign w:val="center"/>
          </w:tcPr>
          <w:p w14:paraId="31F8875F">
            <w:pPr>
              <w:contextualSpacing/>
              <w:jc w:val="center"/>
              <w:rPr>
                <w:rFonts w:hint="eastAsia" w:ascii="宋体" w:hAnsi="宋体" w:eastAsia="宋体" w:cs="宋体"/>
                <w:color w:val="auto"/>
                <w:szCs w:val="21"/>
                <w:highlight w:val="none"/>
              </w:rPr>
            </w:pPr>
          </w:p>
        </w:tc>
        <w:tc>
          <w:tcPr>
            <w:tcW w:w="1492" w:type="dxa"/>
            <w:noWrap w:val="0"/>
            <w:vAlign w:val="center"/>
          </w:tcPr>
          <w:p w14:paraId="54F59FDA">
            <w:pPr>
              <w:contextualSpacing/>
              <w:jc w:val="center"/>
              <w:rPr>
                <w:rFonts w:hint="eastAsia" w:ascii="宋体" w:hAnsi="宋体" w:eastAsia="宋体" w:cs="宋体"/>
                <w:color w:val="auto"/>
                <w:szCs w:val="21"/>
                <w:highlight w:val="none"/>
              </w:rPr>
            </w:pPr>
          </w:p>
        </w:tc>
        <w:tc>
          <w:tcPr>
            <w:tcW w:w="1492" w:type="dxa"/>
            <w:noWrap w:val="0"/>
            <w:vAlign w:val="center"/>
          </w:tcPr>
          <w:p w14:paraId="427C6317">
            <w:pPr>
              <w:contextualSpacing/>
              <w:jc w:val="center"/>
              <w:rPr>
                <w:rFonts w:hint="eastAsia" w:ascii="宋体" w:hAnsi="宋体" w:eastAsia="宋体" w:cs="宋体"/>
                <w:color w:val="auto"/>
                <w:szCs w:val="21"/>
                <w:highlight w:val="none"/>
              </w:rPr>
            </w:pPr>
          </w:p>
        </w:tc>
        <w:tc>
          <w:tcPr>
            <w:tcW w:w="1492" w:type="dxa"/>
            <w:noWrap w:val="0"/>
            <w:vAlign w:val="center"/>
          </w:tcPr>
          <w:p w14:paraId="54A7C99C">
            <w:pPr>
              <w:contextualSpacing/>
              <w:jc w:val="center"/>
              <w:rPr>
                <w:rFonts w:hint="eastAsia" w:ascii="宋体" w:hAnsi="宋体" w:eastAsia="宋体" w:cs="宋体"/>
                <w:color w:val="auto"/>
                <w:szCs w:val="21"/>
                <w:highlight w:val="none"/>
              </w:rPr>
            </w:pPr>
          </w:p>
        </w:tc>
      </w:tr>
      <w:tr w14:paraId="28A3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61382AE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07" w:type="dxa"/>
            <w:noWrap w:val="0"/>
            <w:vAlign w:val="center"/>
          </w:tcPr>
          <w:p w14:paraId="2E8CE87F">
            <w:pPr>
              <w:contextualSpacing/>
              <w:jc w:val="center"/>
              <w:rPr>
                <w:rFonts w:hint="eastAsia" w:ascii="宋体" w:hAnsi="宋体" w:eastAsia="宋体" w:cs="宋体"/>
                <w:color w:val="auto"/>
                <w:szCs w:val="21"/>
                <w:highlight w:val="none"/>
              </w:rPr>
            </w:pPr>
          </w:p>
        </w:tc>
        <w:tc>
          <w:tcPr>
            <w:tcW w:w="1776" w:type="dxa"/>
            <w:noWrap w:val="0"/>
            <w:vAlign w:val="center"/>
          </w:tcPr>
          <w:p w14:paraId="74A6074A">
            <w:pPr>
              <w:contextualSpacing/>
              <w:jc w:val="center"/>
              <w:rPr>
                <w:rFonts w:hint="eastAsia" w:ascii="宋体" w:hAnsi="宋体" w:eastAsia="宋体" w:cs="宋体"/>
                <w:color w:val="auto"/>
                <w:szCs w:val="21"/>
                <w:highlight w:val="none"/>
              </w:rPr>
            </w:pPr>
          </w:p>
        </w:tc>
        <w:tc>
          <w:tcPr>
            <w:tcW w:w="1492" w:type="dxa"/>
            <w:noWrap w:val="0"/>
            <w:vAlign w:val="center"/>
          </w:tcPr>
          <w:p w14:paraId="673A56B0">
            <w:pPr>
              <w:contextualSpacing/>
              <w:jc w:val="center"/>
              <w:rPr>
                <w:rFonts w:hint="eastAsia" w:ascii="宋体" w:hAnsi="宋体" w:eastAsia="宋体" w:cs="宋体"/>
                <w:color w:val="auto"/>
                <w:szCs w:val="21"/>
                <w:highlight w:val="none"/>
              </w:rPr>
            </w:pPr>
          </w:p>
        </w:tc>
        <w:tc>
          <w:tcPr>
            <w:tcW w:w="1492" w:type="dxa"/>
            <w:noWrap w:val="0"/>
            <w:vAlign w:val="center"/>
          </w:tcPr>
          <w:p w14:paraId="0B9A2324">
            <w:pPr>
              <w:contextualSpacing/>
              <w:jc w:val="center"/>
              <w:rPr>
                <w:rFonts w:hint="eastAsia" w:ascii="宋体" w:hAnsi="宋体" w:eastAsia="宋体" w:cs="宋体"/>
                <w:color w:val="auto"/>
                <w:szCs w:val="21"/>
                <w:highlight w:val="none"/>
              </w:rPr>
            </w:pPr>
          </w:p>
        </w:tc>
        <w:tc>
          <w:tcPr>
            <w:tcW w:w="1492" w:type="dxa"/>
            <w:noWrap w:val="0"/>
            <w:vAlign w:val="center"/>
          </w:tcPr>
          <w:p w14:paraId="0494EAFD">
            <w:pPr>
              <w:contextualSpacing/>
              <w:jc w:val="center"/>
              <w:rPr>
                <w:rFonts w:hint="eastAsia" w:ascii="宋体" w:hAnsi="宋体" w:eastAsia="宋体" w:cs="宋体"/>
                <w:color w:val="auto"/>
                <w:szCs w:val="21"/>
                <w:highlight w:val="none"/>
              </w:rPr>
            </w:pPr>
          </w:p>
        </w:tc>
        <w:tc>
          <w:tcPr>
            <w:tcW w:w="1492" w:type="dxa"/>
            <w:noWrap w:val="0"/>
            <w:vAlign w:val="center"/>
          </w:tcPr>
          <w:p w14:paraId="0F9AF4B2">
            <w:pPr>
              <w:contextualSpacing/>
              <w:jc w:val="center"/>
              <w:rPr>
                <w:rFonts w:hint="eastAsia" w:ascii="宋体" w:hAnsi="宋体" w:eastAsia="宋体" w:cs="宋体"/>
                <w:color w:val="auto"/>
                <w:szCs w:val="21"/>
                <w:highlight w:val="none"/>
              </w:rPr>
            </w:pPr>
          </w:p>
        </w:tc>
      </w:tr>
      <w:tr w14:paraId="6BD4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3BDC3F66">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207" w:type="dxa"/>
            <w:noWrap w:val="0"/>
            <w:vAlign w:val="center"/>
          </w:tcPr>
          <w:p w14:paraId="2E0BB776">
            <w:pPr>
              <w:contextualSpacing/>
              <w:jc w:val="center"/>
              <w:rPr>
                <w:rFonts w:hint="eastAsia" w:ascii="宋体" w:hAnsi="宋体" w:eastAsia="宋体" w:cs="宋体"/>
                <w:color w:val="auto"/>
                <w:szCs w:val="21"/>
                <w:highlight w:val="none"/>
              </w:rPr>
            </w:pPr>
          </w:p>
        </w:tc>
        <w:tc>
          <w:tcPr>
            <w:tcW w:w="1776" w:type="dxa"/>
            <w:noWrap w:val="0"/>
            <w:vAlign w:val="center"/>
          </w:tcPr>
          <w:p w14:paraId="12A871A1">
            <w:pPr>
              <w:contextualSpacing/>
              <w:jc w:val="center"/>
              <w:rPr>
                <w:rFonts w:hint="eastAsia" w:ascii="宋体" w:hAnsi="宋体" w:eastAsia="宋体" w:cs="宋体"/>
                <w:color w:val="auto"/>
                <w:szCs w:val="21"/>
                <w:highlight w:val="none"/>
              </w:rPr>
            </w:pPr>
          </w:p>
        </w:tc>
        <w:tc>
          <w:tcPr>
            <w:tcW w:w="1492" w:type="dxa"/>
            <w:noWrap w:val="0"/>
            <w:vAlign w:val="center"/>
          </w:tcPr>
          <w:p w14:paraId="66229132">
            <w:pPr>
              <w:contextualSpacing/>
              <w:jc w:val="center"/>
              <w:rPr>
                <w:rFonts w:hint="eastAsia" w:ascii="宋体" w:hAnsi="宋体" w:eastAsia="宋体" w:cs="宋体"/>
                <w:color w:val="auto"/>
                <w:szCs w:val="21"/>
                <w:highlight w:val="none"/>
              </w:rPr>
            </w:pPr>
          </w:p>
        </w:tc>
        <w:tc>
          <w:tcPr>
            <w:tcW w:w="1492" w:type="dxa"/>
            <w:noWrap w:val="0"/>
            <w:vAlign w:val="center"/>
          </w:tcPr>
          <w:p w14:paraId="6A02A6A4">
            <w:pPr>
              <w:contextualSpacing/>
              <w:jc w:val="center"/>
              <w:rPr>
                <w:rFonts w:hint="eastAsia" w:ascii="宋体" w:hAnsi="宋体" w:eastAsia="宋体" w:cs="宋体"/>
                <w:color w:val="auto"/>
                <w:szCs w:val="21"/>
                <w:highlight w:val="none"/>
              </w:rPr>
            </w:pPr>
          </w:p>
        </w:tc>
        <w:tc>
          <w:tcPr>
            <w:tcW w:w="1492" w:type="dxa"/>
            <w:noWrap w:val="0"/>
            <w:vAlign w:val="center"/>
          </w:tcPr>
          <w:p w14:paraId="49ED6063">
            <w:pPr>
              <w:contextualSpacing/>
              <w:jc w:val="center"/>
              <w:rPr>
                <w:rFonts w:hint="eastAsia" w:ascii="宋体" w:hAnsi="宋体" w:eastAsia="宋体" w:cs="宋体"/>
                <w:color w:val="auto"/>
                <w:szCs w:val="21"/>
                <w:highlight w:val="none"/>
              </w:rPr>
            </w:pPr>
          </w:p>
        </w:tc>
        <w:tc>
          <w:tcPr>
            <w:tcW w:w="1492" w:type="dxa"/>
            <w:noWrap w:val="0"/>
            <w:vAlign w:val="center"/>
          </w:tcPr>
          <w:p w14:paraId="5CD3725B">
            <w:pPr>
              <w:contextualSpacing/>
              <w:jc w:val="center"/>
              <w:rPr>
                <w:rFonts w:hint="eastAsia" w:ascii="宋体" w:hAnsi="宋体" w:eastAsia="宋体" w:cs="宋体"/>
                <w:color w:val="auto"/>
                <w:szCs w:val="21"/>
                <w:highlight w:val="none"/>
              </w:rPr>
            </w:pPr>
          </w:p>
        </w:tc>
      </w:tr>
      <w:tr w14:paraId="773D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7A8002E0">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207" w:type="dxa"/>
            <w:noWrap w:val="0"/>
            <w:vAlign w:val="center"/>
          </w:tcPr>
          <w:p w14:paraId="777F4706">
            <w:pPr>
              <w:contextualSpacing/>
              <w:jc w:val="center"/>
              <w:rPr>
                <w:rFonts w:hint="eastAsia" w:ascii="宋体" w:hAnsi="宋体" w:eastAsia="宋体" w:cs="宋体"/>
                <w:color w:val="auto"/>
                <w:szCs w:val="21"/>
                <w:highlight w:val="none"/>
              </w:rPr>
            </w:pPr>
          </w:p>
        </w:tc>
        <w:tc>
          <w:tcPr>
            <w:tcW w:w="1776" w:type="dxa"/>
            <w:noWrap w:val="0"/>
            <w:vAlign w:val="center"/>
          </w:tcPr>
          <w:p w14:paraId="6BB5B08A">
            <w:pPr>
              <w:contextualSpacing/>
              <w:jc w:val="center"/>
              <w:rPr>
                <w:rFonts w:hint="eastAsia" w:ascii="宋体" w:hAnsi="宋体" w:eastAsia="宋体" w:cs="宋体"/>
                <w:color w:val="auto"/>
                <w:szCs w:val="21"/>
                <w:highlight w:val="none"/>
              </w:rPr>
            </w:pPr>
          </w:p>
        </w:tc>
        <w:tc>
          <w:tcPr>
            <w:tcW w:w="1492" w:type="dxa"/>
            <w:noWrap w:val="0"/>
            <w:vAlign w:val="center"/>
          </w:tcPr>
          <w:p w14:paraId="0CD2019F">
            <w:pPr>
              <w:contextualSpacing/>
              <w:jc w:val="center"/>
              <w:rPr>
                <w:rFonts w:hint="eastAsia" w:ascii="宋体" w:hAnsi="宋体" w:eastAsia="宋体" w:cs="宋体"/>
                <w:color w:val="auto"/>
                <w:szCs w:val="21"/>
                <w:highlight w:val="none"/>
              </w:rPr>
            </w:pPr>
          </w:p>
        </w:tc>
        <w:tc>
          <w:tcPr>
            <w:tcW w:w="1492" w:type="dxa"/>
            <w:noWrap w:val="0"/>
            <w:vAlign w:val="center"/>
          </w:tcPr>
          <w:p w14:paraId="6117DA4C">
            <w:pPr>
              <w:contextualSpacing/>
              <w:jc w:val="center"/>
              <w:rPr>
                <w:rFonts w:hint="eastAsia" w:ascii="宋体" w:hAnsi="宋体" w:eastAsia="宋体" w:cs="宋体"/>
                <w:color w:val="auto"/>
                <w:szCs w:val="21"/>
                <w:highlight w:val="none"/>
              </w:rPr>
            </w:pPr>
          </w:p>
        </w:tc>
        <w:tc>
          <w:tcPr>
            <w:tcW w:w="1492" w:type="dxa"/>
            <w:noWrap w:val="0"/>
            <w:vAlign w:val="center"/>
          </w:tcPr>
          <w:p w14:paraId="73312A7C">
            <w:pPr>
              <w:contextualSpacing/>
              <w:jc w:val="center"/>
              <w:rPr>
                <w:rFonts w:hint="eastAsia" w:ascii="宋体" w:hAnsi="宋体" w:eastAsia="宋体" w:cs="宋体"/>
                <w:color w:val="auto"/>
                <w:szCs w:val="21"/>
                <w:highlight w:val="none"/>
              </w:rPr>
            </w:pPr>
          </w:p>
        </w:tc>
        <w:tc>
          <w:tcPr>
            <w:tcW w:w="1492" w:type="dxa"/>
            <w:noWrap w:val="0"/>
            <w:vAlign w:val="center"/>
          </w:tcPr>
          <w:p w14:paraId="02DA356F">
            <w:pPr>
              <w:contextualSpacing/>
              <w:jc w:val="center"/>
              <w:rPr>
                <w:rFonts w:hint="eastAsia" w:ascii="宋体" w:hAnsi="宋体" w:eastAsia="宋体" w:cs="宋体"/>
                <w:color w:val="auto"/>
                <w:szCs w:val="21"/>
                <w:highlight w:val="none"/>
              </w:rPr>
            </w:pPr>
          </w:p>
        </w:tc>
      </w:tr>
      <w:tr w14:paraId="5BC61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523C5757">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207" w:type="dxa"/>
            <w:noWrap w:val="0"/>
            <w:vAlign w:val="center"/>
          </w:tcPr>
          <w:p w14:paraId="5EE44040">
            <w:pPr>
              <w:contextualSpacing/>
              <w:jc w:val="center"/>
              <w:rPr>
                <w:rFonts w:hint="eastAsia" w:ascii="宋体" w:hAnsi="宋体" w:eastAsia="宋体" w:cs="宋体"/>
                <w:color w:val="auto"/>
                <w:szCs w:val="21"/>
                <w:highlight w:val="none"/>
              </w:rPr>
            </w:pPr>
          </w:p>
        </w:tc>
        <w:tc>
          <w:tcPr>
            <w:tcW w:w="1776" w:type="dxa"/>
            <w:noWrap w:val="0"/>
            <w:vAlign w:val="center"/>
          </w:tcPr>
          <w:p w14:paraId="25412604">
            <w:pPr>
              <w:contextualSpacing/>
              <w:jc w:val="center"/>
              <w:rPr>
                <w:rFonts w:hint="eastAsia" w:ascii="宋体" w:hAnsi="宋体" w:eastAsia="宋体" w:cs="宋体"/>
                <w:color w:val="auto"/>
                <w:szCs w:val="21"/>
                <w:highlight w:val="none"/>
              </w:rPr>
            </w:pPr>
          </w:p>
        </w:tc>
        <w:tc>
          <w:tcPr>
            <w:tcW w:w="1492" w:type="dxa"/>
            <w:noWrap w:val="0"/>
            <w:vAlign w:val="center"/>
          </w:tcPr>
          <w:p w14:paraId="1F76F516">
            <w:pPr>
              <w:contextualSpacing/>
              <w:jc w:val="center"/>
              <w:rPr>
                <w:rFonts w:hint="eastAsia" w:ascii="宋体" w:hAnsi="宋体" w:eastAsia="宋体" w:cs="宋体"/>
                <w:color w:val="auto"/>
                <w:szCs w:val="21"/>
                <w:highlight w:val="none"/>
              </w:rPr>
            </w:pPr>
          </w:p>
        </w:tc>
        <w:tc>
          <w:tcPr>
            <w:tcW w:w="1492" w:type="dxa"/>
            <w:noWrap w:val="0"/>
            <w:vAlign w:val="center"/>
          </w:tcPr>
          <w:p w14:paraId="64366DE1">
            <w:pPr>
              <w:contextualSpacing/>
              <w:jc w:val="center"/>
              <w:rPr>
                <w:rFonts w:hint="eastAsia" w:ascii="宋体" w:hAnsi="宋体" w:eastAsia="宋体" w:cs="宋体"/>
                <w:color w:val="auto"/>
                <w:szCs w:val="21"/>
                <w:highlight w:val="none"/>
              </w:rPr>
            </w:pPr>
          </w:p>
        </w:tc>
        <w:tc>
          <w:tcPr>
            <w:tcW w:w="1492" w:type="dxa"/>
            <w:noWrap w:val="0"/>
            <w:vAlign w:val="center"/>
          </w:tcPr>
          <w:p w14:paraId="645E4A34">
            <w:pPr>
              <w:contextualSpacing/>
              <w:jc w:val="center"/>
              <w:rPr>
                <w:rFonts w:hint="eastAsia" w:ascii="宋体" w:hAnsi="宋体" w:eastAsia="宋体" w:cs="宋体"/>
                <w:color w:val="auto"/>
                <w:szCs w:val="21"/>
                <w:highlight w:val="none"/>
              </w:rPr>
            </w:pPr>
          </w:p>
        </w:tc>
        <w:tc>
          <w:tcPr>
            <w:tcW w:w="1492" w:type="dxa"/>
            <w:noWrap w:val="0"/>
            <w:vAlign w:val="center"/>
          </w:tcPr>
          <w:p w14:paraId="6671D834">
            <w:pPr>
              <w:contextualSpacing/>
              <w:jc w:val="center"/>
              <w:rPr>
                <w:rFonts w:hint="eastAsia" w:ascii="宋体" w:hAnsi="宋体" w:eastAsia="宋体" w:cs="宋体"/>
                <w:color w:val="auto"/>
                <w:szCs w:val="21"/>
                <w:highlight w:val="none"/>
              </w:rPr>
            </w:pPr>
          </w:p>
        </w:tc>
      </w:tr>
      <w:tr w14:paraId="61B5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2B3F5A24">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1207" w:type="dxa"/>
            <w:noWrap w:val="0"/>
            <w:vAlign w:val="center"/>
          </w:tcPr>
          <w:p w14:paraId="2E074FF7">
            <w:pPr>
              <w:contextualSpacing/>
              <w:jc w:val="center"/>
              <w:rPr>
                <w:rFonts w:hint="eastAsia" w:ascii="宋体" w:hAnsi="宋体" w:eastAsia="宋体" w:cs="宋体"/>
                <w:color w:val="auto"/>
                <w:szCs w:val="21"/>
                <w:highlight w:val="none"/>
              </w:rPr>
            </w:pPr>
          </w:p>
        </w:tc>
        <w:tc>
          <w:tcPr>
            <w:tcW w:w="1776" w:type="dxa"/>
            <w:noWrap w:val="0"/>
            <w:vAlign w:val="center"/>
          </w:tcPr>
          <w:p w14:paraId="37479124">
            <w:pPr>
              <w:contextualSpacing/>
              <w:jc w:val="center"/>
              <w:rPr>
                <w:rFonts w:hint="eastAsia" w:ascii="宋体" w:hAnsi="宋体" w:eastAsia="宋体" w:cs="宋体"/>
                <w:color w:val="auto"/>
                <w:szCs w:val="21"/>
                <w:highlight w:val="none"/>
              </w:rPr>
            </w:pPr>
          </w:p>
        </w:tc>
        <w:tc>
          <w:tcPr>
            <w:tcW w:w="1492" w:type="dxa"/>
            <w:noWrap w:val="0"/>
            <w:vAlign w:val="center"/>
          </w:tcPr>
          <w:p w14:paraId="1665A31C">
            <w:pPr>
              <w:contextualSpacing/>
              <w:jc w:val="center"/>
              <w:rPr>
                <w:rFonts w:hint="eastAsia" w:ascii="宋体" w:hAnsi="宋体" w:eastAsia="宋体" w:cs="宋体"/>
                <w:color w:val="auto"/>
                <w:szCs w:val="21"/>
                <w:highlight w:val="none"/>
              </w:rPr>
            </w:pPr>
          </w:p>
        </w:tc>
        <w:tc>
          <w:tcPr>
            <w:tcW w:w="1492" w:type="dxa"/>
            <w:noWrap w:val="0"/>
            <w:vAlign w:val="center"/>
          </w:tcPr>
          <w:p w14:paraId="41859C8C">
            <w:pPr>
              <w:contextualSpacing/>
              <w:jc w:val="center"/>
              <w:rPr>
                <w:rFonts w:hint="eastAsia" w:ascii="宋体" w:hAnsi="宋体" w:eastAsia="宋体" w:cs="宋体"/>
                <w:color w:val="auto"/>
                <w:szCs w:val="21"/>
                <w:highlight w:val="none"/>
              </w:rPr>
            </w:pPr>
          </w:p>
        </w:tc>
        <w:tc>
          <w:tcPr>
            <w:tcW w:w="1492" w:type="dxa"/>
            <w:noWrap w:val="0"/>
            <w:vAlign w:val="center"/>
          </w:tcPr>
          <w:p w14:paraId="120566B0">
            <w:pPr>
              <w:contextualSpacing/>
              <w:jc w:val="center"/>
              <w:rPr>
                <w:rFonts w:hint="eastAsia" w:ascii="宋体" w:hAnsi="宋体" w:eastAsia="宋体" w:cs="宋体"/>
                <w:color w:val="auto"/>
                <w:szCs w:val="21"/>
                <w:highlight w:val="none"/>
              </w:rPr>
            </w:pPr>
          </w:p>
        </w:tc>
        <w:tc>
          <w:tcPr>
            <w:tcW w:w="1492" w:type="dxa"/>
            <w:noWrap w:val="0"/>
            <w:vAlign w:val="center"/>
          </w:tcPr>
          <w:p w14:paraId="340FEEF5">
            <w:pPr>
              <w:contextualSpacing/>
              <w:jc w:val="center"/>
              <w:rPr>
                <w:rFonts w:hint="eastAsia" w:ascii="宋体" w:hAnsi="宋体" w:eastAsia="宋体" w:cs="宋体"/>
                <w:color w:val="auto"/>
                <w:szCs w:val="21"/>
                <w:highlight w:val="none"/>
              </w:rPr>
            </w:pPr>
          </w:p>
        </w:tc>
      </w:tr>
      <w:tr w14:paraId="7441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3" w:type="dxa"/>
            <w:noWrap w:val="0"/>
            <w:vAlign w:val="center"/>
          </w:tcPr>
          <w:p w14:paraId="0FA2D6AD">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1207" w:type="dxa"/>
            <w:noWrap w:val="0"/>
            <w:vAlign w:val="center"/>
          </w:tcPr>
          <w:p w14:paraId="6C0E12D3">
            <w:pPr>
              <w:contextualSpacing/>
              <w:jc w:val="center"/>
              <w:rPr>
                <w:rFonts w:hint="eastAsia" w:ascii="宋体" w:hAnsi="宋体" w:eastAsia="宋体" w:cs="宋体"/>
                <w:color w:val="auto"/>
                <w:szCs w:val="21"/>
                <w:highlight w:val="none"/>
              </w:rPr>
            </w:pPr>
          </w:p>
        </w:tc>
        <w:tc>
          <w:tcPr>
            <w:tcW w:w="1776" w:type="dxa"/>
            <w:noWrap w:val="0"/>
            <w:vAlign w:val="center"/>
          </w:tcPr>
          <w:p w14:paraId="52B63A86">
            <w:pPr>
              <w:contextualSpacing/>
              <w:jc w:val="center"/>
              <w:rPr>
                <w:rFonts w:hint="eastAsia" w:ascii="宋体" w:hAnsi="宋体" w:eastAsia="宋体" w:cs="宋体"/>
                <w:color w:val="auto"/>
                <w:szCs w:val="21"/>
                <w:highlight w:val="none"/>
              </w:rPr>
            </w:pPr>
          </w:p>
        </w:tc>
        <w:tc>
          <w:tcPr>
            <w:tcW w:w="1492" w:type="dxa"/>
            <w:noWrap w:val="0"/>
            <w:vAlign w:val="center"/>
          </w:tcPr>
          <w:p w14:paraId="42007CC1">
            <w:pPr>
              <w:contextualSpacing/>
              <w:jc w:val="center"/>
              <w:rPr>
                <w:rFonts w:hint="eastAsia" w:ascii="宋体" w:hAnsi="宋体" w:eastAsia="宋体" w:cs="宋体"/>
                <w:color w:val="auto"/>
                <w:szCs w:val="21"/>
                <w:highlight w:val="none"/>
              </w:rPr>
            </w:pPr>
          </w:p>
        </w:tc>
        <w:tc>
          <w:tcPr>
            <w:tcW w:w="1492" w:type="dxa"/>
            <w:noWrap w:val="0"/>
            <w:vAlign w:val="center"/>
          </w:tcPr>
          <w:p w14:paraId="7DBF04EF">
            <w:pPr>
              <w:contextualSpacing/>
              <w:jc w:val="center"/>
              <w:rPr>
                <w:rFonts w:hint="eastAsia" w:ascii="宋体" w:hAnsi="宋体" w:eastAsia="宋体" w:cs="宋体"/>
                <w:color w:val="auto"/>
                <w:szCs w:val="21"/>
                <w:highlight w:val="none"/>
              </w:rPr>
            </w:pPr>
          </w:p>
        </w:tc>
        <w:tc>
          <w:tcPr>
            <w:tcW w:w="1492" w:type="dxa"/>
            <w:noWrap w:val="0"/>
            <w:vAlign w:val="center"/>
          </w:tcPr>
          <w:p w14:paraId="6D8D8897">
            <w:pPr>
              <w:contextualSpacing/>
              <w:jc w:val="center"/>
              <w:rPr>
                <w:rFonts w:hint="eastAsia" w:ascii="宋体" w:hAnsi="宋体" w:eastAsia="宋体" w:cs="宋体"/>
                <w:color w:val="auto"/>
                <w:szCs w:val="21"/>
                <w:highlight w:val="none"/>
              </w:rPr>
            </w:pPr>
          </w:p>
        </w:tc>
        <w:tc>
          <w:tcPr>
            <w:tcW w:w="1492" w:type="dxa"/>
            <w:noWrap w:val="0"/>
            <w:vAlign w:val="center"/>
          </w:tcPr>
          <w:p w14:paraId="66DEED1F">
            <w:pPr>
              <w:contextualSpacing/>
              <w:jc w:val="center"/>
              <w:rPr>
                <w:rFonts w:hint="eastAsia" w:ascii="宋体" w:hAnsi="宋体" w:eastAsia="宋体" w:cs="宋体"/>
                <w:color w:val="auto"/>
                <w:szCs w:val="21"/>
                <w:highlight w:val="none"/>
              </w:rPr>
            </w:pPr>
          </w:p>
        </w:tc>
      </w:tr>
      <w:tr w14:paraId="1F0DA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850" w:hRule="atLeast"/>
          <w:jc w:val="center"/>
        </w:trPr>
        <w:tc>
          <w:tcPr>
            <w:tcW w:w="9684" w:type="dxa"/>
            <w:gridSpan w:val="7"/>
            <w:noWrap w:val="0"/>
            <w:vAlign w:val="center"/>
          </w:tcPr>
          <w:p w14:paraId="568EA02B">
            <w:pPr>
              <w:contextualSpacing/>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合计：正偏离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项，无偏离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项，负偏离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w:t>
            </w:r>
          </w:p>
        </w:tc>
      </w:tr>
    </w:tbl>
    <w:p w14:paraId="7CA091D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备注：1、按第</w:t>
      </w:r>
      <w:r>
        <w:rPr>
          <w:rFonts w:hint="eastAsia" w:ascii="宋体" w:hAnsi="宋体" w:cs="宋体"/>
          <w:color w:val="auto"/>
          <w:szCs w:val="21"/>
          <w:highlight w:val="none"/>
          <w:lang w:eastAsia="zh-CN"/>
        </w:rPr>
        <w:t>三</w:t>
      </w:r>
      <w:r>
        <w:rPr>
          <w:rFonts w:hint="eastAsia" w:ascii="宋体" w:hAnsi="宋体" w:eastAsia="宋体" w:cs="宋体"/>
          <w:color w:val="auto"/>
          <w:szCs w:val="21"/>
          <w:highlight w:val="none"/>
        </w:rPr>
        <w:t>章“采购需求”中的技术要求中的顺序填写此表，作为投标文件重要的组成部分。2、作为投标文件重要的组成部分，任何通过简单拷贝招标文件技术要求或简单标注“符合”“满足”的投标文件将被视为实质性不符合。3、偏离包括正、负偏离，正偏离指投标人的响应高于招标文件要求，负偏离指投标人的响应低于招标文件要求。无偏离也应该予以说明。4、如投标人无任何偏离，也需在响应表中注明：“全部技术条款无偏离”并在投标文件中递交此表。</w:t>
      </w:r>
    </w:p>
    <w:p w14:paraId="65A7DAD7">
      <w:pPr>
        <w:adjustRightInd w:val="0"/>
        <w:snapToGrid w:val="0"/>
        <w:spacing w:line="360" w:lineRule="auto"/>
        <w:rPr>
          <w:rFonts w:hint="eastAsia" w:ascii="宋体" w:hAnsi="宋体" w:eastAsia="宋体" w:cs="宋体"/>
          <w:color w:val="auto"/>
          <w:sz w:val="24"/>
          <w:szCs w:val="24"/>
          <w:highlight w:val="none"/>
        </w:rPr>
      </w:pPr>
    </w:p>
    <w:p w14:paraId="2CC8EE32">
      <w:pPr>
        <w:tabs>
          <w:tab w:val="left" w:pos="142"/>
        </w:tabs>
        <w:spacing w:line="360" w:lineRule="auto"/>
        <w:contextualSpacing/>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（盖章）                        </w:t>
      </w:r>
    </w:p>
    <w:p w14:paraId="63A8634D">
      <w:pPr>
        <w:tabs>
          <w:tab w:val="left" w:pos="142"/>
        </w:tabs>
        <w:spacing w:line="360" w:lineRule="auto"/>
        <w:contextualSpacing/>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（签字）        </w:t>
      </w:r>
    </w:p>
    <w:p w14:paraId="671CF384">
      <w:pPr>
        <w:tabs>
          <w:tab w:val="left" w:pos="142"/>
        </w:tabs>
        <w:adjustRightInd w:val="0"/>
        <w:spacing w:line="360" w:lineRule="auto"/>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D9329C8">
      <w:pPr>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bCs/>
          <w:color w:val="auto"/>
          <w:sz w:val="28"/>
          <w:szCs w:val="28"/>
          <w:highlight w:val="none"/>
          <w:lang w:val="zh-CN"/>
        </w:rPr>
        <w:br w:type="page"/>
      </w:r>
      <w:bookmarkStart w:id="526" w:name="_Toc25077"/>
      <w:bookmarkStart w:id="527" w:name="_Toc22943"/>
      <w:bookmarkStart w:id="528" w:name="_Toc23694"/>
    </w:p>
    <w:p w14:paraId="5B700372">
      <w:pPr>
        <w:spacing w:line="360" w:lineRule="auto"/>
        <w:jc w:val="center"/>
        <w:outlineLvl w:val="2"/>
        <w:rPr>
          <w:rFonts w:hint="eastAsia" w:ascii="宋体" w:hAnsi="宋体" w:eastAsia="宋体" w:cs="宋体"/>
          <w:b/>
          <w:color w:val="auto"/>
          <w:kern w:val="0"/>
          <w:sz w:val="28"/>
          <w:szCs w:val="28"/>
          <w:highlight w:val="none"/>
          <w:lang w:val="en-US" w:eastAsia="zh-CN"/>
        </w:rPr>
      </w:pPr>
      <w:bookmarkStart w:id="529" w:name="_Toc18929"/>
      <w:r>
        <w:rPr>
          <w:rFonts w:hint="eastAsia" w:ascii="宋体" w:hAnsi="宋体" w:cs="宋体"/>
          <w:b/>
          <w:color w:val="auto"/>
          <w:kern w:val="0"/>
          <w:sz w:val="28"/>
          <w:szCs w:val="28"/>
          <w:highlight w:val="none"/>
          <w:lang w:val="en-US" w:eastAsia="zh-CN"/>
        </w:rPr>
        <w:t>3</w:t>
      </w:r>
      <w:r>
        <w:rPr>
          <w:rFonts w:hint="eastAsia" w:ascii="宋体" w:hAnsi="宋体" w:eastAsia="宋体" w:cs="宋体"/>
          <w:b/>
          <w:color w:val="auto"/>
          <w:kern w:val="0"/>
          <w:sz w:val="28"/>
          <w:szCs w:val="28"/>
          <w:highlight w:val="none"/>
          <w:lang w:val="en-US" w:eastAsia="zh-CN"/>
        </w:rPr>
        <w:t>.技术服务方案</w:t>
      </w:r>
      <w:bookmarkEnd w:id="526"/>
      <w:bookmarkEnd w:id="527"/>
      <w:bookmarkEnd w:id="528"/>
      <w:bookmarkEnd w:id="529"/>
    </w:p>
    <w:p w14:paraId="7CEDAF1F">
      <w:pPr>
        <w:pStyle w:val="7"/>
        <w:spacing w:line="360" w:lineRule="auto"/>
        <w:rPr>
          <w:rFonts w:hint="eastAsia" w:ascii="宋体" w:hAnsi="宋体" w:eastAsia="宋体" w:cs="宋体"/>
          <w:b/>
          <w:bCs/>
          <w:i w:val="0"/>
          <w:color w:val="auto"/>
          <w:kern w:val="0"/>
          <w:sz w:val="21"/>
          <w:szCs w:val="21"/>
          <w:highlight w:val="none"/>
          <w:u w:val="none"/>
          <w:lang w:val="en-US" w:eastAsia="zh-CN"/>
        </w:rPr>
      </w:pPr>
      <w:r>
        <w:rPr>
          <w:rFonts w:hint="eastAsia" w:ascii="宋体" w:hAnsi="宋体" w:eastAsia="宋体" w:cs="宋体"/>
          <w:b/>
          <w:bCs/>
          <w:i w:val="0"/>
          <w:color w:val="auto"/>
          <w:kern w:val="0"/>
          <w:sz w:val="21"/>
          <w:szCs w:val="21"/>
          <w:highlight w:val="none"/>
          <w:u w:val="none"/>
          <w:lang w:val="en-US" w:eastAsia="zh-CN"/>
        </w:rPr>
        <w:t>备注：投标人要按照招标文件评分办法中技术部分要求，完整、真实提交技术服务方案。</w:t>
      </w:r>
    </w:p>
    <w:p w14:paraId="09275CF1">
      <w:pPr>
        <w:spacing w:line="360" w:lineRule="auto"/>
        <w:ind w:firstLine="283" w:firstLineChars="135"/>
        <w:contextualSpacing/>
        <w:rPr>
          <w:rFonts w:hint="eastAsia" w:ascii="宋体" w:hAnsi="宋体" w:eastAsia="宋体" w:cs="宋体"/>
          <w:color w:val="auto"/>
          <w:sz w:val="21"/>
          <w:szCs w:val="21"/>
          <w:highlight w:val="none"/>
        </w:rPr>
      </w:pPr>
    </w:p>
    <w:p w14:paraId="68FC48BC">
      <w:pPr>
        <w:tabs>
          <w:tab w:val="left" w:pos="142"/>
        </w:tabs>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（盖章）</w:t>
      </w:r>
    </w:p>
    <w:p w14:paraId="119EE14A">
      <w:pPr>
        <w:tabs>
          <w:tab w:val="left" w:pos="142"/>
        </w:tabs>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（签字）</w:t>
      </w:r>
    </w:p>
    <w:p w14:paraId="072780F0">
      <w:pPr>
        <w:tabs>
          <w:tab w:val="left" w:pos="142"/>
        </w:tabs>
        <w:adjustRightIn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686FBB2">
      <w:pPr>
        <w:rPr>
          <w:rFonts w:hint="eastAsia" w:ascii="宋体" w:hAnsi="宋体" w:eastAsia="宋体" w:cs="宋体"/>
          <w:b/>
          <w:bCs/>
          <w:color w:val="auto"/>
          <w:sz w:val="28"/>
          <w:szCs w:val="28"/>
          <w:highlight w:val="none"/>
          <w:lang w:val="zh-CN"/>
        </w:rPr>
      </w:pPr>
    </w:p>
    <w:p w14:paraId="4A0F719C">
      <w:pPr>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br w:type="page"/>
      </w:r>
    </w:p>
    <w:p w14:paraId="50A7EC3E">
      <w:pPr>
        <w:spacing w:line="600" w:lineRule="exact"/>
        <w:contextualSpacing/>
        <w:jc w:val="center"/>
        <w:outlineLvl w:val="1"/>
        <w:rPr>
          <w:rFonts w:hint="eastAsia" w:ascii="宋体" w:hAnsi="宋体" w:eastAsia="宋体" w:cs="宋体"/>
          <w:b/>
          <w:bCs/>
          <w:color w:val="auto"/>
          <w:sz w:val="28"/>
          <w:szCs w:val="28"/>
          <w:highlight w:val="none"/>
          <w:lang w:val="zh-CN"/>
        </w:rPr>
      </w:pPr>
      <w:bookmarkStart w:id="530" w:name="_Toc506"/>
      <w:r>
        <w:rPr>
          <w:rFonts w:hint="eastAsia" w:ascii="宋体" w:hAnsi="宋体" w:eastAsia="宋体" w:cs="宋体"/>
          <w:b/>
          <w:bCs/>
          <w:color w:val="auto"/>
          <w:sz w:val="28"/>
          <w:szCs w:val="28"/>
          <w:highlight w:val="none"/>
          <w:lang w:val="zh-CN"/>
        </w:rPr>
        <w:t>第四部分</w:t>
      </w:r>
      <w:r>
        <w:rPr>
          <w:rFonts w:hint="eastAsia" w:ascii="宋体" w:hAnsi="宋体" w:eastAsia="宋体" w:cs="宋体"/>
          <w:b/>
          <w:bCs/>
          <w:color w:val="auto"/>
          <w:sz w:val="28"/>
          <w:szCs w:val="28"/>
          <w:highlight w:val="none"/>
          <w:lang w:val="zh-CN" w:eastAsia="zh-CN"/>
        </w:rPr>
        <w:t>、</w:t>
      </w:r>
      <w:bookmarkEnd w:id="518"/>
      <w:bookmarkEnd w:id="519"/>
      <w:bookmarkEnd w:id="520"/>
      <w:r>
        <w:rPr>
          <w:rFonts w:hint="eastAsia" w:ascii="宋体" w:hAnsi="宋体" w:eastAsia="宋体" w:cs="宋体"/>
          <w:b/>
          <w:bCs/>
          <w:color w:val="auto"/>
          <w:sz w:val="28"/>
          <w:szCs w:val="28"/>
          <w:highlight w:val="none"/>
          <w:lang w:val="zh-CN"/>
        </w:rPr>
        <w:t>其他材料</w:t>
      </w:r>
      <w:bookmarkEnd w:id="521"/>
      <w:bookmarkEnd w:id="522"/>
      <w:bookmarkEnd w:id="530"/>
    </w:p>
    <w:p w14:paraId="0CA0C741">
      <w:pPr>
        <w:rPr>
          <w:rFonts w:hint="eastAsia" w:ascii="宋体" w:hAnsi="宋体" w:eastAsia="宋体" w:cs="宋体"/>
          <w:color w:val="auto"/>
          <w:highlight w:val="none"/>
          <w:lang w:val="zh-CN"/>
        </w:rPr>
      </w:pPr>
    </w:p>
    <w:p w14:paraId="68C0BBDD">
      <w:pPr>
        <w:rPr>
          <w:rFonts w:hint="eastAsia" w:ascii="宋体" w:hAnsi="宋体" w:eastAsia="宋体" w:cs="宋体"/>
          <w:color w:val="auto"/>
          <w:highlight w:val="none"/>
          <w:lang w:val="zh-CN"/>
        </w:rPr>
      </w:pPr>
    </w:p>
    <w:p w14:paraId="655F6299">
      <w:pPr>
        <w:rPr>
          <w:rFonts w:hint="eastAsia" w:ascii="宋体" w:hAnsi="宋体" w:eastAsia="宋体" w:cs="宋体"/>
          <w:color w:val="auto"/>
          <w:szCs w:val="21"/>
          <w:highlight w:val="none"/>
        </w:rPr>
      </w:pPr>
    </w:p>
    <w:p w14:paraId="6D153F46">
      <w:pPr>
        <w:rPr>
          <w:rFonts w:hint="eastAsia" w:ascii="宋体" w:hAnsi="宋体" w:eastAsia="宋体" w:cs="宋体"/>
          <w:color w:val="auto"/>
          <w:highlight w:val="none"/>
        </w:rPr>
      </w:pPr>
    </w:p>
    <w:p w14:paraId="7B4AED1B">
      <w:pPr>
        <w:rPr>
          <w:rFonts w:hint="eastAsia" w:ascii="宋体" w:hAnsi="宋体" w:eastAsia="宋体" w:cs="宋体"/>
          <w:color w:val="auto"/>
          <w:highlight w:val="none"/>
        </w:rPr>
      </w:pPr>
    </w:p>
    <w:p w14:paraId="46D904D7">
      <w:pPr>
        <w:rPr>
          <w:rFonts w:hint="eastAsia" w:ascii="宋体" w:hAnsi="宋体" w:eastAsia="宋体" w:cs="宋体"/>
          <w:color w:val="auto"/>
          <w:highlight w:val="none"/>
        </w:rPr>
      </w:pPr>
    </w:p>
    <w:p w14:paraId="5E418028">
      <w:pPr>
        <w:rPr>
          <w:rFonts w:hint="eastAsia" w:ascii="宋体" w:hAnsi="宋体" w:eastAsia="宋体" w:cs="宋体"/>
          <w:color w:val="auto"/>
          <w:highlight w:val="none"/>
        </w:rPr>
      </w:pPr>
    </w:p>
    <w:p w14:paraId="3D202A58">
      <w:pPr>
        <w:rPr>
          <w:rFonts w:hint="eastAsia" w:ascii="宋体" w:hAnsi="宋体" w:eastAsia="宋体" w:cs="宋体"/>
          <w:color w:val="auto"/>
          <w:highlight w:val="none"/>
        </w:rPr>
      </w:pPr>
    </w:p>
    <w:p w14:paraId="182FD7F7">
      <w:pPr>
        <w:rPr>
          <w:rFonts w:hint="eastAsia" w:ascii="宋体" w:hAnsi="宋体" w:eastAsia="宋体" w:cs="宋体"/>
          <w:color w:val="auto"/>
          <w:highlight w:val="none"/>
        </w:rPr>
      </w:pPr>
    </w:p>
    <w:p w14:paraId="16B80CBF">
      <w:pPr>
        <w:rPr>
          <w:rFonts w:hint="eastAsia" w:ascii="宋体" w:hAnsi="宋体" w:eastAsia="宋体" w:cs="宋体"/>
          <w:color w:val="auto"/>
          <w:highlight w:val="none"/>
        </w:rPr>
      </w:pPr>
    </w:p>
    <w:p w14:paraId="0291E0C7">
      <w:pPr>
        <w:rPr>
          <w:rFonts w:hint="eastAsia" w:ascii="宋体" w:hAnsi="宋体" w:eastAsia="宋体" w:cs="宋体"/>
          <w:color w:val="auto"/>
          <w:highlight w:val="none"/>
        </w:rPr>
      </w:pPr>
    </w:p>
    <w:p w14:paraId="62844A78">
      <w:pPr>
        <w:rPr>
          <w:rFonts w:hint="eastAsia" w:ascii="宋体" w:hAnsi="宋体" w:eastAsia="宋体" w:cs="宋体"/>
          <w:color w:val="auto"/>
          <w:highlight w:val="none"/>
        </w:rPr>
      </w:pPr>
    </w:p>
    <w:p w14:paraId="67FBFDBA">
      <w:pPr>
        <w:rPr>
          <w:rFonts w:hint="eastAsia" w:ascii="宋体" w:hAnsi="宋体" w:eastAsia="宋体" w:cs="宋体"/>
          <w:color w:val="auto"/>
          <w:highlight w:val="none"/>
        </w:rPr>
      </w:pPr>
    </w:p>
    <w:p w14:paraId="78153EA2">
      <w:pPr>
        <w:rPr>
          <w:rFonts w:hint="eastAsia" w:ascii="宋体" w:hAnsi="宋体" w:eastAsia="宋体" w:cs="宋体"/>
          <w:color w:val="auto"/>
          <w:highlight w:val="none"/>
        </w:rPr>
      </w:pPr>
    </w:p>
    <w:p w14:paraId="46BC2116">
      <w:pPr>
        <w:rPr>
          <w:rFonts w:hint="eastAsia" w:ascii="宋体" w:hAnsi="宋体" w:eastAsia="宋体" w:cs="宋体"/>
          <w:color w:val="auto"/>
          <w:highlight w:val="none"/>
        </w:rPr>
      </w:pPr>
    </w:p>
    <w:p w14:paraId="7BE77E61">
      <w:pPr>
        <w:rPr>
          <w:rFonts w:hint="eastAsia" w:ascii="宋体" w:hAnsi="宋体" w:eastAsia="宋体" w:cs="宋体"/>
          <w:color w:val="auto"/>
          <w:highlight w:val="none"/>
        </w:rPr>
      </w:pPr>
    </w:p>
    <w:p w14:paraId="18D59307">
      <w:pPr>
        <w:rPr>
          <w:rFonts w:hint="eastAsia" w:ascii="宋体" w:hAnsi="宋体" w:eastAsia="宋体" w:cs="宋体"/>
          <w:color w:val="auto"/>
          <w:highlight w:val="none"/>
        </w:rPr>
      </w:pPr>
    </w:p>
    <w:p w14:paraId="7BFEC860">
      <w:pPr>
        <w:rPr>
          <w:rFonts w:hint="eastAsia" w:ascii="宋体" w:hAnsi="宋体" w:eastAsia="宋体" w:cs="宋体"/>
          <w:color w:val="auto"/>
          <w:highlight w:val="none"/>
        </w:rPr>
      </w:pPr>
    </w:p>
    <w:p w14:paraId="31AE9603">
      <w:pPr>
        <w:rPr>
          <w:rFonts w:hint="eastAsia" w:ascii="宋体" w:hAnsi="宋体" w:eastAsia="宋体" w:cs="宋体"/>
          <w:color w:val="auto"/>
          <w:highlight w:val="none"/>
        </w:rPr>
      </w:pPr>
    </w:p>
    <w:p w14:paraId="61FC214C">
      <w:pPr>
        <w:rPr>
          <w:rFonts w:hint="eastAsia" w:ascii="宋体" w:hAnsi="宋体" w:eastAsia="宋体" w:cs="宋体"/>
          <w:color w:val="auto"/>
          <w:highlight w:val="none"/>
        </w:rPr>
      </w:pPr>
    </w:p>
    <w:p w14:paraId="0C521EF1">
      <w:pPr>
        <w:rPr>
          <w:rFonts w:hint="eastAsia" w:ascii="宋体" w:hAnsi="宋体" w:eastAsia="宋体" w:cs="宋体"/>
          <w:color w:val="auto"/>
          <w:highlight w:val="none"/>
        </w:rPr>
      </w:pPr>
    </w:p>
    <w:p w14:paraId="2BCAA57F">
      <w:pPr>
        <w:rPr>
          <w:rFonts w:hint="eastAsia" w:ascii="宋体" w:hAnsi="宋体" w:eastAsia="宋体" w:cs="宋体"/>
          <w:color w:val="auto"/>
          <w:highlight w:val="none"/>
        </w:rPr>
      </w:pPr>
    </w:p>
    <w:p w14:paraId="1A8D9815">
      <w:pPr>
        <w:rPr>
          <w:rFonts w:hint="eastAsia" w:ascii="宋体" w:hAnsi="宋体" w:eastAsia="宋体" w:cs="宋体"/>
          <w:color w:val="auto"/>
          <w:highlight w:val="none"/>
        </w:rPr>
      </w:pPr>
    </w:p>
    <w:p w14:paraId="0BE00EFE">
      <w:pPr>
        <w:rPr>
          <w:rFonts w:hint="eastAsia" w:ascii="宋体" w:hAnsi="宋体" w:eastAsia="宋体" w:cs="宋体"/>
          <w:color w:val="auto"/>
          <w:highlight w:val="none"/>
        </w:rPr>
      </w:pPr>
    </w:p>
    <w:p w14:paraId="05A235BD">
      <w:pPr>
        <w:rPr>
          <w:rFonts w:hint="eastAsia" w:ascii="宋体" w:hAnsi="宋体" w:eastAsia="宋体" w:cs="宋体"/>
          <w:color w:val="auto"/>
          <w:highlight w:val="none"/>
        </w:rPr>
      </w:pPr>
    </w:p>
    <w:p w14:paraId="424B616F">
      <w:pPr>
        <w:rPr>
          <w:rFonts w:hint="eastAsia" w:ascii="宋体" w:hAnsi="宋体" w:eastAsia="宋体" w:cs="宋体"/>
          <w:color w:val="auto"/>
          <w:highlight w:val="none"/>
        </w:rPr>
      </w:pPr>
    </w:p>
    <w:p w14:paraId="72F7D780">
      <w:pPr>
        <w:rPr>
          <w:rFonts w:hint="eastAsia" w:ascii="宋体" w:hAnsi="宋体" w:eastAsia="宋体" w:cs="宋体"/>
          <w:color w:val="auto"/>
          <w:highlight w:val="none"/>
        </w:rPr>
      </w:pPr>
    </w:p>
    <w:p w14:paraId="05FB1206">
      <w:pPr>
        <w:rPr>
          <w:rFonts w:hint="eastAsia" w:ascii="宋体" w:hAnsi="宋体" w:eastAsia="宋体" w:cs="宋体"/>
          <w:color w:val="auto"/>
          <w:highlight w:val="none"/>
        </w:rPr>
      </w:pPr>
    </w:p>
    <w:p w14:paraId="0E0AB1B4">
      <w:pPr>
        <w:rPr>
          <w:rFonts w:hint="eastAsia" w:ascii="宋体" w:hAnsi="宋体" w:eastAsia="宋体" w:cs="宋体"/>
          <w:color w:val="auto"/>
          <w:highlight w:val="none"/>
        </w:rPr>
      </w:pPr>
    </w:p>
    <w:p w14:paraId="17ED32B7">
      <w:pPr>
        <w:rPr>
          <w:rFonts w:hint="eastAsia" w:ascii="宋体" w:hAnsi="宋体" w:eastAsia="宋体" w:cs="宋体"/>
          <w:color w:val="auto"/>
          <w:highlight w:val="none"/>
        </w:rPr>
      </w:pPr>
    </w:p>
    <w:p w14:paraId="33F2A490">
      <w:pPr>
        <w:rPr>
          <w:rFonts w:hint="eastAsia" w:ascii="宋体" w:hAnsi="宋体" w:eastAsia="宋体" w:cs="宋体"/>
          <w:color w:val="auto"/>
          <w:highlight w:val="none"/>
        </w:rPr>
      </w:pPr>
    </w:p>
    <w:p w14:paraId="03DD229D">
      <w:pPr>
        <w:rPr>
          <w:rFonts w:hint="eastAsia" w:ascii="宋体" w:hAnsi="宋体" w:eastAsia="宋体" w:cs="宋体"/>
          <w:color w:val="auto"/>
          <w:highlight w:val="none"/>
        </w:rPr>
      </w:pPr>
    </w:p>
    <w:p w14:paraId="24B2ACD2">
      <w:pPr>
        <w:rPr>
          <w:rFonts w:hint="eastAsia" w:ascii="宋体" w:hAnsi="宋体" w:eastAsia="宋体" w:cs="宋体"/>
          <w:color w:val="auto"/>
          <w:highlight w:val="none"/>
        </w:rPr>
      </w:pPr>
    </w:p>
    <w:p w14:paraId="08701DD6">
      <w:pPr>
        <w:rPr>
          <w:rFonts w:hint="eastAsia" w:ascii="宋体" w:hAnsi="宋体" w:eastAsia="宋体" w:cs="宋体"/>
          <w:color w:val="auto"/>
          <w:highlight w:val="none"/>
        </w:rPr>
      </w:pPr>
    </w:p>
    <w:p w14:paraId="45C62AC7">
      <w:pPr>
        <w:rPr>
          <w:rFonts w:hint="eastAsia" w:ascii="宋体" w:hAnsi="宋体" w:eastAsia="宋体" w:cs="宋体"/>
          <w:color w:val="auto"/>
          <w:highlight w:val="none"/>
        </w:rPr>
      </w:pPr>
    </w:p>
    <w:p w14:paraId="7CB0D180">
      <w:pPr>
        <w:rPr>
          <w:rFonts w:hint="eastAsia" w:ascii="宋体" w:hAnsi="宋体" w:eastAsia="宋体" w:cs="宋体"/>
          <w:color w:val="auto"/>
          <w:highlight w:val="none"/>
        </w:rPr>
      </w:pPr>
    </w:p>
    <w:p w14:paraId="53C23440">
      <w:pPr>
        <w:pStyle w:val="2"/>
        <w:ind w:left="0" w:leftChars="0" w:firstLine="0" w:firstLineChars="0"/>
        <w:rPr>
          <w:rFonts w:hint="eastAsia" w:ascii="宋体" w:hAnsi="宋体" w:eastAsia="宋体" w:cs="宋体"/>
          <w:color w:val="auto"/>
          <w:highlight w:val="none"/>
          <w:lang w:val="zh-CN" w:eastAsia="zh-CN"/>
        </w:rPr>
      </w:pPr>
    </w:p>
    <w:sectPr>
      <w:footerReference r:id="rId6"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470B8">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039522">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8039522">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03A56">
    <w:pPr>
      <w:pStyle w:val="9"/>
      <w:rPr>
        <w:rStyle w:val="18"/>
        <w:rFonts w:ascii="仿宋_GB2312" w:eastAsia="仿宋_GB23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7DE1D6">
                          <w:pPr>
                            <w:pStyle w:val="9"/>
                          </w:pPr>
                          <w:r>
                            <w:rPr>
                              <w:rFonts w:hint="eastAsia" w:ascii="仿宋_GB2312" w:eastAsia="仿宋_GB2312"/>
                            </w:rPr>
                            <w:fldChar w:fldCharType="begin"/>
                          </w:r>
                          <w:r>
                            <w:rPr>
                              <w:rStyle w:val="18"/>
                              <w:rFonts w:hint="eastAsia" w:ascii="仿宋_GB2312" w:eastAsia="仿宋_GB2312"/>
                              <w:highlight w:val="white"/>
                            </w:rPr>
                            <w:instrText xml:space="preserve">PAGE  </w:instrText>
                          </w:r>
                          <w:r>
                            <w:rPr>
                              <w:rFonts w:hint="eastAsia" w:ascii="仿宋_GB2312" w:eastAsia="仿宋_GB2312"/>
                            </w:rPr>
                            <w:fldChar w:fldCharType="separate"/>
                          </w:r>
                          <w:r>
                            <w:rPr>
                              <w:rStyle w:val="18"/>
                              <w:rFonts w:ascii="仿宋_GB2312" w:eastAsia="仿宋_GB2312"/>
                              <w:highlight w:val="white"/>
                            </w:rPr>
                            <w:t>52</w:t>
                          </w:r>
                          <w:r>
                            <w:rPr>
                              <w:rFonts w:hint="eastAsia" w:ascii="仿宋_GB2312" w:eastAsia="仿宋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F7DE1D6">
                    <w:pPr>
                      <w:pStyle w:val="9"/>
                    </w:pPr>
                    <w:r>
                      <w:rPr>
                        <w:rFonts w:hint="eastAsia" w:ascii="仿宋_GB2312" w:eastAsia="仿宋_GB2312"/>
                      </w:rPr>
                      <w:fldChar w:fldCharType="begin"/>
                    </w:r>
                    <w:r>
                      <w:rPr>
                        <w:rStyle w:val="18"/>
                        <w:rFonts w:hint="eastAsia" w:ascii="仿宋_GB2312" w:eastAsia="仿宋_GB2312"/>
                        <w:highlight w:val="white"/>
                      </w:rPr>
                      <w:instrText xml:space="preserve">PAGE  </w:instrText>
                    </w:r>
                    <w:r>
                      <w:rPr>
                        <w:rFonts w:hint="eastAsia" w:ascii="仿宋_GB2312" w:eastAsia="仿宋_GB2312"/>
                      </w:rPr>
                      <w:fldChar w:fldCharType="separate"/>
                    </w:r>
                    <w:r>
                      <w:rPr>
                        <w:rStyle w:val="18"/>
                        <w:rFonts w:ascii="仿宋_GB2312" w:eastAsia="仿宋_GB2312"/>
                        <w:highlight w:val="white"/>
                      </w:rPr>
                      <w:t>52</w:t>
                    </w:r>
                    <w:r>
                      <w:rPr>
                        <w:rFonts w:hint="eastAsia" w:ascii="仿宋_GB2312" w:eastAsia="仿宋_GB2312"/>
                      </w:rPr>
                      <w:fldChar w:fldCharType="end"/>
                    </w:r>
                  </w:p>
                </w:txbxContent>
              </v:textbox>
            </v:shape>
          </w:pict>
        </mc:Fallback>
      </mc:AlternateContent>
    </w:r>
  </w:p>
  <w:p w14:paraId="4D25075C">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2407E">
    <w:pPr>
      <w:pStyle w:val="9"/>
      <w:rPr>
        <w:rStyle w:val="18"/>
      </w:rPr>
    </w:pPr>
    <w:r>
      <w:fldChar w:fldCharType="begin"/>
    </w:r>
    <w:r>
      <w:rPr>
        <w:rStyle w:val="18"/>
        <w:highlight w:val="white"/>
      </w:rPr>
      <w:instrText xml:space="preserve">PAGE  </w:instrText>
    </w:r>
    <w:r>
      <w:fldChar w:fldCharType="end"/>
    </w:r>
  </w:p>
  <w:p w14:paraId="606349B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A0B60">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2920F3">
                          <w:pPr>
                            <w:pStyle w:val="9"/>
                          </w:pPr>
                          <w:r>
                            <w:rPr>
                              <w:rFonts w:hint="eastAsia" w:ascii="仿宋_GB2312" w:eastAsia="仿宋_GB2312"/>
                            </w:rPr>
                            <w:fldChar w:fldCharType="begin"/>
                          </w:r>
                          <w:r>
                            <w:rPr>
                              <w:rStyle w:val="18"/>
                              <w:rFonts w:hint="eastAsia" w:ascii="仿宋_GB2312" w:eastAsia="仿宋_GB2312"/>
                              <w:highlight w:val="white"/>
                            </w:rPr>
                            <w:instrText xml:space="preserve">PAGE  </w:instrText>
                          </w:r>
                          <w:r>
                            <w:rPr>
                              <w:rFonts w:hint="eastAsia" w:ascii="仿宋_GB2312" w:eastAsia="仿宋_GB2312"/>
                            </w:rPr>
                            <w:fldChar w:fldCharType="separate"/>
                          </w:r>
                          <w:r>
                            <w:rPr>
                              <w:rStyle w:val="18"/>
                              <w:rFonts w:ascii="仿宋_GB2312" w:eastAsia="仿宋_GB2312"/>
                              <w:highlight w:val="white"/>
                            </w:rPr>
                            <w:t>68</w:t>
                          </w:r>
                          <w:r>
                            <w:rPr>
                              <w:rFonts w:hint="eastAsia" w:ascii="仿宋_GB2312" w:eastAsia="仿宋_GB231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2920F3">
                    <w:pPr>
                      <w:pStyle w:val="9"/>
                    </w:pPr>
                    <w:r>
                      <w:rPr>
                        <w:rFonts w:hint="eastAsia" w:ascii="仿宋_GB2312" w:eastAsia="仿宋_GB2312"/>
                      </w:rPr>
                      <w:fldChar w:fldCharType="begin"/>
                    </w:r>
                    <w:r>
                      <w:rPr>
                        <w:rStyle w:val="18"/>
                        <w:rFonts w:hint="eastAsia" w:ascii="仿宋_GB2312" w:eastAsia="仿宋_GB2312"/>
                        <w:highlight w:val="white"/>
                      </w:rPr>
                      <w:instrText xml:space="preserve">PAGE  </w:instrText>
                    </w:r>
                    <w:r>
                      <w:rPr>
                        <w:rFonts w:hint="eastAsia" w:ascii="仿宋_GB2312" w:eastAsia="仿宋_GB2312"/>
                      </w:rPr>
                      <w:fldChar w:fldCharType="separate"/>
                    </w:r>
                    <w:r>
                      <w:rPr>
                        <w:rStyle w:val="18"/>
                        <w:rFonts w:ascii="仿宋_GB2312" w:eastAsia="仿宋_GB2312"/>
                        <w:highlight w:val="white"/>
                      </w:rPr>
                      <w:t>68</w:t>
                    </w:r>
                    <w:r>
                      <w:rPr>
                        <w:rFonts w:hint="eastAsia" w:ascii="仿宋_GB2312" w:eastAsia="仿宋_GB231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0E7588"/>
    <w:multiLevelType w:val="multilevel"/>
    <w:tmpl w:val="150E7588"/>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311E1369"/>
    <w:multiLevelType w:val="multilevel"/>
    <w:tmpl w:val="311E1369"/>
    <w:lvl w:ilvl="0" w:tentative="0">
      <w:start w:val="14"/>
      <w:numFmt w:val="decimal"/>
      <w:lvlText w:val="%1"/>
      <w:lvlJc w:val="left"/>
      <w:pPr>
        <w:tabs>
          <w:tab w:val="left" w:pos="465"/>
        </w:tabs>
        <w:ind w:left="465" w:hanging="465"/>
      </w:pPr>
      <w:rPr>
        <w:rFonts w:hint="default"/>
      </w:rPr>
    </w:lvl>
    <w:lvl w:ilvl="1" w:tentative="0">
      <w:start w:val="1"/>
      <w:numFmt w:val="decimal"/>
      <w:lvlText w:val="15.%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
    <w:nsid w:val="784719A4"/>
    <w:multiLevelType w:val="singleLevel"/>
    <w:tmpl w:val="784719A4"/>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EA247E"/>
    <w:rsid w:val="04B073F7"/>
    <w:rsid w:val="0BA61553"/>
    <w:rsid w:val="0BC86875"/>
    <w:rsid w:val="0DAE027F"/>
    <w:rsid w:val="11EA247E"/>
    <w:rsid w:val="15674379"/>
    <w:rsid w:val="156D5156"/>
    <w:rsid w:val="15D2138F"/>
    <w:rsid w:val="169E6DA8"/>
    <w:rsid w:val="17776A8B"/>
    <w:rsid w:val="1A32583A"/>
    <w:rsid w:val="1CA45467"/>
    <w:rsid w:val="2040253C"/>
    <w:rsid w:val="26791312"/>
    <w:rsid w:val="27D22B63"/>
    <w:rsid w:val="2886625D"/>
    <w:rsid w:val="28F15F7E"/>
    <w:rsid w:val="2B4069C9"/>
    <w:rsid w:val="2E1D73B4"/>
    <w:rsid w:val="32E4188C"/>
    <w:rsid w:val="330B7D6A"/>
    <w:rsid w:val="37D8454C"/>
    <w:rsid w:val="3F120BE5"/>
    <w:rsid w:val="41D7758F"/>
    <w:rsid w:val="42D601F2"/>
    <w:rsid w:val="43617533"/>
    <w:rsid w:val="45C51E60"/>
    <w:rsid w:val="46562585"/>
    <w:rsid w:val="4BA34B8C"/>
    <w:rsid w:val="4BF316AA"/>
    <w:rsid w:val="4C836181"/>
    <w:rsid w:val="4F1A4E29"/>
    <w:rsid w:val="54D73D4A"/>
    <w:rsid w:val="5674129A"/>
    <w:rsid w:val="56BF20BE"/>
    <w:rsid w:val="577044C9"/>
    <w:rsid w:val="6F3D2029"/>
    <w:rsid w:val="734C73BC"/>
    <w:rsid w:val="7E4B5AC1"/>
    <w:rsid w:val="7EF328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ind w:left="420" w:leftChars="200" w:firstLine="420" w:firstLineChars="200"/>
    </w:pPr>
    <w:rPr>
      <w:sz w:val="20"/>
      <w:szCs w:val="24"/>
    </w:rPr>
  </w:style>
  <w:style w:type="paragraph" w:styleId="3">
    <w:name w:val="Body Text Indent"/>
    <w:basedOn w:val="1"/>
    <w:qFormat/>
    <w:uiPriority w:val="0"/>
    <w:pPr>
      <w:spacing w:after="156"/>
      <w:ind w:firstLine="480"/>
    </w:pPr>
    <w:rPr>
      <w:kern w:val="0"/>
      <w:sz w:val="24"/>
    </w:rPr>
  </w:style>
  <w:style w:type="paragraph" w:styleId="6">
    <w:name w:val="annotation text"/>
    <w:basedOn w:val="1"/>
    <w:qFormat/>
    <w:uiPriority w:val="0"/>
    <w:pPr>
      <w:jc w:val="left"/>
    </w:pPr>
  </w:style>
  <w:style w:type="paragraph" w:styleId="7">
    <w:name w:val="Body Text"/>
    <w:basedOn w:val="1"/>
    <w:next w:val="1"/>
    <w:unhideWhenUsed/>
    <w:qFormat/>
    <w:uiPriority w:val="99"/>
    <w:pPr>
      <w:spacing w:after="120" w:afterLines="0"/>
    </w:pPr>
    <w:rPr>
      <w:rFonts w:ascii="仿宋_GB2312" w:eastAsia="仿宋_GB2312" w:cs="仿宋_GB2312"/>
      <w:color w:val="10000A"/>
      <w:kern w:val="0"/>
      <w:sz w:val="32"/>
      <w:szCs w:val="32"/>
    </w:rPr>
  </w:style>
  <w:style w:type="paragraph" w:styleId="8">
    <w:name w:val="toc 3"/>
    <w:basedOn w:val="1"/>
    <w:next w:val="1"/>
    <w:qFormat/>
    <w:uiPriority w:val="0"/>
    <w:pPr>
      <w:ind w:left="840" w:leftChars="400"/>
    </w:p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Normal (Web)"/>
    <w:basedOn w:val="1"/>
    <w:unhideWhenUsed/>
    <w:qFormat/>
    <w:uiPriority w:val="0"/>
    <w:pPr>
      <w:widowControl/>
      <w:spacing w:before="100" w:beforeAutospacing="1" w:after="100" w:afterAutospacing="1"/>
      <w:jc w:val="left"/>
    </w:pPr>
    <w:rPr>
      <w:rFonts w:hint="eastAsia" w:ascii="宋体" w:hAnsi="宋体"/>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paragraph" w:customStyle="1" w:styleId="19">
    <w:name w:val="正文缩进1"/>
    <w:basedOn w:val="1"/>
    <w:qFormat/>
    <w:uiPriority w:val="0"/>
  </w:style>
  <w:style w:type="paragraph" w:customStyle="1" w:styleId="20">
    <w:name w:val="列出段落1"/>
    <w:basedOn w:val="1"/>
    <w:qFormat/>
    <w:uiPriority w:val="99"/>
    <w:pPr>
      <w:ind w:firstLine="420" w:firstLineChars="200"/>
    </w:p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1"/>
      <w:szCs w:val="21"/>
      <w:lang w:val="en-US" w:eastAsia="en-US" w:bidi="ar-SA"/>
    </w:rPr>
  </w:style>
  <w:style w:type="paragraph" w:customStyle="1" w:styleId="23">
    <w:name w:val="图表a"/>
    <w:basedOn w:val="1"/>
    <w:qFormat/>
    <w:uiPriority w:val="0"/>
    <w:pPr>
      <w:spacing w:line="440" w:lineRule="exact"/>
      <w:ind w:firstLine="0" w:firstLineChars="0"/>
      <w:jc w:val="center"/>
    </w:pPr>
    <w:rPr>
      <w:szCs w:val="21"/>
    </w:rPr>
  </w:style>
  <w:style w:type="paragraph" w:customStyle="1" w:styleId="24">
    <w:name w:val="_Style 3"/>
    <w:basedOn w:val="1"/>
    <w:next w:val="1"/>
    <w:unhideWhenUsed/>
    <w:qFormat/>
    <w:uiPriority w:val="99"/>
    <w:pPr>
      <w:spacing w:line="360" w:lineRule="auto"/>
      <w:ind w:firstLine="420" w:firstLineChars="200"/>
    </w:pPr>
    <w:rPr>
      <w:rFonts w:hint="eastAsia" w:cs="Calibri"/>
      <w:sz w:val="24"/>
      <w:szCs w:val="24"/>
    </w:rPr>
  </w:style>
  <w:style w:type="character" w:customStyle="1" w:styleId="25">
    <w:name w:val="font01"/>
    <w:basedOn w:val="16"/>
    <w:qFormat/>
    <w:uiPriority w:val="0"/>
    <w:rPr>
      <w:rFonts w:hint="eastAsia" w:ascii="宋体" w:hAnsi="宋体" w:eastAsia="宋体" w:cs="宋体"/>
      <w:color w:val="000000"/>
      <w:sz w:val="22"/>
      <w:szCs w:val="22"/>
      <w:u w:val="none"/>
    </w:rPr>
  </w:style>
  <w:style w:type="character" w:customStyle="1" w:styleId="26">
    <w:name w:val="font11"/>
    <w:basedOn w:val="16"/>
    <w:qFormat/>
    <w:uiPriority w:val="0"/>
    <w:rPr>
      <w:rFonts w:hint="eastAsia" w:ascii="宋体" w:hAnsi="宋体" w:eastAsia="宋体" w:cs="宋体"/>
      <w:color w:val="0070C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224</Pages>
  <Words>22041</Words>
  <Characters>23648</Characters>
  <Lines>0</Lines>
  <Paragraphs>0</Paragraphs>
  <TotalTime>10</TotalTime>
  <ScaleCrop>false</ScaleCrop>
  <LinksUpToDate>false</LinksUpToDate>
  <CharactersWithSpaces>24444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2026-05-07T01:51:00Z</dcterms:created>
  <dc:creator>Admin</dc:creator>
  <cp:lastModifiedBy>Admin</cp:lastModifiedBy>
  <dcterms:modified xsi:type="dcterms:W3CDTF">2026-07-16T08:55:32Z</dcterms:modified>
  <dc:title>湖北省城镇社会保障卡金融生态建设项目（项目名称）湖北省城镇社会保障卡金融生态建设项目（标段/包名称）</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D142714A68EA41F5B5380472BDF1FF42_13</vt:lpwstr>
  </property>
  <property fmtid="{D5CDD505-2E9C-101B-9397-08002B2CF9AE}" pid="4" name="KSOTemplateDocerSaveRecord">
    <vt:lpwstr>eyJoZGlkIjoiODk3M2IyMmIwNDhjYjFjMjQ1ZDJkMzk5ZGMwODNlNzkiLCJ1c2VySWQiOiIzNjA1NTg4MDcifQ==</vt:lpwstr>
  </property>
</Properties>
</file>